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D1E3" w14:textId="04DFAD05" w:rsidR="00B8732C" w:rsidRPr="006B77BB" w:rsidRDefault="00287597" w:rsidP="00B8732C">
      <w:pPr>
        <w:pStyle w:val="BodyText"/>
      </w:pPr>
      <w:r>
        <w:rPr>
          <w:noProof/>
        </w:rPr>
        <w:drawing>
          <wp:anchor distT="0" distB="0" distL="114300" distR="114300" simplePos="0" relativeHeight="251658240" behindDoc="0" locked="0" layoutInCell="1" allowOverlap="1" wp14:anchorId="392C9CA2" wp14:editId="13FD3C30">
            <wp:simplePos x="0" y="0"/>
            <wp:positionH relativeFrom="column">
              <wp:posOffset>-1085215</wp:posOffset>
            </wp:positionH>
            <wp:positionV relativeFrom="paragraph">
              <wp:posOffset>-3590290</wp:posOffset>
            </wp:positionV>
            <wp:extent cx="7595512" cy="10741024"/>
            <wp:effectExtent l="0" t="0" r="5715" b="3810"/>
            <wp:wrapNone/>
            <wp:docPr id="924602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602761" name="Picture 924602761"/>
                    <pic:cNvPicPr/>
                  </pic:nvPicPr>
                  <pic:blipFill>
                    <a:blip r:embed="rId12"/>
                    <a:stretch>
                      <a:fillRect/>
                    </a:stretch>
                  </pic:blipFill>
                  <pic:spPr>
                    <a:xfrm>
                      <a:off x="0" y="0"/>
                      <a:ext cx="7595512" cy="10741024"/>
                    </a:xfrm>
                    <a:prstGeom prst="rect">
                      <a:avLst/>
                    </a:prstGeom>
                  </pic:spPr>
                </pic:pic>
              </a:graphicData>
            </a:graphic>
            <wp14:sizeRelH relativeFrom="margin">
              <wp14:pctWidth>0</wp14:pctWidth>
            </wp14:sizeRelH>
            <wp14:sizeRelV relativeFrom="margin">
              <wp14:pctHeight>0</wp14:pctHeight>
            </wp14:sizeRelV>
          </wp:anchor>
        </w:drawing>
      </w:r>
      <w:r w:rsidR="00D21505">
        <w:t>key</w:t>
      </w:r>
    </w:p>
    <w:p w14:paraId="66E4E17B" w14:textId="5C33AD09" w:rsidR="00B8732C" w:rsidRPr="006B77BB" w:rsidRDefault="00B8732C" w:rsidP="00B8732C">
      <w:pPr>
        <w:pStyle w:val="BodyText"/>
      </w:pPr>
    </w:p>
    <w:p w14:paraId="75AB1AB9" w14:textId="77777777" w:rsidR="00B8732C" w:rsidRPr="006B77BB" w:rsidRDefault="00B8732C" w:rsidP="00B8732C">
      <w:pPr>
        <w:jc w:val="left"/>
        <w:rPr>
          <w:color w:val="FF0000"/>
        </w:rPr>
        <w:sectPr w:rsidR="00B8732C" w:rsidRPr="006B77BB" w:rsidSect="00613507">
          <w:headerReference w:type="default" r:id="rId13"/>
          <w:footerReference w:type="default" r:id="rId14"/>
          <w:pgSz w:w="11907" w:h="16840" w:code="9"/>
          <w:pgMar w:top="5670" w:right="1701" w:bottom="1701" w:left="1701" w:header="567" w:footer="1134" w:gutter="0"/>
          <w:cols w:space="720"/>
        </w:sectPr>
      </w:pPr>
    </w:p>
    <w:p w14:paraId="402D32C1" w14:textId="3D6D5D84" w:rsidR="00B8732C" w:rsidRPr="006B77BB" w:rsidRDefault="00B8732C" w:rsidP="00B8732C">
      <w:pPr>
        <w:pStyle w:val="Imprint"/>
        <w:spacing w:before="0" w:after="0"/>
        <w:rPr>
          <w:b/>
        </w:rPr>
      </w:pPr>
      <w:r w:rsidRPr="006B77BB">
        <w:rPr>
          <w:b/>
        </w:rPr>
        <w:lastRenderedPageBreak/>
        <w:t>Disclaimer</w:t>
      </w:r>
    </w:p>
    <w:p w14:paraId="2100E038" w14:textId="6344123C" w:rsidR="00B8732C" w:rsidRDefault="00B8732C" w:rsidP="00B8732C">
      <w:pPr>
        <w:pStyle w:val="Imprin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39A69079" w14:textId="77777777" w:rsidR="00B8732C" w:rsidRDefault="00B8732C" w:rsidP="00B8732C">
      <w:pPr>
        <w:pStyle w:val="Bullet"/>
        <w:tabs>
          <w:tab w:val="left" w:pos="397"/>
        </w:tabs>
      </w:pPr>
      <w:r>
        <w:t xml:space="preserve">the information does not alter the laws of New Zealand, other official guidelines, or </w:t>
      </w:r>
      <w:proofErr w:type="gramStart"/>
      <w:r>
        <w:t>requirements</w:t>
      </w:r>
      <w:proofErr w:type="gramEnd"/>
    </w:p>
    <w:p w14:paraId="46013A6A" w14:textId="5527EBB6" w:rsidR="00B8732C" w:rsidRDefault="00B8732C" w:rsidP="00B8732C">
      <w:pPr>
        <w:pStyle w:val="Bullet"/>
        <w:tabs>
          <w:tab w:val="left" w:pos="397"/>
        </w:tabs>
      </w:pPr>
      <w:r>
        <w:t xml:space="preserve">it does not constitute legal advice, and users should take specific advice from qualified professionals before taking any action based on information in this </w:t>
      </w:r>
      <w:proofErr w:type="gramStart"/>
      <w:r>
        <w:t>publication</w:t>
      </w:r>
      <w:proofErr w:type="gramEnd"/>
    </w:p>
    <w:p w14:paraId="382AC0C9" w14:textId="6B4DB885" w:rsidR="00B8732C" w:rsidRDefault="00B8732C" w:rsidP="00B8732C">
      <w:pPr>
        <w:pStyle w:val="Bullet"/>
        <w:tabs>
          <w:tab w:val="left" w:pos="397"/>
        </w:tabs>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w:t>
      </w:r>
      <w:proofErr w:type="gramStart"/>
      <w:r>
        <w:t>publication</w:t>
      </w:r>
      <w:proofErr w:type="gramEnd"/>
    </w:p>
    <w:p w14:paraId="5B32B569" w14:textId="0BB349EC" w:rsidR="00B8732C" w:rsidRPr="006B77BB" w:rsidRDefault="00B8732C" w:rsidP="00B8732C">
      <w:pPr>
        <w:pStyle w:val="Bullet"/>
        <w:tabs>
          <w:tab w:val="left" w:pos="397"/>
        </w:tabs>
      </w:pPr>
      <w:r>
        <w:t xml:space="preserve">all references to websites, </w:t>
      </w:r>
      <w:proofErr w:type="gramStart"/>
      <w:r>
        <w:t>organisations</w:t>
      </w:r>
      <w:proofErr w:type="gramEnd"/>
      <w:r>
        <w:t xml:space="preserve"> or people not within the Ministry are for convenience only and should not be taken as endorsement of those websites or information contained in those websites nor of organisations or people referred to.</w:t>
      </w:r>
    </w:p>
    <w:p w14:paraId="54344E92" w14:textId="77777777" w:rsidR="00D027C6" w:rsidRPr="006B77BB" w:rsidRDefault="00D027C6" w:rsidP="00D027C6">
      <w:pPr>
        <w:pStyle w:val="Imprint"/>
      </w:pPr>
    </w:p>
    <w:p w14:paraId="75B70B55" w14:textId="77777777" w:rsidR="00B8732C" w:rsidRPr="006B77BB" w:rsidRDefault="00B8732C" w:rsidP="00B8732C">
      <w:pPr>
        <w:pStyle w:val="Imprint"/>
      </w:pPr>
    </w:p>
    <w:p w14:paraId="0A3AA2FC" w14:textId="77777777" w:rsidR="00B8732C" w:rsidRPr="006B77BB" w:rsidRDefault="00B8732C" w:rsidP="00B8732C">
      <w:pPr>
        <w:pStyle w:val="Imprint"/>
      </w:pPr>
      <w:r w:rsidRPr="006B77BB">
        <w:t xml:space="preserve">This document may be cited as: Ministry for the Environment. </w:t>
      </w:r>
      <w:r>
        <w:t>2024</w:t>
      </w:r>
      <w:r w:rsidRPr="006B77BB">
        <w:t xml:space="preserve">. </w:t>
      </w:r>
      <w:r>
        <w:rPr>
          <w:i/>
        </w:rPr>
        <w:t>Annual updates to New Zealand Emissions Trading Scheme limits and price control settings for units 2024: Consultation document</w:t>
      </w:r>
      <w:r w:rsidRPr="006B77BB">
        <w:t>. Wellington: Ministry for the Environment.</w:t>
      </w:r>
    </w:p>
    <w:p w14:paraId="068B4EA1" w14:textId="1181CF86" w:rsidR="00B8732C" w:rsidRDefault="00B8732C" w:rsidP="00380790">
      <w:pPr>
        <w:pStyle w:val="Imprint"/>
        <w:tabs>
          <w:tab w:val="left" w:pos="5599"/>
        </w:tabs>
      </w:pPr>
    </w:p>
    <w:p w14:paraId="5CAE7991" w14:textId="77777777" w:rsidR="006E3D41" w:rsidRDefault="006E3D41" w:rsidP="00380790">
      <w:pPr>
        <w:pStyle w:val="Imprint"/>
        <w:tabs>
          <w:tab w:val="left" w:pos="5599"/>
        </w:tabs>
      </w:pPr>
    </w:p>
    <w:p w14:paraId="782A8E62" w14:textId="77777777" w:rsidR="006E3D41" w:rsidRDefault="006E3D41" w:rsidP="00380790">
      <w:pPr>
        <w:pStyle w:val="Imprint"/>
        <w:tabs>
          <w:tab w:val="left" w:pos="5599"/>
        </w:tabs>
      </w:pPr>
    </w:p>
    <w:p w14:paraId="45FDE6F6" w14:textId="77777777" w:rsidR="006E3D41" w:rsidRDefault="006E3D41" w:rsidP="00380790">
      <w:pPr>
        <w:pStyle w:val="Imprint"/>
        <w:tabs>
          <w:tab w:val="left" w:pos="5599"/>
        </w:tabs>
      </w:pPr>
    </w:p>
    <w:p w14:paraId="5D0E8417" w14:textId="77777777" w:rsidR="006E3D41" w:rsidRDefault="006E3D41" w:rsidP="00380790">
      <w:pPr>
        <w:pStyle w:val="Imprint"/>
        <w:tabs>
          <w:tab w:val="left" w:pos="5599"/>
        </w:tabs>
      </w:pPr>
    </w:p>
    <w:p w14:paraId="2185D44B" w14:textId="77777777" w:rsidR="006E3D41" w:rsidRDefault="006E3D41" w:rsidP="00380790">
      <w:pPr>
        <w:pStyle w:val="Imprint"/>
        <w:tabs>
          <w:tab w:val="left" w:pos="5599"/>
        </w:tabs>
      </w:pPr>
    </w:p>
    <w:p w14:paraId="4CB047C4" w14:textId="77777777" w:rsidR="006E3D41" w:rsidRDefault="006E3D41" w:rsidP="00380790">
      <w:pPr>
        <w:pStyle w:val="Imprint"/>
        <w:tabs>
          <w:tab w:val="left" w:pos="5599"/>
        </w:tabs>
      </w:pPr>
    </w:p>
    <w:p w14:paraId="5255C021" w14:textId="77777777" w:rsidR="006E3D41" w:rsidRDefault="006E3D41" w:rsidP="00380790">
      <w:pPr>
        <w:pStyle w:val="Imprint"/>
        <w:tabs>
          <w:tab w:val="left" w:pos="5599"/>
        </w:tabs>
      </w:pPr>
    </w:p>
    <w:p w14:paraId="7ECBACC2" w14:textId="51A0D876" w:rsidR="00B8732C" w:rsidRPr="006B77BB" w:rsidRDefault="00380790" w:rsidP="00B8732C">
      <w:pPr>
        <w:pStyle w:val="Imprint"/>
      </w:pPr>
      <w:r>
        <w:t>P</w:t>
      </w:r>
      <w:r w:rsidR="00B8732C" w:rsidRPr="006B77BB">
        <w:t xml:space="preserve">ublished in </w:t>
      </w:r>
      <w:r w:rsidR="00607719">
        <w:t>May</w:t>
      </w:r>
      <w:r w:rsidR="00B8732C" w:rsidRPr="00663783">
        <w:t xml:space="preserve"> </w:t>
      </w:r>
      <w:r w:rsidR="00B8732C">
        <w:t>2024</w:t>
      </w:r>
      <w:r w:rsidR="00B8732C" w:rsidRPr="006B77BB">
        <w:t xml:space="preserve"> by the</w:t>
      </w:r>
      <w:r w:rsidR="00B8732C" w:rsidRPr="006B77BB">
        <w:br/>
        <w:t xml:space="preserve">Ministry for the Environment </w:t>
      </w:r>
      <w:r w:rsidR="00B8732C" w:rsidRPr="006B77BB">
        <w:br/>
      </w:r>
      <w:proofErr w:type="spellStart"/>
      <w:r w:rsidR="00B8732C" w:rsidRPr="006B77BB">
        <w:t>Manatū</w:t>
      </w:r>
      <w:proofErr w:type="spellEnd"/>
      <w:r w:rsidR="00B8732C" w:rsidRPr="006B77BB">
        <w:t xml:space="preserve"> </w:t>
      </w:r>
      <w:proofErr w:type="spellStart"/>
      <w:r w:rsidR="00B8732C">
        <w:t>m</w:t>
      </w:r>
      <w:r w:rsidR="00B8732C" w:rsidRPr="006B77BB">
        <w:t>ō</w:t>
      </w:r>
      <w:proofErr w:type="spellEnd"/>
      <w:r w:rsidR="00B8732C" w:rsidRPr="006B77BB">
        <w:t xml:space="preserve"> </w:t>
      </w:r>
      <w:proofErr w:type="spellStart"/>
      <w:r w:rsidR="00B8732C">
        <w:t>t</w:t>
      </w:r>
      <w:r w:rsidR="00B8732C" w:rsidRPr="006B77BB">
        <w:t>e</w:t>
      </w:r>
      <w:proofErr w:type="spellEnd"/>
      <w:r w:rsidR="00B8732C" w:rsidRPr="006B77BB">
        <w:t xml:space="preserve"> Taiao</w:t>
      </w:r>
      <w:r w:rsidR="00B8732C" w:rsidRPr="006B77BB">
        <w:br/>
        <w:t>PO Box 10362, Wellington 6143, New Zealand</w:t>
      </w:r>
      <w:r w:rsidR="00B8732C">
        <w:br/>
      </w:r>
      <w:hyperlink r:id="rId15" w:history="1">
        <w:r w:rsidR="00D027C6" w:rsidRPr="005A5193">
          <w:rPr>
            <w:rStyle w:val="Hyperlink"/>
          </w:rPr>
          <w:t>environment.govt.nz</w:t>
        </w:r>
      </w:hyperlink>
    </w:p>
    <w:p w14:paraId="66AF793F" w14:textId="61DDF406" w:rsidR="00B8732C" w:rsidRPr="006B77BB" w:rsidRDefault="00B8732C" w:rsidP="00B8732C">
      <w:pPr>
        <w:pStyle w:val="Imprint"/>
      </w:pPr>
      <w:r w:rsidRPr="006B77BB">
        <w:t xml:space="preserve">ISBN: </w:t>
      </w:r>
      <w:r w:rsidR="00DA3626" w:rsidRPr="00DA3626">
        <w:t>978-1-991140-18-0</w:t>
      </w:r>
      <w:r>
        <w:br/>
      </w:r>
      <w:r w:rsidRPr="006B77BB">
        <w:t xml:space="preserve">Publication number: </w:t>
      </w:r>
      <w:r w:rsidRPr="00E373B0">
        <w:t xml:space="preserve">ME </w:t>
      </w:r>
      <w:r w:rsidR="00E373B0" w:rsidRPr="00E373B0">
        <w:t>1</w:t>
      </w:r>
      <w:r w:rsidR="00E373B0">
        <w:t>828</w:t>
      </w:r>
    </w:p>
    <w:p w14:paraId="12379D14" w14:textId="77777777" w:rsidR="00B8732C" w:rsidRPr="007837CC" w:rsidRDefault="00B8732C" w:rsidP="00B8732C">
      <w:pPr>
        <w:pStyle w:val="Imprint"/>
      </w:pPr>
      <w:r w:rsidRPr="006B77BB">
        <w:t xml:space="preserve">© Crown copyright New Zealand </w:t>
      </w:r>
      <w:r>
        <w:t>2024</w:t>
      </w:r>
    </w:p>
    <w:p w14:paraId="7A91C075" w14:textId="77777777" w:rsidR="0080531E" w:rsidRPr="007837CC" w:rsidRDefault="0080531E" w:rsidP="00A84FE1">
      <w:pPr>
        <w:sectPr w:rsidR="0080531E" w:rsidRPr="007837CC" w:rsidSect="00613507">
          <w:headerReference w:type="even" r:id="rId16"/>
          <w:headerReference w:type="default" r:id="rId17"/>
          <w:footerReference w:type="even" r:id="rId18"/>
          <w:footerReference w:type="default" r:id="rId19"/>
          <w:headerReference w:type="first" r:id="rId20"/>
          <w:footerReference w:type="first" r:id="rId21"/>
          <w:pgSz w:w="11907" w:h="16840" w:code="9"/>
          <w:pgMar w:top="1134" w:right="1701" w:bottom="1134" w:left="1701" w:header="567" w:footer="567" w:gutter="0"/>
          <w:pgNumType w:fmt="lowerRoman"/>
          <w:cols w:space="720"/>
        </w:sectPr>
      </w:pPr>
    </w:p>
    <w:p w14:paraId="0667D6D5" w14:textId="77777777" w:rsidR="0080531E" w:rsidRPr="007837CC" w:rsidRDefault="0080531E" w:rsidP="00F76C69">
      <w:pPr>
        <w:pStyle w:val="Heading"/>
      </w:pPr>
      <w:r w:rsidRPr="007837CC">
        <w:lastRenderedPageBreak/>
        <w:t>Contents</w:t>
      </w:r>
    </w:p>
    <w:p w14:paraId="2FE83B43" w14:textId="01A2A457" w:rsidR="00CB4357" w:rsidRDefault="00775F57">
      <w:pPr>
        <w:pStyle w:val="TOC1"/>
        <w:rPr>
          <w:rFonts w:asciiTheme="minorHAnsi" w:eastAsiaTheme="minorEastAsia" w:hAnsiTheme="minorHAnsi" w:cstheme="minorBidi"/>
          <w:kern w:val="2"/>
          <w14:ligatures w14:val="standardContextual"/>
        </w:rPr>
      </w:pPr>
      <w:r w:rsidRPr="007837CC">
        <w:rPr>
          <w:noProof w:val="0"/>
          <w:color w:val="0092CF"/>
        </w:rPr>
        <w:fldChar w:fldCharType="begin"/>
      </w:r>
      <w:r w:rsidRPr="59ECD2A5">
        <w:rPr>
          <w:noProof w:val="0"/>
          <w:color w:val="0092CF"/>
        </w:rPr>
        <w:instrText xml:space="preserve"> TOC \h \z \t "Heading 1,1,Heading 2,2" </w:instrText>
      </w:r>
      <w:r w:rsidRPr="007837CC">
        <w:rPr>
          <w:noProof w:val="0"/>
          <w:color w:val="0092CF"/>
        </w:rPr>
        <w:fldChar w:fldCharType="separate"/>
      </w:r>
      <w:hyperlink w:anchor="_Toc166162130" w:history="1">
        <w:r w:rsidR="00CB4357" w:rsidRPr="00EB6FC8">
          <w:rPr>
            <w:rStyle w:val="Hyperlink"/>
          </w:rPr>
          <w:t>Executive summary</w:t>
        </w:r>
        <w:r w:rsidR="00CB4357">
          <w:rPr>
            <w:webHidden/>
          </w:rPr>
          <w:tab/>
        </w:r>
        <w:r w:rsidR="00CB4357">
          <w:rPr>
            <w:webHidden/>
          </w:rPr>
          <w:fldChar w:fldCharType="begin"/>
        </w:r>
        <w:r w:rsidR="00CB4357">
          <w:rPr>
            <w:webHidden/>
          </w:rPr>
          <w:instrText xml:space="preserve"> PAGEREF _Toc166162130 \h </w:instrText>
        </w:r>
        <w:r w:rsidR="00CB4357">
          <w:rPr>
            <w:webHidden/>
          </w:rPr>
        </w:r>
        <w:r w:rsidR="00CB4357">
          <w:rPr>
            <w:webHidden/>
          </w:rPr>
          <w:fldChar w:fldCharType="separate"/>
        </w:r>
        <w:r w:rsidR="00226123">
          <w:rPr>
            <w:webHidden/>
          </w:rPr>
          <w:t>5</w:t>
        </w:r>
        <w:r w:rsidR="00CB4357">
          <w:rPr>
            <w:webHidden/>
          </w:rPr>
          <w:fldChar w:fldCharType="end"/>
        </w:r>
      </w:hyperlink>
    </w:p>
    <w:p w14:paraId="7B3649A9" w14:textId="70495B15" w:rsidR="00CB4357" w:rsidRDefault="00CE2448">
      <w:pPr>
        <w:pStyle w:val="TOC2"/>
        <w:rPr>
          <w:rFonts w:asciiTheme="minorHAnsi" w:eastAsiaTheme="minorEastAsia" w:hAnsiTheme="minorHAnsi" w:cstheme="minorBidi"/>
          <w:noProof/>
          <w:kern w:val="2"/>
          <w14:ligatures w14:val="standardContextual"/>
        </w:rPr>
      </w:pPr>
      <w:hyperlink w:anchor="_Toc166162131" w:history="1">
        <w:r w:rsidR="00CB4357" w:rsidRPr="00EB6FC8">
          <w:rPr>
            <w:rStyle w:val="Hyperlink"/>
            <w:noProof/>
          </w:rPr>
          <w:t>The New Zealand Emissions Trading Scheme</w:t>
        </w:r>
        <w:r w:rsidR="00CB4357">
          <w:rPr>
            <w:noProof/>
            <w:webHidden/>
          </w:rPr>
          <w:tab/>
        </w:r>
        <w:r w:rsidR="00CB4357">
          <w:rPr>
            <w:noProof/>
            <w:webHidden/>
          </w:rPr>
          <w:fldChar w:fldCharType="begin"/>
        </w:r>
        <w:r w:rsidR="00CB4357">
          <w:rPr>
            <w:noProof/>
            <w:webHidden/>
          </w:rPr>
          <w:instrText xml:space="preserve"> PAGEREF _Toc166162131 \h </w:instrText>
        </w:r>
        <w:r w:rsidR="00CB4357">
          <w:rPr>
            <w:noProof/>
            <w:webHidden/>
          </w:rPr>
        </w:r>
        <w:r w:rsidR="00CB4357">
          <w:rPr>
            <w:noProof/>
            <w:webHidden/>
          </w:rPr>
          <w:fldChar w:fldCharType="separate"/>
        </w:r>
        <w:r w:rsidR="00226123">
          <w:rPr>
            <w:noProof/>
            <w:webHidden/>
          </w:rPr>
          <w:t>5</w:t>
        </w:r>
        <w:r w:rsidR="00CB4357">
          <w:rPr>
            <w:noProof/>
            <w:webHidden/>
          </w:rPr>
          <w:fldChar w:fldCharType="end"/>
        </w:r>
      </w:hyperlink>
    </w:p>
    <w:p w14:paraId="6CB4CDCE" w14:textId="2A2A5971" w:rsidR="00CB4357" w:rsidRDefault="00CE2448">
      <w:pPr>
        <w:pStyle w:val="TOC2"/>
        <w:rPr>
          <w:rFonts w:asciiTheme="minorHAnsi" w:eastAsiaTheme="minorEastAsia" w:hAnsiTheme="minorHAnsi" w:cstheme="minorBidi"/>
          <w:noProof/>
          <w:kern w:val="2"/>
          <w14:ligatures w14:val="standardContextual"/>
        </w:rPr>
      </w:pPr>
      <w:hyperlink w:anchor="_Toc166162132" w:history="1">
        <w:r w:rsidR="00CB4357" w:rsidRPr="00EB6FC8">
          <w:rPr>
            <w:rStyle w:val="Hyperlink"/>
            <w:noProof/>
          </w:rPr>
          <w:t>Unit limits</w:t>
        </w:r>
        <w:r w:rsidR="00CB4357">
          <w:rPr>
            <w:noProof/>
            <w:webHidden/>
          </w:rPr>
          <w:tab/>
        </w:r>
        <w:r w:rsidR="00CB4357">
          <w:rPr>
            <w:noProof/>
            <w:webHidden/>
          </w:rPr>
          <w:fldChar w:fldCharType="begin"/>
        </w:r>
        <w:r w:rsidR="00CB4357">
          <w:rPr>
            <w:noProof/>
            <w:webHidden/>
          </w:rPr>
          <w:instrText xml:space="preserve"> PAGEREF _Toc166162132 \h </w:instrText>
        </w:r>
        <w:r w:rsidR="00CB4357">
          <w:rPr>
            <w:noProof/>
            <w:webHidden/>
          </w:rPr>
        </w:r>
        <w:r w:rsidR="00CB4357">
          <w:rPr>
            <w:noProof/>
            <w:webHidden/>
          </w:rPr>
          <w:fldChar w:fldCharType="separate"/>
        </w:r>
        <w:r w:rsidR="00226123">
          <w:rPr>
            <w:noProof/>
            <w:webHidden/>
          </w:rPr>
          <w:t>5</w:t>
        </w:r>
        <w:r w:rsidR="00CB4357">
          <w:rPr>
            <w:noProof/>
            <w:webHidden/>
          </w:rPr>
          <w:fldChar w:fldCharType="end"/>
        </w:r>
      </w:hyperlink>
    </w:p>
    <w:p w14:paraId="6F4849F3" w14:textId="3F236DC6" w:rsidR="00CB4357" w:rsidRDefault="00CE2448">
      <w:pPr>
        <w:pStyle w:val="TOC2"/>
        <w:rPr>
          <w:rFonts w:asciiTheme="minorHAnsi" w:eastAsiaTheme="minorEastAsia" w:hAnsiTheme="minorHAnsi" w:cstheme="minorBidi"/>
          <w:noProof/>
          <w:kern w:val="2"/>
          <w14:ligatures w14:val="standardContextual"/>
        </w:rPr>
      </w:pPr>
      <w:hyperlink w:anchor="_Toc166162133" w:history="1">
        <w:r w:rsidR="00CB4357" w:rsidRPr="00EB6FC8">
          <w:rPr>
            <w:rStyle w:val="Hyperlink"/>
            <w:noProof/>
          </w:rPr>
          <w:t>Auction price control settings</w:t>
        </w:r>
        <w:r w:rsidR="00CB4357">
          <w:rPr>
            <w:noProof/>
            <w:webHidden/>
          </w:rPr>
          <w:tab/>
        </w:r>
        <w:r w:rsidR="00CB4357">
          <w:rPr>
            <w:noProof/>
            <w:webHidden/>
          </w:rPr>
          <w:fldChar w:fldCharType="begin"/>
        </w:r>
        <w:r w:rsidR="00CB4357">
          <w:rPr>
            <w:noProof/>
            <w:webHidden/>
          </w:rPr>
          <w:instrText xml:space="preserve"> PAGEREF _Toc166162133 \h </w:instrText>
        </w:r>
        <w:r w:rsidR="00CB4357">
          <w:rPr>
            <w:noProof/>
            <w:webHidden/>
          </w:rPr>
        </w:r>
        <w:r w:rsidR="00CB4357">
          <w:rPr>
            <w:noProof/>
            <w:webHidden/>
          </w:rPr>
          <w:fldChar w:fldCharType="separate"/>
        </w:r>
        <w:r w:rsidR="00226123">
          <w:rPr>
            <w:noProof/>
            <w:webHidden/>
          </w:rPr>
          <w:t>6</w:t>
        </w:r>
        <w:r w:rsidR="00CB4357">
          <w:rPr>
            <w:noProof/>
            <w:webHidden/>
          </w:rPr>
          <w:fldChar w:fldCharType="end"/>
        </w:r>
      </w:hyperlink>
    </w:p>
    <w:p w14:paraId="4349E1B1" w14:textId="6672747D" w:rsidR="00CB4357" w:rsidRDefault="00CE2448">
      <w:pPr>
        <w:pStyle w:val="TOC2"/>
        <w:rPr>
          <w:rFonts w:asciiTheme="minorHAnsi" w:eastAsiaTheme="minorEastAsia" w:hAnsiTheme="minorHAnsi" w:cstheme="minorBidi"/>
          <w:noProof/>
          <w:kern w:val="2"/>
          <w14:ligatures w14:val="standardContextual"/>
        </w:rPr>
      </w:pPr>
      <w:hyperlink w:anchor="_Toc166162134" w:history="1">
        <w:r w:rsidR="00CB4357" w:rsidRPr="00EB6FC8">
          <w:rPr>
            <w:rStyle w:val="Hyperlink"/>
            <w:noProof/>
          </w:rPr>
          <w:t>Cost containment reserve volume</w:t>
        </w:r>
        <w:r w:rsidR="00CB4357">
          <w:rPr>
            <w:noProof/>
            <w:webHidden/>
          </w:rPr>
          <w:tab/>
        </w:r>
        <w:r w:rsidR="00CB4357">
          <w:rPr>
            <w:noProof/>
            <w:webHidden/>
          </w:rPr>
          <w:fldChar w:fldCharType="begin"/>
        </w:r>
        <w:r w:rsidR="00CB4357">
          <w:rPr>
            <w:noProof/>
            <w:webHidden/>
          </w:rPr>
          <w:instrText xml:space="preserve"> PAGEREF _Toc166162134 \h </w:instrText>
        </w:r>
        <w:r w:rsidR="00CB4357">
          <w:rPr>
            <w:noProof/>
            <w:webHidden/>
          </w:rPr>
        </w:r>
        <w:r w:rsidR="00CB4357">
          <w:rPr>
            <w:noProof/>
            <w:webHidden/>
          </w:rPr>
          <w:fldChar w:fldCharType="separate"/>
        </w:r>
        <w:r w:rsidR="00226123">
          <w:rPr>
            <w:noProof/>
            <w:webHidden/>
          </w:rPr>
          <w:t>6</w:t>
        </w:r>
        <w:r w:rsidR="00CB4357">
          <w:rPr>
            <w:noProof/>
            <w:webHidden/>
          </w:rPr>
          <w:fldChar w:fldCharType="end"/>
        </w:r>
      </w:hyperlink>
    </w:p>
    <w:p w14:paraId="04642B3B" w14:textId="6DAEAC81" w:rsidR="00CB4357" w:rsidRDefault="00CE2448">
      <w:pPr>
        <w:pStyle w:val="TOC2"/>
        <w:rPr>
          <w:rFonts w:asciiTheme="minorHAnsi" w:eastAsiaTheme="minorEastAsia" w:hAnsiTheme="minorHAnsi" w:cstheme="minorBidi"/>
          <w:noProof/>
          <w:kern w:val="2"/>
          <w14:ligatures w14:val="standardContextual"/>
        </w:rPr>
      </w:pPr>
      <w:hyperlink w:anchor="_Toc166162135" w:history="1">
        <w:r w:rsidR="00CB4357" w:rsidRPr="00EB6FC8">
          <w:rPr>
            <w:rStyle w:val="Hyperlink"/>
            <w:noProof/>
          </w:rPr>
          <w:t>Consultation details</w:t>
        </w:r>
        <w:r w:rsidR="00CB4357">
          <w:rPr>
            <w:noProof/>
            <w:webHidden/>
          </w:rPr>
          <w:tab/>
        </w:r>
        <w:r w:rsidR="00CB4357">
          <w:rPr>
            <w:noProof/>
            <w:webHidden/>
          </w:rPr>
          <w:fldChar w:fldCharType="begin"/>
        </w:r>
        <w:r w:rsidR="00CB4357">
          <w:rPr>
            <w:noProof/>
            <w:webHidden/>
          </w:rPr>
          <w:instrText xml:space="preserve"> PAGEREF _Toc166162135 \h </w:instrText>
        </w:r>
        <w:r w:rsidR="00CB4357">
          <w:rPr>
            <w:noProof/>
            <w:webHidden/>
          </w:rPr>
        </w:r>
        <w:r w:rsidR="00CB4357">
          <w:rPr>
            <w:noProof/>
            <w:webHidden/>
          </w:rPr>
          <w:fldChar w:fldCharType="separate"/>
        </w:r>
        <w:r w:rsidR="00226123">
          <w:rPr>
            <w:noProof/>
            <w:webHidden/>
          </w:rPr>
          <w:t>6</w:t>
        </w:r>
        <w:r w:rsidR="00CB4357">
          <w:rPr>
            <w:noProof/>
            <w:webHidden/>
          </w:rPr>
          <w:fldChar w:fldCharType="end"/>
        </w:r>
      </w:hyperlink>
    </w:p>
    <w:p w14:paraId="11DB2771" w14:textId="6E59AE78" w:rsidR="00CB4357" w:rsidRDefault="00CE2448">
      <w:pPr>
        <w:pStyle w:val="TOC1"/>
        <w:rPr>
          <w:rFonts w:asciiTheme="minorHAnsi" w:eastAsiaTheme="minorEastAsia" w:hAnsiTheme="minorHAnsi" w:cstheme="minorBidi"/>
          <w:kern w:val="2"/>
          <w14:ligatures w14:val="standardContextual"/>
        </w:rPr>
      </w:pPr>
      <w:hyperlink w:anchor="_Toc166162136" w:history="1">
        <w:r w:rsidR="00CB4357" w:rsidRPr="00EB6FC8">
          <w:rPr>
            <w:rStyle w:val="Hyperlink"/>
          </w:rPr>
          <w:t>About this consultation</w:t>
        </w:r>
        <w:r w:rsidR="00CB4357">
          <w:rPr>
            <w:webHidden/>
          </w:rPr>
          <w:tab/>
        </w:r>
        <w:r w:rsidR="00CB4357">
          <w:rPr>
            <w:webHidden/>
          </w:rPr>
          <w:fldChar w:fldCharType="begin"/>
        </w:r>
        <w:r w:rsidR="00CB4357">
          <w:rPr>
            <w:webHidden/>
          </w:rPr>
          <w:instrText xml:space="preserve"> PAGEREF _Toc166162136 \h </w:instrText>
        </w:r>
        <w:r w:rsidR="00CB4357">
          <w:rPr>
            <w:webHidden/>
          </w:rPr>
        </w:r>
        <w:r w:rsidR="00CB4357">
          <w:rPr>
            <w:webHidden/>
          </w:rPr>
          <w:fldChar w:fldCharType="separate"/>
        </w:r>
        <w:r w:rsidR="00226123">
          <w:rPr>
            <w:webHidden/>
          </w:rPr>
          <w:t>8</w:t>
        </w:r>
        <w:r w:rsidR="00CB4357">
          <w:rPr>
            <w:webHidden/>
          </w:rPr>
          <w:fldChar w:fldCharType="end"/>
        </w:r>
      </w:hyperlink>
    </w:p>
    <w:p w14:paraId="1F84C596" w14:textId="6A801880" w:rsidR="00CB4357" w:rsidRDefault="00CE2448">
      <w:pPr>
        <w:pStyle w:val="TOC2"/>
        <w:rPr>
          <w:rFonts w:asciiTheme="minorHAnsi" w:eastAsiaTheme="minorEastAsia" w:hAnsiTheme="minorHAnsi" w:cstheme="minorBidi"/>
          <w:noProof/>
          <w:kern w:val="2"/>
          <w14:ligatures w14:val="standardContextual"/>
        </w:rPr>
      </w:pPr>
      <w:hyperlink w:anchor="_Toc166162137" w:history="1">
        <w:r w:rsidR="00CB4357" w:rsidRPr="00EB6FC8">
          <w:rPr>
            <w:rStyle w:val="Hyperlink"/>
            <w:noProof/>
          </w:rPr>
          <w:t>Scope of this consultation</w:t>
        </w:r>
        <w:r w:rsidR="00CB4357">
          <w:rPr>
            <w:noProof/>
            <w:webHidden/>
          </w:rPr>
          <w:tab/>
        </w:r>
        <w:r w:rsidR="00CB4357">
          <w:rPr>
            <w:noProof/>
            <w:webHidden/>
          </w:rPr>
          <w:fldChar w:fldCharType="begin"/>
        </w:r>
        <w:r w:rsidR="00CB4357">
          <w:rPr>
            <w:noProof/>
            <w:webHidden/>
          </w:rPr>
          <w:instrText xml:space="preserve"> PAGEREF _Toc166162137 \h </w:instrText>
        </w:r>
        <w:r w:rsidR="00CB4357">
          <w:rPr>
            <w:noProof/>
            <w:webHidden/>
          </w:rPr>
        </w:r>
        <w:r w:rsidR="00CB4357">
          <w:rPr>
            <w:noProof/>
            <w:webHidden/>
          </w:rPr>
          <w:fldChar w:fldCharType="separate"/>
        </w:r>
        <w:r w:rsidR="00226123">
          <w:rPr>
            <w:noProof/>
            <w:webHidden/>
          </w:rPr>
          <w:t>8</w:t>
        </w:r>
        <w:r w:rsidR="00CB4357">
          <w:rPr>
            <w:noProof/>
            <w:webHidden/>
          </w:rPr>
          <w:fldChar w:fldCharType="end"/>
        </w:r>
      </w:hyperlink>
    </w:p>
    <w:p w14:paraId="439CD36C" w14:textId="7E56975C" w:rsidR="00CB4357" w:rsidRDefault="00CE2448">
      <w:pPr>
        <w:pStyle w:val="TOC2"/>
        <w:rPr>
          <w:rFonts w:asciiTheme="minorHAnsi" w:eastAsiaTheme="minorEastAsia" w:hAnsiTheme="minorHAnsi" w:cstheme="minorBidi"/>
          <w:noProof/>
          <w:kern w:val="2"/>
          <w14:ligatures w14:val="standardContextual"/>
        </w:rPr>
      </w:pPr>
      <w:hyperlink w:anchor="_Toc166162138" w:history="1">
        <w:r w:rsidR="00CB4357" w:rsidRPr="00EB6FC8">
          <w:rPr>
            <w:rStyle w:val="Hyperlink"/>
            <w:noProof/>
          </w:rPr>
          <w:t>Your views</w:t>
        </w:r>
        <w:r w:rsidR="00CB4357">
          <w:rPr>
            <w:noProof/>
            <w:webHidden/>
          </w:rPr>
          <w:tab/>
        </w:r>
        <w:r w:rsidR="00CB4357">
          <w:rPr>
            <w:noProof/>
            <w:webHidden/>
          </w:rPr>
          <w:fldChar w:fldCharType="begin"/>
        </w:r>
        <w:r w:rsidR="00CB4357">
          <w:rPr>
            <w:noProof/>
            <w:webHidden/>
          </w:rPr>
          <w:instrText xml:space="preserve"> PAGEREF _Toc166162138 \h </w:instrText>
        </w:r>
        <w:r w:rsidR="00CB4357">
          <w:rPr>
            <w:noProof/>
            <w:webHidden/>
          </w:rPr>
        </w:r>
        <w:r w:rsidR="00CB4357">
          <w:rPr>
            <w:noProof/>
            <w:webHidden/>
          </w:rPr>
          <w:fldChar w:fldCharType="separate"/>
        </w:r>
        <w:r w:rsidR="00226123">
          <w:rPr>
            <w:noProof/>
            <w:webHidden/>
          </w:rPr>
          <w:t>9</w:t>
        </w:r>
        <w:r w:rsidR="00CB4357">
          <w:rPr>
            <w:noProof/>
            <w:webHidden/>
          </w:rPr>
          <w:fldChar w:fldCharType="end"/>
        </w:r>
      </w:hyperlink>
    </w:p>
    <w:p w14:paraId="7267BE75" w14:textId="7E5E65AC" w:rsidR="00CB4357" w:rsidRDefault="00CE2448">
      <w:pPr>
        <w:pStyle w:val="TOC2"/>
        <w:rPr>
          <w:rFonts w:asciiTheme="minorHAnsi" w:eastAsiaTheme="minorEastAsia" w:hAnsiTheme="minorHAnsi" w:cstheme="minorBidi"/>
          <w:noProof/>
          <w:kern w:val="2"/>
          <w14:ligatures w14:val="standardContextual"/>
        </w:rPr>
      </w:pPr>
      <w:hyperlink w:anchor="_Toc166162139" w:history="1">
        <w:r w:rsidR="00CB4357" w:rsidRPr="00EB6FC8">
          <w:rPr>
            <w:rStyle w:val="Hyperlink"/>
            <w:noProof/>
          </w:rPr>
          <w:t>Consultation process</w:t>
        </w:r>
        <w:r w:rsidR="00CB4357">
          <w:rPr>
            <w:noProof/>
            <w:webHidden/>
          </w:rPr>
          <w:tab/>
        </w:r>
        <w:r w:rsidR="00CB4357">
          <w:rPr>
            <w:noProof/>
            <w:webHidden/>
          </w:rPr>
          <w:fldChar w:fldCharType="begin"/>
        </w:r>
        <w:r w:rsidR="00CB4357">
          <w:rPr>
            <w:noProof/>
            <w:webHidden/>
          </w:rPr>
          <w:instrText xml:space="preserve"> PAGEREF _Toc166162139 \h </w:instrText>
        </w:r>
        <w:r w:rsidR="00CB4357">
          <w:rPr>
            <w:noProof/>
            <w:webHidden/>
          </w:rPr>
        </w:r>
        <w:r w:rsidR="00CB4357">
          <w:rPr>
            <w:noProof/>
            <w:webHidden/>
          </w:rPr>
          <w:fldChar w:fldCharType="separate"/>
        </w:r>
        <w:r w:rsidR="00226123">
          <w:rPr>
            <w:noProof/>
            <w:webHidden/>
          </w:rPr>
          <w:t>9</w:t>
        </w:r>
        <w:r w:rsidR="00CB4357">
          <w:rPr>
            <w:noProof/>
            <w:webHidden/>
          </w:rPr>
          <w:fldChar w:fldCharType="end"/>
        </w:r>
      </w:hyperlink>
    </w:p>
    <w:p w14:paraId="110281BF" w14:textId="56F22E19" w:rsidR="00CB4357" w:rsidRDefault="00CE2448">
      <w:pPr>
        <w:pStyle w:val="TOC1"/>
        <w:rPr>
          <w:rFonts w:asciiTheme="minorHAnsi" w:eastAsiaTheme="minorEastAsia" w:hAnsiTheme="minorHAnsi" w:cstheme="minorBidi"/>
          <w:kern w:val="2"/>
          <w14:ligatures w14:val="standardContextual"/>
        </w:rPr>
      </w:pPr>
      <w:hyperlink w:anchor="_Toc166162140" w:history="1">
        <w:r w:rsidR="00CB4357" w:rsidRPr="00EB6FC8">
          <w:rPr>
            <w:rStyle w:val="Hyperlink"/>
          </w:rPr>
          <w:t>Background</w:t>
        </w:r>
        <w:r w:rsidR="00CB4357">
          <w:rPr>
            <w:webHidden/>
          </w:rPr>
          <w:tab/>
        </w:r>
        <w:r w:rsidR="00CB4357">
          <w:rPr>
            <w:webHidden/>
          </w:rPr>
          <w:fldChar w:fldCharType="begin"/>
        </w:r>
        <w:r w:rsidR="00CB4357">
          <w:rPr>
            <w:webHidden/>
          </w:rPr>
          <w:instrText xml:space="preserve"> PAGEREF _Toc166162140 \h </w:instrText>
        </w:r>
        <w:r w:rsidR="00CB4357">
          <w:rPr>
            <w:webHidden/>
          </w:rPr>
        </w:r>
        <w:r w:rsidR="00CB4357">
          <w:rPr>
            <w:webHidden/>
          </w:rPr>
          <w:fldChar w:fldCharType="separate"/>
        </w:r>
        <w:r w:rsidR="00226123">
          <w:rPr>
            <w:webHidden/>
          </w:rPr>
          <w:t>10</w:t>
        </w:r>
        <w:r w:rsidR="00CB4357">
          <w:rPr>
            <w:webHidden/>
          </w:rPr>
          <w:fldChar w:fldCharType="end"/>
        </w:r>
      </w:hyperlink>
    </w:p>
    <w:p w14:paraId="28383DF3" w14:textId="36B8DFBE" w:rsidR="00CB4357" w:rsidRDefault="00CE2448">
      <w:pPr>
        <w:pStyle w:val="TOC2"/>
        <w:rPr>
          <w:rFonts w:asciiTheme="minorHAnsi" w:eastAsiaTheme="minorEastAsia" w:hAnsiTheme="minorHAnsi" w:cstheme="minorBidi"/>
          <w:noProof/>
          <w:kern w:val="2"/>
          <w14:ligatures w14:val="standardContextual"/>
        </w:rPr>
      </w:pPr>
      <w:hyperlink w:anchor="_Toc166162141" w:history="1">
        <w:r w:rsidR="00CB4357" w:rsidRPr="00EB6FC8">
          <w:rPr>
            <w:rStyle w:val="Hyperlink"/>
            <w:noProof/>
          </w:rPr>
          <w:t>The role of the NZ ETS</w:t>
        </w:r>
        <w:r w:rsidR="00CB4357">
          <w:rPr>
            <w:noProof/>
            <w:webHidden/>
          </w:rPr>
          <w:tab/>
        </w:r>
        <w:r w:rsidR="00CB4357">
          <w:rPr>
            <w:noProof/>
            <w:webHidden/>
          </w:rPr>
          <w:fldChar w:fldCharType="begin"/>
        </w:r>
        <w:r w:rsidR="00CB4357">
          <w:rPr>
            <w:noProof/>
            <w:webHidden/>
          </w:rPr>
          <w:instrText xml:space="preserve"> PAGEREF _Toc166162141 \h </w:instrText>
        </w:r>
        <w:r w:rsidR="00CB4357">
          <w:rPr>
            <w:noProof/>
            <w:webHidden/>
          </w:rPr>
        </w:r>
        <w:r w:rsidR="00CB4357">
          <w:rPr>
            <w:noProof/>
            <w:webHidden/>
          </w:rPr>
          <w:fldChar w:fldCharType="separate"/>
        </w:r>
        <w:r w:rsidR="00226123">
          <w:rPr>
            <w:noProof/>
            <w:webHidden/>
          </w:rPr>
          <w:t>10</w:t>
        </w:r>
        <w:r w:rsidR="00CB4357">
          <w:rPr>
            <w:noProof/>
            <w:webHidden/>
          </w:rPr>
          <w:fldChar w:fldCharType="end"/>
        </w:r>
      </w:hyperlink>
    </w:p>
    <w:p w14:paraId="10AD6AA6" w14:textId="3E801A19" w:rsidR="00CB4357" w:rsidRDefault="00CE2448">
      <w:pPr>
        <w:pStyle w:val="TOC2"/>
        <w:rPr>
          <w:rFonts w:asciiTheme="minorHAnsi" w:eastAsiaTheme="minorEastAsia" w:hAnsiTheme="minorHAnsi" w:cstheme="minorBidi"/>
          <w:noProof/>
          <w:kern w:val="2"/>
          <w14:ligatures w14:val="standardContextual"/>
        </w:rPr>
      </w:pPr>
      <w:hyperlink w:anchor="_Toc166162142" w:history="1">
        <w:r w:rsidR="00CB4357" w:rsidRPr="00EB6FC8">
          <w:rPr>
            <w:rStyle w:val="Hyperlink"/>
            <w:noProof/>
          </w:rPr>
          <w:t>Annual process for unit limits and price control settings</w:t>
        </w:r>
        <w:r w:rsidR="00CB4357">
          <w:rPr>
            <w:noProof/>
            <w:webHidden/>
          </w:rPr>
          <w:tab/>
        </w:r>
        <w:r w:rsidR="00CB4357">
          <w:rPr>
            <w:noProof/>
            <w:webHidden/>
          </w:rPr>
          <w:fldChar w:fldCharType="begin"/>
        </w:r>
        <w:r w:rsidR="00CB4357">
          <w:rPr>
            <w:noProof/>
            <w:webHidden/>
          </w:rPr>
          <w:instrText xml:space="preserve"> PAGEREF _Toc166162142 \h </w:instrText>
        </w:r>
        <w:r w:rsidR="00CB4357">
          <w:rPr>
            <w:noProof/>
            <w:webHidden/>
          </w:rPr>
        </w:r>
        <w:r w:rsidR="00CB4357">
          <w:rPr>
            <w:noProof/>
            <w:webHidden/>
          </w:rPr>
          <w:fldChar w:fldCharType="separate"/>
        </w:r>
        <w:r w:rsidR="00226123">
          <w:rPr>
            <w:noProof/>
            <w:webHidden/>
          </w:rPr>
          <w:t>10</w:t>
        </w:r>
        <w:r w:rsidR="00CB4357">
          <w:rPr>
            <w:noProof/>
            <w:webHidden/>
          </w:rPr>
          <w:fldChar w:fldCharType="end"/>
        </w:r>
      </w:hyperlink>
    </w:p>
    <w:p w14:paraId="67E10DD6" w14:textId="107AC7CD" w:rsidR="00CB4357" w:rsidRDefault="00CE2448">
      <w:pPr>
        <w:pStyle w:val="TOC2"/>
        <w:rPr>
          <w:rFonts w:asciiTheme="minorHAnsi" w:eastAsiaTheme="minorEastAsia" w:hAnsiTheme="minorHAnsi" w:cstheme="minorBidi"/>
          <w:noProof/>
          <w:kern w:val="2"/>
          <w14:ligatures w14:val="standardContextual"/>
        </w:rPr>
      </w:pPr>
      <w:hyperlink w:anchor="_Toc166162143" w:history="1">
        <w:r w:rsidR="00CB4357" w:rsidRPr="00EB6FC8">
          <w:rPr>
            <w:rStyle w:val="Hyperlink"/>
            <w:noProof/>
          </w:rPr>
          <w:t>The Climate Change Commission has provided advice on NZ ETS unit settings</w:t>
        </w:r>
        <w:r w:rsidR="00CB4357">
          <w:rPr>
            <w:noProof/>
            <w:webHidden/>
          </w:rPr>
          <w:tab/>
        </w:r>
        <w:r w:rsidR="00CB4357">
          <w:rPr>
            <w:noProof/>
            <w:webHidden/>
          </w:rPr>
          <w:fldChar w:fldCharType="begin"/>
        </w:r>
        <w:r w:rsidR="00CB4357">
          <w:rPr>
            <w:noProof/>
            <w:webHidden/>
          </w:rPr>
          <w:instrText xml:space="preserve"> PAGEREF _Toc166162143 \h </w:instrText>
        </w:r>
        <w:r w:rsidR="00CB4357">
          <w:rPr>
            <w:noProof/>
            <w:webHidden/>
          </w:rPr>
        </w:r>
        <w:r w:rsidR="00CB4357">
          <w:rPr>
            <w:noProof/>
            <w:webHidden/>
          </w:rPr>
          <w:fldChar w:fldCharType="separate"/>
        </w:r>
        <w:r w:rsidR="00226123">
          <w:rPr>
            <w:noProof/>
            <w:webHidden/>
          </w:rPr>
          <w:t>11</w:t>
        </w:r>
        <w:r w:rsidR="00CB4357">
          <w:rPr>
            <w:noProof/>
            <w:webHidden/>
          </w:rPr>
          <w:fldChar w:fldCharType="end"/>
        </w:r>
      </w:hyperlink>
    </w:p>
    <w:p w14:paraId="3FDCB909" w14:textId="063A1895" w:rsidR="00CB4357" w:rsidRDefault="00CE2448">
      <w:pPr>
        <w:pStyle w:val="TOC1"/>
        <w:rPr>
          <w:rFonts w:asciiTheme="minorHAnsi" w:eastAsiaTheme="minorEastAsia" w:hAnsiTheme="minorHAnsi" w:cstheme="minorBidi"/>
          <w:kern w:val="2"/>
          <w14:ligatures w14:val="standardContextual"/>
        </w:rPr>
      </w:pPr>
      <w:hyperlink w:anchor="_Toc166162144" w:history="1">
        <w:r w:rsidR="00CB4357" w:rsidRPr="00EB6FC8">
          <w:rPr>
            <w:rStyle w:val="Hyperlink"/>
          </w:rPr>
          <w:t>How we assessed options in this consultation document</w:t>
        </w:r>
        <w:r w:rsidR="00CB4357">
          <w:rPr>
            <w:webHidden/>
          </w:rPr>
          <w:tab/>
        </w:r>
        <w:r w:rsidR="00CB4357">
          <w:rPr>
            <w:webHidden/>
          </w:rPr>
          <w:fldChar w:fldCharType="begin"/>
        </w:r>
        <w:r w:rsidR="00CB4357">
          <w:rPr>
            <w:webHidden/>
          </w:rPr>
          <w:instrText xml:space="preserve"> PAGEREF _Toc166162144 \h </w:instrText>
        </w:r>
        <w:r w:rsidR="00CB4357">
          <w:rPr>
            <w:webHidden/>
          </w:rPr>
        </w:r>
        <w:r w:rsidR="00CB4357">
          <w:rPr>
            <w:webHidden/>
          </w:rPr>
          <w:fldChar w:fldCharType="separate"/>
        </w:r>
        <w:r w:rsidR="00226123">
          <w:rPr>
            <w:webHidden/>
          </w:rPr>
          <w:t>12</w:t>
        </w:r>
        <w:r w:rsidR="00CB4357">
          <w:rPr>
            <w:webHidden/>
          </w:rPr>
          <w:fldChar w:fldCharType="end"/>
        </w:r>
      </w:hyperlink>
    </w:p>
    <w:p w14:paraId="11B3767F" w14:textId="6DC8757A" w:rsidR="00CB4357" w:rsidRDefault="00CE2448">
      <w:pPr>
        <w:pStyle w:val="TOC2"/>
        <w:rPr>
          <w:rFonts w:asciiTheme="minorHAnsi" w:eastAsiaTheme="minorEastAsia" w:hAnsiTheme="minorHAnsi" w:cstheme="minorBidi"/>
          <w:noProof/>
          <w:kern w:val="2"/>
          <w14:ligatures w14:val="standardContextual"/>
        </w:rPr>
      </w:pPr>
      <w:hyperlink w:anchor="_Toc166162145" w:history="1">
        <w:r w:rsidR="00CB4357" w:rsidRPr="00EB6FC8">
          <w:rPr>
            <w:rStyle w:val="Hyperlink"/>
            <w:noProof/>
          </w:rPr>
          <w:t>Objectives – accordance test</w:t>
        </w:r>
        <w:r w:rsidR="00CB4357">
          <w:rPr>
            <w:noProof/>
            <w:webHidden/>
          </w:rPr>
          <w:tab/>
        </w:r>
        <w:r w:rsidR="00CB4357">
          <w:rPr>
            <w:noProof/>
            <w:webHidden/>
          </w:rPr>
          <w:fldChar w:fldCharType="begin"/>
        </w:r>
        <w:r w:rsidR="00CB4357">
          <w:rPr>
            <w:noProof/>
            <w:webHidden/>
          </w:rPr>
          <w:instrText xml:space="preserve"> PAGEREF _Toc166162145 \h </w:instrText>
        </w:r>
        <w:r w:rsidR="00CB4357">
          <w:rPr>
            <w:noProof/>
            <w:webHidden/>
          </w:rPr>
        </w:r>
        <w:r w:rsidR="00CB4357">
          <w:rPr>
            <w:noProof/>
            <w:webHidden/>
          </w:rPr>
          <w:fldChar w:fldCharType="separate"/>
        </w:r>
        <w:r w:rsidR="00226123">
          <w:rPr>
            <w:noProof/>
            <w:webHidden/>
          </w:rPr>
          <w:t>12</w:t>
        </w:r>
        <w:r w:rsidR="00CB4357">
          <w:rPr>
            <w:noProof/>
            <w:webHidden/>
          </w:rPr>
          <w:fldChar w:fldCharType="end"/>
        </w:r>
      </w:hyperlink>
    </w:p>
    <w:p w14:paraId="2CD5B304" w14:textId="020CC9FA" w:rsidR="00CB4357" w:rsidRDefault="00CE2448">
      <w:pPr>
        <w:pStyle w:val="TOC2"/>
        <w:rPr>
          <w:rFonts w:asciiTheme="minorHAnsi" w:eastAsiaTheme="minorEastAsia" w:hAnsiTheme="minorHAnsi" w:cstheme="minorBidi"/>
          <w:noProof/>
          <w:kern w:val="2"/>
          <w14:ligatures w14:val="standardContextual"/>
        </w:rPr>
      </w:pPr>
      <w:hyperlink w:anchor="_Toc166162146" w:history="1">
        <w:r w:rsidR="00CB4357" w:rsidRPr="00EB6FC8">
          <w:rPr>
            <w:rStyle w:val="Hyperlink"/>
            <w:noProof/>
          </w:rPr>
          <w:t>Criteria</w:t>
        </w:r>
        <w:r w:rsidR="00CB4357">
          <w:rPr>
            <w:noProof/>
            <w:webHidden/>
          </w:rPr>
          <w:tab/>
        </w:r>
        <w:r w:rsidR="00CB4357">
          <w:rPr>
            <w:noProof/>
            <w:webHidden/>
          </w:rPr>
          <w:fldChar w:fldCharType="begin"/>
        </w:r>
        <w:r w:rsidR="00CB4357">
          <w:rPr>
            <w:noProof/>
            <w:webHidden/>
          </w:rPr>
          <w:instrText xml:space="preserve"> PAGEREF _Toc166162146 \h </w:instrText>
        </w:r>
        <w:r w:rsidR="00CB4357">
          <w:rPr>
            <w:noProof/>
            <w:webHidden/>
          </w:rPr>
        </w:r>
        <w:r w:rsidR="00CB4357">
          <w:rPr>
            <w:noProof/>
            <w:webHidden/>
          </w:rPr>
          <w:fldChar w:fldCharType="separate"/>
        </w:r>
        <w:r w:rsidR="00226123">
          <w:rPr>
            <w:noProof/>
            <w:webHidden/>
          </w:rPr>
          <w:t>12</w:t>
        </w:r>
        <w:r w:rsidR="00CB4357">
          <w:rPr>
            <w:noProof/>
            <w:webHidden/>
          </w:rPr>
          <w:fldChar w:fldCharType="end"/>
        </w:r>
      </w:hyperlink>
    </w:p>
    <w:p w14:paraId="1D4161DE" w14:textId="59F7CE5B" w:rsidR="00CB4357" w:rsidRDefault="00CE2448">
      <w:pPr>
        <w:pStyle w:val="TOC1"/>
        <w:rPr>
          <w:rFonts w:asciiTheme="minorHAnsi" w:eastAsiaTheme="minorEastAsia" w:hAnsiTheme="minorHAnsi" w:cstheme="minorBidi"/>
          <w:kern w:val="2"/>
          <w14:ligatures w14:val="standardContextual"/>
        </w:rPr>
      </w:pPr>
      <w:hyperlink w:anchor="_Toc166162147" w:history="1">
        <w:r w:rsidR="00CB4357" w:rsidRPr="00EB6FC8">
          <w:rPr>
            <w:rStyle w:val="Hyperlink"/>
          </w:rPr>
          <w:t>Options for unit settings</w:t>
        </w:r>
        <w:r w:rsidR="00CB4357">
          <w:rPr>
            <w:webHidden/>
          </w:rPr>
          <w:tab/>
        </w:r>
        <w:r w:rsidR="00CB4357">
          <w:rPr>
            <w:webHidden/>
          </w:rPr>
          <w:fldChar w:fldCharType="begin"/>
        </w:r>
        <w:r w:rsidR="00CB4357">
          <w:rPr>
            <w:webHidden/>
          </w:rPr>
          <w:instrText xml:space="preserve"> PAGEREF _Toc166162147 \h </w:instrText>
        </w:r>
        <w:r w:rsidR="00CB4357">
          <w:rPr>
            <w:webHidden/>
          </w:rPr>
        </w:r>
        <w:r w:rsidR="00CB4357">
          <w:rPr>
            <w:webHidden/>
          </w:rPr>
          <w:fldChar w:fldCharType="separate"/>
        </w:r>
        <w:r w:rsidR="00226123">
          <w:rPr>
            <w:webHidden/>
          </w:rPr>
          <w:t>14</w:t>
        </w:r>
        <w:r w:rsidR="00CB4357">
          <w:rPr>
            <w:webHidden/>
          </w:rPr>
          <w:fldChar w:fldCharType="end"/>
        </w:r>
      </w:hyperlink>
    </w:p>
    <w:p w14:paraId="70544B13" w14:textId="7A781646" w:rsidR="00CB4357" w:rsidRDefault="00CE2448">
      <w:pPr>
        <w:pStyle w:val="TOC2"/>
        <w:rPr>
          <w:rFonts w:asciiTheme="minorHAnsi" w:eastAsiaTheme="minorEastAsia" w:hAnsiTheme="minorHAnsi" w:cstheme="minorBidi"/>
          <w:noProof/>
          <w:kern w:val="2"/>
          <w14:ligatures w14:val="standardContextual"/>
        </w:rPr>
      </w:pPr>
      <w:hyperlink w:anchor="_Toc166162148" w:history="1">
        <w:r w:rsidR="00CB4357" w:rsidRPr="00EB6FC8">
          <w:rPr>
            <w:rStyle w:val="Hyperlink"/>
            <w:noProof/>
          </w:rPr>
          <w:t>Steps for calculating annual auction volumes</w:t>
        </w:r>
        <w:r w:rsidR="00CB4357">
          <w:rPr>
            <w:noProof/>
            <w:webHidden/>
          </w:rPr>
          <w:tab/>
        </w:r>
        <w:r w:rsidR="00CB4357">
          <w:rPr>
            <w:noProof/>
            <w:webHidden/>
          </w:rPr>
          <w:fldChar w:fldCharType="begin"/>
        </w:r>
        <w:r w:rsidR="00CB4357">
          <w:rPr>
            <w:noProof/>
            <w:webHidden/>
          </w:rPr>
          <w:instrText xml:space="preserve"> PAGEREF _Toc166162148 \h </w:instrText>
        </w:r>
        <w:r w:rsidR="00CB4357">
          <w:rPr>
            <w:noProof/>
            <w:webHidden/>
          </w:rPr>
        </w:r>
        <w:r w:rsidR="00CB4357">
          <w:rPr>
            <w:noProof/>
            <w:webHidden/>
          </w:rPr>
          <w:fldChar w:fldCharType="separate"/>
        </w:r>
        <w:r w:rsidR="00226123">
          <w:rPr>
            <w:noProof/>
            <w:webHidden/>
          </w:rPr>
          <w:t>14</w:t>
        </w:r>
        <w:r w:rsidR="00CB4357">
          <w:rPr>
            <w:noProof/>
            <w:webHidden/>
          </w:rPr>
          <w:fldChar w:fldCharType="end"/>
        </w:r>
      </w:hyperlink>
    </w:p>
    <w:p w14:paraId="6CD11867" w14:textId="6F628C3C" w:rsidR="00CB4357" w:rsidRDefault="00CE2448">
      <w:pPr>
        <w:pStyle w:val="TOC2"/>
        <w:rPr>
          <w:rFonts w:asciiTheme="minorHAnsi" w:eastAsiaTheme="minorEastAsia" w:hAnsiTheme="minorHAnsi" w:cstheme="minorBidi"/>
          <w:noProof/>
          <w:kern w:val="2"/>
          <w14:ligatures w14:val="standardContextual"/>
        </w:rPr>
      </w:pPr>
      <w:hyperlink w:anchor="_Toc166162149" w:history="1">
        <w:r w:rsidR="00CB4357" w:rsidRPr="00EB6FC8">
          <w:rPr>
            <w:rStyle w:val="Hyperlink"/>
            <w:noProof/>
          </w:rPr>
          <w:t>Step 1: Align with climate change targets</w:t>
        </w:r>
        <w:r w:rsidR="00CB4357">
          <w:rPr>
            <w:noProof/>
            <w:webHidden/>
          </w:rPr>
          <w:tab/>
        </w:r>
        <w:r w:rsidR="00CB4357">
          <w:rPr>
            <w:noProof/>
            <w:webHidden/>
          </w:rPr>
          <w:fldChar w:fldCharType="begin"/>
        </w:r>
        <w:r w:rsidR="00CB4357">
          <w:rPr>
            <w:noProof/>
            <w:webHidden/>
          </w:rPr>
          <w:instrText xml:space="preserve"> PAGEREF _Toc166162149 \h </w:instrText>
        </w:r>
        <w:r w:rsidR="00CB4357">
          <w:rPr>
            <w:noProof/>
            <w:webHidden/>
          </w:rPr>
        </w:r>
        <w:r w:rsidR="00CB4357">
          <w:rPr>
            <w:noProof/>
            <w:webHidden/>
          </w:rPr>
          <w:fldChar w:fldCharType="separate"/>
        </w:r>
        <w:r w:rsidR="00226123">
          <w:rPr>
            <w:noProof/>
            <w:webHidden/>
          </w:rPr>
          <w:t>14</w:t>
        </w:r>
        <w:r w:rsidR="00CB4357">
          <w:rPr>
            <w:noProof/>
            <w:webHidden/>
          </w:rPr>
          <w:fldChar w:fldCharType="end"/>
        </w:r>
      </w:hyperlink>
    </w:p>
    <w:p w14:paraId="2CA2150A" w14:textId="319394CD" w:rsidR="00CB4357" w:rsidRDefault="00CE2448">
      <w:pPr>
        <w:pStyle w:val="TOC2"/>
        <w:rPr>
          <w:rFonts w:asciiTheme="minorHAnsi" w:eastAsiaTheme="minorEastAsia" w:hAnsiTheme="minorHAnsi" w:cstheme="minorBidi"/>
          <w:noProof/>
          <w:kern w:val="2"/>
          <w14:ligatures w14:val="standardContextual"/>
        </w:rPr>
      </w:pPr>
      <w:hyperlink w:anchor="_Toc166162150" w:history="1">
        <w:r w:rsidR="00CB4357" w:rsidRPr="00EB6FC8">
          <w:rPr>
            <w:rStyle w:val="Hyperlink"/>
            <w:noProof/>
          </w:rPr>
          <w:t>Step 2: Allocate the emissions budgets to NZ ETS and non-NZ ETS sectors</w:t>
        </w:r>
        <w:r w:rsidR="00CB4357">
          <w:rPr>
            <w:noProof/>
            <w:webHidden/>
          </w:rPr>
          <w:tab/>
        </w:r>
        <w:r w:rsidR="00CB4357">
          <w:rPr>
            <w:noProof/>
            <w:webHidden/>
          </w:rPr>
          <w:fldChar w:fldCharType="begin"/>
        </w:r>
        <w:r w:rsidR="00CB4357">
          <w:rPr>
            <w:noProof/>
            <w:webHidden/>
          </w:rPr>
          <w:instrText xml:space="preserve"> PAGEREF _Toc166162150 \h </w:instrText>
        </w:r>
        <w:r w:rsidR="00CB4357">
          <w:rPr>
            <w:noProof/>
            <w:webHidden/>
          </w:rPr>
        </w:r>
        <w:r w:rsidR="00CB4357">
          <w:rPr>
            <w:noProof/>
            <w:webHidden/>
          </w:rPr>
          <w:fldChar w:fldCharType="separate"/>
        </w:r>
        <w:r w:rsidR="00226123">
          <w:rPr>
            <w:noProof/>
            <w:webHidden/>
          </w:rPr>
          <w:t>17</w:t>
        </w:r>
        <w:r w:rsidR="00CB4357">
          <w:rPr>
            <w:noProof/>
            <w:webHidden/>
          </w:rPr>
          <w:fldChar w:fldCharType="end"/>
        </w:r>
      </w:hyperlink>
    </w:p>
    <w:p w14:paraId="610DF094" w14:textId="68FFF0C8" w:rsidR="00CB4357" w:rsidRDefault="00CE2448">
      <w:pPr>
        <w:pStyle w:val="TOC2"/>
        <w:rPr>
          <w:rFonts w:asciiTheme="minorHAnsi" w:eastAsiaTheme="minorEastAsia" w:hAnsiTheme="minorHAnsi" w:cstheme="minorBidi"/>
          <w:noProof/>
          <w:kern w:val="2"/>
          <w14:ligatures w14:val="standardContextual"/>
        </w:rPr>
      </w:pPr>
      <w:hyperlink w:anchor="_Toc166162151" w:history="1">
        <w:r w:rsidR="00CB4357" w:rsidRPr="00EB6FC8">
          <w:rPr>
            <w:rStyle w:val="Hyperlink"/>
            <w:noProof/>
          </w:rPr>
          <w:t>Step 3: Make technical adjustments</w:t>
        </w:r>
        <w:r w:rsidR="00CB4357">
          <w:rPr>
            <w:noProof/>
            <w:webHidden/>
          </w:rPr>
          <w:tab/>
        </w:r>
        <w:r w:rsidR="00CB4357">
          <w:rPr>
            <w:noProof/>
            <w:webHidden/>
          </w:rPr>
          <w:fldChar w:fldCharType="begin"/>
        </w:r>
        <w:r w:rsidR="00CB4357">
          <w:rPr>
            <w:noProof/>
            <w:webHidden/>
          </w:rPr>
          <w:instrText xml:space="preserve"> PAGEREF _Toc166162151 \h </w:instrText>
        </w:r>
        <w:r w:rsidR="00CB4357">
          <w:rPr>
            <w:noProof/>
            <w:webHidden/>
          </w:rPr>
        </w:r>
        <w:r w:rsidR="00CB4357">
          <w:rPr>
            <w:noProof/>
            <w:webHidden/>
          </w:rPr>
          <w:fldChar w:fldCharType="separate"/>
        </w:r>
        <w:r w:rsidR="00226123">
          <w:rPr>
            <w:noProof/>
            <w:webHidden/>
          </w:rPr>
          <w:t>18</w:t>
        </w:r>
        <w:r w:rsidR="00CB4357">
          <w:rPr>
            <w:noProof/>
            <w:webHidden/>
          </w:rPr>
          <w:fldChar w:fldCharType="end"/>
        </w:r>
      </w:hyperlink>
    </w:p>
    <w:p w14:paraId="6ED356B3" w14:textId="5D8DC50A" w:rsidR="00CB4357" w:rsidRDefault="00CE2448">
      <w:pPr>
        <w:pStyle w:val="TOC2"/>
        <w:rPr>
          <w:rFonts w:asciiTheme="minorHAnsi" w:eastAsiaTheme="minorEastAsia" w:hAnsiTheme="minorHAnsi" w:cstheme="minorBidi"/>
          <w:noProof/>
          <w:kern w:val="2"/>
          <w14:ligatures w14:val="standardContextual"/>
        </w:rPr>
      </w:pPr>
      <w:hyperlink w:anchor="_Toc166162152" w:history="1">
        <w:r w:rsidR="00CB4357" w:rsidRPr="00EB6FC8">
          <w:rPr>
            <w:rStyle w:val="Hyperlink"/>
            <w:noProof/>
          </w:rPr>
          <w:t>Step 4: Account for industrial allocation volumes</w:t>
        </w:r>
        <w:r w:rsidR="00CB4357">
          <w:rPr>
            <w:noProof/>
            <w:webHidden/>
          </w:rPr>
          <w:tab/>
        </w:r>
        <w:r w:rsidR="00CB4357">
          <w:rPr>
            <w:noProof/>
            <w:webHidden/>
          </w:rPr>
          <w:fldChar w:fldCharType="begin"/>
        </w:r>
        <w:r w:rsidR="00CB4357">
          <w:rPr>
            <w:noProof/>
            <w:webHidden/>
          </w:rPr>
          <w:instrText xml:space="preserve"> PAGEREF _Toc166162152 \h </w:instrText>
        </w:r>
        <w:r w:rsidR="00CB4357">
          <w:rPr>
            <w:noProof/>
            <w:webHidden/>
          </w:rPr>
        </w:r>
        <w:r w:rsidR="00CB4357">
          <w:rPr>
            <w:noProof/>
            <w:webHidden/>
          </w:rPr>
          <w:fldChar w:fldCharType="separate"/>
        </w:r>
        <w:r w:rsidR="00226123">
          <w:rPr>
            <w:noProof/>
            <w:webHidden/>
          </w:rPr>
          <w:t>19</w:t>
        </w:r>
        <w:r w:rsidR="00CB4357">
          <w:rPr>
            <w:noProof/>
            <w:webHidden/>
          </w:rPr>
          <w:fldChar w:fldCharType="end"/>
        </w:r>
      </w:hyperlink>
    </w:p>
    <w:p w14:paraId="3CB1F150" w14:textId="2806999B" w:rsidR="00CB4357" w:rsidRDefault="00CE2448">
      <w:pPr>
        <w:pStyle w:val="TOC2"/>
        <w:rPr>
          <w:rFonts w:asciiTheme="minorHAnsi" w:eastAsiaTheme="minorEastAsia" w:hAnsiTheme="minorHAnsi" w:cstheme="minorBidi"/>
          <w:noProof/>
          <w:kern w:val="2"/>
          <w14:ligatures w14:val="standardContextual"/>
        </w:rPr>
      </w:pPr>
      <w:hyperlink w:anchor="_Toc166162153" w:history="1">
        <w:r w:rsidR="00CB4357" w:rsidRPr="00EB6FC8">
          <w:rPr>
            <w:rStyle w:val="Hyperlink"/>
            <w:noProof/>
          </w:rPr>
          <w:t>Step 5: Set the reduction volume to address the unit surplus</w:t>
        </w:r>
        <w:r w:rsidR="00CB4357">
          <w:rPr>
            <w:noProof/>
            <w:webHidden/>
          </w:rPr>
          <w:tab/>
        </w:r>
        <w:r w:rsidR="00CB4357">
          <w:rPr>
            <w:noProof/>
            <w:webHidden/>
          </w:rPr>
          <w:fldChar w:fldCharType="begin"/>
        </w:r>
        <w:r w:rsidR="00CB4357">
          <w:rPr>
            <w:noProof/>
            <w:webHidden/>
          </w:rPr>
          <w:instrText xml:space="preserve"> PAGEREF _Toc166162153 \h </w:instrText>
        </w:r>
        <w:r w:rsidR="00CB4357">
          <w:rPr>
            <w:noProof/>
            <w:webHidden/>
          </w:rPr>
        </w:r>
        <w:r w:rsidR="00CB4357">
          <w:rPr>
            <w:noProof/>
            <w:webHidden/>
          </w:rPr>
          <w:fldChar w:fldCharType="separate"/>
        </w:r>
        <w:r w:rsidR="00226123">
          <w:rPr>
            <w:noProof/>
            <w:webHidden/>
          </w:rPr>
          <w:t>20</w:t>
        </w:r>
        <w:r w:rsidR="00CB4357">
          <w:rPr>
            <w:noProof/>
            <w:webHidden/>
          </w:rPr>
          <w:fldChar w:fldCharType="end"/>
        </w:r>
      </w:hyperlink>
    </w:p>
    <w:p w14:paraId="11834D47" w14:textId="10EE84A5" w:rsidR="00CB4357" w:rsidRDefault="00CE2448">
      <w:pPr>
        <w:pStyle w:val="TOC2"/>
        <w:rPr>
          <w:rFonts w:asciiTheme="minorHAnsi" w:eastAsiaTheme="minorEastAsia" w:hAnsiTheme="minorHAnsi" w:cstheme="minorBidi"/>
          <w:noProof/>
          <w:kern w:val="2"/>
          <w14:ligatures w14:val="standardContextual"/>
        </w:rPr>
      </w:pPr>
      <w:hyperlink w:anchor="_Toc166162154" w:history="1">
        <w:r w:rsidR="00CB4357" w:rsidRPr="00EB6FC8">
          <w:rPr>
            <w:rStyle w:val="Hyperlink"/>
            <w:noProof/>
          </w:rPr>
          <w:t>Step 6: Set the approved overseas unit limit</w:t>
        </w:r>
        <w:r w:rsidR="00CB4357">
          <w:rPr>
            <w:noProof/>
            <w:webHidden/>
          </w:rPr>
          <w:tab/>
        </w:r>
        <w:r w:rsidR="00CB4357">
          <w:rPr>
            <w:noProof/>
            <w:webHidden/>
          </w:rPr>
          <w:fldChar w:fldCharType="begin"/>
        </w:r>
        <w:r w:rsidR="00CB4357">
          <w:rPr>
            <w:noProof/>
            <w:webHidden/>
          </w:rPr>
          <w:instrText xml:space="preserve"> PAGEREF _Toc166162154 \h </w:instrText>
        </w:r>
        <w:r w:rsidR="00CB4357">
          <w:rPr>
            <w:noProof/>
            <w:webHidden/>
          </w:rPr>
        </w:r>
        <w:r w:rsidR="00CB4357">
          <w:rPr>
            <w:noProof/>
            <w:webHidden/>
          </w:rPr>
          <w:fldChar w:fldCharType="separate"/>
        </w:r>
        <w:r w:rsidR="00226123">
          <w:rPr>
            <w:noProof/>
            <w:webHidden/>
          </w:rPr>
          <w:t>24</w:t>
        </w:r>
        <w:r w:rsidR="00CB4357">
          <w:rPr>
            <w:noProof/>
            <w:webHidden/>
          </w:rPr>
          <w:fldChar w:fldCharType="end"/>
        </w:r>
      </w:hyperlink>
    </w:p>
    <w:p w14:paraId="75384DA5" w14:textId="3B468471" w:rsidR="00CB4357" w:rsidRDefault="00CE2448">
      <w:pPr>
        <w:pStyle w:val="TOC2"/>
        <w:rPr>
          <w:rFonts w:asciiTheme="minorHAnsi" w:eastAsiaTheme="minorEastAsia" w:hAnsiTheme="minorHAnsi" w:cstheme="minorBidi"/>
          <w:noProof/>
          <w:kern w:val="2"/>
          <w14:ligatures w14:val="standardContextual"/>
        </w:rPr>
      </w:pPr>
      <w:hyperlink w:anchor="_Toc166162155" w:history="1">
        <w:r w:rsidR="00CB4357" w:rsidRPr="00EB6FC8">
          <w:rPr>
            <w:rStyle w:val="Hyperlink"/>
            <w:noProof/>
          </w:rPr>
          <w:t>Step 7: Calculate the base auction volumes</w:t>
        </w:r>
        <w:r w:rsidR="00CB4357">
          <w:rPr>
            <w:noProof/>
            <w:webHidden/>
          </w:rPr>
          <w:tab/>
        </w:r>
        <w:r w:rsidR="00CB4357">
          <w:rPr>
            <w:noProof/>
            <w:webHidden/>
          </w:rPr>
          <w:fldChar w:fldCharType="begin"/>
        </w:r>
        <w:r w:rsidR="00CB4357">
          <w:rPr>
            <w:noProof/>
            <w:webHidden/>
          </w:rPr>
          <w:instrText xml:space="preserve"> PAGEREF _Toc166162155 \h </w:instrText>
        </w:r>
        <w:r w:rsidR="00CB4357">
          <w:rPr>
            <w:noProof/>
            <w:webHidden/>
          </w:rPr>
        </w:r>
        <w:r w:rsidR="00CB4357">
          <w:rPr>
            <w:noProof/>
            <w:webHidden/>
          </w:rPr>
          <w:fldChar w:fldCharType="separate"/>
        </w:r>
        <w:r w:rsidR="00226123">
          <w:rPr>
            <w:noProof/>
            <w:webHidden/>
          </w:rPr>
          <w:t>24</w:t>
        </w:r>
        <w:r w:rsidR="00CB4357">
          <w:rPr>
            <w:noProof/>
            <w:webHidden/>
          </w:rPr>
          <w:fldChar w:fldCharType="end"/>
        </w:r>
      </w:hyperlink>
    </w:p>
    <w:p w14:paraId="0C079D45" w14:textId="7F6DF96A" w:rsidR="00CB4357" w:rsidRDefault="00CE2448">
      <w:pPr>
        <w:pStyle w:val="TOC2"/>
        <w:rPr>
          <w:rFonts w:asciiTheme="minorHAnsi" w:eastAsiaTheme="minorEastAsia" w:hAnsiTheme="minorHAnsi" w:cstheme="minorBidi"/>
          <w:noProof/>
          <w:kern w:val="2"/>
          <w14:ligatures w14:val="standardContextual"/>
        </w:rPr>
      </w:pPr>
      <w:hyperlink w:anchor="_Toc166162156" w:history="1">
        <w:r w:rsidR="00CB4357" w:rsidRPr="00EB6FC8">
          <w:rPr>
            <w:rStyle w:val="Hyperlink"/>
            <w:noProof/>
          </w:rPr>
          <w:t>Accordance with emissions budgets</w:t>
        </w:r>
        <w:r w:rsidR="00CB4357">
          <w:rPr>
            <w:noProof/>
            <w:webHidden/>
          </w:rPr>
          <w:tab/>
        </w:r>
        <w:r w:rsidR="00CB4357">
          <w:rPr>
            <w:noProof/>
            <w:webHidden/>
          </w:rPr>
          <w:fldChar w:fldCharType="begin"/>
        </w:r>
        <w:r w:rsidR="00CB4357">
          <w:rPr>
            <w:noProof/>
            <w:webHidden/>
          </w:rPr>
          <w:instrText xml:space="preserve"> PAGEREF _Toc166162156 \h </w:instrText>
        </w:r>
        <w:r w:rsidR="00CB4357">
          <w:rPr>
            <w:noProof/>
            <w:webHidden/>
          </w:rPr>
        </w:r>
        <w:r w:rsidR="00CB4357">
          <w:rPr>
            <w:noProof/>
            <w:webHidden/>
          </w:rPr>
          <w:fldChar w:fldCharType="separate"/>
        </w:r>
        <w:r w:rsidR="00226123">
          <w:rPr>
            <w:noProof/>
            <w:webHidden/>
          </w:rPr>
          <w:t>24</w:t>
        </w:r>
        <w:r w:rsidR="00CB4357">
          <w:rPr>
            <w:noProof/>
            <w:webHidden/>
          </w:rPr>
          <w:fldChar w:fldCharType="end"/>
        </w:r>
      </w:hyperlink>
    </w:p>
    <w:p w14:paraId="1B2909F4" w14:textId="71DA13E3" w:rsidR="00CB4357" w:rsidRDefault="00CE2448">
      <w:pPr>
        <w:pStyle w:val="TOC1"/>
        <w:rPr>
          <w:rFonts w:asciiTheme="minorHAnsi" w:eastAsiaTheme="minorEastAsia" w:hAnsiTheme="minorHAnsi" w:cstheme="minorBidi"/>
          <w:kern w:val="2"/>
          <w14:ligatures w14:val="standardContextual"/>
        </w:rPr>
      </w:pPr>
      <w:hyperlink w:anchor="_Toc166162157" w:history="1">
        <w:r w:rsidR="00CB4357" w:rsidRPr="00EB6FC8">
          <w:rPr>
            <w:rStyle w:val="Hyperlink"/>
          </w:rPr>
          <w:t>Options for price control settings</w:t>
        </w:r>
        <w:r w:rsidR="00CB4357">
          <w:rPr>
            <w:webHidden/>
          </w:rPr>
          <w:tab/>
        </w:r>
        <w:r w:rsidR="00CB4357">
          <w:rPr>
            <w:webHidden/>
          </w:rPr>
          <w:fldChar w:fldCharType="begin"/>
        </w:r>
        <w:r w:rsidR="00CB4357">
          <w:rPr>
            <w:webHidden/>
          </w:rPr>
          <w:instrText xml:space="preserve"> PAGEREF _Toc166162157 \h </w:instrText>
        </w:r>
        <w:r w:rsidR="00CB4357">
          <w:rPr>
            <w:webHidden/>
          </w:rPr>
        </w:r>
        <w:r w:rsidR="00CB4357">
          <w:rPr>
            <w:webHidden/>
          </w:rPr>
          <w:fldChar w:fldCharType="separate"/>
        </w:r>
        <w:r w:rsidR="00226123">
          <w:rPr>
            <w:webHidden/>
          </w:rPr>
          <w:t>26</w:t>
        </w:r>
        <w:r w:rsidR="00CB4357">
          <w:rPr>
            <w:webHidden/>
          </w:rPr>
          <w:fldChar w:fldCharType="end"/>
        </w:r>
      </w:hyperlink>
    </w:p>
    <w:p w14:paraId="106F9DBA" w14:textId="4CCFA595" w:rsidR="00CB4357" w:rsidRDefault="00CE2448">
      <w:pPr>
        <w:pStyle w:val="TOC2"/>
        <w:rPr>
          <w:rFonts w:asciiTheme="minorHAnsi" w:eastAsiaTheme="minorEastAsia" w:hAnsiTheme="minorHAnsi" w:cstheme="minorBidi"/>
          <w:noProof/>
          <w:kern w:val="2"/>
          <w14:ligatures w14:val="standardContextual"/>
        </w:rPr>
      </w:pPr>
      <w:hyperlink w:anchor="_Toc166162158" w:history="1">
        <w:r w:rsidR="00CB4357" w:rsidRPr="00EB6FC8">
          <w:rPr>
            <w:rStyle w:val="Hyperlink"/>
            <w:noProof/>
          </w:rPr>
          <w:t>How do we approach price control settings?</w:t>
        </w:r>
        <w:r w:rsidR="00CB4357">
          <w:rPr>
            <w:noProof/>
            <w:webHidden/>
          </w:rPr>
          <w:tab/>
        </w:r>
        <w:r w:rsidR="00CB4357">
          <w:rPr>
            <w:noProof/>
            <w:webHidden/>
          </w:rPr>
          <w:fldChar w:fldCharType="begin"/>
        </w:r>
        <w:r w:rsidR="00CB4357">
          <w:rPr>
            <w:noProof/>
            <w:webHidden/>
          </w:rPr>
          <w:instrText xml:space="preserve"> PAGEREF _Toc166162158 \h </w:instrText>
        </w:r>
        <w:r w:rsidR="00CB4357">
          <w:rPr>
            <w:noProof/>
            <w:webHidden/>
          </w:rPr>
        </w:r>
        <w:r w:rsidR="00CB4357">
          <w:rPr>
            <w:noProof/>
            <w:webHidden/>
          </w:rPr>
          <w:fldChar w:fldCharType="separate"/>
        </w:r>
        <w:r w:rsidR="00226123">
          <w:rPr>
            <w:noProof/>
            <w:webHidden/>
          </w:rPr>
          <w:t>26</w:t>
        </w:r>
        <w:r w:rsidR="00CB4357">
          <w:rPr>
            <w:noProof/>
            <w:webHidden/>
          </w:rPr>
          <w:fldChar w:fldCharType="end"/>
        </w:r>
      </w:hyperlink>
    </w:p>
    <w:p w14:paraId="25029202" w14:textId="1C7C3C83" w:rsidR="00CB4357" w:rsidRDefault="00CE2448">
      <w:pPr>
        <w:pStyle w:val="TOC2"/>
        <w:rPr>
          <w:rFonts w:asciiTheme="minorHAnsi" w:eastAsiaTheme="minorEastAsia" w:hAnsiTheme="minorHAnsi" w:cstheme="minorBidi"/>
          <w:noProof/>
          <w:kern w:val="2"/>
          <w14:ligatures w14:val="standardContextual"/>
        </w:rPr>
      </w:pPr>
      <w:hyperlink w:anchor="_Toc166162159" w:history="1">
        <w:r w:rsidR="00CB4357" w:rsidRPr="00EB6FC8">
          <w:rPr>
            <w:rStyle w:val="Hyperlink"/>
            <w:noProof/>
          </w:rPr>
          <w:t>Price control trigger prices (auction price corridor) options</w:t>
        </w:r>
        <w:r w:rsidR="00CB4357">
          <w:rPr>
            <w:noProof/>
            <w:webHidden/>
          </w:rPr>
          <w:tab/>
        </w:r>
        <w:r w:rsidR="00CB4357">
          <w:rPr>
            <w:noProof/>
            <w:webHidden/>
          </w:rPr>
          <w:fldChar w:fldCharType="begin"/>
        </w:r>
        <w:r w:rsidR="00CB4357">
          <w:rPr>
            <w:noProof/>
            <w:webHidden/>
          </w:rPr>
          <w:instrText xml:space="preserve"> PAGEREF _Toc166162159 \h </w:instrText>
        </w:r>
        <w:r w:rsidR="00CB4357">
          <w:rPr>
            <w:noProof/>
            <w:webHidden/>
          </w:rPr>
        </w:r>
        <w:r w:rsidR="00CB4357">
          <w:rPr>
            <w:noProof/>
            <w:webHidden/>
          </w:rPr>
          <w:fldChar w:fldCharType="separate"/>
        </w:r>
        <w:r w:rsidR="00226123">
          <w:rPr>
            <w:noProof/>
            <w:webHidden/>
          </w:rPr>
          <w:t>27</w:t>
        </w:r>
        <w:r w:rsidR="00CB4357">
          <w:rPr>
            <w:noProof/>
            <w:webHidden/>
          </w:rPr>
          <w:fldChar w:fldCharType="end"/>
        </w:r>
      </w:hyperlink>
    </w:p>
    <w:p w14:paraId="6EA81B5C" w14:textId="23D12685" w:rsidR="00CB4357" w:rsidRDefault="00CE2448">
      <w:pPr>
        <w:pStyle w:val="TOC2"/>
        <w:rPr>
          <w:rFonts w:asciiTheme="minorHAnsi" w:eastAsiaTheme="minorEastAsia" w:hAnsiTheme="minorHAnsi" w:cstheme="minorBidi"/>
          <w:noProof/>
          <w:kern w:val="2"/>
          <w14:ligatures w14:val="standardContextual"/>
        </w:rPr>
      </w:pPr>
      <w:hyperlink w:anchor="_Toc166162160" w:history="1">
        <w:r w:rsidR="00CB4357" w:rsidRPr="00EB6FC8">
          <w:rPr>
            <w:rStyle w:val="Hyperlink"/>
            <w:noProof/>
          </w:rPr>
          <w:t>Cost containment reserve volume</w:t>
        </w:r>
        <w:r w:rsidR="00CB4357">
          <w:rPr>
            <w:noProof/>
            <w:webHidden/>
          </w:rPr>
          <w:tab/>
        </w:r>
        <w:r w:rsidR="00CB4357">
          <w:rPr>
            <w:noProof/>
            <w:webHidden/>
          </w:rPr>
          <w:fldChar w:fldCharType="begin"/>
        </w:r>
        <w:r w:rsidR="00CB4357">
          <w:rPr>
            <w:noProof/>
            <w:webHidden/>
          </w:rPr>
          <w:instrText xml:space="preserve"> PAGEREF _Toc166162160 \h </w:instrText>
        </w:r>
        <w:r w:rsidR="00CB4357">
          <w:rPr>
            <w:noProof/>
            <w:webHidden/>
          </w:rPr>
        </w:r>
        <w:r w:rsidR="00CB4357">
          <w:rPr>
            <w:noProof/>
            <w:webHidden/>
          </w:rPr>
          <w:fldChar w:fldCharType="separate"/>
        </w:r>
        <w:r w:rsidR="00226123">
          <w:rPr>
            <w:noProof/>
            <w:webHidden/>
          </w:rPr>
          <w:t>29</w:t>
        </w:r>
        <w:r w:rsidR="00CB4357">
          <w:rPr>
            <w:noProof/>
            <w:webHidden/>
          </w:rPr>
          <w:fldChar w:fldCharType="end"/>
        </w:r>
      </w:hyperlink>
    </w:p>
    <w:p w14:paraId="422E80F2" w14:textId="0D3364A7" w:rsidR="00CB4357" w:rsidRDefault="00CE2448">
      <w:pPr>
        <w:pStyle w:val="TOC1"/>
        <w:rPr>
          <w:rFonts w:asciiTheme="minorHAnsi" w:eastAsiaTheme="minorEastAsia" w:hAnsiTheme="minorHAnsi" w:cstheme="minorBidi"/>
          <w:kern w:val="2"/>
          <w14:ligatures w14:val="standardContextual"/>
        </w:rPr>
      </w:pPr>
      <w:hyperlink w:anchor="_Toc166162161" w:history="1">
        <w:r w:rsidR="00CB4357" w:rsidRPr="00EB6FC8">
          <w:rPr>
            <w:rStyle w:val="Hyperlink"/>
          </w:rPr>
          <w:t>Impacts of NZ ETS unit settings</w:t>
        </w:r>
        <w:r w:rsidR="00CB4357">
          <w:rPr>
            <w:webHidden/>
          </w:rPr>
          <w:tab/>
        </w:r>
        <w:r w:rsidR="00CB4357">
          <w:rPr>
            <w:webHidden/>
          </w:rPr>
          <w:fldChar w:fldCharType="begin"/>
        </w:r>
        <w:r w:rsidR="00CB4357">
          <w:rPr>
            <w:webHidden/>
          </w:rPr>
          <w:instrText xml:space="preserve"> PAGEREF _Toc166162161 \h </w:instrText>
        </w:r>
        <w:r w:rsidR="00CB4357">
          <w:rPr>
            <w:webHidden/>
          </w:rPr>
        </w:r>
        <w:r w:rsidR="00CB4357">
          <w:rPr>
            <w:webHidden/>
          </w:rPr>
          <w:fldChar w:fldCharType="separate"/>
        </w:r>
        <w:r w:rsidR="00226123">
          <w:rPr>
            <w:webHidden/>
          </w:rPr>
          <w:t>31</w:t>
        </w:r>
        <w:r w:rsidR="00CB4357">
          <w:rPr>
            <w:webHidden/>
          </w:rPr>
          <w:fldChar w:fldCharType="end"/>
        </w:r>
      </w:hyperlink>
    </w:p>
    <w:p w14:paraId="0D15ACBE" w14:textId="2EC3D611" w:rsidR="00CB4357" w:rsidRDefault="00CE2448">
      <w:pPr>
        <w:pStyle w:val="TOC1"/>
        <w:rPr>
          <w:rFonts w:asciiTheme="minorHAnsi" w:eastAsiaTheme="minorEastAsia" w:hAnsiTheme="minorHAnsi" w:cstheme="minorBidi"/>
          <w:kern w:val="2"/>
          <w14:ligatures w14:val="standardContextual"/>
        </w:rPr>
      </w:pPr>
      <w:hyperlink w:anchor="_Toc166162162" w:history="1">
        <w:r w:rsidR="00CB4357" w:rsidRPr="00EB6FC8">
          <w:rPr>
            <w:rStyle w:val="Hyperlink"/>
          </w:rPr>
          <w:t>Consultation questions and providing feedback</w:t>
        </w:r>
        <w:r w:rsidR="00CB4357">
          <w:rPr>
            <w:webHidden/>
          </w:rPr>
          <w:tab/>
        </w:r>
        <w:r w:rsidR="00CB4357">
          <w:rPr>
            <w:webHidden/>
          </w:rPr>
          <w:fldChar w:fldCharType="begin"/>
        </w:r>
        <w:r w:rsidR="00CB4357">
          <w:rPr>
            <w:webHidden/>
          </w:rPr>
          <w:instrText xml:space="preserve"> PAGEREF _Toc166162162 \h </w:instrText>
        </w:r>
        <w:r w:rsidR="00CB4357">
          <w:rPr>
            <w:webHidden/>
          </w:rPr>
        </w:r>
        <w:r w:rsidR="00CB4357">
          <w:rPr>
            <w:webHidden/>
          </w:rPr>
          <w:fldChar w:fldCharType="separate"/>
        </w:r>
        <w:r w:rsidR="00226123">
          <w:rPr>
            <w:webHidden/>
          </w:rPr>
          <w:t>33</w:t>
        </w:r>
        <w:r w:rsidR="00CB4357">
          <w:rPr>
            <w:webHidden/>
          </w:rPr>
          <w:fldChar w:fldCharType="end"/>
        </w:r>
      </w:hyperlink>
    </w:p>
    <w:p w14:paraId="1390ACEC" w14:textId="7D62920D" w:rsidR="00CB4357" w:rsidRDefault="00CE2448">
      <w:pPr>
        <w:pStyle w:val="TOC2"/>
        <w:rPr>
          <w:rFonts w:asciiTheme="minorHAnsi" w:eastAsiaTheme="minorEastAsia" w:hAnsiTheme="minorHAnsi" w:cstheme="minorBidi"/>
          <w:noProof/>
          <w:kern w:val="2"/>
          <w14:ligatures w14:val="standardContextual"/>
        </w:rPr>
      </w:pPr>
      <w:hyperlink w:anchor="_Toc166162163" w:history="1">
        <w:r w:rsidR="00CB4357" w:rsidRPr="00EB6FC8">
          <w:rPr>
            <w:rStyle w:val="Hyperlink"/>
            <w:noProof/>
          </w:rPr>
          <w:t>Consultation questions</w:t>
        </w:r>
        <w:r w:rsidR="00CB4357">
          <w:rPr>
            <w:noProof/>
            <w:webHidden/>
          </w:rPr>
          <w:tab/>
        </w:r>
        <w:r w:rsidR="00CB4357">
          <w:rPr>
            <w:noProof/>
            <w:webHidden/>
          </w:rPr>
          <w:fldChar w:fldCharType="begin"/>
        </w:r>
        <w:r w:rsidR="00CB4357">
          <w:rPr>
            <w:noProof/>
            <w:webHidden/>
          </w:rPr>
          <w:instrText xml:space="preserve"> PAGEREF _Toc166162163 \h </w:instrText>
        </w:r>
        <w:r w:rsidR="00CB4357">
          <w:rPr>
            <w:noProof/>
            <w:webHidden/>
          </w:rPr>
        </w:r>
        <w:r w:rsidR="00CB4357">
          <w:rPr>
            <w:noProof/>
            <w:webHidden/>
          </w:rPr>
          <w:fldChar w:fldCharType="separate"/>
        </w:r>
        <w:r w:rsidR="00226123">
          <w:rPr>
            <w:noProof/>
            <w:webHidden/>
          </w:rPr>
          <w:t>33</w:t>
        </w:r>
        <w:r w:rsidR="00CB4357">
          <w:rPr>
            <w:noProof/>
            <w:webHidden/>
          </w:rPr>
          <w:fldChar w:fldCharType="end"/>
        </w:r>
      </w:hyperlink>
    </w:p>
    <w:p w14:paraId="3046A08B" w14:textId="682E35D1" w:rsidR="00CB4357" w:rsidRDefault="00CE2448">
      <w:pPr>
        <w:pStyle w:val="TOC2"/>
        <w:rPr>
          <w:rFonts w:asciiTheme="minorHAnsi" w:eastAsiaTheme="minorEastAsia" w:hAnsiTheme="minorHAnsi" w:cstheme="minorBidi"/>
          <w:noProof/>
          <w:kern w:val="2"/>
          <w14:ligatures w14:val="standardContextual"/>
        </w:rPr>
      </w:pPr>
      <w:hyperlink w:anchor="_Toc166162164" w:history="1">
        <w:r w:rsidR="00CB4357" w:rsidRPr="00EB6FC8">
          <w:rPr>
            <w:rStyle w:val="Hyperlink"/>
            <w:noProof/>
          </w:rPr>
          <w:t>We are specifically seeking feedback on the impact these options have on Māori</w:t>
        </w:r>
        <w:r w:rsidR="00CB4357">
          <w:rPr>
            <w:noProof/>
            <w:webHidden/>
          </w:rPr>
          <w:tab/>
        </w:r>
        <w:r w:rsidR="00CB4357">
          <w:rPr>
            <w:noProof/>
            <w:webHidden/>
          </w:rPr>
          <w:fldChar w:fldCharType="begin"/>
        </w:r>
        <w:r w:rsidR="00CB4357">
          <w:rPr>
            <w:noProof/>
            <w:webHidden/>
          </w:rPr>
          <w:instrText xml:space="preserve"> PAGEREF _Toc166162164 \h </w:instrText>
        </w:r>
        <w:r w:rsidR="00CB4357">
          <w:rPr>
            <w:noProof/>
            <w:webHidden/>
          </w:rPr>
        </w:r>
        <w:r w:rsidR="00CB4357">
          <w:rPr>
            <w:noProof/>
            <w:webHidden/>
          </w:rPr>
          <w:fldChar w:fldCharType="separate"/>
        </w:r>
        <w:r w:rsidR="00226123">
          <w:rPr>
            <w:noProof/>
            <w:webHidden/>
          </w:rPr>
          <w:t>34</w:t>
        </w:r>
        <w:r w:rsidR="00CB4357">
          <w:rPr>
            <w:noProof/>
            <w:webHidden/>
          </w:rPr>
          <w:fldChar w:fldCharType="end"/>
        </w:r>
      </w:hyperlink>
    </w:p>
    <w:p w14:paraId="2089C0ED" w14:textId="72F8DC00" w:rsidR="00CB4357" w:rsidRDefault="00CE2448">
      <w:pPr>
        <w:pStyle w:val="TOC2"/>
        <w:rPr>
          <w:rFonts w:asciiTheme="minorHAnsi" w:eastAsiaTheme="minorEastAsia" w:hAnsiTheme="minorHAnsi" w:cstheme="minorBidi"/>
          <w:noProof/>
          <w:kern w:val="2"/>
          <w14:ligatures w14:val="standardContextual"/>
        </w:rPr>
      </w:pPr>
      <w:hyperlink w:anchor="_Toc166162165" w:history="1">
        <w:r w:rsidR="00CB4357" w:rsidRPr="00EB6FC8">
          <w:rPr>
            <w:rStyle w:val="Hyperlink"/>
            <w:noProof/>
          </w:rPr>
          <w:t>How to have your say</w:t>
        </w:r>
        <w:r w:rsidR="00CB4357">
          <w:rPr>
            <w:noProof/>
            <w:webHidden/>
          </w:rPr>
          <w:tab/>
        </w:r>
        <w:r w:rsidR="00CB4357">
          <w:rPr>
            <w:noProof/>
            <w:webHidden/>
          </w:rPr>
          <w:fldChar w:fldCharType="begin"/>
        </w:r>
        <w:r w:rsidR="00CB4357">
          <w:rPr>
            <w:noProof/>
            <w:webHidden/>
          </w:rPr>
          <w:instrText xml:space="preserve"> PAGEREF _Toc166162165 \h </w:instrText>
        </w:r>
        <w:r w:rsidR="00CB4357">
          <w:rPr>
            <w:noProof/>
            <w:webHidden/>
          </w:rPr>
        </w:r>
        <w:r w:rsidR="00CB4357">
          <w:rPr>
            <w:noProof/>
            <w:webHidden/>
          </w:rPr>
          <w:fldChar w:fldCharType="separate"/>
        </w:r>
        <w:r w:rsidR="00226123">
          <w:rPr>
            <w:noProof/>
            <w:webHidden/>
          </w:rPr>
          <w:t>34</w:t>
        </w:r>
        <w:r w:rsidR="00CB4357">
          <w:rPr>
            <w:noProof/>
            <w:webHidden/>
          </w:rPr>
          <w:fldChar w:fldCharType="end"/>
        </w:r>
      </w:hyperlink>
    </w:p>
    <w:p w14:paraId="5FBB0210" w14:textId="29A2B53D" w:rsidR="00CB4357" w:rsidRDefault="00CE2448">
      <w:pPr>
        <w:pStyle w:val="TOC2"/>
        <w:rPr>
          <w:rFonts w:asciiTheme="minorHAnsi" w:eastAsiaTheme="minorEastAsia" w:hAnsiTheme="minorHAnsi" w:cstheme="minorBidi"/>
          <w:noProof/>
          <w:kern w:val="2"/>
          <w14:ligatures w14:val="standardContextual"/>
        </w:rPr>
      </w:pPr>
      <w:hyperlink w:anchor="_Toc166162166" w:history="1">
        <w:r w:rsidR="00CB4357" w:rsidRPr="00EB6FC8">
          <w:rPr>
            <w:rStyle w:val="Hyperlink"/>
            <w:noProof/>
          </w:rPr>
          <w:t>Timeframes</w:t>
        </w:r>
        <w:r w:rsidR="00CB4357">
          <w:rPr>
            <w:noProof/>
            <w:webHidden/>
          </w:rPr>
          <w:tab/>
        </w:r>
        <w:r w:rsidR="00CB4357">
          <w:rPr>
            <w:noProof/>
            <w:webHidden/>
          </w:rPr>
          <w:fldChar w:fldCharType="begin"/>
        </w:r>
        <w:r w:rsidR="00CB4357">
          <w:rPr>
            <w:noProof/>
            <w:webHidden/>
          </w:rPr>
          <w:instrText xml:space="preserve"> PAGEREF _Toc166162166 \h </w:instrText>
        </w:r>
        <w:r w:rsidR="00CB4357">
          <w:rPr>
            <w:noProof/>
            <w:webHidden/>
          </w:rPr>
        </w:r>
        <w:r w:rsidR="00CB4357">
          <w:rPr>
            <w:noProof/>
            <w:webHidden/>
          </w:rPr>
          <w:fldChar w:fldCharType="separate"/>
        </w:r>
        <w:r w:rsidR="00226123">
          <w:rPr>
            <w:noProof/>
            <w:webHidden/>
          </w:rPr>
          <w:t>34</w:t>
        </w:r>
        <w:r w:rsidR="00CB4357">
          <w:rPr>
            <w:noProof/>
            <w:webHidden/>
          </w:rPr>
          <w:fldChar w:fldCharType="end"/>
        </w:r>
      </w:hyperlink>
    </w:p>
    <w:p w14:paraId="244B01F8" w14:textId="21D2B9CA" w:rsidR="00CB4357" w:rsidRDefault="00CE2448">
      <w:pPr>
        <w:pStyle w:val="TOC2"/>
        <w:rPr>
          <w:rFonts w:asciiTheme="minorHAnsi" w:eastAsiaTheme="minorEastAsia" w:hAnsiTheme="minorHAnsi" w:cstheme="minorBidi"/>
          <w:noProof/>
          <w:kern w:val="2"/>
          <w14:ligatures w14:val="standardContextual"/>
        </w:rPr>
      </w:pPr>
      <w:hyperlink w:anchor="_Toc166162167" w:history="1">
        <w:r w:rsidR="00CB4357" w:rsidRPr="00EB6FC8">
          <w:rPr>
            <w:rStyle w:val="Hyperlink"/>
            <w:noProof/>
          </w:rPr>
          <w:t>How to make a submission</w:t>
        </w:r>
        <w:r w:rsidR="00CB4357">
          <w:rPr>
            <w:noProof/>
            <w:webHidden/>
          </w:rPr>
          <w:tab/>
        </w:r>
        <w:r w:rsidR="00CB4357">
          <w:rPr>
            <w:noProof/>
            <w:webHidden/>
          </w:rPr>
          <w:fldChar w:fldCharType="begin"/>
        </w:r>
        <w:r w:rsidR="00CB4357">
          <w:rPr>
            <w:noProof/>
            <w:webHidden/>
          </w:rPr>
          <w:instrText xml:space="preserve"> PAGEREF _Toc166162167 \h </w:instrText>
        </w:r>
        <w:r w:rsidR="00CB4357">
          <w:rPr>
            <w:noProof/>
            <w:webHidden/>
          </w:rPr>
        </w:r>
        <w:r w:rsidR="00CB4357">
          <w:rPr>
            <w:noProof/>
            <w:webHidden/>
          </w:rPr>
          <w:fldChar w:fldCharType="separate"/>
        </w:r>
        <w:r w:rsidR="00226123">
          <w:rPr>
            <w:noProof/>
            <w:webHidden/>
          </w:rPr>
          <w:t>35</w:t>
        </w:r>
        <w:r w:rsidR="00CB4357">
          <w:rPr>
            <w:noProof/>
            <w:webHidden/>
          </w:rPr>
          <w:fldChar w:fldCharType="end"/>
        </w:r>
      </w:hyperlink>
    </w:p>
    <w:p w14:paraId="6C975EFB" w14:textId="74A39066" w:rsidR="00CB4357" w:rsidRDefault="00CE2448">
      <w:pPr>
        <w:pStyle w:val="TOC2"/>
        <w:rPr>
          <w:rFonts w:asciiTheme="minorHAnsi" w:eastAsiaTheme="minorEastAsia" w:hAnsiTheme="minorHAnsi" w:cstheme="minorBidi"/>
          <w:noProof/>
          <w:kern w:val="2"/>
          <w14:ligatures w14:val="standardContextual"/>
        </w:rPr>
      </w:pPr>
      <w:hyperlink w:anchor="_Toc166162168" w:history="1">
        <w:r w:rsidR="00CB4357" w:rsidRPr="00EB6FC8">
          <w:rPr>
            <w:rStyle w:val="Hyperlink"/>
            <w:noProof/>
          </w:rPr>
          <w:t>For more information</w:t>
        </w:r>
        <w:r w:rsidR="00CB4357">
          <w:rPr>
            <w:noProof/>
            <w:webHidden/>
          </w:rPr>
          <w:tab/>
        </w:r>
        <w:r w:rsidR="00CB4357">
          <w:rPr>
            <w:noProof/>
            <w:webHidden/>
          </w:rPr>
          <w:fldChar w:fldCharType="begin"/>
        </w:r>
        <w:r w:rsidR="00CB4357">
          <w:rPr>
            <w:noProof/>
            <w:webHidden/>
          </w:rPr>
          <w:instrText xml:space="preserve"> PAGEREF _Toc166162168 \h </w:instrText>
        </w:r>
        <w:r w:rsidR="00CB4357">
          <w:rPr>
            <w:noProof/>
            <w:webHidden/>
          </w:rPr>
        </w:r>
        <w:r w:rsidR="00CB4357">
          <w:rPr>
            <w:noProof/>
            <w:webHidden/>
          </w:rPr>
          <w:fldChar w:fldCharType="separate"/>
        </w:r>
        <w:r w:rsidR="00226123">
          <w:rPr>
            <w:noProof/>
            <w:webHidden/>
          </w:rPr>
          <w:t>35</w:t>
        </w:r>
        <w:r w:rsidR="00CB4357">
          <w:rPr>
            <w:noProof/>
            <w:webHidden/>
          </w:rPr>
          <w:fldChar w:fldCharType="end"/>
        </w:r>
      </w:hyperlink>
    </w:p>
    <w:p w14:paraId="0623C5DD" w14:textId="5A44CF04" w:rsidR="00CB4357" w:rsidRDefault="00CE2448">
      <w:pPr>
        <w:pStyle w:val="TOC2"/>
        <w:rPr>
          <w:rFonts w:asciiTheme="minorHAnsi" w:eastAsiaTheme="minorEastAsia" w:hAnsiTheme="minorHAnsi" w:cstheme="minorBidi"/>
          <w:noProof/>
          <w:kern w:val="2"/>
          <w14:ligatures w14:val="standardContextual"/>
        </w:rPr>
      </w:pPr>
      <w:hyperlink w:anchor="_Toc166162169" w:history="1">
        <w:r w:rsidR="00CB4357" w:rsidRPr="00EB6FC8">
          <w:rPr>
            <w:rStyle w:val="Hyperlink"/>
            <w:noProof/>
          </w:rPr>
          <w:t>Publishing and releasing submissions</w:t>
        </w:r>
        <w:r w:rsidR="00CB4357">
          <w:rPr>
            <w:noProof/>
            <w:webHidden/>
          </w:rPr>
          <w:tab/>
        </w:r>
        <w:r w:rsidR="00CB4357">
          <w:rPr>
            <w:noProof/>
            <w:webHidden/>
          </w:rPr>
          <w:fldChar w:fldCharType="begin"/>
        </w:r>
        <w:r w:rsidR="00CB4357">
          <w:rPr>
            <w:noProof/>
            <w:webHidden/>
          </w:rPr>
          <w:instrText xml:space="preserve"> PAGEREF _Toc166162169 \h </w:instrText>
        </w:r>
        <w:r w:rsidR="00CB4357">
          <w:rPr>
            <w:noProof/>
            <w:webHidden/>
          </w:rPr>
        </w:r>
        <w:r w:rsidR="00CB4357">
          <w:rPr>
            <w:noProof/>
            <w:webHidden/>
          </w:rPr>
          <w:fldChar w:fldCharType="separate"/>
        </w:r>
        <w:r w:rsidR="00226123">
          <w:rPr>
            <w:noProof/>
            <w:webHidden/>
          </w:rPr>
          <w:t>35</w:t>
        </w:r>
        <w:r w:rsidR="00CB4357">
          <w:rPr>
            <w:noProof/>
            <w:webHidden/>
          </w:rPr>
          <w:fldChar w:fldCharType="end"/>
        </w:r>
      </w:hyperlink>
    </w:p>
    <w:p w14:paraId="256A5A5F" w14:textId="4978E4E4" w:rsidR="00CB4357" w:rsidRDefault="00CE2448">
      <w:pPr>
        <w:pStyle w:val="TOC1"/>
        <w:rPr>
          <w:rFonts w:asciiTheme="minorHAnsi" w:eastAsiaTheme="minorEastAsia" w:hAnsiTheme="minorHAnsi" w:cstheme="minorBidi"/>
          <w:kern w:val="2"/>
          <w14:ligatures w14:val="standardContextual"/>
        </w:rPr>
      </w:pPr>
      <w:hyperlink w:anchor="_Toc166162170" w:history="1">
        <w:r w:rsidR="00CB4357" w:rsidRPr="00EB6FC8">
          <w:rPr>
            <w:rStyle w:val="Hyperlink"/>
          </w:rPr>
          <w:t>Appendix 1: Alignment of criteria with mandatory consideration for updating settings</w:t>
        </w:r>
        <w:r w:rsidR="00CB4357">
          <w:rPr>
            <w:webHidden/>
          </w:rPr>
          <w:tab/>
        </w:r>
        <w:r w:rsidR="00CB4357">
          <w:rPr>
            <w:webHidden/>
          </w:rPr>
          <w:fldChar w:fldCharType="begin"/>
        </w:r>
        <w:r w:rsidR="00CB4357">
          <w:rPr>
            <w:webHidden/>
          </w:rPr>
          <w:instrText xml:space="preserve"> PAGEREF _Toc166162170 \h </w:instrText>
        </w:r>
        <w:r w:rsidR="00CB4357">
          <w:rPr>
            <w:webHidden/>
          </w:rPr>
        </w:r>
        <w:r w:rsidR="00CB4357">
          <w:rPr>
            <w:webHidden/>
          </w:rPr>
          <w:fldChar w:fldCharType="separate"/>
        </w:r>
        <w:r w:rsidR="00226123">
          <w:rPr>
            <w:webHidden/>
          </w:rPr>
          <w:t>37</w:t>
        </w:r>
        <w:r w:rsidR="00CB4357">
          <w:rPr>
            <w:webHidden/>
          </w:rPr>
          <w:fldChar w:fldCharType="end"/>
        </w:r>
      </w:hyperlink>
    </w:p>
    <w:p w14:paraId="7C19B2FE" w14:textId="007C90A5" w:rsidR="00CB4357" w:rsidRDefault="00CE2448">
      <w:pPr>
        <w:pStyle w:val="TOC1"/>
        <w:rPr>
          <w:rFonts w:asciiTheme="minorHAnsi" w:eastAsiaTheme="minorEastAsia" w:hAnsiTheme="minorHAnsi" w:cstheme="minorBidi"/>
          <w:kern w:val="2"/>
          <w14:ligatures w14:val="standardContextual"/>
        </w:rPr>
      </w:pPr>
      <w:hyperlink w:anchor="_Toc166162171" w:history="1">
        <w:r w:rsidR="00CB4357" w:rsidRPr="00EB6FC8">
          <w:rPr>
            <w:rStyle w:val="Hyperlink"/>
          </w:rPr>
          <w:t>Appendix 2: Methodology for estimating surplus</w:t>
        </w:r>
        <w:r w:rsidR="00CB4357">
          <w:rPr>
            <w:webHidden/>
          </w:rPr>
          <w:tab/>
        </w:r>
        <w:r w:rsidR="00CB4357">
          <w:rPr>
            <w:webHidden/>
          </w:rPr>
          <w:fldChar w:fldCharType="begin"/>
        </w:r>
        <w:r w:rsidR="00CB4357">
          <w:rPr>
            <w:webHidden/>
          </w:rPr>
          <w:instrText xml:space="preserve"> PAGEREF _Toc166162171 \h </w:instrText>
        </w:r>
        <w:r w:rsidR="00CB4357">
          <w:rPr>
            <w:webHidden/>
          </w:rPr>
        </w:r>
        <w:r w:rsidR="00CB4357">
          <w:rPr>
            <w:webHidden/>
          </w:rPr>
          <w:fldChar w:fldCharType="separate"/>
        </w:r>
        <w:r w:rsidR="00226123">
          <w:rPr>
            <w:webHidden/>
          </w:rPr>
          <w:t>39</w:t>
        </w:r>
        <w:r w:rsidR="00CB4357">
          <w:rPr>
            <w:webHidden/>
          </w:rPr>
          <w:fldChar w:fldCharType="end"/>
        </w:r>
      </w:hyperlink>
    </w:p>
    <w:p w14:paraId="2DD72122" w14:textId="00F4BB3B" w:rsidR="00E305BF" w:rsidRDefault="00775F57" w:rsidP="004B1653">
      <w:pPr>
        <w:pStyle w:val="TOC1"/>
        <w:rPr>
          <w:rFonts w:eastAsiaTheme="minorEastAsia"/>
          <w:shd w:val="clear" w:color="auto" w:fill="E6E6E6"/>
        </w:rPr>
      </w:pPr>
      <w:r w:rsidRPr="007837CC">
        <w:rPr>
          <w:shd w:val="clear" w:color="auto" w:fill="E6E6E6"/>
        </w:rPr>
        <w:fldChar w:fldCharType="end"/>
      </w:r>
    </w:p>
    <w:p w14:paraId="43255E7B" w14:textId="77777777" w:rsidR="00605D9B" w:rsidRPr="00605D9B" w:rsidRDefault="00605D9B" w:rsidP="00605D9B">
      <w:pPr>
        <w:rPr>
          <w:rFonts w:eastAsiaTheme="minorEastAsia"/>
        </w:rPr>
      </w:pPr>
    </w:p>
    <w:p w14:paraId="00CC5404" w14:textId="29D0A37E" w:rsidR="00C222CE" w:rsidRPr="006B77BB" w:rsidRDefault="00C222CE" w:rsidP="00C222CE">
      <w:pPr>
        <w:pStyle w:val="Heading"/>
      </w:pPr>
      <w:r w:rsidRPr="006B77BB">
        <w:t>Tables</w:t>
      </w:r>
    </w:p>
    <w:p w14:paraId="6D3B95A4" w14:textId="7E828EDB" w:rsidR="00CE2448" w:rsidRDefault="00C222CE">
      <w:pPr>
        <w:pStyle w:val="TableofFigures"/>
        <w:tabs>
          <w:tab w:val="right" w:pos="8495"/>
        </w:tabs>
        <w:rPr>
          <w:rFonts w:asciiTheme="minorHAnsi" w:eastAsiaTheme="minorEastAsia" w:hAnsiTheme="minorHAnsi" w:cstheme="minorBidi"/>
          <w:noProof/>
          <w:kern w:val="2"/>
          <w:sz w:val="24"/>
          <w:szCs w:val="24"/>
          <w14:ligatures w14:val="standardContextual"/>
        </w:rPr>
      </w:pPr>
      <w:r w:rsidRPr="006B77BB">
        <w:fldChar w:fldCharType="begin"/>
      </w:r>
      <w:r w:rsidRPr="006B77BB">
        <w:instrText xml:space="preserve"> TOC \h \z \t "Table heading" \c </w:instrText>
      </w:r>
      <w:r w:rsidRPr="006B77BB">
        <w:fldChar w:fldCharType="separate"/>
      </w:r>
      <w:hyperlink w:anchor="_Toc167714870" w:history="1">
        <w:r w:rsidR="00CE2448" w:rsidRPr="009B7EA8">
          <w:rPr>
            <w:rStyle w:val="Hyperlink"/>
            <w:rFonts w:eastAsiaTheme="majorEastAsia"/>
            <w:noProof/>
          </w:rPr>
          <w:t xml:space="preserve">Table 1: </w:t>
        </w:r>
        <w:r w:rsidR="00CE2448">
          <w:rPr>
            <w:rFonts w:asciiTheme="minorHAnsi" w:eastAsiaTheme="minorEastAsia" w:hAnsiTheme="minorHAnsi" w:cstheme="minorBidi"/>
            <w:noProof/>
            <w:kern w:val="2"/>
            <w:sz w:val="24"/>
            <w:szCs w:val="24"/>
            <w14:ligatures w14:val="standardContextual"/>
          </w:rPr>
          <w:tab/>
        </w:r>
        <w:r w:rsidR="00CE2448" w:rsidRPr="009B7EA8">
          <w:rPr>
            <w:rStyle w:val="Hyperlink"/>
            <w:rFonts w:eastAsiaTheme="majorEastAsia"/>
            <w:bCs/>
            <w:noProof/>
          </w:rPr>
          <w:t>Option assessment criteria</w:t>
        </w:r>
        <w:r w:rsidR="00CE2448">
          <w:rPr>
            <w:noProof/>
            <w:webHidden/>
          </w:rPr>
          <w:tab/>
        </w:r>
        <w:r w:rsidR="00CE2448">
          <w:rPr>
            <w:noProof/>
            <w:webHidden/>
          </w:rPr>
          <w:fldChar w:fldCharType="begin"/>
        </w:r>
        <w:r w:rsidR="00CE2448">
          <w:rPr>
            <w:noProof/>
            <w:webHidden/>
          </w:rPr>
          <w:instrText xml:space="preserve"> PAGEREF _Toc167714870 \h </w:instrText>
        </w:r>
        <w:r w:rsidR="00CE2448">
          <w:rPr>
            <w:noProof/>
            <w:webHidden/>
          </w:rPr>
        </w:r>
        <w:r w:rsidR="00CE2448">
          <w:rPr>
            <w:noProof/>
            <w:webHidden/>
          </w:rPr>
          <w:fldChar w:fldCharType="separate"/>
        </w:r>
        <w:r w:rsidR="00CE2448">
          <w:rPr>
            <w:noProof/>
            <w:webHidden/>
          </w:rPr>
          <w:t>12</w:t>
        </w:r>
        <w:r w:rsidR="00CE2448">
          <w:rPr>
            <w:noProof/>
            <w:webHidden/>
          </w:rPr>
          <w:fldChar w:fldCharType="end"/>
        </w:r>
      </w:hyperlink>
    </w:p>
    <w:p w14:paraId="21E8B29C" w14:textId="0347F037"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1" w:history="1">
        <w:r w:rsidRPr="009B7EA8">
          <w:rPr>
            <w:rStyle w:val="Hyperlink"/>
            <w:rFonts w:eastAsiaTheme="majorEastAsia"/>
            <w:noProof/>
          </w:rPr>
          <w:t xml:space="preserve">Table 2: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The Commission’s recommended option for step 1 and comparison with status quo</w:t>
        </w:r>
        <w:r>
          <w:rPr>
            <w:noProof/>
            <w:webHidden/>
          </w:rPr>
          <w:tab/>
        </w:r>
        <w:r>
          <w:rPr>
            <w:noProof/>
            <w:webHidden/>
          </w:rPr>
          <w:fldChar w:fldCharType="begin"/>
        </w:r>
        <w:r>
          <w:rPr>
            <w:noProof/>
            <w:webHidden/>
          </w:rPr>
          <w:instrText xml:space="preserve"> PAGEREF _Toc167714871 \h </w:instrText>
        </w:r>
        <w:r>
          <w:rPr>
            <w:noProof/>
            <w:webHidden/>
          </w:rPr>
        </w:r>
        <w:r>
          <w:rPr>
            <w:noProof/>
            <w:webHidden/>
          </w:rPr>
          <w:fldChar w:fldCharType="separate"/>
        </w:r>
        <w:r>
          <w:rPr>
            <w:noProof/>
            <w:webHidden/>
          </w:rPr>
          <w:t>15</w:t>
        </w:r>
        <w:r>
          <w:rPr>
            <w:noProof/>
            <w:webHidden/>
          </w:rPr>
          <w:fldChar w:fldCharType="end"/>
        </w:r>
      </w:hyperlink>
    </w:p>
    <w:p w14:paraId="7718D23A" w14:textId="7B6D249E"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2" w:history="1">
        <w:r w:rsidRPr="009B7EA8">
          <w:rPr>
            <w:rStyle w:val="Hyperlink"/>
            <w:rFonts w:eastAsiaTheme="majorEastAsia"/>
            <w:noProof/>
          </w:rPr>
          <w:t xml:space="preserve">Table 3: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Options comparison for step 1</w:t>
        </w:r>
        <w:r>
          <w:rPr>
            <w:noProof/>
            <w:webHidden/>
          </w:rPr>
          <w:tab/>
        </w:r>
        <w:r>
          <w:rPr>
            <w:noProof/>
            <w:webHidden/>
          </w:rPr>
          <w:fldChar w:fldCharType="begin"/>
        </w:r>
        <w:r>
          <w:rPr>
            <w:noProof/>
            <w:webHidden/>
          </w:rPr>
          <w:instrText xml:space="preserve"> PAGEREF _Toc167714872 \h </w:instrText>
        </w:r>
        <w:r>
          <w:rPr>
            <w:noProof/>
            <w:webHidden/>
          </w:rPr>
        </w:r>
        <w:r>
          <w:rPr>
            <w:noProof/>
            <w:webHidden/>
          </w:rPr>
          <w:fldChar w:fldCharType="separate"/>
        </w:r>
        <w:r>
          <w:rPr>
            <w:noProof/>
            <w:webHidden/>
          </w:rPr>
          <w:t>16</w:t>
        </w:r>
        <w:r>
          <w:rPr>
            <w:noProof/>
            <w:webHidden/>
          </w:rPr>
          <w:fldChar w:fldCharType="end"/>
        </w:r>
      </w:hyperlink>
    </w:p>
    <w:p w14:paraId="0E45E6D2" w14:textId="6BB964DD"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3" w:history="1">
        <w:r w:rsidRPr="009B7EA8">
          <w:rPr>
            <w:rStyle w:val="Hyperlink"/>
            <w:rFonts w:eastAsiaTheme="majorEastAsia"/>
            <w:noProof/>
          </w:rPr>
          <w:t xml:space="preserve">Table 4: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 for step 2</w:t>
        </w:r>
        <w:r>
          <w:rPr>
            <w:noProof/>
            <w:webHidden/>
          </w:rPr>
          <w:tab/>
        </w:r>
        <w:r>
          <w:rPr>
            <w:noProof/>
            <w:webHidden/>
          </w:rPr>
          <w:fldChar w:fldCharType="begin"/>
        </w:r>
        <w:r>
          <w:rPr>
            <w:noProof/>
            <w:webHidden/>
          </w:rPr>
          <w:instrText xml:space="preserve"> PAGEREF _Toc167714873 \h </w:instrText>
        </w:r>
        <w:r>
          <w:rPr>
            <w:noProof/>
            <w:webHidden/>
          </w:rPr>
        </w:r>
        <w:r>
          <w:rPr>
            <w:noProof/>
            <w:webHidden/>
          </w:rPr>
          <w:fldChar w:fldCharType="separate"/>
        </w:r>
        <w:r>
          <w:rPr>
            <w:noProof/>
            <w:webHidden/>
          </w:rPr>
          <w:t>18</w:t>
        </w:r>
        <w:r>
          <w:rPr>
            <w:noProof/>
            <w:webHidden/>
          </w:rPr>
          <w:fldChar w:fldCharType="end"/>
        </w:r>
      </w:hyperlink>
    </w:p>
    <w:p w14:paraId="2AB4C18F" w14:textId="15CE313A"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4" w:history="1">
        <w:r w:rsidRPr="009B7EA8">
          <w:rPr>
            <w:rStyle w:val="Hyperlink"/>
            <w:rFonts w:eastAsiaTheme="majorEastAsia"/>
            <w:noProof/>
          </w:rPr>
          <w:t xml:space="preserve">Table 5: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 for step 3</w:t>
        </w:r>
        <w:r>
          <w:rPr>
            <w:noProof/>
            <w:webHidden/>
          </w:rPr>
          <w:tab/>
        </w:r>
        <w:r>
          <w:rPr>
            <w:noProof/>
            <w:webHidden/>
          </w:rPr>
          <w:fldChar w:fldCharType="begin"/>
        </w:r>
        <w:r>
          <w:rPr>
            <w:noProof/>
            <w:webHidden/>
          </w:rPr>
          <w:instrText xml:space="preserve"> PAGEREF _Toc167714874 \h </w:instrText>
        </w:r>
        <w:r>
          <w:rPr>
            <w:noProof/>
            <w:webHidden/>
          </w:rPr>
        </w:r>
        <w:r>
          <w:rPr>
            <w:noProof/>
            <w:webHidden/>
          </w:rPr>
          <w:fldChar w:fldCharType="separate"/>
        </w:r>
        <w:r>
          <w:rPr>
            <w:noProof/>
            <w:webHidden/>
          </w:rPr>
          <w:t>19</w:t>
        </w:r>
        <w:r>
          <w:rPr>
            <w:noProof/>
            <w:webHidden/>
          </w:rPr>
          <w:fldChar w:fldCharType="end"/>
        </w:r>
      </w:hyperlink>
    </w:p>
    <w:p w14:paraId="7372586C" w14:textId="48863F7C"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5" w:history="1">
        <w:r w:rsidRPr="009B7EA8">
          <w:rPr>
            <w:rStyle w:val="Hyperlink"/>
            <w:rFonts w:eastAsiaTheme="majorEastAsia"/>
            <w:noProof/>
          </w:rPr>
          <w:t xml:space="preserve">Table 6: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 for step 4</w:t>
        </w:r>
        <w:r>
          <w:rPr>
            <w:noProof/>
            <w:webHidden/>
          </w:rPr>
          <w:tab/>
        </w:r>
        <w:r>
          <w:rPr>
            <w:noProof/>
            <w:webHidden/>
          </w:rPr>
          <w:fldChar w:fldCharType="begin"/>
        </w:r>
        <w:r>
          <w:rPr>
            <w:noProof/>
            <w:webHidden/>
          </w:rPr>
          <w:instrText xml:space="preserve"> PAGEREF _Toc167714875 \h </w:instrText>
        </w:r>
        <w:r>
          <w:rPr>
            <w:noProof/>
            <w:webHidden/>
          </w:rPr>
        </w:r>
        <w:r>
          <w:rPr>
            <w:noProof/>
            <w:webHidden/>
          </w:rPr>
          <w:fldChar w:fldCharType="separate"/>
        </w:r>
        <w:r>
          <w:rPr>
            <w:noProof/>
            <w:webHidden/>
          </w:rPr>
          <w:t>19</w:t>
        </w:r>
        <w:r>
          <w:rPr>
            <w:noProof/>
            <w:webHidden/>
          </w:rPr>
          <w:fldChar w:fldCharType="end"/>
        </w:r>
      </w:hyperlink>
    </w:p>
    <w:p w14:paraId="04B72066" w14:textId="25778081"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6" w:history="1">
        <w:r w:rsidRPr="009B7EA8">
          <w:rPr>
            <w:rStyle w:val="Hyperlink"/>
            <w:rFonts w:eastAsiaTheme="majorEastAsia"/>
            <w:noProof/>
          </w:rPr>
          <w:t xml:space="preserve">Table 7: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 3 surplus reduction adjustment</w:t>
        </w:r>
        <w:r>
          <w:rPr>
            <w:noProof/>
            <w:webHidden/>
          </w:rPr>
          <w:tab/>
        </w:r>
        <w:r>
          <w:rPr>
            <w:noProof/>
            <w:webHidden/>
          </w:rPr>
          <w:fldChar w:fldCharType="begin"/>
        </w:r>
        <w:r>
          <w:rPr>
            <w:noProof/>
            <w:webHidden/>
          </w:rPr>
          <w:instrText xml:space="preserve"> PAGEREF _Toc167714876 \h </w:instrText>
        </w:r>
        <w:r>
          <w:rPr>
            <w:noProof/>
            <w:webHidden/>
          </w:rPr>
        </w:r>
        <w:r>
          <w:rPr>
            <w:noProof/>
            <w:webHidden/>
          </w:rPr>
          <w:fldChar w:fldCharType="separate"/>
        </w:r>
        <w:r>
          <w:rPr>
            <w:noProof/>
            <w:webHidden/>
          </w:rPr>
          <w:t>22</w:t>
        </w:r>
        <w:r>
          <w:rPr>
            <w:noProof/>
            <w:webHidden/>
          </w:rPr>
          <w:fldChar w:fldCharType="end"/>
        </w:r>
      </w:hyperlink>
    </w:p>
    <w:p w14:paraId="00629198" w14:textId="155B461C"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7" w:history="1">
        <w:r w:rsidRPr="009B7EA8">
          <w:rPr>
            <w:rStyle w:val="Hyperlink"/>
            <w:rFonts w:eastAsiaTheme="majorEastAsia"/>
            <w:noProof/>
          </w:rPr>
          <w:t xml:space="preserve">Table 8: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Options comparison for step 5</w:t>
        </w:r>
        <w:r>
          <w:rPr>
            <w:noProof/>
            <w:webHidden/>
          </w:rPr>
          <w:tab/>
        </w:r>
        <w:r>
          <w:rPr>
            <w:noProof/>
            <w:webHidden/>
          </w:rPr>
          <w:fldChar w:fldCharType="begin"/>
        </w:r>
        <w:r>
          <w:rPr>
            <w:noProof/>
            <w:webHidden/>
          </w:rPr>
          <w:instrText xml:space="preserve"> PAGEREF _Toc167714877 \h </w:instrText>
        </w:r>
        <w:r>
          <w:rPr>
            <w:noProof/>
            <w:webHidden/>
          </w:rPr>
        </w:r>
        <w:r>
          <w:rPr>
            <w:noProof/>
            <w:webHidden/>
          </w:rPr>
          <w:fldChar w:fldCharType="separate"/>
        </w:r>
        <w:r>
          <w:rPr>
            <w:noProof/>
            <w:webHidden/>
          </w:rPr>
          <w:t>23</w:t>
        </w:r>
        <w:r>
          <w:rPr>
            <w:noProof/>
            <w:webHidden/>
          </w:rPr>
          <w:fldChar w:fldCharType="end"/>
        </w:r>
      </w:hyperlink>
    </w:p>
    <w:p w14:paraId="607831F5" w14:textId="09E4C4B3"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8" w:history="1">
        <w:r w:rsidRPr="009B7EA8">
          <w:rPr>
            <w:rStyle w:val="Hyperlink"/>
            <w:rFonts w:eastAsiaTheme="majorEastAsia"/>
            <w:noProof/>
          </w:rPr>
          <w:t xml:space="preserve">Table 9: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The Commission’s recommended option for the calculation of the base auction volume</w:t>
        </w:r>
        <w:r>
          <w:rPr>
            <w:noProof/>
            <w:webHidden/>
          </w:rPr>
          <w:tab/>
        </w:r>
        <w:r>
          <w:rPr>
            <w:noProof/>
            <w:webHidden/>
          </w:rPr>
          <w:fldChar w:fldCharType="begin"/>
        </w:r>
        <w:r>
          <w:rPr>
            <w:noProof/>
            <w:webHidden/>
          </w:rPr>
          <w:instrText xml:space="preserve"> PAGEREF _Toc167714878 \h </w:instrText>
        </w:r>
        <w:r>
          <w:rPr>
            <w:noProof/>
            <w:webHidden/>
          </w:rPr>
        </w:r>
        <w:r>
          <w:rPr>
            <w:noProof/>
            <w:webHidden/>
          </w:rPr>
          <w:fldChar w:fldCharType="separate"/>
        </w:r>
        <w:r>
          <w:rPr>
            <w:noProof/>
            <w:webHidden/>
          </w:rPr>
          <w:t>24</w:t>
        </w:r>
        <w:r>
          <w:rPr>
            <w:noProof/>
            <w:webHidden/>
          </w:rPr>
          <w:fldChar w:fldCharType="end"/>
        </w:r>
      </w:hyperlink>
    </w:p>
    <w:p w14:paraId="7E21779E" w14:textId="49050A8B"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79" w:history="1">
        <w:r w:rsidRPr="009B7EA8">
          <w:rPr>
            <w:rStyle w:val="Hyperlink"/>
            <w:rFonts w:eastAsiaTheme="majorEastAsia"/>
            <w:noProof/>
          </w:rPr>
          <w:t xml:space="preserve">Table 10: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Commission’s recommended price control triggers for the next five years</w:t>
        </w:r>
        <w:r>
          <w:rPr>
            <w:noProof/>
            <w:webHidden/>
          </w:rPr>
          <w:tab/>
        </w:r>
        <w:r>
          <w:rPr>
            <w:noProof/>
            <w:webHidden/>
          </w:rPr>
          <w:fldChar w:fldCharType="begin"/>
        </w:r>
        <w:r>
          <w:rPr>
            <w:noProof/>
            <w:webHidden/>
          </w:rPr>
          <w:instrText xml:space="preserve"> PAGEREF _Toc167714879 \h </w:instrText>
        </w:r>
        <w:r>
          <w:rPr>
            <w:noProof/>
            <w:webHidden/>
          </w:rPr>
        </w:r>
        <w:r>
          <w:rPr>
            <w:noProof/>
            <w:webHidden/>
          </w:rPr>
          <w:fldChar w:fldCharType="separate"/>
        </w:r>
        <w:r>
          <w:rPr>
            <w:noProof/>
            <w:webHidden/>
          </w:rPr>
          <w:t>27</w:t>
        </w:r>
        <w:r>
          <w:rPr>
            <w:noProof/>
            <w:webHidden/>
          </w:rPr>
          <w:fldChar w:fldCharType="end"/>
        </w:r>
      </w:hyperlink>
    </w:p>
    <w:p w14:paraId="64F6DB09" w14:textId="0ED8883D"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80" w:history="1">
        <w:r w:rsidRPr="009B7EA8">
          <w:rPr>
            <w:rStyle w:val="Hyperlink"/>
            <w:rFonts w:eastAsiaTheme="majorEastAsia"/>
            <w:noProof/>
          </w:rPr>
          <w:t xml:space="preserve">Table 11: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Options comparison for trigger prices</w:t>
        </w:r>
        <w:r>
          <w:rPr>
            <w:noProof/>
            <w:webHidden/>
          </w:rPr>
          <w:tab/>
        </w:r>
        <w:r>
          <w:rPr>
            <w:noProof/>
            <w:webHidden/>
          </w:rPr>
          <w:fldChar w:fldCharType="begin"/>
        </w:r>
        <w:r>
          <w:rPr>
            <w:noProof/>
            <w:webHidden/>
          </w:rPr>
          <w:instrText xml:space="preserve"> PAGEREF _Toc167714880 \h </w:instrText>
        </w:r>
        <w:r>
          <w:rPr>
            <w:noProof/>
            <w:webHidden/>
          </w:rPr>
        </w:r>
        <w:r>
          <w:rPr>
            <w:noProof/>
            <w:webHidden/>
          </w:rPr>
          <w:fldChar w:fldCharType="separate"/>
        </w:r>
        <w:r>
          <w:rPr>
            <w:noProof/>
            <w:webHidden/>
          </w:rPr>
          <w:t>28</w:t>
        </w:r>
        <w:r>
          <w:rPr>
            <w:noProof/>
            <w:webHidden/>
          </w:rPr>
          <w:fldChar w:fldCharType="end"/>
        </w:r>
      </w:hyperlink>
    </w:p>
    <w:p w14:paraId="6D3DE52C" w14:textId="547812BA"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81" w:history="1">
        <w:r w:rsidRPr="009B7EA8">
          <w:rPr>
            <w:rStyle w:val="Hyperlink"/>
            <w:rFonts w:eastAsiaTheme="majorEastAsia"/>
            <w:noProof/>
          </w:rPr>
          <w:t xml:space="preserve">Table 12: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Options for cost containment reserve volume</w:t>
        </w:r>
        <w:r>
          <w:rPr>
            <w:noProof/>
            <w:webHidden/>
          </w:rPr>
          <w:tab/>
        </w:r>
        <w:r>
          <w:rPr>
            <w:noProof/>
            <w:webHidden/>
          </w:rPr>
          <w:fldChar w:fldCharType="begin"/>
        </w:r>
        <w:r>
          <w:rPr>
            <w:noProof/>
            <w:webHidden/>
          </w:rPr>
          <w:instrText xml:space="preserve"> PAGEREF _Toc167714881 \h </w:instrText>
        </w:r>
        <w:r>
          <w:rPr>
            <w:noProof/>
            <w:webHidden/>
          </w:rPr>
        </w:r>
        <w:r>
          <w:rPr>
            <w:noProof/>
            <w:webHidden/>
          </w:rPr>
          <w:fldChar w:fldCharType="separate"/>
        </w:r>
        <w:r>
          <w:rPr>
            <w:noProof/>
            <w:webHidden/>
          </w:rPr>
          <w:t>30</w:t>
        </w:r>
        <w:r>
          <w:rPr>
            <w:noProof/>
            <w:webHidden/>
          </w:rPr>
          <w:fldChar w:fldCharType="end"/>
        </w:r>
      </w:hyperlink>
    </w:p>
    <w:p w14:paraId="7A8DC151" w14:textId="1B9CC1A5"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82" w:history="1">
        <w:r w:rsidRPr="009B7EA8">
          <w:rPr>
            <w:rStyle w:val="Hyperlink"/>
            <w:rFonts w:eastAsiaTheme="majorEastAsia"/>
            <w:noProof/>
          </w:rPr>
          <w:t xml:space="preserve">Table 13: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Options comparison for cost containment reserve volume</w:t>
        </w:r>
        <w:r>
          <w:rPr>
            <w:noProof/>
            <w:webHidden/>
          </w:rPr>
          <w:tab/>
        </w:r>
        <w:r>
          <w:rPr>
            <w:noProof/>
            <w:webHidden/>
          </w:rPr>
          <w:fldChar w:fldCharType="begin"/>
        </w:r>
        <w:r>
          <w:rPr>
            <w:noProof/>
            <w:webHidden/>
          </w:rPr>
          <w:instrText xml:space="preserve"> PAGEREF _Toc167714882 \h </w:instrText>
        </w:r>
        <w:r>
          <w:rPr>
            <w:noProof/>
            <w:webHidden/>
          </w:rPr>
        </w:r>
        <w:r>
          <w:rPr>
            <w:noProof/>
            <w:webHidden/>
          </w:rPr>
          <w:fldChar w:fldCharType="separate"/>
        </w:r>
        <w:r>
          <w:rPr>
            <w:noProof/>
            <w:webHidden/>
          </w:rPr>
          <w:t>30</w:t>
        </w:r>
        <w:r>
          <w:rPr>
            <w:noProof/>
            <w:webHidden/>
          </w:rPr>
          <w:fldChar w:fldCharType="end"/>
        </w:r>
      </w:hyperlink>
    </w:p>
    <w:p w14:paraId="2B3E35D7" w14:textId="67BDB07E"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83" w:history="1">
        <w:r w:rsidRPr="009B7EA8">
          <w:rPr>
            <w:rStyle w:val="Hyperlink"/>
            <w:rFonts w:eastAsiaTheme="majorEastAsia"/>
            <w:noProof/>
          </w:rPr>
          <w:t xml:space="preserve">Table 14: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Summary of impacts of NZ ETS unit settings</w:t>
        </w:r>
        <w:r>
          <w:rPr>
            <w:noProof/>
            <w:webHidden/>
          </w:rPr>
          <w:tab/>
        </w:r>
        <w:r>
          <w:rPr>
            <w:noProof/>
            <w:webHidden/>
          </w:rPr>
          <w:fldChar w:fldCharType="begin"/>
        </w:r>
        <w:r>
          <w:rPr>
            <w:noProof/>
            <w:webHidden/>
          </w:rPr>
          <w:instrText xml:space="preserve"> PAGEREF _Toc167714883 \h </w:instrText>
        </w:r>
        <w:r>
          <w:rPr>
            <w:noProof/>
            <w:webHidden/>
          </w:rPr>
        </w:r>
        <w:r>
          <w:rPr>
            <w:noProof/>
            <w:webHidden/>
          </w:rPr>
          <w:fldChar w:fldCharType="separate"/>
        </w:r>
        <w:r>
          <w:rPr>
            <w:noProof/>
            <w:webHidden/>
          </w:rPr>
          <w:t>31</w:t>
        </w:r>
        <w:r>
          <w:rPr>
            <w:noProof/>
            <w:webHidden/>
          </w:rPr>
          <w:fldChar w:fldCharType="end"/>
        </w:r>
      </w:hyperlink>
    </w:p>
    <w:p w14:paraId="0CA444DD" w14:textId="00197A1C" w:rsidR="00CE2448" w:rsidRDefault="00CE2448">
      <w:pPr>
        <w:pStyle w:val="TableofFigures"/>
        <w:tabs>
          <w:tab w:val="right" w:pos="8495"/>
        </w:tabs>
        <w:rPr>
          <w:rFonts w:asciiTheme="minorHAnsi" w:eastAsiaTheme="minorEastAsia" w:hAnsiTheme="minorHAnsi" w:cstheme="minorBidi"/>
          <w:noProof/>
          <w:kern w:val="2"/>
          <w:sz w:val="24"/>
          <w:szCs w:val="24"/>
          <w14:ligatures w14:val="standardContextual"/>
        </w:rPr>
      </w:pPr>
      <w:hyperlink w:anchor="_Toc167714884" w:history="1">
        <w:r w:rsidRPr="009B7EA8">
          <w:rPr>
            <w:rStyle w:val="Hyperlink"/>
            <w:rFonts w:eastAsiaTheme="majorEastAsia"/>
            <w:noProof/>
          </w:rPr>
          <w:t xml:space="preserve">Table 15: </w:t>
        </w:r>
        <w:r>
          <w:rPr>
            <w:rFonts w:asciiTheme="minorHAnsi" w:eastAsiaTheme="minorEastAsia" w:hAnsiTheme="minorHAnsi" w:cstheme="minorBidi"/>
            <w:noProof/>
            <w:kern w:val="2"/>
            <w:sz w:val="24"/>
            <w:szCs w:val="24"/>
            <w14:ligatures w14:val="standardContextual"/>
          </w:rPr>
          <w:tab/>
        </w:r>
        <w:r w:rsidRPr="009B7EA8">
          <w:rPr>
            <w:rStyle w:val="Hyperlink"/>
            <w:rFonts w:eastAsiaTheme="majorEastAsia"/>
            <w:noProof/>
          </w:rPr>
          <w:t>Considerations for determining unit limits and price control settings</w:t>
        </w:r>
        <w:r>
          <w:rPr>
            <w:noProof/>
            <w:webHidden/>
          </w:rPr>
          <w:tab/>
        </w:r>
        <w:r>
          <w:rPr>
            <w:noProof/>
            <w:webHidden/>
          </w:rPr>
          <w:fldChar w:fldCharType="begin"/>
        </w:r>
        <w:r>
          <w:rPr>
            <w:noProof/>
            <w:webHidden/>
          </w:rPr>
          <w:instrText xml:space="preserve"> PAGEREF _Toc167714884 \h </w:instrText>
        </w:r>
        <w:r>
          <w:rPr>
            <w:noProof/>
            <w:webHidden/>
          </w:rPr>
        </w:r>
        <w:r>
          <w:rPr>
            <w:noProof/>
            <w:webHidden/>
          </w:rPr>
          <w:fldChar w:fldCharType="separate"/>
        </w:r>
        <w:r>
          <w:rPr>
            <w:noProof/>
            <w:webHidden/>
          </w:rPr>
          <w:t>37</w:t>
        </w:r>
        <w:r>
          <w:rPr>
            <w:noProof/>
            <w:webHidden/>
          </w:rPr>
          <w:fldChar w:fldCharType="end"/>
        </w:r>
      </w:hyperlink>
    </w:p>
    <w:p w14:paraId="35975392" w14:textId="14F277E7" w:rsidR="00A81995" w:rsidRPr="006B77BB" w:rsidRDefault="00C222CE" w:rsidP="00C222CE">
      <w:pPr>
        <w:pStyle w:val="BodyText"/>
      </w:pPr>
      <w:r w:rsidRPr="006B77BB">
        <w:fldChar w:fldCharType="end"/>
      </w:r>
    </w:p>
    <w:p w14:paraId="39083DA7" w14:textId="77777777" w:rsidR="00D043FF" w:rsidRPr="0062264D" w:rsidRDefault="00D043FF" w:rsidP="0062264D">
      <w:pPr>
        <w:pStyle w:val="BodyText"/>
      </w:pPr>
      <w:r w:rsidRPr="0062264D">
        <w:br w:type="page"/>
      </w:r>
    </w:p>
    <w:p w14:paraId="3B1729D9" w14:textId="45408704" w:rsidR="00A95C49" w:rsidRDefault="00A95C49" w:rsidP="001A7C31">
      <w:pPr>
        <w:pStyle w:val="Heading1"/>
      </w:pPr>
      <w:bookmarkStart w:id="0" w:name="_Toc166162130"/>
      <w:bookmarkStart w:id="1" w:name="_Toc161831658"/>
      <w:bookmarkStart w:id="2" w:name="_Toc161762869"/>
      <w:bookmarkStart w:id="3" w:name="_Toc95397061"/>
      <w:r>
        <w:lastRenderedPageBreak/>
        <w:t>Executive summary</w:t>
      </w:r>
      <w:bookmarkEnd w:id="0"/>
    </w:p>
    <w:p w14:paraId="3A73C698" w14:textId="257B299F" w:rsidR="00557A81" w:rsidRPr="005B18A2" w:rsidRDefault="00557A81" w:rsidP="009E4DFF">
      <w:pPr>
        <w:pStyle w:val="BodyText"/>
      </w:pPr>
      <w:r w:rsidRPr="005B18A2">
        <w:t xml:space="preserve">Climate change action is one of nine key priority </w:t>
      </w:r>
      <w:r w:rsidR="001319BE">
        <w:t>g</w:t>
      </w:r>
      <w:r w:rsidRPr="005B18A2">
        <w:t xml:space="preserve">overnment </w:t>
      </w:r>
      <w:r w:rsidR="001319BE">
        <w:t>t</w:t>
      </w:r>
      <w:r w:rsidRPr="005B18A2">
        <w:t xml:space="preserve">argets to be delivered by 2030. The climate change </w:t>
      </w:r>
      <w:r w:rsidR="009F7ACB">
        <w:t>t</w:t>
      </w:r>
      <w:r w:rsidRPr="005B18A2">
        <w:t>arget includes our domestic emissions reduction targets and our global commitments to reduce emissions under the Paris Agreement.</w:t>
      </w:r>
    </w:p>
    <w:p w14:paraId="06967E6D" w14:textId="5AB85424" w:rsidR="00557A81" w:rsidRPr="005B18A2" w:rsidRDefault="00217531" w:rsidP="009E4DFF">
      <w:pPr>
        <w:pStyle w:val="BodyText"/>
      </w:pPr>
      <w:r>
        <w:t xml:space="preserve">Aotearoa </w:t>
      </w:r>
      <w:r w:rsidR="00557A81" w:rsidRPr="005B18A2">
        <w:t xml:space="preserve">New Zealand’s domestic targets set a </w:t>
      </w:r>
      <w:r>
        <w:t>‘</w:t>
      </w:r>
      <w:r w:rsidR="00557A81" w:rsidRPr="005B18A2">
        <w:t>cap</w:t>
      </w:r>
      <w:r>
        <w:t>’</w:t>
      </w:r>
      <w:r w:rsidR="00557A81" w:rsidRPr="005B18A2">
        <w:t xml:space="preserve"> of total net emissions of no more than 290 </w:t>
      </w:r>
      <w:proofErr w:type="spellStart"/>
      <w:r w:rsidR="00557A81" w:rsidRPr="005B18A2">
        <w:t>megatonnes</w:t>
      </w:r>
      <w:proofErr w:type="spellEnd"/>
      <w:r w:rsidR="00557A81" w:rsidRPr="005B18A2">
        <w:t xml:space="preserve"> from 2022 to 2025, and 305 </w:t>
      </w:r>
      <w:proofErr w:type="spellStart"/>
      <w:r w:rsidR="00557A81" w:rsidRPr="005B18A2">
        <w:t>megatonnes</w:t>
      </w:r>
      <w:proofErr w:type="spellEnd"/>
      <w:r w:rsidR="00557A81" w:rsidRPr="005B18A2">
        <w:t xml:space="preserve"> from 2026 to 2030. These volumes align </w:t>
      </w:r>
      <w:r w:rsidR="00557A81">
        <w:t>with</w:t>
      </w:r>
      <w:r w:rsidR="00557A81" w:rsidRPr="005B18A2">
        <w:t xml:space="preserve"> the first and second emissions budgets set under the Climate Change Response Act</w:t>
      </w:r>
      <w:r w:rsidR="00455A4B">
        <w:t> </w:t>
      </w:r>
      <w:r w:rsidR="00557A81" w:rsidRPr="005B18A2">
        <w:t>2002</w:t>
      </w:r>
      <w:r w:rsidR="00833E97">
        <w:t xml:space="preserve"> (the Act)</w:t>
      </w:r>
      <w:r w:rsidR="00557A81" w:rsidRPr="005B18A2">
        <w:t>.</w:t>
      </w:r>
    </w:p>
    <w:p w14:paraId="0FCA1EED" w14:textId="6F614678" w:rsidR="00557A81" w:rsidRPr="005B18A2" w:rsidRDefault="00557A81" w:rsidP="00CA3497">
      <w:pPr>
        <w:pStyle w:val="Heading2"/>
      </w:pPr>
      <w:bookmarkStart w:id="4" w:name="_Toc166162131"/>
      <w:r w:rsidRPr="005B18A2">
        <w:t>The New Zealand Emissions Trading Scheme</w:t>
      </w:r>
      <w:bookmarkEnd w:id="4"/>
      <w:r w:rsidRPr="005B18A2">
        <w:t xml:space="preserve"> </w:t>
      </w:r>
    </w:p>
    <w:p w14:paraId="581131E1" w14:textId="4FCFD4E8" w:rsidR="00557A81" w:rsidRPr="005B18A2" w:rsidRDefault="00557A81" w:rsidP="009E4DFF">
      <w:pPr>
        <w:pStyle w:val="BodyText"/>
      </w:pPr>
      <w:r w:rsidRPr="005B18A2">
        <w:t xml:space="preserve">The </w:t>
      </w:r>
      <w:r w:rsidR="001319BE">
        <w:t>New Zealand Emissions Trading Scheme (</w:t>
      </w:r>
      <w:r w:rsidRPr="005B18A2">
        <w:t>NZ ETS</w:t>
      </w:r>
      <w:r w:rsidR="001319BE">
        <w:t>)</w:t>
      </w:r>
      <w:r w:rsidRPr="005B18A2">
        <w:t xml:space="preserve"> is a </w:t>
      </w:r>
      <w:r w:rsidR="002A55A7">
        <w:t>‘</w:t>
      </w:r>
      <w:r w:rsidRPr="005B18A2">
        <w:t>cap-and-trade</w:t>
      </w:r>
      <w:r w:rsidR="002A55A7">
        <w:t>’</w:t>
      </w:r>
      <w:r w:rsidRPr="005B18A2">
        <w:t xml:space="preserve"> scheme and </w:t>
      </w:r>
      <w:r w:rsidR="007D48C4">
        <w:t xml:space="preserve">is </w:t>
      </w:r>
      <w:r w:rsidRPr="005B18A2">
        <w:t xml:space="preserve">the </w:t>
      </w:r>
      <w:r w:rsidR="002A55A7">
        <w:t>G</w:t>
      </w:r>
      <w:r w:rsidRPr="005B18A2">
        <w:t xml:space="preserve">overnment’s </w:t>
      </w:r>
      <w:r w:rsidR="00644125">
        <w:t xml:space="preserve">key tool to address </w:t>
      </w:r>
      <w:r w:rsidRPr="005B18A2">
        <w:t>climate change. The scheme supports New Zealand to meet its emissions reduction goals by putting a price on greenhouse gas emissions.</w:t>
      </w:r>
    </w:p>
    <w:p w14:paraId="26B35F07" w14:textId="01F246AE" w:rsidR="00557A81" w:rsidRPr="005B18A2" w:rsidRDefault="00557A81" w:rsidP="009E4DFF">
      <w:pPr>
        <w:pStyle w:val="BodyText"/>
      </w:pPr>
      <w:r w:rsidRPr="005B18A2">
        <w:t xml:space="preserve">Emitters must surrender a New Zealand Unit (NZU) for every tonne of climate pollution they emit. Businesses can purchase NZUs through </w:t>
      </w:r>
      <w:r w:rsidR="00D8553C">
        <w:t>g</w:t>
      </w:r>
      <w:r w:rsidRPr="005B18A2">
        <w:t>overnment auctions held four times per year. They can obtain NZUs through industrial allocation, and trade NZUs through the secondary market.</w:t>
      </w:r>
    </w:p>
    <w:p w14:paraId="4A5164A9" w14:textId="6F77EB04" w:rsidR="00557A81" w:rsidRPr="005B18A2" w:rsidRDefault="00557A81" w:rsidP="009E4DFF">
      <w:pPr>
        <w:pStyle w:val="BodyText"/>
        <w:rPr>
          <w:rFonts w:asciiTheme="minorHAnsi" w:hAnsiTheme="minorHAnsi"/>
        </w:rPr>
      </w:pPr>
      <w:r w:rsidRPr="005B18A2">
        <w:rPr>
          <w:rFonts w:asciiTheme="minorHAnsi" w:hAnsiTheme="minorHAnsi"/>
        </w:rPr>
        <w:t xml:space="preserve">Auction settings are reviewed every year to ensure the NZ ETS is working as well as it can to support climate </w:t>
      </w:r>
      <w:r w:rsidR="00E95384">
        <w:rPr>
          <w:rFonts w:asciiTheme="minorHAnsi" w:hAnsiTheme="minorHAnsi"/>
        </w:rPr>
        <w:t xml:space="preserve">change </w:t>
      </w:r>
      <w:r w:rsidRPr="005B18A2">
        <w:rPr>
          <w:rFonts w:asciiTheme="minorHAnsi" w:hAnsiTheme="minorHAnsi"/>
        </w:rPr>
        <w:t>targets</w:t>
      </w:r>
      <w:r>
        <w:rPr>
          <w:rFonts w:asciiTheme="minorHAnsi" w:hAnsiTheme="minorHAnsi"/>
        </w:rPr>
        <w:t>, and t</w:t>
      </w:r>
      <w:r w:rsidR="00133756">
        <w:rPr>
          <w:rFonts w:asciiTheme="minorHAnsi" w:hAnsiTheme="minorHAnsi"/>
        </w:rPr>
        <w:t xml:space="preserve">o provide </w:t>
      </w:r>
      <w:r w:rsidR="00CE17D7">
        <w:rPr>
          <w:rFonts w:asciiTheme="minorHAnsi" w:hAnsiTheme="minorHAnsi"/>
        </w:rPr>
        <w:t>certainty for the next five years</w:t>
      </w:r>
      <w:r w:rsidRPr="005B18A2">
        <w:rPr>
          <w:rFonts w:asciiTheme="minorHAnsi" w:hAnsiTheme="minorHAnsi"/>
        </w:rPr>
        <w:t xml:space="preserve">. </w:t>
      </w:r>
      <w:r>
        <w:rPr>
          <w:rFonts w:asciiTheme="minorHAnsi" w:hAnsiTheme="minorHAnsi"/>
        </w:rPr>
        <w:t>These</w:t>
      </w:r>
      <w:r w:rsidR="00F72DA5">
        <w:rPr>
          <w:rFonts w:asciiTheme="minorHAnsi" w:hAnsiTheme="minorHAnsi"/>
        </w:rPr>
        <w:t xml:space="preserve"> climate change</w:t>
      </w:r>
      <w:r>
        <w:rPr>
          <w:rFonts w:asciiTheme="minorHAnsi" w:hAnsiTheme="minorHAnsi"/>
        </w:rPr>
        <w:t xml:space="preserve"> targets are emissions budgets, the Nationally Determined Contribution</w:t>
      </w:r>
      <w:r w:rsidR="00B057E6">
        <w:rPr>
          <w:rFonts w:asciiTheme="minorHAnsi" w:hAnsiTheme="minorHAnsi"/>
        </w:rPr>
        <w:t xml:space="preserve"> (NDC)</w:t>
      </w:r>
      <w:r>
        <w:rPr>
          <w:rFonts w:asciiTheme="minorHAnsi" w:hAnsiTheme="minorHAnsi"/>
        </w:rPr>
        <w:t xml:space="preserve"> under the Paris Agreement, and </w:t>
      </w:r>
      <w:r w:rsidR="00697FA3">
        <w:rPr>
          <w:rFonts w:asciiTheme="minorHAnsi" w:hAnsiTheme="minorHAnsi"/>
        </w:rPr>
        <w:t xml:space="preserve">the </w:t>
      </w:r>
      <w:r>
        <w:rPr>
          <w:rFonts w:asciiTheme="minorHAnsi" w:hAnsiTheme="minorHAnsi"/>
        </w:rPr>
        <w:t>2050 target.</w:t>
      </w:r>
    </w:p>
    <w:p w14:paraId="2F8F8E6C" w14:textId="53C6F58F" w:rsidR="00557A81" w:rsidRPr="005B18A2" w:rsidRDefault="00557A81" w:rsidP="00FA20E8">
      <w:pPr>
        <w:pStyle w:val="Bullet"/>
        <w:numPr>
          <w:ilvl w:val="0"/>
          <w:numId w:val="0"/>
        </w:numPr>
      </w:pPr>
      <w:r w:rsidRPr="005B18A2">
        <w:t xml:space="preserve">Unit limit settings help </w:t>
      </w:r>
      <w:r w:rsidR="00BE0D3A">
        <w:t>‘</w:t>
      </w:r>
      <w:r w:rsidRPr="005B18A2">
        <w:t>cap</w:t>
      </w:r>
      <w:r w:rsidR="00BE0D3A">
        <w:t>’</w:t>
      </w:r>
      <w:r w:rsidRPr="005B18A2">
        <w:t xml:space="preserve"> the supply of units into the NZ ETS over time. By limiting the number of NZUs, the Government uses the NZ ETS to help keep emissions in line with New Zealand’s greenhouse gas reduction targets.</w:t>
      </w:r>
    </w:p>
    <w:p w14:paraId="315795B5" w14:textId="40AAC7FC" w:rsidR="00557A81" w:rsidRPr="005B18A2" w:rsidRDefault="00557A81" w:rsidP="00FA20E8">
      <w:pPr>
        <w:pStyle w:val="Bullet"/>
        <w:numPr>
          <w:ilvl w:val="0"/>
          <w:numId w:val="0"/>
        </w:numPr>
      </w:pPr>
      <w:r w:rsidRPr="271F1A7D">
        <w:t xml:space="preserve">The price control settings set a minimum and maximum price </w:t>
      </w:r>
      <w:r w:rsidR="005D14CE">
        <w:t xml:space="preserve">that </w:t>
      </w:r>
      <w:r w:rsidRPr="271F1A7D">
        <w:t>NZUs</w:t>
      </w:r>
      <w:r w:rsidR="005D14CE">
        <w:t xml:space="preserve"> can be sold</w:t>
      </w:r>
      <w:r w:rsidRPr="271F1A7D">
        <w:t xml:space="preserve"> at auction. These are set for the next five years, to help businesses plan. </w:t>
      </w:r>
    </w:p>
    <w:p w14:paraId="5E1A91E4" w14:textId="72C6D99F" w:rsidR="00B00DB1" w:rsidRPr="005B18A2" w:rsidRDefault="00B00DB1" w:rsidP="009E4DFF">
      <w:pPr>
        <w:pStyle w:val="BodyText"/>
      </w:pPr>
      <w:r w:rsidRPr="005B18A2">
        <w:t xml:space="preserve">As part of </w:t>
      </w:r>
      <w:r>
        <w:t xml:space="preserve">this annual </w:t>
      </w:r>
      <w:r w:rsidR="005D7D9F">
        <w:t>settings</w:t>
      </w:r>
      <w:r>
        <w:t xml:space="preserve"> process, </w:t>
      </w:r>
      <w:r w:rsidRPr="005B18A2">
        <w:t>the Government must consider the advice and recommendations of the Climate Change Commission. The Commission has identified new information since the last update to NZ ETS settings in 2023</w:t>
      </w:r>
      <w:r>
        <w:t>.</w:t>
      </w:r>
    </w:p>
    <w:p w14:paraId="79DCC575" w14:textId="3C5BD09D" w:rsidR="00557A81" w:rsidRPr="005B18A2" w:rsidRDefault="00557A81" w:rsidP="00CA3497">
      <w:pPr>
        <w:pStyle w:val="Heading2"/>
      </w:pPr>
      <w:bookmarkStart w:id="5" w:name="_Toc166162132"/>
      <w:r>
        <w:t>Unit limits</w:t>
      </w:r>
      <w:bookmarkEnd w:id="5"/>
    </w:p>
    <w:p w14:paraId="3D7A3E68" w14:textId="03649C3B" w:rsidR="00712051" w:rsidRPr="005B18A2" w:rsidRDefault="00807483" w:rsidP="006934D0">
      <w:pPr>
        <w:pStyle w:val="BodyText"/>
        <w:rPr>
          <w:rFonts w:cstheme="minorHAnsi"/>
          <w:b/>
          <w:bCs/>
        </w:rPr>
      </w:pPr>
      <w:r>
        <w:t xml:space="preserve">Auction volumes and unit limits </w:t>
      </w:r>
      <w:r w:rsidR="00242695">
        <w:t xml:space="preserve">are calculated </w:t>
      </w:r>
      <w:r w:rsidR="00BA3736">
        <w:t xml:space="preserve">through a series of steps. </w:t>
      </w:r>
      <w:r w:rsidR="00712051">
        <w:t xml:space="preserve">We are seeking feedback </w:t>
      </w:r>
      <w:r w:rsidR="005E252B">
        <w:t xml:space="preserve">on </w:t>
      </w:r>
      <w:r w:rsidR="00EB5CD7">
        <w:t xml:space="preserve">options </w:t>
      </w:r>
      <w:r w:rsidR="00231C9A">
        <w:t>for each step</w:t>
      </w:r>
      <w:r w:rsidR="00EB5CD7">
        <w:t xml:space="preserve">. </w:t>
      </w:r>
      <w:r w:rsidR="00BA3736">
        <w:t>Key areas</w:t>
      </w:r>
      <w:r w:rsidR="00AB4CB2">
        <w:t xml:space="preserve"> </w:t>
      </w:r>
      <w:r w:rsidR="00460734">
        <w:t xml:space="preserve">we are </w:t>
      </w:r>
      <w:r w:rsidR="00712051">
        <w:t xml:space="preserve">consulting on </w:t>
      </w:r>
      <w:r w:rsidR="00CC6A68">
        <w:t>include</w:t>
      </w:r>
      <w:r w:rsidR="00460734">
        <w:t xml:space="preserve"> </w:t>
      </w:r>
      <w:r w:rsidR="00712051">
        <w:t>ways to manage the impact o</w:t>
      </w:r>
      <w:r w:rsidR="002F581E">
        <w:t>f</w:t>
      </w:r>
      <w:r w:rsidR="00712051">
        <w:t xml:space="preserve"> non-</w:t>
      </w:r>
      <w:r w:rsidR="002F581E">
        <w:t xml:space="preserve">NZ </w:t>
      </w:r>
      <w:r w:rsidR="00712051">
        <w:t xml:space="preserve">ETS policies on the NZ ETS unit </w:t>
      </w:r>
      <w:r w:rsidR="002F581E">
        <w:t>limit</w:t>
      </w:r>
      <w:r w:rsidR="00712051">
        <w:t>s</w:t>
      </w:r>
      <w:r w:rsidR="006D736E">
        <w:t xml:space="preserve"> and </w:t>
      </w:r>
      <w:r w:rsidR="009B6756">
        <w:t>how emissions budgets are allocated to NZ</w:t>
      </w:r>
      <w:r w:rsidR="00937F08">
        <w:t> </w:t>
      </w:r>
      <w:r w:rsidR="009B6756">
        <w:t>ETS and non-NZ ETS sectors</w:t>
      </w:r>
      <w:r w:rsidR="00712051">
        <w:t xml:space="preserve">. </w:t>
      </w:r>
    </w:p>
    <w:p w14:paraId="2134A92A" w14:textId="7BC0DF7B" w:rsidR="00557A81" w:rsidRPr="005B18A2" w:rsidRDefault="00557A81" w:rsidP="006934D0">
      <w:pPr>
        <w:pStyle w:val="BodyText"/>
        <w:rPr>
          <w:rFonts w:cstheme="minorHAnsi"/>
        </w:rPr>
      </w:pPr>
      <w:r w:rsidRPr="005B18A2" w:rsidDel="00B00DB1">
        <w:rPr>
          <w:rFonts w:cstheme="minorHAnsi"/>
        </w:rPr>
        <w:t xml:space="preserve">The Commission has </w:t>
      </w:r>
      <w:r w:rsidR="001660DA">
        <w:rPr>
          <w:rFonts w:cstheme="minorHAnsi"/>
        </w:rPr>
        <w:t>also</w:t>
      </w:r>
      <w:r>
        <w:rPr>
          <w:rFonts w:cstheme="minorHAnsi"/>
        </w:rPr>
        <w:t xml:space="preserve"> re</w:t>
      </w:r>
      <w:r w:rsidR="001660DA">
        <w:rPr>
          <w:rFonts w:cstheme="minorHAnsi"/>
        </w:rPr>
        <w:t xml:space="preserve">-estimated </w:t>
      </w:r>
      <w:r w:rsidRPr="005B18A2">
        <w:rPr>
          <w:rFonts w:cstheme="minorHAnsi"/>
        </w:rPr>
        <w:t>the number of NZU’s in private accounts considered ‘surplus’</w:t>
      </w:r>
      <w:r w:rsidR="0004643D">
        <w:rPr>
          <w:rFonts w:cstheme="minorHAnsi"/>
        </w:rPr>
        <w:t xml:space="preserve">, above what is </w:t>
      </w:r>
      <w:r w:rsidR="00602026">
        <w:rPr>
          <w:rFonts w:cstheme="minorHAnsi"/>
        </w:rPr>
        <w:t xml:space="preserve">considered needed </w:t>
      </w:r>
      <w:r w:rsidR="00776B8B">
        <w:rPr>
          <w:rFonts w:cstheme="minorHAnsi"/>
        </w:rPr>
        <w:t xml:space="preserve">to </w:t>
      </w:r>
      <w:r w:rsidR="00B6296B">
        <w:rPr>
          <w:rFonts w:cstheme="minorHAnsi"/>
        </w:rPr>
        <w:t xml:space="preserve">meet </w:t>
      </w:r>
      <w:r w:rsidR="00D316D5">
        <w:rPr>
          <w:rFonts w:cstheme="minorHAnsi"/>
        </w:rPr>
        <w:t>surrender obligations</w:t>
      </w:r>
      <w:r w:rsidRPr="005B18A2">
        <w:rPr>
          <w:rFonts w:cstheme="minorHAnsi"/>
        </w:rPr>
        <w:t xml:space="preserve">. The </w:t>
      </w:r>
      <w:r w:rsidR="00633796">
        <w:rPr>
          <w:rFonts w:cstheme="minorHAnsi"/>
        </w:rPr>
        <w:t xml:space="preserve">large </w:t>
      </w:r>
      <w:r w:rsidR="00937C6A">
        <w:rPr>
          <w:rFonts w:cstheme="minorHAnsi"/>
        </w:rPr>
        <w:t>size of the</w:t>
      </w:r>
      <w:r w:rsidRPr="005B18A2">
        <w:rPr>
          <w:rFonts w:cstheme="minorHAnsi"/>
        </w:rPr>
        <w:t xml:space="preserve"> surplus poses a risk to the stability and efficiency of the NZ ETS market, because if the excess units come to market, there would be less incentive to reduce emissions. The Commission’s new surplus estimate is approximately</w:t>
      </w:r>
      <w:r>
        <w:rPr>
          <w:rFonts w:cstheme="minorHAnsi"/>
        </w:rPr>
        <w:t xml:space="preserve"> </w:t>
      </w:r>
      <w:r w:rsidRPr="005B18A2">
        <w:rPr>
          <w:rFonts w:cstheme="minorHAnsi"/>
        </w:rPr>
        <w:t xml:space="preserve">68 million units, an increase of approximately 19 million units on the 2022 estimates. </w:t>
      </w:r>
    </w:p>
    <w:p w14:paraId="7C4A6228" w14:textId="2808D9F1" w:rsidR="00557A81" w:rsidRDefault="00557A81" w:rsidP="006934D0">
      <w:pPr>
        <w:pStyle w:val="BodyText"/>
      </w:pPr>
      <w:r w:rsidRPr="27FC779A">
        <w:lastRenderedPageBreak/>
        <w:t xml:space="preserve">To reduce this surplus the Commission has recommended the Government reduce the auction volumes for the years 2025 to 2029. </w:t>
      </w:r>
      <w:r w:rsidR="00A241BD" w:rsidRPr="00A241BD">
        <w:t>The Act mandates that the first two years of settings (</w:t>
      </w:r>
      <w:proofErr w:type="spellStart"/>
      <w:r w:rsidR="00A241BD" w:rsidRPr="00A241BD">
        <w:t>ie</w:t>
      </w:r>
      <w:proofErr w:type="spellEnd"/>
      <w:r w:rsidR="00A241BD" w:rsidRPr="00A241BD">
        <w:t>,</w:t>
      </w:r>
      <w:r w:rsidR="00497250">
        <w:t> </w:t>
      </w:r>
      <w:r w:rsidR="00A241BD" w:rsidRPr="00A241BD">
        <w:t xml:space="preserve">2025–26 for this year) can only be updated in specifical circumstances. We seek your feedback on whether the thresholds have been met for this option to be considered. </w:t>
      </w:r>
      <w:r w:rsidRPr="27FC779A">
        <w:t>The consultation also includes options to keep the status quo surplus reductions, and another option to only adjust for the years 2027</w:t>
      </w:r>
      <w:r w:rsidR="003E4EF8">
        <w:t>–</w:t>
      </w:r>
      <w:r w:rsidRPr="27FC779A">
        <w:t>29.</w:t>
      </w:r>
    </w:p>
    <w:p w14:paraId="204059E3" w14:textId="77777777" w:rsidR="00557A81" w:rsidRPr="005B18A2" w:rsidRDefault="00557A81" w:rsidP="00CA3497">
      <w:pPr>
        <w:pStyle w:val="Heading2"/>
      </w:pPr>
      <w:bookmarkStart w:id="6" w:name="_Toc166162133"/>
      <w:r w:rsidRPr="271F1A7D">
        <w:t>Auction price control</w:t>
      </w:r>
      <w:r w:rsidRPr="271F1A7D" w:rsidDel="002F46FC">
        <w:t xml:space="preserve"> </w:t>
      </w:r>
      <w:proofErr w:type="gramStart"/>
      <w:r w:rsidRPr="271F1A7D" w:rsidDel="002F46FC">
        <w:t>settings</w:t>
      </w:r>
      <w:bookmarkEnd w:id="6"/>
      <w:proofErr w:type="gramEnd"/>
    </w:p>
    <w:p w14:paraId="5FC51E53" w14:textId="055DB40D" w:rsidR="00557A81" w:rsidRPr="006934D0" w:rsidRDefault="00557A81" w:rsidP="006934D0">
      <w:pPr>
        <w:pStyle w:val="BodyText"/>
      </w:pPr>
      <w:r w:rsidRPr="006934D0">
        <w:t xml:space="preserve">Price control settings at auctions set the </w:t>
      </w:r>
      <w:r w:rsidR="004E0BEB">
        <w:t>‘</w:t>
      </w:r>
      <w:r w:rsidRPr="006934D0">
        <w:t>guardrails</w:t>
      </w:r>
      <w:r w:rsidR="004E0BEB">
        <w:t>’</w:t>
      </w:r>
      <w:r w:rsidRPr="006934D0">
        <w:t xml:space="preserve"> for high and low prices at auctions of NZUs. The auction floor price is a lower guardrail, ensuring the cost to emit greenhouse gases is not set too low. The higher guardrails are the cost containment reserve (CCR) trigger prices. When the</w:t>
      </w:r>
      <w:r w:rsidR="00480A2A" w:rsidRPr="006934D0">
        <w:t xml:space="preserve"> CCR is </w:t>
      </w:r>
      <w:r w:rsidRPr="006934D0">
        <w:t>triggered, more NZUs are released, reducing the risk of the NZU price rising too high.</w:t>
      </w:r>
    </w:p>
    <w:p w14:paraId="28292D39" w14:textId="77777777" w:rsidR="00557A81" w:rsidRPr="006934D0" w:rsidRDefault="00557A81" w:rsidP="006934D0">
      <w:pPr>
        <w:pStyle w:val="BodyText"/>
      </w:pPr>
      <w:r w:rsidRPr="006934D0">
        <w:t xml:space="preserve">There are two options for changes to price triggers. </w:t>
      </w:r>
    </w:p>
    <w:p w14:paraId="4EB899BB" w14:textId="55CDA3F5" w:rsidR="00557A81" w:rsidRPr="005B18A2" w:rsidRDefault="00557A81" w:rsidP="006934D0">
      <w:pPr>
        <w:pStyle w:val="Bullet"/>
        <w:numPr>
          <w:ilvl w:val="0"/>
          <w:numId w:val="79"/>
        </w:numPr>
        <w:rPr>
          <w:lang w:val="en-GB" w:eastAsia="ja-JP"/>
        </w:rPr>
      </w:pPr>
      <w:r w:rsidRPr="005B18A2">
        <w:rPr>
          <w:lang w:val="en-GB" w:eastAsia="ja-JP"/>
        </w:rPr>
        <w:t xml:space="preserve">The first option is to maintain the status quo with adjustment </w:t>
      </w:r>
      <w:r w:rsidR="003918C5">
        <w:rPr>
          <w:lang w:val="en-GB" w:eastAsia="ja-JP"/>
        </w:rPr>
        <w:t>for</w:t>
      </w:r>
      <w:r w:rsidR="003918C5" w:rsidRPr="005B18A2">
        <w:rPr>
          <w:lang w:val="en-GB" w:eastAsia="ja-JP"/>
        </w:rPr>
        <w:t xml:space="preserve"> </w:t>
      </w:r>
      <w:r w:rsidRPr="005B18A2">
        <w:rPr>
          <w:lang w:val="en-GB" w:eastAsia="ja-JP"/>
        </w:rPr>
        <w:t xml:space="preserve">inflation from 2027. </w:t>
      </w:r>
    </w:p>
    <w:p w14:paraId="1AEE735A" w14:textId="77777777" w:rsidR="00557A81" w:rsidRPr="005B18A2" w:rsidRDefault="00557A81" w:rsidP="006934D0">
      <w:pPr>
        <w:pStyle w:val="Bullet"/>
        <w:numPr>
          <w:ilvl w:val="0"/>
          <w:numId w:val="79"/>
        </w:numPr>
        <w:rPr>
          <w:lang w:val="en-GB" w:eastAsia="ja-JP"/>
        </w:rPr>
      </w:pPr>
      <w:r w:rsidRPr="005B18A2">
        <w:rPr>
          <w:lang w:val="en-GB" w:eastAsia="ja-JP"/>
        </w:rPr>
        <w:t xml:space="preserve">The second option is to lower trigger prices for both the auction price floor and the CCR. </w:t>
      </w:r>
    </w:p>
    <w:p w14:paraId="55C48E69" w14:textId="1DDC6A45" w:rsidR="00557A81" w:rsidRPr="005B18A2" w:rsidRDefault="00557A81" w:rsidP="00CA3497">
      <w:pPr>
        <w:pStyle w:val="Heading2"/>
        <w:rPr>
          <w:rFonts w:eastAsia="Arial"/>
        </w:rPr>
      </w:pPr>
      <w:bookmarkStart w:id="7" w:name="_Toc166162134"/>
      <w:r w:rsidRPr="005B18A2">
        <w:t xml:space="preserve">Cost </w:t>
      </w:r>
      <w:r w:rsidR="00B94E38">
        <w:t>c</w:t>
      </w:r>
      <w:r w:rsidRPr="005B18A2">
        <w:t xml:space="preserve">ontainment </w:t>
      </w:r>
      <w:r w:rsidR="00B94E38">
        <w:t>r</w:t>
      </w:r>
      <w:r w:rsidRPr="005B18A2">
        <w:t>eserve volume</w:t>
      </w:r>
      <w:bookmarkEnd w:id="7"/>
    </w:p>
    <w:p w14:paraId="70983F9D" w14:textId="77777777" w:rsidR="00557A81" w:rsidRPr="005B18A2" w:rsidRDefault="00557A81" w:rsidP="006934D0">
      <w:pPr>
        <w:pStyle w:val="BodyText"/>
      </w:pPr>
      <w:r w:rsidRPr="005B18A2">
        <w:t xml:space="preserve">The cost containment reserve needs to be large enough to prevent auction prices going too high. Previously, the number of units in the reserve was aligned to the surplus – that is, if the trigger was reached, additional units would be sold, up to the level of the surplus. </w:t>
      </w:r>
    </w:p>
    <w:p w14:paraId="1BCD5256" w14:textId="77777777" w:rsidR="00557A81" w:rsidRPr="005B18A2" w:rsidRDefault="00557A81" w:rsidP="006934D0">
      <w:pPr>
        <w:pStyle w:val="BodyText"/>
      </w:pPr>
      <w:r w:rsidRPr="005B18A2">
        <w:t xml:space="preserve">There are two options related to the cost containment reserve (CCR): </w:t>
      </w:r>
    </w:p>
    <w:p w14:paraId="2EDC8117" w14:textId="458E72D5" w:rsidR="00557A81" w:rsidRPr="005B18A2" w:rsidRDefault="00557A81" w:rsidP="00FB08EB">
      <w:pPr>
        <w:pStyle w:val="Bullet"/>
        <w:numPr>
          <w:ilvl w:val="0"/>
          <w:numId w:val="80"/>
        </w:numPr>
      </w:pPr>
      <w:r w:rsidRPr="005B18A2">
        <w:t>maintain the current CCR volume and extend it to 2029</w:t>
      </w:r>
      <w:r w:rsidR="004B142B">
        <w:t>,</w:t>
      </w:r>
      <w:r w:rsidRPr="005B18A2">
        <w:t xml:space="preserve"> or </w:t>
      </w:r>
    </w:p>
    <w:p w14:paraId="5C510CA5" w14:textId="77777777" w:rsidR="00557A81" w:rsidRPr="0090240B" w:rsidRDefault="00557A81" w:rsidP="00FB08EB">
      <w:pPr>
        <w:pStyle w:val="Bullet"/>
        <w:numPr>
          <w:ilvl w:val="0"/>
          <w:numId w:val="80"/>
        </w:numPr>
      </w:pPr>
      <w:r w:rsidRPr="005B18A2">
        <w:t xml:space="preserve">increase the CCR volume to reflect a reduction in surplus NZUs.  </w:t>
      </w:r>
    </w:p>
    <w:p w14:paraId="2C5F061C" w14:textId="04D828A1" w:rsidR="00557A81" w:rsidRDefault="00557A81" w:rsidP="006934D0">
      <w:pPr>
        <w:pStyle w:val="BodyText"/>
      </w:pPr>
      <w:r w:rsidRPr="005B18A2">
        <w:t>The first option keeps the status quo but does not consider new data showing the size of the surplus has increased. This means if the triggers are reached, only a limited number of units would be sold, and the surplus would</w:t>
      </w:r>
      <w:r>
        <w:t xml:space="preserve"> still</w:t>
      </w:r>
      <w:r w:rsidRPr="005B18A2">
        <w:t xml:space="preserve"> be reduced</w:t>
      </w:r>
      <w:r>
        <w:t xml:space="preserve"> (if surplus reductions are made according to the newly estimated surplus increase)</w:t>
      </w:r>
      <w:r w:rsidRPr="005B18A2">
        <w:t>.</w:t>
      </w:r>
    </w:p>
    <w:p w14:paraId="547A36CA" w14:textId="757FE1FE" w:rsidR="00557A81" w:rsidRPr="005B18A2" w:rsidRDefault="00557A81" w:rsidP="006934D0">
      <w:pPr>
        <w:pStyle w:val="BodyText"/>
        <w:rPr>
          <w:rStyle w:val="normaltextrun"/>
          <w:rFonts w:asciiTheme="minorHAnsi" w:hAnsiTheme="minorHAnsi" w:cstheme="minorHAnsi"/>
          <w:sz w:val="24"/>
          <w:szCs w:val="24"/>
        </w:rPr>
      </w:pPr>
      <w:r w:rsidRPr="005B18A2">
        <w:t xml:space="preserve">The second option would be to increase the number of units on offer in the CCR. This would mean if the CCR is triggered, more units would be released. Rather than reducing the surplus, it would be maintained at the same level. </w:t>
      </w:r>
    </w:p>
    <w:p w14:paraId="380986EE" w14:textId="4D14A948" w:rsidR="00557A81" w:rsidRPr="00B71314" w:rsidRDefault="00557A81" w:rsidP="00CA3497">
      <w:pPr>
        <w:pStyle w:val="Heading2"/>
      </w:pPr>
      <w:bookmarkStart w:id="8" w:name="_Toc166162135"/>
      <w:r w:rsidRPr="0045411B">
        <w:t>Consultation details</w:t>
      </w:r>
      <w:bookmarkEnd w:id="8"/>
    </w:p>
    <w:p w14:paraId="608A3D17" w14:textId="739B5465" w:rsidR="00557A81" w:rsidRPr="006934D0" w:rsidRDefault="00557A81" w:rsidP="006934D0">
      <w:pPr>
        <w:pStyle w:val="BodyText"/>
      </w:pPr>
      <w:r w:rsidRPr="006934D0">
        <w:t>No preferred set of options is identified</w:t>
      </w:r>
      <w:r w:rsidR="00B71314">
        <w:t>;</w:t>
      </w:r>
      <w:r w:rsidRPr="006934D0">
        <w:t xml:space="preserve"> however, this document notes how some options are in closer accordance with emissions budgets and targets than others.</w:t>
      </w:r>
    </w:p>
    <w:p w14:paraId="32567306" w14:textId="6AE78F0B" w:rsidR="00557A81" w:rsidRPr="006934D0" w:rsidRDefault="00557A81" w:rsidP="006934D0">
      <w:pPr>
        <w:pStyle w:val="BodyText"/>
      </w:pPr>
      <w:r w:rsidRPr="006934D0">
        <w:t xml:space="preserve">The consultation will </w:t>
      </w:r>
      <w:r>
        <w:t xml:space="preserve">begin on </w:t>
      </w:r>
      <w:r w:rsidR="00D36E2F">
        <w:t>15</w:t>
      </w:r>
      <w:r w:rsidR="00031005">
        <w:t xml:space="preserve"> May</w:t>
      </w:r>
      <w:r>
        <w:t xml:space="preserve"> </w:t>
      </w:r>
      <w:r w:rsidR="006E3D41">
        <w:t xml:space="preserve">2024 </w:t>
      </w:r>
      <w:r>
        <w:t xml:space="preserve">and close on </w:t>
      </w:r>
      <w:r w:rsidR="00031005">
        <w:t>14 June</w:t>
      </w:r>
      <w:r w:rsidR="006E3D41">
        <w:t xml:space="preserve"> 2024</w:t>
      </w:r>
      <w:r w:rsidRPr="006934D0">
        <w:t>. Following public consultation, and analysis from officials, NZ ETS regulations will be finalised by the end of September 2024. If changes are made to auction settings for 2024, they would not apply until the first NZ ETS auction of 2025.</w:t>
      </w:r>
    </w:p>
    <w:p w14:paraId="39877496" w14:textId="77777777" w:rsidR="00557A81" w:rsidRPr="006934D0" w:rsidRDefault="00557A81" w:rsidP="006934D0">
      <w:pPr>
        <w:pStyle w:val="BodyText"/>
      </w:pPr>
      <w:r w:rsidRPr="006934D0">
        <w:t xml:space="preserve">Submissions and feedback are welcome from anyone with an interest in the NZ ETS. </w:t>
      </w:r>
    </w:p>
    <w:p w14:paraId="6DFD7FB2" w14:textId="77777777" w:rsidR="00557A81" w:rsidRPr="005B18A2" w:rsidRDefault="00557A81" w:rsidP="00FB08EB">
      <w:pPr>
        <w:pStyle w:val="Heading3"/>
      </w:pPr>
      <w:r w:rsidRPr="005B18A2">
        <w:lastRenderedPageBreak/>
        <w:t>Consultation on NZ ETS regulations</w:t>
      </w:r>
    </w:p>
    <w:p w14:paraId="3118B4D2" w14:textId="6A46CFB4" w:rsidR="00557A81" w:rsidRPr="009E4DFF" w:rsidRDefault="00557A81" w:rsidP="009E4DFF">
      <w:pPr>
        <w:pStyle w:val="BodyText"/>
        <w:rPr>
          <w:rStyle w:val="BodyTextChar"/>
        </w:rPr>
      </w:pPr>
      <w:r w:rsidRPr="005B18A2">
        <w:t xml:space="preserve">This consultation is released </w:t>
      </w:r>
      <w:r w:rsidR="00CA3497">
        <w:t>alongside</w:t>
      </w:r>
      <w:r w:rsidR="00CA3497" w:rsidRPr="005B18A2">
        <w:t xml:space="preserve"> </w:t>
      </w:r>
      <w:r w:rsidRPr="005B18A2">
        <w:t>a second consultation document on other routine regulatory updates to the NZ ETS. These are technical or operational matters, which are important to maintaining the efficiency and accuracy of the NZ ETS for specific sectors or groups of participants. You are welcome to submit your feedback on one or both consultations.</w:t>
      </w:r>
    </w:p>
    <w:p w14:paraId="2D6BEF5A" w14:textId="77777777" w:rsidR="00752BD7" w:rsidRPr="009E4DFF" w:rsidRDefault="00752BD7" w:rsidP="009E4DFF">
      <w:pPr>
        <w:pStyle w:val="BodyText"/>
      </w:pPr>
      <w:r w:rsidRPr="009E4DFF">
        <w:br w:type="page"/>
      </w:r>
    </w:p>
    <w:p w14:paraId="48805AF0" w14:textId="68B97289" w:rsidR="001A7C31" w:rsidRDefault="001A7C31" w:rsidP="001A7C31">
      <w:pPr>
        <w:pStyle w:val="Heading1"/>
      </w:pPr>
      <w:bookmarkStart w:id="9" w:name="_Toc163048573"/>
      <w:bookmarkStart w:id="10" w:name="_Toc166162136"/>
      <w:r>
        <w:lastRenderedPageBreak/>
        <w:t>About this consultation</w:t>
      </w:r>
      <w:bookmarkEnd w:id="1"/>
      <w:bookmarkEnd w:id="2"/>
      <w:bookmarkEnd w:id="9"/>
      <w:bookmarkEnd w:id="10"/>
    </w:p>
    <w:p w14:paraId="1B305D34" w14:textId="5C230473" w:rsidR="00BE4AB1" w:rsidRDefault="001A7C31" w:rsidP="00897D5E">
      <w:pPr>
        <w:pStyle w:val="BodyText"/>
      </w:pPr>
      <w:r w:rsidRPr="007837CC">
        <w:t>This consultation</w:t>
      </w:r>
      <w:r>
        <w:t xml:space="preserve"> seeks your views on options for annual updates to New Zealand Emissions Trading Scheme (NZ ETS) unit limits and price control settings </w:t>
      </w:r>
      <w:r w:rsidR="00221528">
        <w:t xml:space="preserve">(NZ ETS settings) </w:t>
      </w:r>
      <w:r>
        <w:t>for 2025</w:t>
      </w:r>
      <w:r w:rsidR="005D0F87">
        <w:t>–</w:t>
      </w:r>
      <w:r>
        <w:t xml:space="preserve">29. </w:t>
      </w:r>
    </w:p>
    <w:p w14:paraId="34662080" w14:textId="466E983A" w:rsidR="00BE4AB1" w:rsidRDefault="003619F3" w:rsidP="00897D5E">
      <w:pPr>
        <w:pStyle w:val="BodyText"/>
      </w:pPr>
      <w:r>
        <w:t xml:space="preserve">The </w:t>
      </w:r>
      <w:r w:rsidR="00BE4AB1">
        <w:t xml:space="preserve">NZ ETS is the key tool to help New Zealand meet its emissions budgets, the Nationally Determined Contribution (the NDC), and the 2050 target. </w:t>
      </w:r>
      <w:r w:rsidR="007A0041">
        <w:t xml:space="preserve">Updating NZ ETS settings every year helps New Zealand stay on track to meet </w:t>
      </w:r>
      <w:r w:rsidR="00BE4AB1">
        <w:t>th</w:t>
      </w:r>
      <w:r w:rsidR="009D6347">
        <w:t>o</w:t>
      </w:r>
      <w:r w:rsidR="00BE4AB1">
        <w:t xml:space="preserve">se emissions budgets and targets. </w:t>
      </w:r>
    </w:p>
    <w:p w14:paraId="53E69628" w14:textId="27B70B50" w:rsidR="00897D5E" w:rsidRDefault="001A7C31" w:rsidP="00897D5E">
      <w:pPr>
        <w:pStyle w:val="BodyText"/>
      </w:pPr>
      <w:r>
        <w:t>This is</w:t>
      </w:r>
      <w:r w:rsidRPr="007837CC">
        <w:t xml:space="preserve"> the </w:t>
      </w:r>
      <w:r>
        <w:t>fourth</w:t>
      </w:r>
      <w:r w:rsidRPr="007837CC">
        <w:t xml:space="preserve"> year that these settings will be updated since 2020.</w:t>
      </w:r>
      <w:r w:rsidR="00897D5E">
        <w:t xml:space="preserve"> NZ ETS settings must be updated by the end of September </w:t>
      </w:r>
      <w:r w:rsidR="008944E9">
        <w:t xml:space="preserve">each </w:t>
      </w:r>
      <w:r w:rsidR="00897D5E">
        <w:t>year</w:t>
      </w:r>
      <w:r w:rsidR="00836FC1">
        <w:t>,</w:t>
      </w:r>
      <w:r w:rsidR="00DB6B13">
        <w:t xml:space="preserve"> after consultation</w:t>
      </w:r>
      <w:r w:rsidR="00897D5E">
        <w:t>.</w:t>
      </w:r>
    </w:p>
    <w:p w14:paraId="73226EA9" w14:textId="6F2E3991" w:rsidR="007874C6" w:rsidRDefault="0048015E" w:rsidP="00897D5E">
      <w:pPr>
        <w:pStyle w:val="BodyText"/>
      </w:pPr>
      <w:r>
        <w:t xml:space="preserve">The Climate Change Response Act 2002 (the Act) </w:t>
      </w:r>
      <w:r w:rsidR="00DC2929">
        <w:t xml:space="preserve">establishes the process for updating NZ ETS settings. The Act requires that </w:t>
      </w:r>
      <w:r w:rsidR="00897D5E">
        <w:t>NZ ETS settings</w:t>
      </w:r>
      <w:r w:rsidR="00897D5E" w:rsidDel="00DC2929">
        <w:t xml:space="preserve"> </w:t>
      </w:r>
      <w:r w:rsidR="00897D5E">
        <w:t>accord with New Zealand’s emissions budgets</w:t>
      </w:r>
      <w:r w:rsidR="00FF69EE">
        <w:t>,</w:t>
      </w:r>
      <w:r w:rsidR="004B49B6">
        <w:t xml:space="preserve"> </w:t>
      </w:r>
      <w:r w:rsidR="007A0041">
        <w:t>NDC</w:t>
      </w:r>
      <w:r w:rsidR="003835E4">
        <w:t>s</w:t>
      </w:r>
      <w:r w:rsidR="007A0041">
        <w:t>,</w:t>
      </w:r>
      <w:r w:rsidR="00897D5E">
        <w:t xml:space="preserve"> and the 2050 target</w:t>
      </w:r>
      <w:r w:rsidR="00856B8E">
        <w:t xml:space="preserve">. </w:t>
      </w:r>
      <w:r w:rsidR="00F544F2">
        <w:t>I</w:t>
      </w:r>
      <w:r w:rsidR="007874C6" w:rsidRPr="007874C6">
        <w:t xml:space="preserve">f settings are not in strict accordance with </w:t>
      </w:r>
      <w:r w:rsidR="007874C6">
        <w:t xml:space="preserve">emissions </w:t>
      </w:r>
      <w:r w:rsidR="007874C6" w:rsidRPr="007874C6">
        <w:t>budgets or NDC</w:t>
      </w:r>
      <w:r w:rsidR="009A1826">
        <w:t>s</w:t>
      </w:r>
      <w:r w:rsidR="00D4646F">
        <w:t>,</w:t>
      </w:r>
      <w:r w:rsidR="007874C6" w:rsidRPr="007874C6">
        <w:t xml:space="preserve"> any departure </w:t>
      </w:r>
      <w:r w:rsidR="007874C6">
        <w:t xml:space="preserve">must be justified </w:t>
      </w:r>
      <w:r w:rsidR="00076135">
        <w:t xml:space="preserve">with reference to the </w:t>
      </w:r>
      <w:r w:rsidR="004C12E5">
        <w:t>consideration</w:t>
      </w:r>
      <w:r w:rsidR="007874C6">
        <w:t>s</w:t>
      </w:r>
      <w:r w:rsidR="004C12E5">
        <w:t xml:space="preserve"> listed in the Act</w:t>
      </w:r>
      <w:r w:rsidR="00DC2929">
        <w:t xml:space="preserve"> (</w:t>
      </w:r>
      <w:r w:rsidR="007874C6" w:rsidDel="001D391D">
        <w:t>s</w:t>
      </w:r>
      <w:r w:rsidR="007874C6">
        <w:t>ee</w:t>
      </w:r>
      <w:r w:rsidR="003C3408">
        <w:t xml:space="preserve"> </w:t>
      </w:r>
      <w:r w:rsidR="00647B05">
        <w:t xml:space="preserve">the </w:t>
      </w:r>
      <w:hyperlink w:anchor="_Objectives_–_accordance" w:history="1">
        <w:r w:rsidR="00D11057" w:rsidRPr="00D11057">
          <w:rPr>
            <w:rStyle w:val="Hyperlink"/>
          </w:rPr>
          <w:t>Objectives – accordance test section</w:t>
        </w:r>
      </w:hyperlink>
      <w:r w:rsidR="008B1760">
        <w:t>)</w:t>
      </w:r>
      <w:r w:rsidR="007874C6" w:rsidRPr="007874C6">
        <w:t>. Collectively, these are the ‘accordance test’</w:t>
      </w:r>
      <w:r w:rsidR="007874C6">
        <w:t>.</w:t>
      </w:r>
    </w:p>
    <w:p w14:paraId="2A59B815" w14:textId="5B866E2C" w:rsidR="00290F9A" w:rsidRPr="007837CC" w:rsidRDefault="00CB0D70" w:rsidP="001A7C31">
      <w:pPr>
        <w:pStyle w:val="BodyText"/>
      </w:pPr>
      <w:r>
        <w:t xml:space="preserve">The </w:t>
      </w:r>
      <w:r w:rsidR="00856B8E">
        <w:t xml:space="preserve">options presented in this consultation document </w:t>
      </w:r>
      <w:r>
        <w:t xml:space="preserve">have been </w:t>
      </w:r>
      <w:r w:rsidR="00C11278">
        <w:t xml:space="preserve">assessed </w:t>
      </w:r>
      <w:r w:rsidR="00856B8E" w:rsidRPr="00856B8E">
        <w:t xml:space="preserve">against </w:t>
      </w:r>
      <w:r w:rsidR="00D4646F">
        <w:t>the accordance test</w:t>
      </w:r>
      <w:r w:rsidR="00856B8E" w:rsidRPr="00856B8E">
        <w:t xml:space="preserve"> based on currently available evidence</w:t>
      </w:r>
      <w:r w:rsidR="003C3408">
        <w:t xml:space="preserve"> and information</w:t>
      </w:r>
      <w:r w:rsidR="00107F18">
        <w:t xml:space="preserve"> </w:t>
      </w:r>
      <w:r w:rsidR="007C338F">
        <w:t>(see</w:t>
      </w:r>
      <w:r w:rsidR="00195F3A">
        <w:t xml:space="preserve"> the</w:t>
      </w:r>
      <w:r w:rsidR="007C338F">
        <w:t xml:space="preserve"> </w:t>
      </w:r>
      <w:hyperlink w:anchor="_Accordance_with_emissions" w:history="1">
        <w:r w:rsidR="00E50B85" w:rsidRPr="00195F3A">
          <w:rPr>
            <w:rStyle w:val="Hyperlink"/>
          </w:rPr>
          <w:t>Accordance with emissions budgets</w:t>
        </w:r>
      </w:hyperlink>
      <w:r w:rsidR="00E50B85">
        <w:t xml:space="preserve"> </w:t>
      </w:r>
      <w:r w:rsidR="00195F3A">
        <w:t>section</w:t>
      </w:r>
      <w:r w:rsidR="007C338F">
        <w:t>)</w:t>
      </w:r>
      <w:r w:rsidR="00E50B85">
        <w:t xml:space="preserve">. </w:t>
      </w:r>
      <w:r w:rsidR="00E50B85" w:rsidRPr="00E50B85">
        <w:t>We are seeking your feedback on those options and asking if you have other options</w:t>
      </w:r>
      <w:r w:rsidR="002F7B73">
        <w:t>,</w:t>
      </w:r>
      <w:r w:rsidR="00FF080B">
        <w:t xml:space="preserve"> with supporting </w:t>
      </w:r>
      <w:r w:rsidR="00FF080B" w:rsidRPr="00E50B85">
        <w:t>evidence</w:t>
      </w:r>
      <w:r w:rsidR="00E50B85" w:rsidRPr="00E50B85">
        <w:t xml:space="preserve">, </w:t>
      </w:r>
      <w:r w:rsidR="005036A5">
        <w:t>that meet</w:t>
      </w:r>
      <w:r w:rsidR="00E50B85" w:rsidRPr="00E50B85">
        <w:t xml:space="preserve"> </w:t>
      </w:r>
      <w:r w:rsidR="00E50B85">
        <w:t>the accordance test</w:t>
      </w:r>
      <w:r w:rsidR="00E50B85" w:rsidRPr="00E50B85">
        <w:t xml:space="preserve">. </w:t>
      </w:r>
    </w:p>
    <w:p w14:paraId="0F8CDAC7" w14:textId="22CE0F68" w:rsidR="001A7C31" w:rsidRDefault="005577D6" w:rsidP="001A7C31">
      <w:pPr>
        <w:pStyle w:val="BodyText"/>
        <w:rPr>
          <w:highlight w:val="yellow"/>
        </w:rPr>
      </w:pPr>
      <w:r>
        <w:t>W</w:t>
      </w:r>
      <w:r w:rsidR="001A7C31">
        <w:t>e are also consulting on updates to</w:t>
      </w:r>
      <w:r w:rsidR="001A7C31" w:rsidRPr="0012373E">
        <w:t xml:space="preserve"> </w:t>
      </w:r>
      <w:r w:rsidR="001A7C31">
        <w:t xml:space="preserve">other </w:t>
      </w:r>
      <w:r w:rsidR="00FF080B">
        <w:t xml:space="preserve">NZ ETS </w:t>
      </w:r>
      <w:r w:rsidR="001A7C31" w:rsidRPr="0012373E">
        <w:t xml:space="preserve">regulations </w:t>
      </w:r>
      <w:r w:rsidR="001A7C31">
        <w:t xml:space="preserve">to support </w:t>
      </w:r>
      <w:r w:rsidR="00310132">
        <w:t xml:space="preserve">the scheme </w:t>
      </w:r>
      <w:r w:rsidR="001A7C31">
        <w:t>to run efficiently and accurately</w:t>
      </w:r>
      <w:r w:rsidR="001A7C31" w:rsidRPr="0012373E">
        <w:t>.</w:t>
      </w:r>
      <w:r w:rsidR="001A7C31">
        <w:t xml:space="preserve"> Those proposals are presented in their own </w:t>
      </w:r>
      <w:hyperlink r:id="rId22" w:history="1">
        <w:r w:rsidR="001A7C31" w:rsidRPr="00897BA9">
          <w:rPr>
            <w:rStyle w:val="Hyperlink"/>
          </w:rPr>
          <w:t>consultation document</w:t>
        </w:r>
      </w:hyperlink>
      <w:r w:rsidR="5D2FD46B">
        <w:t>.</w:t>
      </w:r>
    </w:p>
    <w:p w14:paraId="29B1CF26" w14:textId="77777777" w:rsidR="001A7C31" w:rsidRDefault="001A7C31" w:rsidP="00CA3497">
      <w:pPr>
        <w:pStyle w:val="Heading2"/>
      </w:pPr>
      <w:bookmarkStart w:id="11" w:name="_Toc161831659"/>
      <w:bookmarkStart w:id="12" w:name="_Toc161762870"/>
      <w:bookmarkStart w:id="13" w:name="_Toc163048574"/>
      <w:bookmarkStart w:id="14" w:name="_Toc166162137"/>
      <w:r>
        <w:t>Scope of this consultation</w:t>
      </w:r>
      <w:bookmarkEnd w:id="11"/>
      <w:bookmarkEnd w:id="12"/>
      <w:bookmarkEnd w:id="13"/>
      <w:bookmarkEnd w:id="14"/>
    </w:p>
    <w:p w14:paraId="2564A9E4" w14:textId="5631DD99" w:rsidR="001A7C31" w:rsidRDefault="508AB467" w:rsidP="001A7C31">
      <w:pPr>
        <w:pStyle w:val="BodyText"/>
      </w:pPr>
      <w:r>
        <w:t>This consultation focuses</w:t>
      </w:r>
      <w:r w:rsidR="001A7C31">
        <w:t xml:space="preserve"> on options for NZ ETS unit limit and price control settings for </w:t>
      </w:r>
      <w:r w:rsidR="00C94631">
        <w:br/>
      </w:r>
      <w:r w:rsidR="001A7C31">
        <w:t>2025</w:t>
      </w:r>
      <w:r w:rsidR="002A2CE8">
        <w:t>–</w:t>
      </w:r>
      <w:r w:rsidR="001A7C31">
        <w:t xml:space="preserve">29. </w:t>
      </w:r>
    </w:p>
    <w:p w14:paraId="21D65570" w14:textId="77777777" w:rsidR="001A7C31" w:rsidRDefault="001A7C31" w:rsidP="001A7C31">
      <w:pPr>
        <w:pStyle w:val="BodyText"/>
      </w:pPr>
      <w:r>
        <w:t>The consultation does not include:</w:t>
      </w:r>
    </w:p>
    <w:p w14:paraId="369879B6" w14:textId="5441011F" w:rsidR="001A7C31" w:rsidRDefault="23975AA1" w:rsidP="00864FCB">
      <w:pPr>
        <w:pStyle w:val="Bullet"/>
      </w:pPr>
      <w:r>
        <w:t>r</w:t>
      </w:r>
      <w:r w:rsidR="001A7C31">
        <w:t>eassessment</w:t>
      </w:r>
      <w:r w:rsidR="001A7C31" w:rsidRPr="009D0F1E">
        <w:t xml:space="preserve"> of </w:t>
      </w:r>
      <w:r w:rsidR="00095BCD">
        <w:t xml:space="preserve">Aotearoa </w:t>
      </w:r>
      <w:r w:rsidR="1A4FA136">
        <w:t>New Zealand’s</w:t>
      </w:r>
      <w:r w:rsidR="001A7C31" w:rsidRPr="009D0F1E">
        <w:t xml:space="preserve"> level of or commitment to </w:t>
      </w:r>
      <w:r w:rsidR="5991C0D9">
        <w:t>our</w:t>
      </w:r>
      <w:r w:rsidR="001A7C31" w:rsidRPr="009D0F1E">
        <w:t xml:space="preserve"> international obligations, emissions</w:t>
      </w:r>
      <w:r w:rsidR="001A7C31">
        <w:t xml:space="preserve"> budgets, </w:t>
      </w:r>
      <w:r w:rsidR="00F10C48">
        <w:t>N</w:t>
      </w:r>
      <w:r w:rsidR="38F1B626">
        <w:t xml:space="preserve">ationally </w:t>
      </w:r>
      <w:r w:rsidR="00F10C48">
        <w:t>D</w:t>
      </w:r>
      <w:r w:rsidR="38F1B626">
        <w:t xml:space="preserve">etermined </w:t>
      </w:r>
      <w:r w:rsidR="00F10C48">
        <w:t>C</w:t>
      </w:r>
      <w:r w:rsidR="38F1B626">
        <w:t>ontribution (NDC)</w:t>
      </w:r>
      <w:r w:rsidR="00004951">
        <w:t>,</w:t>
      </w:r>
      <w:r w:rsidR="38F1B626">
        <w:t xml:space="preserve"> </w:t>
      </w:r>
      <w:r w:rsidR="001A7C31">
        <w:t xml:space="preserve">or 2050 target </w:t>
      </w:r>
      <w:r w:rsidR="1DC73DFD">
        <w:t>(</w:t>
      </w:r>
      <w:r w:rsidR="001A7C31">
        <w:t>which the proposed changes are intended to support</w:t>
      </w:r>
      <w:r w:rsidR="576EF949">
        <w:t>)</w:t>
      </w:r>
      <w:r w:rsidRPr="00855C16">
        <w:rPr>
          <w:rStyle w:val="FootnoteReference"/>
          <w:color w:val="auto"/>
        </w:rPr>
        <w:footnoteReference w:id="2"/>
      </w:r>
    </w:p>
    <w:p w14:paraId="235F4D32" w14:textId="0A6DEF84" w:rsidR="001A7C31" w:rsidRDefault="576EF949" w:rsidP="00864FCB">
      <w:pPr>
        <w:pStyle w:val="Bullet"/>
      </w:pPr>
      <w:r>
        <w:t>a</w:t>
      </w:r>
      <w:r w:rsidR="001A7C31">
        <w:t xml:space="preserve">ny changes to the overarching architecture or purpose of the NZ ETS, as provided for in the </w:t>
      </w:r>
      <w:r w:rsidR="412660C9">
        <w:t>Climate Change Response Act 2002</w:t>
      </w:r>
      <w:r w:rsidR="25522732">
        <w:t>.</w:t>
      </w:r>
    </w:p>
    <w:p w14:paraId="36075ED2" w14:textId="0B09CF46" w:rsidR="00897DC3" w:rsidRDefault="006616FE" w:rsidP="00897DC3">
      <w:pPr>
        <w:pStyle w:val="BodyText"/>
      </w:pPr>
      <w:bookmarkStart w:id="15" w:name="_Toc161831660"/>
      <w:bookmarkStart w:id="16" w:name="_Toc161762871"/>
      <w:r w:rsidRPr="006616FE">
        <w:t xml:space="preserve">The options presented in this consultation document are based on the information and decisions that are available at </w:t>
      </w:r>
      <w:r>
        <w:t>the time of writing,</w:t>
      </w:r>
      <w:r w:rsidRPr="006616FE">
        <w:t xml:space="preserve"> including the first emissions reduction plan</w:t>
      </w:r>
      <w:r>
        <w:t xml:space="preserve"> and the 2023 Greenhouse Gas Inventory</w:t>
      </w:r>
      <w:r w:rsidRPr="006616FE">
        <w:t>. The Government is developing its strategy for the second emissions reduction plan. Consultation on the second emissions reduction plan is expected to begin in mid-2024, with publication by the end of this year. Final decisions on</w:t>
      </w:r>
      <w:r w:rsidR="00F6714C">
        <w:t xml:space="preserve"> </w:t>
      </w:r>
      <w:r w:rsidRPr="006616FE">
        <w:t>NZ</w:t>
      </w:r>
      <w:r w:rsidR="00875FE7">
        <w:t> </w:t>
      </w:r>
      <w:r w:rsidRPr="006616FE">
        <w:t xml:space="preserve">ETS settings will be informed by the information that is available at the time. </w:t>
      </w:r>
      <w:bookmarkStart w:id="17" w:name="_Toc163048575"/>
    </w:p>
    <w:p w14:paraId="1A213AAD" w14:textId="7AA2ED4A" w:rsidR="001A7C31" w:rsidRPr="007837CC" w:rsidRDefault="001A7C31" w:rsidP="00CA3497">
      <w:pPr>
        <w:pStyle w:val="Heading2"/>
      </w:pPr>
      <w:bookmarkStart w:id="18" w:name="_Toc166162138"/>
      <w:r w:rsidRPr="007837CC">
        <w:lastRenderedPageBreak/>
        <w:t>Your views</w:t>
      </w:r>
      <w:bookmarkEnd w:id="15"/>
      <w:bookmarkEnd w:id="16"/>
      <w:bookmarkEnd w:id="17"/>
      <w:bookmarkEnd w:id="18"/>
    </w:p>
    <w:p w14:paraId="07D4CB94" w14:textId="6D14FC53" w:rsidR="001A7C31" w:rsidRDefault="001A7C31" w:rsidP="001A7C31">
      <w:pPr>
        <w:pStyle w:val="BodyText"/>
      </w:pPr>
      <w:r>
        <w:t>We welcome</w:t>
      </w:r>
      <w:r w:rsidRPr="007837CC">
        <w:t xml:space="preserve"> your feedback on the </w:t>
      </w:r>
      <w:r>
        <w:t xml:space="preserve">questions </w:t>
      </w:r>
      <w:r w:rsidRPr="007837CC">
        <w:t xml:space="preserve">in this consultation document. </w:t>
      </w:r>
      <w:r w:rsidR="526C1634">
        <w:t>The end of each section contains relevant</w:t>
      </w:r>
      <w:r>
        <w:t xml:space="preserve"> questions</w:t>
      </w:r>
      <w:r w:rsidR="103E1ECE">
        <w:t>, which</w:t>
      </w:r>
      <w:r>
        <w:t xml:space="preserve"> are</w:t>
      </w:r>
      <w:r w:rsidR="00C3524B">
        <w:t xml:space="preserve"> also</w:t>
      </w:r>
      <w:r>
        <w:t xml:space="preserve"> </w:t>
      </w:r>
      <w:r w:rsidR="55A40902">
        <w:t xml:space="preserve">collated </w:t>
      </w:r>
      <w:r w:rsidR="001B39FC">
        <w:t xml:space="preserve">in </w:t>
      </w:r>
      <w:r w:rsidR="00653B44">
        <w:t xml:space="preserve">the </w:t>
      </w:r>
      <w:hyperlink w:anchor="_Consultation_questions" w:history="1">
        <w:r w:rsidR="55A40902" w:rsidRPr="00653B44">
          <w:rPr>
            <w:rStyle w:val="Hyperlink"/>
          </w:rPr>
          <w:t>Consultation questions</w:t>
        </w:r>
      </w:hyperlink>
      <w:r w:rsidR="00653B44">
        <w:t xml:space="preserve"> section</w:t>
      </w:r>
      <w:r>
        <w:t xml:space="preserve">. </w:t>
      </w:r>
    </w:p>
    <w:p w14:paraId="0992A03F" w14:textId="21C1B102" w:rsidR="001A7C31" w:rsidRDefault="00653B44" w:rsidP="001A7C31">
      <w:pPr>
        <w:pStyle w:val="BodyText"/>
      </w:pPr>
      <w:r>
        <w:t>T</w:t>
      </w:r>
      <w:r w:rsidR="5D89A8E0">
        <w:t>he</w:t>
      </w:r>
      <w:r w:rsidR="001A7C31">
        <w:t xml:space="preserve"> </w:t>
      </w:r>
      <w:hyperlink w:anchor="_How_to_have" w:history="1">
        <w:r w:rsidR="7915736C" w:rsidRPr="00653B44">
          <w:rPr>
            <w:rStyle w:val="Hyperlink"/>
          </w:rPr>
          <w:t>H</w:t>
        </w:r>
        <w:r w:rsidR="001A7C31" w:rsidRPr="00653B44">
          <w:rPr>
            <w:rStyle w:val="Hyperlink"/>
          </w:rPr>
          <w:t>ow to have your say</w:t>
        </w:r>
      </w:hyperlink>
      <w:r w:rsidR="34C4DB8C">
        <w:t xml:space="preserve"> section </w:t>
      </w:r>
      <w:r>
        <w:t xml:space="preserve">provides </w:t>
      </w:r>
      <w:r w:rsidR="001A7C31">
        <w:t xml:space="preserve">information </w:t>
      </w:r>
      <w:r w:rsidR="53B2B280">
        <w:t>on</w:t>
      </w:r>
      <w:r w:rsidR="001A7C31">
        <w:t xml:space="preserve"> how to </w:t>
      </w:r>
      <w:r w:rsidR="00A42089">
        <w:t>send us your feedback</w:t>
      </w:r>
      <w:r w:rsidR="001A7C31">
        <w:t>.</w:t>
      </w:r>
    </w:p>
    <w:p w14:paraId="6203DB6A" w14:textId="77777777" w:rsidR="001A7C31" w:rsidRDefault="001A7C31" w:rsidP="00CA3497">
      <w:pPr>
        <w:pStyle w:val="Heading2"/>
      </w:pPr>
      <w:bookmarkStart w:id="19" w:name="_Toc161831661"/>
      <w:bookmarkStart w:id="20" w:name="_Toc161762872"/>
      <w:bookmarkStart w:id="21" w:name="_Toc163048576"/>
      <w:bookmarkStart w:id="22" w:name="_Toc166162139"/>
      <w:r>
        <w:t>Consultation process</w:t>
      </w:r>
      <w:bookmarkEnd w:id="19"/>
      <w:bookmarkEnd w:id="20"/>
      <w:bookmarkEnd w:id="21"/>
      <w:bookmarkEnd w:id="22"/>
    </w:p>
    <w:p w14:paraId="6FAF7F24" w14:textId="1C36F69F" w:rsidR="00827F72" w:rsidRDefault="00FD401D" w:rsidP="00E64EF7">
      <w:pPr>
        <w:pStyle w:val="BodyText"/>
      </w:pPr>
      <w:r>
        <w:t xml:space="preserve">The </w:t>
      </w:r>
      <w:r w:rsidR="001A7C31" w:rsidRPr="005B7AD0">
        <w:t>consultation</w:t>
      </w:r>
      <w:r w:rsidR="00D13EE5">
        <w:t xml:space="preserve"> for </w:t>
      </w:r>
      <w:r w:rsidR="001C7671">
        <w:t>this document and for proposals relating to other regulations relating to the N</w:t>
      </w:r>
      <w:r w:rsidR="00875A3B">
        <w:t>Z</w:t>
      </w:r>
      <w:r w:rsidR="000E443E">
        <w:t xml:space="preserve"> ETS </w:t>
      </w:r>
      <w:r w:rsidR="001A7C31" w:rsidRPr="005B7AD0">
        <w:t>will close at 5</w:t>
      </w:r>
      <w:r w:rsidR="001A7C31">
        <w:t>:00</w:t>
      </w:r>
      <w:r w:rsidR="001A7C31" w:rsidRPr="005B7AD0">
        <w:t xml:space="preserve"> pm on </w:t>
      </w:r>
      <w:r w:rsidR="005F5DA0" w:rsidRPr="00B21B49">
        <w:t xml:space="preserve">14 June </w:t>
      </w:r>
      <w:r w:rsidR="001A7C31" w:rsidRPr="00B21B49">
        <w:t>2024.</w:t>
      </w:r>
      <w:r w:rsidR="001A7C31" w:rsidRPr="005B7AD0">
        <w:t xml:space="preserve"> </w:t>
      </w:r>
    </w:p>
    <w:p w14:paraId="6F83F7BD" w14:textId="7E3E9927" w:rsidR="00CE0897" w:rsidRDefault="0052200B" w:rsidP="00E64EF7">
      <w:pPr>
        <w:pStyle w:val="BodyText"/>
      </w:pPr>
      <w:r>
        <w:t xml:space="preserve">Once we have considered </w:t>
      </w:r>
      <w:r w:rsidR="001A7C31" w:rsidRPr="005B7AD0">
        <w:t xml:space="preserve">submissions, </w:t>
      </w:r>
      <w:r w:rsidR="001A7C31">
        <w:t>decisions will be made</w:t>
      </w:r>
      <w:r w:rsidR="001A7C31" w:rsidRPr="005B7AD0">
        <w:t xml:space="preserve"> </w:t>
      </w:r>
      <w:r w:rsidR="00566EBA">
        <w:t>by</w:t>
      </w:r>
      <w:r w:rsidR="001A7C31" w:rsidRPr="005B7AD0">
        <w:t xml:space="preserve"> the Minister </w:t>
      </w:r>
      <w:r w:rsidR="001A7C31">
        <w:t>of Climate Change (the Minister)</w:t>
      </w:r>
      <w:r w:rsidR="001A7C31" w:rsidRPr="005B7AD0">
        <w:t xml:space="preserve"> and Cabinet. Following Cabinet </w:t>
      </w:r>
      <w:r w:rsidR="001A7C31">
        <w:t>decisions</w:t>
      </w:r>
      <w:r w:rsidR="001A7C31" w:rsidRPr="005B7AD0">
        <w:t xml:space="preserve">, any new regulations or amendments to existing regulations will be published in the New Zealand Gazette by </w:t>
      </w:r>
      <w:r w:rsidR="001A7C31">
        <w:t>30</w:t>
      </w:r>
      <w:r w:rsidR="009006ED">
        <w:t> </w:t>
      </w:r>
      <w:r w:rsidR="001A7C31">
        <w:t xml:space="preserve">September 2024 and </w:t>
      </w:r>
      <w:r w:rsidR="10250283">
        <w:t>will</w:t>
      </w:r>
      <w:r w:rsidR="001A7C31">
        <w:t xml:space="preserve"> </w:t>
      </w:r>
      <w:r w:rsidR="001A7C31" w:rsidRPr="005B7AD0">
        <w:t xml:space="preserve">come into force from </w:t>
      </w:r>
      <w:r w:rsidR="001A7C31">
        <w:t>1</w:t>
      </w:r>
      <w:r w:rsidR="001A7C31" w:rsidRPr="005B7AD0">
        <w:t xml:space="preserve"> January 202</w:t>
      </w:r>
      <w:r w:rsidR="001A7C31">
        <w:t>5</w:t>
      </w:r>
      <w:r w:rsidR="001A7C31" w:rsidRPr="005B7AD0">
        <w:t>.</w:t>
      </w:r>
    </w:p>
    <w:p w14:paraId="6EB4BE22" w14:textId="29A6652B" w:rsidR="001A7C31" w:rsidRPr="007A785C" w:rsidRDefault="001A7C31" w:rsidP="00E64EF7">
      <w:pPr>
        <w:pStyle w:val="BodyText"/>
      </w:pPr>
      <w:r>
        <w:br w:type="page"/>
      </w:r>
    </w:p>
    <w:p w14:paraId="26EF2034" w14:textId="77777777" w:rsidR="001A7C31" w:rsidRDefault="001A7C31" w:rsidP="001A7C31">
      <w:pPr>
        <w:pStyle w:val="Heading1"/>
      </w:pPr>
      <w:bookmarkStart w:id="23" w:name="_Toc161831662"/>
      <w:bookmarkStart w:id="24" w:name="_Toc161762873"/>
      <w:bookmarkStart w:id="25" w:name="_Toc163048577"/>
      <w:bookmarkStart w:id="26" w:name="_Toc166162140"/>
      <w:r>
        <w:lastRenderedPageBreak/>
        <w:t>Background</w:t>
      </w:r>
      <w:bookmarkEnd w:id="23"/>
      <w:bookmarkEnd w:id="24"/>
      <w:bookmarkEnd w:id="25"/>
      <w:bookmarkEnd w:id="26"/>
    </w:p>
    <w:p w14:paraId="3EB33C7D" w14:textId="77777777" w:rsidR="001A7C31" w:rsidRDefault="001A7C31" w:rsidP="00CA3497">
      <w:pPr>
        <w:pStyle w:val="Heading2"/>
      </w:pPr>
      <w:bookmarkStart w:id="27" w:name="_Toc161831663"/>
      <w:bookmarkStart w:id="28" w:name="_Toc161762874"/>
      <w:bookmarkStart w:id="29" w:name="_Toc163048578"/>
      <w:bookmarkStart w:id="30" w:name="_Toc166162141"/>
      <w:r>
        <w:t>The role of the NZ ETS</w:t>
      </w:r>
      <w:bookmarkEnd w:id="27"/>
      <w:bookmarkEnd w:id="28"/>
      <w:bookmarkEnd w:id="29"/>
      <w:bookmarkEnd w:id="30"/>
    </w:p>
    <w:p w14:paraId="7D2459D4" w14:textId="01DCE320" w:rsidR="001A7C31" w:rsidRPr="007837CC" w:rsidRDefault="001A7C31" w:rsidP="001A7C31">
      <w:pPr>
        <w:pStyle w:val="BodyText"/>
      </w:pPr>
      <w:r>
        <w:t xml:space="preserve">The NZ ETS is the Government’s key tool to </w:t>
      </w:r>
      <w:r w:rsidRPr="007837CC">
        <w:t xml:space="preserve">help New Zealand meet its: </w:t>
      </w:r>
    </w:p>
    <w:p w14:paraId="769712B9" w14:textId="4965DC5E" w:rsidR="001A7C31" w:rsidRPr="007837CC" w:rsidRDefault="001A7C31" w:rsidP="009745E1">
      <w:pPr>
        <w:pStyle w:val="Bullet"/>
        <w:spacing w:after="80"/>
        <w:rPr>
          <w:rFonts w:eastAsia="Calibri"/>
        </w:rPr>
      </w:pPr>
      <w:r w:rsidRPr="007837CC">
        <w:rPr>
          <w:rFonts w:eastAsia="Calibri"/>
        </w:rPr>
        <w:t xml:space="preserve">international obligations under the </w:t>
      </w:r>
      <w:r>
        <w:rPr>
          <w:rFonts w:eastAsia="Calibri"/>
        </w:rPr>
        <w:t xml:space="preserve">United Nations Framework Convention on Climate Change and its </w:t>
      </w:r>
      <w:r w:rsidRPr="007837CC">
        <w:rPr>
          <w:rFonts w:eastAsia="Calibri"/>
        </w:rPr>
        <w:t>Paris Agreement</w:t>
      </w:r>
    </w:p>
    <w:p w14:paraId="1CB63507" w14:textId="34ED62E6" w:rsidR="001A7C31" w:rsidRPr="007837CC" w:rsidRDefault="001A7C31" w:rsidP="009745E1">
      <w:pPr>
        <w:pStyle w:val="Bullet"/>
        <w:spacing w:after="80"/>
        <w:rPr>
          <w:rFonts w:eastAsia="Calibri"/>
        </w:rPr>
      </w:pPr>
      <w:r w:rsidRPr="007837CC">
        <w:rPr>
          <w:rFonts w:eastAsia="Calibri"/>
        </w:rPr>
        <w:t>2050 target</w:t>
      </w:r>
      <w:r w:rsidR="6DF86BA1" w:rsidRPr="453A2FE5">
        <w:rPr>
          <w:rFonts w:eastAsia="Calibri"/>
        </w:rPr>
        <w:t>:</w:t>
      </w:r>
      <w:r>
        <w:rPr>
          <w:rFonts w:eastAsia="Calibri"/>
        </w:rPr>
        <w:t xml:space="preserve"> net zero greenhouse gas emissions (except biogenic methane) and a </w:t>
      </w:r>
      <w:r w:rsidR="00BD4AD9">
        <w:rPr>
          <w:rFonts w:eastAsia="Calibri"/>
        </w:rPr>
        <w:br/>
      </w:r>
      <w:r>
        <w:rPr>
          <w:rFonts w:eastAsia="Calibri"/>
        </w:rPr>
        <w:t>24</w:t>
      </w:r>
      <w:r w:rsidR="5EC6C77F" w:rsidRPr="0264DBD7">
        <w:rPr>
          <w:rFonts w:eastAsia="Calibri"/>
        </w:rPr>
        <w:t xml:space="preserve"> </w:t>
      </w:r>
      <w:r w:rsidR="5EC6C77F" w:rsidRPr="74502F9D">
        <w:rPr>
          <w:rFonts w:eastAsia="Calibri"/>
        </w:rPr>
        <w:t xml:space="preserve">to </w:t>
      </w:r>
      <w:r>
        <w:rPr>
          <w:rFonts w:eastAsia="Calibri"/>
        </w:rPr>
        <w:t xml:space="preserve">47 </w:t>
      </w:r>
      <w:r w:rsidR="4F87405A" w:rsidRPr="68308480">
        <w:rPr>
          <w:rFonts w:eastAsia="Calibri"/>
        </w:rPr>
        <w:t>per cent</w:t>
      </w:r>
      <w:r w:rsidRPr="68308480">
        <w:rPr>
          <w:rFonts w:eastAsia="Calibri"/>
        </w:rPr>
        <w:t xml:space="preserve"> </w:t>
      </w:r>
      <w:r>
        <w:rPr>
          <w:rFonts w:eastAsia="Calibri"/>
        </w:rPr>
        <w:t>reduction in biogenic methane</w:t>
      </w:r>
    </w:p>
    <w:p w14:paraId="151CFDBA" w14:textId="6B49D121" w:rsidR="001A7C31" w:rsidRPr="00161B39" w:rsidRDefault="001A7C31" w:rsidP="009745E1">
      <w:pPr>
        <w:pStyle w:val="Bullet"/>
        <w:spacing w:after="80"/>
        <w:rPr>
          <w:rFonts w:eastAsia="Calibri"/>
        </w:rPr>
      </w:pPr>
      <w:r w:rsidRPr="007837CC">
        <w:rPr>
          <w:rFonts w:eastAsia="Calibri"/>
        </w:rPr>
        <w:t>em</w:t>
      </w:r>
      <w:r w:rsidRPr="00161B39">
        <w:rPr>
          <w:rFonts w:eastAsia="Calibri"/>
        </w:rPr>
        <w:t>issions budgets</w:t>
      </w:r>
      <w:r w:rsidR="50A9BC5B" w:rsidRPr="00161B39">
        <w:rPr>
          <w:rFonts w:eastAsia="Calibri"/>
        </w:rPr>
        <w:t>:</w:t>
      </w:r>
      <w:r w:rsidRPr="00161B39">
        <w:rPr>
          <w:rFonts w:eastAsia="Calibri"/>
        </w:rPr>
        <w:t xml:space="preserve"> a set of descending interim targets to reach the 2050 emissions reduction target. </w:t>
      </w:r>
    </w:p>
    <w:p w14:paraId="143E742E" w14:textId="549E3732" w:rsidR="001A7C31" w:rsidRDefault="001A7C31" w:rsidP="00161B39">
      <w:pPr>
        <w:pStyle w:val="BodyText"/>
      </w:pPr>
      <w:r>
        <w:t>The NZ ETS supports emissions reductions by:</w:t>
      </w:r>
    </w:p>
    <w:p w14:paraId="3AFBD79C" w14:textId="0C0E4527" w:rsidR="001A7C31" w:rsidRPr="007837CC" w:rsidRDefault="001A7C31" w:rsidP="009745E1">
      <w:pPr>
        <w:pStyle w:val="Bullet"/>
        <w:spacing w:after="80"/>
        <w:rPr>
          <w:rFonts w:eastAsia="Calibri"/>
        </w:rPr>
      </w:pPr>
      <w:r w:rsidRPr="007837CC">
        <w:t>requiring businesses to measure and report on their greenhouse gas</w:t>
      </w:r>
      <w:r w:rsidRPr="007837CC">
        <w:rPr>
          <w:rFonts w:eastAsia="Calibri"/>
        </w:rPr>
        <w:t xml:space="preserve"> </w:t>
      </w:r>
      <w:proofErr w:type="gramStart"/>
      <w:r w:rsidRPr="007837CC">
        <w:rPr>
          <w:rFonts w:eastAsia="Calibri"/>
        </w:rPr>
        <w:t>emissions</w:t>
      </w:r>
      <w:proofErr w:type="gramEnd"/>
    </w:p>
    <w:p w14:paraId="6A8B5FC6" w14:textId="2260EE2E" w:rsidR="001A7C31" w:rsidRPr="00E92EEB" w:rsidRDefault="001A7C31" w:rsidP="009745E1">
      <w:pPr>
        <w:pStyle w:val="Bullet"/>
        <w:spacing w:after="80"/>
        <w:rPr>
          <w:rFonts w:eastAsia="Calibri"/>
        </w:rPr>
      </w:pPr>
      <w:r>
        <w:rPr>
          <w:rFonts w:eastAsia="Calibri"/>
        </w:rPr>
        <w:t>pricing emissions and removals</w:t>
      </w:r>
    </w:p>
    <w:p w14:paraId="7FE6228A" w14:textId="12575FB6" w:rsidR="001A7C31" w:rsidRPr="007837CC" w:rsidRDefault="001A7C31" w:rsidP="009745E1">
      <w:pPr>
        <w:pStyle w:val="Bullet"/>
        <w:spacing w:after="80"/>
        <w:rPr>
          <w:rFonts w:eastAsia="Calibri"/>
        </w:rPr>
      </w:pPr>
      <w:r w:rsidRPr="007837CC">
        <w:t xml:space="preserve">requiring businesses to surrender one ‘emissions unit’ (NZU) to the Government for each tonne of emissions they </w:t>
      </w:r>
      <w:r>
        <w:t>are responsible for under the NZ ETS</w:t>
      </w:r>
    </w:p>
    <w:p w14:paraId="3AC812C0" w14:textId="631EBBBE" w:rsidR="001A7C31" w:rsidRPr="00161B39" w:rsidRDefault="001A7C31" w:rsidP="009745E1">
      <w:pPr>
        <w:pStyle w:val="Bullet"/>
        <w:spacing w:after="80"/>
        <w:rPr>
          <w:rFonts w:eastAsia="Calibri"/>
        </w:rPr>
      </w:pPr>
      <w:r w:rsidRPr="007867A6">
        <w:t xml:space="preserve">limiting the number of </w:t>
      </w:r>
      <w:r>
        <w:t>units</w:t>
      </w:r>
      <w:r w:rsidRPr="007867A6">
        <w:t xml:space="preserve"> supplied into the scheme</w:t>
      </w:r>
      <w:r w:rsidRPr="00161B39">
        <w:rPr>
          <w:rFonts w:eastAsia="Calibri"/>
        </w:rPr>
        <w:t xml:space="preserve"> through auctioning and industrial allocation.</w:t>
      </w:r>
    </w:p>
    <w:p w14:paraId="28842B17" w14:textId="21C4CEDC" w:rsidR="001A7C31" w:rsidRDefault="001A7C31" w:rsidP="001A7C31">
      <w:pPr>
        <w:pStyle w:val="BodyText"/>
      </w:pPr>
      <w:r w:rsidRPr="00D366B0">
        <w:t xml:space="preserve">The Government sets and reduces the number of </w:t>
      </w:r>
      <w:r>
        <w:t xml:space="preserve">units </w:t>
      </w:r>
      <w:r w:rsidRPr="00D366B0">
        <w:t>supplied into the scheme over time</w:t>
      </w:r>
      <w:r>
        <w:t>, apart from</w:t>
      </w:r>
      <w:r w:rsidR="005359D3">
        <w:t xml:space="preserve"> units supplied</w:t>
      </w:r>
      <w:r>
        <w:t xml:space="preserve"> for removal activities</w:t>
      </w:r>
      <w:r w:rsidRPr="00D366B0">
        <w:t xml:space="preserve">. This limits the </w:t>
      </w:r>
      <w:r>
        <w:t>total volume of net emissions t</w:t>
      </w:r>
      <w:r w:rsidR="006851F0">
        <w:t>hat</w:t>
      </w:r>
      <w:r>
        <w:t xml:space="preserve"> can be emitted by </w:t>
      </w:r>
      <w:r w:rsidR="3E41FCA2">
        <w:t xml:space="preserve">from </w:t>
      </w:r>
      <w:r>
        <w:t>participants</w:t>
      </w:r>
      <w:r w:rsidR="239D129C">
        <w:t xml:space="preserve"> in the scheme</w:t>
      </w:r>
      <w:r w:rsidRPr="00D366B0">
        <w:t xml:space="preserve">, in line with </w:t>
      </w:r>
      <w:r>
        <w:t>New Zealand’s</w:t>
      </w:r>
      <w:r w:rsidRPr="00D366B0">
        <w:t xml:space="preserve"> emission reduction targets.</w:t>
      </w:r>
    </w:p>
    <w:p w14:paraId="7175D4F0" w14:textId="51A094FE" w:rsidR="001A7C31" w:rsidRDefault="001A7C31" w:rsidP="001A7C31">
      <w:pPr>
        <w:pStyle w:val="BodyText"/>
      </w:pPr>
      <w:r w:rsidRPr="00D366B0">
        <w:t xml:space="preserve">Businesses </w:t>
      </w:r>
      <w:r w:rsidR="316D5F5E">
        <w:t>that</w:t>
      </w:r>
      <w:r w:rsidRPr="00D366B0">
        <w:t xml:space="preserve"> participate in the NZ ETS can buy and sell </w:t>
      </w:r>
      <w:r>
        <w:t xml:space="preserve">units </w:t>
      </w:r>
      <w:r w:rsidRPr="00D366B0">
        <w:t xml:space="preserve">from each other. The price for </w:t>
      </w:r>
      <w:r>
        <w:t xml:space="preserve">units </w:t>
      </w:r>
      <w:r w:rsidRPr="00D366B0">
        <w:t>reflects supply and demand in the scheme. This price signal allows businesses to make economically efficient choices about how to reduce emission</w:t>
      </w:r>
      <w:r>
        <w:t>s and increase removals.</w:t>
      </w:r>
    </w:p>
    <w:p w14:paraId="5076F53F" w14:textId="4194832C" w:rsidR="001A7C31" w:rsidRDefault="001A7C31" w:rsidP="00CA3497">
      <w:pPr>
        <w:pStyle w:val="Heading2"/>
      </w:pPr>
      <w:bookmarkStart w:id="31" w:name="_Toc161831664"/>
      <w:bookmarkStart w:id="32" w:name="_Toc161762875"/>
      <w:bookmarkStart w:id="33" w:name="_Toc163048579"/>
      <w:bookmarkStart w:id="34" w:name="_Toc166162142"/>
      <w:r>
        <w:t>Annual process for unit limit</w:t>
      </w:r>
      <w:r w:rsidR="00F8460D">
        <w:t>s</w:t>
      </w:r>
      <w:r>
        <w:t xml:space="preserve"> and price control settings</w:t>
      </w:r>
      <w:bookmarkEnd w:id="31"/>
      <w:bookmarkEnd w:id="32"/>
      <w:bookmarkEnd w:id="33"/>
      <w:bookmarkEnd w:id="34"/>
    </w:p>
    <w:p w14:paraId="14DFCD63" w14:textId="5A0022BD" w:rsidR="00BC53BB" w:rsidRDefault="001A7C31" w:rsidP="00BC53BB">
      <w:pPr>
        <w:pStyle w:val="BodyText"/>
      </w:pPr>
      <w:r>
        <w:t xml:space="preserve">Under the Act, NZ ETS unit limit and price control settings for the next five years are made </w:t>
      </w:r>
      <w:r w:rsidR="00DD2F59">
        <w:t xml:space="preserve">through </w:t>
      </w:r>
      <w:r>
        <w:t xml:space="preserve">an annual update process to the Climate Change (Auctions, Limits, and Price Controls for Units) Regulations 2020 (the Regulations). </w:t>
      </w:r>
      <w:r w:rsidR="00BC53BB">
        <w:t>At present, settings, informed by previous tests of accordance with emission targets, are prescribed for only the next four years. There is a need to decide on the settings for the full five-year period through a re-evaluation of accordance against emissions targets and consideration of new information.</w:t>
      </w:r>
    </w:p>
    <w:p w14:paraId="715F5F9C" w14:textId="55607FE9" w:rsidR="00314EAD" w:rsidDel="00314EAD" w:rsidRDefault="00ED7BD6" w:rsidP="00314EAD">
      <w:pPr>
        <w:pStyle w:val="BodyText"/>
      </w:pPr>
      <w:r>
        <w:t>T</w:t>
      </w:r>
      <w:r w:rsidR="00314EAD">
        <w:t>he unit settings must accord with New Zealand’s emissions budgets and the Nationally Determined Contribution, and the 2050 target. If they are not strictly in accordance with the emissions budgets and the Nationally Determined Contribution, the discrepancy must be justified in line with the criteria prescribed in the Act.</w:t>
      </w:r>
      <w:r w:rsidR="00314EAD">
        <w:rPr>
          <w:rStyle w:val="FootnoteReference"/>
        </w:rPr>
        <w:footnoteReference w:id="3"/>
      </w:r>
    </w:p>
    <w:p w14:paraId="0BE9B73B" w14:textId="2C3FBF50" w:rsidR="001A7C31" w:rsidRDefault="001A7C31" w:rsidP="001A7C31">
      <w:pPr>
        <w:pStyle w:val="BodyText"/>
      </w:pPr>
      <w:r>
        <w:t>This five-year look</w:t>
      </w:r>
      <w:r w:rsidR="5467C488">
        <w:t>-</w:t>
      </w:r>
      <w:r>
        <w:t>ahead period</w:t>
      </w:r>
      <w:r w:rsidR="00BC53BB">
        <w:t xml:space="preserve"> </w:t>
      </w:r>
      <w:r>
        <w:t>provid</w:t>
      </w:r>
      <w:r w:rsidR="00BC53BB">
        <w:t>es</w:t>
      </w:r>
      <w:r>
        <w:t xml:space="preserve"> regulatory certainty to NZ ETS participants.</w:t>
      </w:r>
      <w:r w:rsidR="00095AA7">
        <w:t xml:space="preserve"> </w:t>
      </w:r>
      <w:r w:rsidR="00BC53BB">
        <w:t xml:space="preserve">To increase certainty, </w:t>
      </w:r>
      <w:r w:rsidR="15618F04">
        <w:t xml:space="preserve">these updates </w:t>
      </w:r>
      <w:r w:rsidR="008C71FB">
        <w:t xml:space="preserve">are </w:t>
      </w:r>
      <w:r w:rsidR="15618F04">
        <w:t xml:space="preserve">generally </w:t>
      </w:r>
      <w:r w:rsidR="008C71FB">
        <w:t xml:space="preserve">intended to </w:t>
      </w:r>
      <w:r w:rsidR="15618F04">
        <w:t>exclude</w:t>
      </w:r>
      <w:r>
        <w:t xml:space="preserve"> changes to unit settings for </w:t>
      </w:r>
      <w:r>
        <w:lastRenderedPageBreak/>
        <w:t>the first two years (</w:t>
      </w:r>
      <w:proofErr w:type="spellStart"/>
      <w:r w:rsidR="00262B0E">
        <w:t>i</w:t>
      </w:r>
      <w:r w:rsidR="66A7E82F">
        <w:t>e</w:t>
      </w:r>
      <w:proofErr w:type="spellEnd"/>
      <w:r w:rsidR="66A7E82F">
        <w:t>,</w:t>
      </w:r>
      <w:r>
        <w:t xml:space="preserve"> 2025 and 2026</w:t>
      </w:r>
      <w:r w:rsidR="5107CC89">
        <w:t>, from</w:t>
      </w:r>
      <w:r>
        <w:t xml:space="preserve"> this year). </w:t>
      </w:r>
      <w:r w:rsidR="00F8460D">
        <w:t>Changes can only be made</w:t>
      </w:r>
      <w:r w:rsidR="0DC8D637">
        <w:t xml:space="preserve"> in specified circumstances</w:t>
      </w:r>
      <w:r w:rsidR="006A6FFF">
        <w:t xml:space="preserve"> </w:t>
      </w:r>
      <w:r w:rsidR="00D565F4">
        <w:t>for the first tw</w:t>
      </w:r>
      <w:r w:rsidR="00B473D1">
        <w:t>o years (</w:t>
      </w:r>
      <w:proofErr w:type="spellStart"/>
      <w:r w:rsidR="005D2DBE">
        <w:t>ie</w:t>
      </w:r>
      <w:proofErr w:type="spellEnd"/>
      <w:r w:rsidR="005D2DBE">
        <w:t>, 2025 and 2026)</w:t>
      </w:r>
      <w:r w:rsidR="00227BF7">
        <w:t>. F</w:t>
      </w:r>
      <w:r w:rsidR="0DC8D637">
        <w:t>or example, if</w:t>
      </w:r>
      <w:r>
        <w:t xml:space="preserve"> a change significantly affect</w:t>
      </w:r>
      <w:r w:rsidR="22CF29EE">
        <w:t>s</w:t>
      </w:r>
      <w:r>
        <w:t xml:space="preserve"> one of the matters the Minister must consider when recommending changes to settings.</w:t>
      </w:r>
      <w:r w:rsidR="00314EAD">
        <w:rPr>
          <w:rStyle w:val="FootnoteReference"/>
        </w:rPr>
        <w:footnoteReference w:id="4"/>
      </w:r>
    </w:p>
    <w:p w14:paraId="2026FDD2" w14:textId="769921A9" w:rsidR="001A7C31" w:rsidRDefault="001A7C31" w:rsidP="001A7C31">
      <w:pPr>
        <w:pStyle w:val="BodyText"/>
      </w:pPr>
      <w:r>
        <w:t>Unit limits include:</w:t>
      </w:r>
    </w:p>
    <w:p w14:paraId="12E41B49" w14:textId="2585C007" w:rsidR="001A7C31" w:rsidRDefault="001A7C31" w:rsidP="00DB5F84">
      <w:pPr>
        <w:pStyle w:val="Bullet"/>
        <w:spacing w:after="80"/>
      </w:pPr>
      <w:r>
        <w:t>a limit on the units available by auction</w:t>
      </w:r>
    </w:p>
    <w:p w14:paraId="53F7899F" w14:textId="77A68DA8" w:rsidR="001A7C31" w:rsidRDefault="001A7C31" w:rsidP="00DB5F84">
      <w:pPr>
        <w:pStyle w:val="Bullet"/>
        <w:spacing w:after="80"/>
      </w:pPr>
      <w:r>
        <w:t xml:space="preserve">a limit on approved overseas units </w:t>
      </w:r>
      <w:r w:rsidR="00224EBC">
        <w:t xml:space="preserve">– </w:t>
      </w:r>
      <w:r>
        <w:t>currently zero</w:t>
      </w:r>
    </w:p>
    <w:p w14:paraId="5A678B40" w14:textId="4A623429" w:rsidR="001A7C31" w:rsidRDefault="001A7C31" w:rsidP="00DB5F84">
      <w:pPr>
        <w:pStyle w:val="Bullet"/>
        <w:spacing w:after="80"/>
      </w:pPr>
      <w:r>
        <w:t xml:space="preserve">an overall limit on units </w:t>
      </w:r>
      <w:r w:rsidR="00224EBC">
        <w:t xml:space="preserve">– </w:t>
      </w:r>
      <w:r>
        <w:t>which consists of units available by auction and by other means and approved overseas units.</w:t>
      </w:r>
    </w:p>
    <w:p w14:paraId="51560511" w14:textId="127A26D0" w:rsidR="001A7C31" w:rsidRDefault="001A7C31" w:rsidP="001A7C31">
      <w:pPr>
        <w:pStyle w:val="BodyText"/>
      </w:pPr>
      <w:r>
        <w:t>The price control settings for units are</w:t>
      </w:r>
      <w:r w:rsidR="00DB225D">
        <w:t xml:space="preserve"> the</w:t>
      </w:r>
      <w:r>
        <w:t>:</w:t>
      </w:r>
    </w:p>
    <w:p w14:paraId="6C0D4FD0" w14:textId="7280CCF8" w:rsidR="001A7C31" w:rsidRDefault="001A7C31" w:rsidP="00E10313">
      <w:pPr>
        <w:pStyle w:val="Bullet"/>
        <w:spacing w:after="80"/>
      </w:pPr>
      <w:r>
        <w:t>auction price floor</w:t>
      </w:r>
      <w:r w:rsidR="004B082A">
        <w:t xml:space="preserve"> –</w:t>
      </w:r>
      <w:r w:rsidR="306F8496">
        <w:t xml:space="preserve"> </w:t>
      </w:r>
      <w:r>
        <w:t>the price below which the Government will not sell units at auction (the lower price floor)</w:t>
      </w:r>
    </w:p>
    <w:p w14:paraId="55BBDB51" w14:textId="1DE42F12" w:rsidR="001A7C31" w:rsidRDefault="001A7C31" w:rsidP="00E10313">
      <w:pPr>
        <w:pStyle w:val="Bullet"/>
        <w:spacing w:after="80"/>
      </w:pPr>
      <w:r>
        <w:t>cost containment reserve (CCR) trigger price(s) – the price or prices at which additional units will be released if an auction’s interim clearing price reaches or exceeds this level (the upper price floor)</w:t>
      </w:r>
    </w:p>
    <w:p w14:paraId="22D99CE7" w14:textId="0D3EA8C9" w:rsidR="001A7C31" w:rsidRDefault="001A7C31" w:rsidP="00E10313">
      <w:pPr>
        <w:pStyle w:val="Bullet"/>
        <w:spacing w:after="80"/>
      </w:pPr>
      <w:r>
        <w:t>CCR volume(s) – the number of units that will be released if the trigger price is reached.</w:t>
      </w:r>
    </w:p>
    <w:p w14:paraId="116501AB" w14:textId="7736C7BA" w:rsidR="001A7C31" w:rsidRDefault="001A7C31" w:rsidP="001A7C31">
      <w:pPr>
        <w:pStyle w:val="BodyText"/>
      </w:pPr>
      <w:r>
        <w:t>The price control settings set a minimum and maximum price for auctions for the next five years, providing a forward-looking ‘price corridor’. Unit limit settings help limit the supply of units into the NZ ETS over time, which limits the quantity of net emissions that can occur, in line with New Zealand’s emissions reduction targets.</w:t>
      </w:r>
    </w:p>
    <w:p w14:paraId="223BA5F2" w14:textId="59C967F3" w:rsidR="001A7C31" w:rsidRDefault="001A7C31" w:rsidP="00CA3497">
      <w:pPr>
        <w:pStyle w:val="Heading2"/>
      </w:pPr>
      <w:bookmarkStart w:id="35" w:name="_Toc161831665"/>
      <w:bookmarkStart w:id="36" w:name="_Toc161762876"/>
      <w:bookmarkStart w:id="37" w:name="_Toc163048580"/>
      <w:bookmarkStart w:id="38" w:name="_Toc166162143"/>
      <w:r>
        <w:t xml:space="preserve">The Climate Change Commission has provided advice on NZ ETS unit </w:t>
      </w:r>
      <w:proofErr w:type="gramStart"/>
      <w:r>
        <w:t>settings</w:t>
      </w:r>
      <w:bookmarkEnd w:id="35"/>
      <w:bookmarkEnd w:id="36"/>
      <w:bookmarkEnd w:id="37"/>
      <w:bookmarkEnd w:id="38"/>
      <w:proofErr w:type="gramEnd"/>
    </w:p>
    <w:p w14:paraId="6559F247" w14:textId="1E2C9829" w:rsidR="001A7C31" w:rsidRDefault="001A7C31" w:rsidP="001A7C31">
      <w:pPr>
        <w:pStyle w:val="BodyText"/>
      </w:pPr>
      <w:r>
        <w:t>The Climate Change Commission (the Commission) is required to give annual advice on NZ ETS unit settings.</w:t>
      </w:r>
      <w:r w:rsidRPr="005602CA">
        <w:rPr>
          <w:vertAlign w:val="superscript"/>
        </w:rPr>
        <w:t>3</w:t>
      </w:r>
      <w:r>
        <w:t xml:space="preserve"> The Minister must consider the Commission’s advice when recommending updates to settings. If there are any differences between the recommendations of the Commission and those made by the Minister, the Minister must table a report in Parliament to explain the reasons.</w:t>
      </w:r>
    </w:p>
    <w:p w14:paraId="7CE870F4" w14:textId="5943621F" w:rsidR="001A7C31" w:rsidRDefault="001A7C31" w:rsidP="001A7C31">
      <w:pPr>
        <w:pStyle w:val="BodyText"/>
      </w:pPr>
      <w:r>
        <w:t>The Commission</w:t>
      </w:r>
      <w:r w:rsidR="00221A66">
        <w:t xml:space="preserve">’s advice on </w:t>
      </w:r>
      <w:r>
        <w:t>settings</w:t>
      </w:r>
      <w:r w:rsidR="00221A66">
        <w:t xml:space="preserve"> was published </w:t>
      </w:r>
      <w:r w:rsidR="006423B5">
        <w:t>in March 2024</w:t>
      </w:r>
      <w:r w:rsidRPr="76DDBF20">
        <w:rPr>
          <w:rStyle w:val="FootnoteReference"/>
        </w:rPr>
        <w:footnoteReference w:id="5"/>
      </w:r>
      <w:r>
        <w:t>.</w:t>
      </w:r>
      <w:r w:rsidR="00F8460D">
        <w:t xml:space="preserve"> </w:t>
      </w:r>
      <w:r>
        <w:t>The two main changes the Commission has recommended this year are:</w:t>
      </w:r>
    </w:p>
    <w:p w14:paraId="7C424051" w14:textId="52442F11" w:rsidR="001A7C31" w:rsidRDefault="00F8460D" w:rsidP="00E10313">
      <w:pPr>
        <w:pStyle w:val="Bullet"/>
        <w:spacing w:after="80"/>
      </w:pPr>
      <w:r>
        <w:t>s</w:t>
      </w:r>
      <w:r w:rsidR="001A7C31">
        <w:t xml:space="preserve">ignificantly reducing the auction volumes for 2025 to 2029 from the volumes that are currently in </w:t>
      </w:r>
      <w:proofErr w:type="gramStart"/>
      <w:r w:rsidR="001A7C31">
        <w:t>regulations</w:t>
      </w:r>
      <w:proofErr w:type="gramEnd"/>
    </w:p>
    <w:p w14:paraId="14AA510D" w14:textId="0746FFAF" w:rsidR="001A7C31" w:rsidRDefault="00F8460D" w:rsidP="00E10313">
      <w:pPr>
        <w:pStyle w:val="Bullet"/>
        <w:spacing w:after="80"/>
      </w:pPr>
      <w:r>
        <w:t>a</w:t>
      </w:r>
      <w:r w:rsidR="001A7C31">
        <w:t>djusting the first two years of NZ ETS unit limit settings (2025 and 2026).</w:t>
      </w:r>
    </w:p>
    <w:p w14:paraId="31279465" w14:textId="49984C7F" w:rsidR="006D5710" w:rsidRPr="00772ABB" w:rsidRDefault="00D710C6" w:rsidP="00772ABB">
      <w:pPr>
        <w:pStyle w:val="BodyText"/>
      </w:pPr>
      <w:r>
        <w:t>This consultation seeks feedback on</w:t>
      </w:r>
      <w:r w:rsidR="00794B26">
        <w:t xml:space="preserve"> </w:t>
      </w:r>
      <w:r w:rsidR="00D94E7A">
        <w:t>NZ ETS settings options</w:t>
      </w:r>
      <w:r w:rsidR="0022734E">
        <w:t>. These</w:t>
      </w:r>
      <w:r w:rsidR="00D94E7A">
        <w:t xml:space="preserve"> includ</w:t>
      </w:r>
      <w:r w:rsidR="0022734E">
        <w:t>e</w:t>
      </w:r>
      <w:r w:rsidR="00794B26">
        <w:t xml:space="preserve"> </w:t>
      </w:r>
      <w:r w:rsidR="001A7C31">
        <w:t xml:space="preserve">the </w:t>
      </w:r>
      <w:hyperlink r:id="rId23" w:history="1">
        <w:r w:rsidR="001A7C31" w:rsidRPr="00920B88">
          <w:rPr>
            <w:rStyle w:val="Hyperlink"/>
          </w:rPr>
          <w:t>Commission’s recommendations</w:t>
        </w:r>
      </w:hyperlink>
      <w:r w:rsidR="00794B26">
        <w:t xml:space="preserve">. </w:t>
      </w:r>
      <w:bookmarkStart w:id="39" w:name="_Toc161831667"/>
      <w:bookmarkStart w:id="40" w:name="_Toc161762878"/>
      <w:r w:rsidR="006D5710" w:rsidRPr="00772ABB">
        <w:br w:type="page"/>
      </w:r>
    </w:p>
    <w:p w14:paraId="01A118D6" w14:textId="43D72EB4" w:rsidR="001A7C31" w:rsidRDefault="001A7C31" w:rsidP="001A7C31">
      <w:pPr>
        <w:pStyle w:val="Heading1"/>
      </w:pPr>
      <w:bookmarkStart w:id="41" w:name="_Toc163048582"/>
      <w:bookmarkStart w:id="42" w:name="_Toc166162144"/>
      <w:r>
        <w:lastRenderedPageBreak/>
        <w:t>How we assessed options in this consultation document</w:t>
      </w:r>
      <w:bookmarkEnd w:id="39"/>
      <w:bookmarkEnd w:id="40"/>
      <w:bookmarkEnd w:id="41"/>
      <w:bookmarkEnd w:id="42"/>
    </w:p>
    <w:p w14:paraId="1C427F18" w14:textId="77777777" w:rsidR="001A7C31" w:rsidRPr="003D0F7A" w:rsidRDefault="001A7C31" w:rsidP="00CA3497">
      <w:pPr>
        <w:pStyle w:val="Heading2"/>
      </w:pPr>
      <w:bookmarkStart w:id="43" w:name="_Objectives_–_accordance"/>
      <w:bookmarkStart w:id="44" w:name="_Toc161831668"/>
      <w:bookmarkStart w:id="45" w:name="_Toc161762879"/>
      <w:bookmarkStart w:id="46" w:name="_Toc163048583"/>
      <w:bookmarkStart w:id="47" w:name="_Toc166162145"/>
      <w:bookmarkEnd w:id="43"/>
      <w:r w:rsidRPr="003D0F7A">
        <w:t>Objectives – accordance test</w:t>
      </w:r>
      <w:bookmarkEnd w:id="44"/>
      <w:bookmarkEnd w:id="45"/>
      <w:bookmarkEnd w:id="46"/>
      <w:bookmarkEnd w:id="47"/>
    </w:p>
    <w:p w14:paraId="3E127BC9" w14:textId="77777777" w:rsidR="001A7C31" w:rsidRDefault="001A7C31" w:rsidP="001A7C31">
      <w:pPr>
        <w:pStyle w:val="BodyText"/>
      </w:pPr>
      <w:r>
        <w:t>The Act requires that unit settings must accord with New Zealand’s:</w:t>
      </w:r>
    </w:p>
    <w:p w14:paraId="6623989C" w14:textId="692A7CAF" w:rsidR="001A7C31" w:rsidRPr="00994191" w:rsidRDefault="001A7C31" w:rsidP="00161B39">
      <w:pPr>
        <w:pStyle w:val="Bullet"/>
        <w:rPr>
          <w:rFonts w:ascii="Times New Roman" w:hAnsi="Times New Roman"/>
          <w:sz w:val="24"/>
          <w:szCs w:val="24"/>
        </w:rPr>
      </w:pPr>
      <w:r>
        <w:t>2050 target, which is:</w:t>
      </w:r>
    </w:p>
    <w:p w14:paraId="7EA27EDF" w14:textId="70B5029C" w:rsidR="001A7C31" w:rsidRPr="00994191" w:rsidRDefault="382355F0" w:rsidP="005E11BE">
      <w:pPr>
        <w:pStyle w:val="Sub-lista"/>
        <w:numPr>
          <w:ilvl w:val="0"/>
          <w:numId w:val="36"/>
        </w:numPr>
      </w:pPr>
      <w:r>
        <w:t>net</w:t>
      </w:r>
      <w:r w:rsidR="4D4DD739">
        <w:t xml:space="preserve"> zero emissions of all greenhouse gas emissions other than biogenic methane by</w:t>
      </w:r>
      <w:r w:rsidR="00492213">
        <w:t> </w:t>
      </w:r>
      <w:r w:rsidR="4D4DD739">
        <w:t>2050</w:t>
      </w:r>
    </w:p>
    <w:p w14:paraId="3AEA27EC" w14:textId="63F7F7F9" w:rsidR="001A7C31" w:rsidRPr="00994191" w:rsidRDefault="001A7C31" w:rsidP="005E11BE">
      <w:pPr>
        <w:pStyle w:val="Sub-lista"/>
        <w:numPr>
          <w:ilvl w:val="0"/>
          <w:numId w:val="36"/>
        </w:numPr>
      </w:pPr>
      <w:r w:rsidRPr="00994191">
        <w:t>24</w:t>
      </w:r>
      <w:r w:rsidR="5F637692">
        <w:t xml:space="preserve"> to</w:t>
      </w:r>
      <w:r w:rsidR="62C14546">
        <w:t xml:space="preserve"> </w:t>
      </w:r>
      <w:r w:rsidRPr="00994191">
        <w:t>47</w:t>
      </w:r>
      <w:r w:rsidR="62C14546">
        <w:t xml:space="preserve"> per cent</w:t>
      </w:r>
      <w:r>
        <w:t xml:space="preserve"> </w:t>
      </w:r>
      <w:r w:rsidRPr="00994191">
        <w:t xml:space="preserve">reduction below 2017 biogenic methane emissions by 2050, including 10 per cent reduction below 2017 biogenic methane emissions by </w:t>
      </w:r>
      <w:proofErr w:type="gramStart"/>
      <w:r w:rsidRPr="00994191">
        <w:t>2030</w:t>
      </w:r>
      <w:proofErr w:type="gramEnd"/>
    </w:p>
    <w:p w14:paraId="440A6CC4" w14:textId="77BCC4BE" w:rsidR="001A7C31" w:rsidRDefault="00FB1019" w:rsidP="00D716CA">
      <w:pPr>
        <w:pStyle w:val="Bullet"/>
      </w:pPr>
      <w:r>
        <w:t>emissions</w:t>
      </w:r>
      <w:r w:rsidR="001A7C31">
        <w:t xml:space="preserve"> budgets, which are </w:t>
      </w:r>
      <w:r w:rsidR="001A7C31" w:rsidRPr="00CA3905">
        <w:t xml:space="preserve">stepping stones along the path to the 2050 </w:t>
      </w:r>
      <w:proofErr w:type="gramStart"/>
      <w:r w:rsidR="001A7C31" w:rsidRPr="00CA3905">
        <w:t>target</w:t>
      </w:r>
      <w:proofErr w:type="gramEnd"/>
    </w:p>
    <w:p w14:paraId="5EFB617C" w14:textId="71E70466" w:rsidR="001A7C31" w:rsidRDefault="00BF5673" w:rsidP="00844AA1">
      <w:pPr>
        <w:pStyle w:val="Bullet"/>
      </w:pPr>
      <w:r>
        <w:t>t</w:t>
      </w:r>
      <w:r w:rsidR="001A7C31">
        <w:t xml:space="preserve">he </w:t>
      </w:r>
      <w:r w:rsidR="006229AE">
        <w:t>N</w:t>
      </w:r>
      <w:r w:rsidR="001A7C31">
        <w:t xml:space="preserve">ationally </w:t>
      </w:r>
      <w:r w:rsidR="006229AE">
        <w:t>D</w:t>
      </w:r>
      <w:r w:rsidR="001A7C31">
        <w:t xml:space="preserve">etermined </w:t>
      </w:r>
      <w:r w:rsidR="006229AE">
        <w:t>C</w:t>
      </w:r>
      <w:r w:rsidR="001A7C31">
        <w:t>ontribution under the Paris Agreement (the NDC), which</w:t>
      </w:r>
      <w:r w:rsidR="00613E4E">
        <w:t xml:space="preserve"> </w:t>
      </w:r>
      <w:r w:rsidR="001A7C31">
        <w:t>sets a target of a 50</w:t>
      </w:r>
      <w:r w:rsidR="76EDC0F0">
        <w:t xml:space="preserve"> per cent</w:t>
      </w:r>
      <w:r w:rsidR="001A7C31">
        <w:t xml:space="preserve"> reduction of net emissions below the gross 2005 level</w:t>
      </w:r>
      <w:r w:rsidR="00613E4E">
        <w:t xml:space="preserve"> </w:t>
      </w:r>
      <w:r w:rsidR="001A7C31">
        <w:t xml:space="preserve">by </w:t>
      </w:r>
      <w:proofErr w:type="gramStart"/>
      <w:r w:rsidR="001A7C31">
        <w:t>2030</w:t>
      </w:r>
      <w:proofErr w:type="gramEnd"/>
      <w:r w:rsidR="001A7C31">
        <w:t xml:space="preserve"> </w:t>
      </w:r>
    </w:p>
    <w:p w14:paraId="6CD7BA6B" w14:textId="32D824E1" w:rsidR="001A7C31" w:rsidRDefault="41BB8294" w:rsidP="001A7C31">
      <w:pPr>
        <w:pStyle w:val="BodyText"/>
      </w:pPr>
      <w:r>
        <w:t>If the unit settings</w:t>
      </w:r>
      <w:r w:rsidR="001A7C31">
        <w:t xml:space="preserve"> are not strictly in accordance with the emissions budgets and the NDC, the discrepancy must be justified in line with the criteria prescribed in the Act.</w:t>
      </w:r>
    </w:p>
    <w:p w14:paraId="2B179C0D" w14:textId="77777777" w:rsidR="001A7C31" w:rsidRPr="00E04232" w:rsidRDefault="001A7C31" w:rsidP="00CA3497">
      <w:pPr>
        <w:pStyle w:val="Heading2"/>
      </w:pPr>
      <w:bookmarkStart w:id="48" w:name="_Toc161831669"/>
      <w:bookmarkStart w:id="49" w:name="_Toc161762880"/>
      <w:bookmarkStart w:id="50" w:name="_Toc163048584"/>
      <w:bookmarkStart w:id="51" w:name="_Toc166162146"/>
      <w:r>
        <w:t>Criteria</w:t>
      </w:r>
      <w:bookmarkEnd w:id="48"/>
      <w:bookmarkEnd w:id="49"/>
      <w:bookmarkEnd w:id="50"/>
      <w:bookmarkEnd w:id="51"/>
    </w:p>
    <w:p w14:paraId="43CA57E5" w14:textId="62D8DC56" w:rsidR="001A7C31" w:rsidRDefault="005F4603" w:rsidP="001A7C31">
      <w:pPr>
        <w:pStyle w:val="BodyText"/>
      </w:pPr>
      <w:r>
        <w:t>W</w:t>
      </w:r>
      <w:r w:rsidR="001A7C31">
        <w:t xml:space="preserve">e have used the following criteria to assess options. These criteria align with the mandatory considerations for updating unit settings as prescribed in the Act (see </w:t>
      </w:r>
      <w:hyperlink w:anchor="_Appendix_1:_Alignment" w:history="1">
        <w:r w:rsidR="00773068" w:rsidRPr="00773068">
          <w:rPr>
            <w:rStyle w:val="Hyperlink"/>
          </w:rPr>
          <w:t>a</w:t>
        </w:r>
        <w:r w:rsidR="001A7C31" w:rsidRPr="00773068">
          <w:rPr>
            <w:rStyle w:val="Hyperlink"/>
          </w:rPr>
          <w:t xml:space="preserve">ppendix </w:t>
        </w:r>
        <w:r w:rsidR="005138C6" w:rsidRPr="00773068">
          <w:rPr>
            <w:rStyle w:val="Hyperlink"/>
          </w:rPr>
          <w:t>1</w:t>
        </w:r>
      </w:hyperlink>
      <w:r w:rsidR="001A7C31" w:rsidRPr="00FF0BA5">
        <w:t xml:space="preserve"> for</w:t>
      </w:r>
      <w:r w:rsidR="001A7C31">
        <w:t xml:space="preserve"> how they</w:t>
      </w:r>
      <w:r w:rsidR="009E1ADA">
        <w:t> </w:t>
      </w:r>
      <w:r w:rsidR="001A7C31">
        <w:t>align).</w:t>
      </w:r>
    </w:p>
    <w:p w14:paraId="449AB65F" w14:textId="77777777" w:rsidR="001A7C31" w:rsidRDefault="001A7C31" w:rsidP="001A7C31">
      <w:pPr>
        <w:pStyle w:val="BodyText"/>
      </w:pPr>
      <w:r>
        <w:t>The first two criteria apply to both unit limit and price control settings. The last two criteria apply to price control settings only.</w:t>
      </w:r>
    </w:p>
    <w:p w14:paraId="5D12FE5C" w14:textId="2B51B844" w:rsidR="00A31DE4" w:rsidRDefault="001A7C31" w:rsidP="21CB1DAB">
      <w:pPr>
        <w:pStyle w:val="BodyText"/>
      </w:pPr>
      <w:r>
        <w:t xml:space="preserve">We have put more weighting on the criterion </w:t>
      </w:r>
      <w:r w:rsidR="00CC585E">
        <w:t>‘</w:t>
      </w:r>
      <w:r>
        <w:t xml:space="preserve">likelihood of incentivising (net) </w:t>
      </w:r>
      <w:proofErr w:type="gramStart"/>
      <w:r>
        <w:t>emissions reductions</w:t>
      </w:r>
      <w:r w:rsidR="00CC585E">
        <w:t>’</w:t>
      </w:r>
      <w:proofErr w:type="gramEnd"/>
      <w:r>
        <w:t>. This is because this criterion relates to the overarching objective the most.</w:t>
      </w:r>
    </w:p>
    <w:p w14:paraId="10F54C34" w14:textId="7C1E82F7" w:rsidR="00B57DEF" w:rsidRPr="006B77BB" w:rsidRDefault="00B57DEF" w:rsidP="00B57DEF">
      <w:pPr>
        <w:pStyle w:val="Tableheading"/>
      </w:pPr>
      <w:bookmarkStart w:id="52" w:name="_Toc167714870"/>
      <w:r w:rsidRPr="006B77BB">
        <w:t>Table 1:</w:t>
      </w:r>
      <w:r w:rsidR="00CB6FB5">
        <w:t xml:space="preserve"> </w:t>
      </w:r>
      <w:r w:rsidR="00C31713">
        <w:tab/>
      </w:r>
      <w:r w:rsidRPr="00A31DE4">
        <w:rPr>
          <w:bCs/>
        </w:rPr>
        <w:t>Option assessment criteria</w:t>
      </w:r>
      <w:bookmarkEnd w:id="52"/>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267"/>
        <w:gridCol w:w="6238"/>
      </w:tblGrid>
      <w:tr w:rsidR="00B57DEF" w:rsidRPr="006B77BB" w14:paraId="7689A7D9" w14:textId="77777777" w:rsidTr="7DC46733">
        <w:trPr>
          <w:tblHeader/>
        </w:trPr>
        <w:tc>
          <w:tcPr>
            <w:tcW w:w="1333" w:type="pct"/>
            <w:shd w:val="clear" w:color="auto" w:fill="1B556B" w:themeFill="text2"/>
          </w:tcPr>
          <w:p w14:paraId="2D791832" w14:textId="64D4912F" w:rsidR="00B57DEF" w:rsidRPr="006B77BB" w:rsidRDefault="00B57DEF">
            <w:pPr>
              <w:pStyle w:val="TableTextbold"/>
              <w:rPr>
                <w:color w:val="FFFFFF" w:themeColor="background1"/>
              </w:rPr>
            </w:pPr>
            <w:r>
              <w:rPr>
                <w:color w:val="FFFFFF" w:themeColor="background1"/>
              </w:rPr>
              <w:t>Criteria</w:t>
            </w:r>
          </w:p>
        </w:tc>
        <w:tc>
          <w:tcPr>
            <w:tcW w:w="3667" w:type="pct"/>
            <w:shd w:val="clear" w:color="auto" w:fill="1B556B" w:themeFill="text2"/>
          </w:tcPr>
          <w:p w14:paraId="19A1FD93" w14:textId="53E38255" w:rsidR="00B57DEF" w:rsidRPr="006B77BB" w:rsidRDefault="00B57DEF">
            <w:pPr>
              <w:pStyle w:val="TableTextbold"/>
              <w:rPr>
                <w:color w:val="FFFFFF" w:themeColor="background1"/>
              </w:rPr>
            </w:pPr>
            <w:r>
              <w:rPr>
                <w:color w:val="FFFFFF" w:themeColor="background1"/>
              </w:rPr>
              <w:t>Description</w:t>
            </w:r>
          </w:p>
        </w:tc>
      </w:tr>
      <w:tr w:rsidR="00B57DEF" w:rsidRPr="006B77BB" w14:paraId="7C27B19C" w14:textId="77777777" w:rsidTr="00B57DEF">
        <w:tc>
          <w:tcPr>
            <w:tcW w:w="1333" w:type="pct"/>
            <w:shd w:val="clear" w:color="auto" w:fill="auto"/>
          </w:tcPr>
          <w:p w14:paraId="19F9198F" w14:textId="1D1167D6" w:rsidR="00B57DEF" w:rsidRPr="006B77BB" w:rsidRDefault="00B57DEF">
            <w:pPr>
              <w:pStyle w:val="TableText"/>
            </w:pPr>
            <w:r w:rsidRPr="00A2090B">
              <w:rPr>
                <w:b/>
                <w:bCs/>
                <w:lang w:val="en-GB"/>
              </w:rPr>
              <w:t>Likelihood of incentivising (net) emissions reductions</w:t>
            </w:r>
          </w:p>
        </w:tc>
        <w:tc>
          <w:tcPr>
            <w:tcW w:w="3667" w:type="pct"/>
            <w:shd w:val="clear" w:color="auto" w:fill="auto"/>
          </w:tcPr>
          <w:p w14:paraId="213E6A16" w14:textId="77777777" w:rsidR="00B57DEF" w:rsidRDefault="00B57DEF" w:rsidP="00B57DEF">
            <w:pPr>
              <w:pStyle w:val="TableText"/>
              <w:rPr>
                <w:lang w:val="en-US"/>
              </w:rPr>
            </w:pPr>
            <w:r>
              <w:rPr>
                <w:lang w:val="en-US"/>
              </w:rPr>
              <w:t xml:space="preserve">The NZ ETS must accord with New Zealand’s emissions budgets, the NDC, and 2050 target, </w:t>
            </w:r>
            <w:r w:rsidRPr="452DA53B">
              <w:rPr>
                <w:lang w:val="en-US"/>
              </w:rPr>
              <w:t xml:space="preserve">which all </w:t>
            </w:r>
            <w:r w:rsidRPr="3EA63779">
              <w:rPr>
                <w:lang w:val="en-US"/>
              </w:rPr>
              <w:t>require either gross emissions reductions or increased emissions removals. Accordingly, settings</w:t>
            </w:r>
            <w:r>
              <w:rPr>
                <w:lang w:val="en-US"/>
              </w:rPr>
              <w:t xml:space="preserve"> should support emissions reductions and removals.</w:t>
            </w:r>
          </w:p>
          <w:p w14:paraId="72788A88" w14:textId="77777777" w:rsidR="00B57DEF" w:rsidRPr="00A2090B" w:rsidRDefault="00B57DEF" w:rsidP="00B57DEF">
            <w:pPr>
              <w:pStyle w:val="TableText"/>
            </w:pPr>
            <w:r w:rsidRPr="00242B06">
              <w:rPr>
                <w:lang w:val="en-US"/>
              </w:rPr>
              <w:t>The NZ ETS supports gross emissions reductions by</w:t>
            </w:r>
            <w:r>
              <w:rPr>
                <w:lang w:val="en-US"/>
              </w:rPr>
              <w:t xml:space="preserve"> providing a price signal to</w:t>
            </w:r>
            <w:r w:rsidRPr="00242B06">
              <w:rPr>
                <w:lang w:val="en-US"/>
              </w:rPr>
              <w:t xml:space="preserve"> </w:t>
            </w:r>
            <w:proofErr w:type="spellStart"/>
            <w:r w:rsidRPr="00242B06">
              <w:rPr>
                <w:lang w:val="en-US"/>
              </w:rPr>
              <w:t>incentivis</w:t>
            </w:r>
            <w:r>
              <w:rPr>
                <w:lang w:val="en-US"/>
              </w:rPr>
              <w:t>e</w:t>
            </w:r>
            <w:proofErr w:type="spellEnd"/>
            <w:r w:rsidRPr="00242B06">
              <w:rPr>
                <w:lang w:val="en-US"/>
              </w:rPr>
              <w:t xml:space="preserve"> the uptake of low-emissions technology, energy efficiency measures, and other </w:t>
            </w:r>
            <w:r>
              <w:rPr>
                <w:lang w:val="en-US"/>
              </w:rPr>
              <w:t xml:space="preserve">emissions reductions </w:t>
            </w:r>
            <w:r w:rsidRPr="00242B06">
              <w:rPr>
                <w:lang w:val="en-US"/>
              </w:rPr>
              <w:t>opportunities</w:t>
            </w:r>
            <w:r>
              <w:rPr>
                <w:lang w:val="en-US"/>
              </w:rPr>
              <w:t>.</w:t>
            </w:r>
          </w:p>
          <w:p w14:paraId="15677A9F" w14:textId="77777777" w:rsidR="00B57DEF" w:rsidRPr="00A2090B" w:rsidRDefault="00B57DEF" w:rsidP="00B57DEF">
            <w:pPr>
              <w:pStyle w:val="TableText"/>
            </w:pPr>
            <w:r w:rsidRPr="00242B06">
              <w:rPr>
                <w:lang w:val="en-US"/>
              </w:rPr>
              <w:t xml:space="preserve">The NZ ETS drives </w:t>
            </w:r>
            <w:r>
              <w:rPr>
                <w:lang w:val="en-US"/>
              </w:rPr>
              <w:t>emission</w:t>
            </w:r>
            <w:r w:rsidRPr="00242B06">
              <w:rPr>
                <w:lang w:val="en-US"/>
              </w:rPr>
              <w:t xml:space="preserve"> removals by providing a price signal that rewards removal activities </w:t>
            </w:r>
            <w:r>
              <w:rPr>
                <w:lang w:val="en-US"/>
              </w:rPr>
              <w:t>such as afforestation</w:t>
            </w:r>
            <w:r w:rsidRPr="00242B06">
              <w:rPr>
                <w:lang w:val="en-US"/>
              </w:rPr>
              <w:t>.</w:t>
            </w:r>
          </w:p>
          <w:p w14:paraId="045641D1" w14:textId="3DD7D8F0" w:rsidR="00B57DEF" w:rsidRPr="006B77BB" w:rsidRDefault="00B57DEF" w:rsidP="00B57DEF">
            <w:pPr>
              <w:pStyle w:val="TableText"/>
            </w:pPr>
            <w:r w:rsidRPr="00242B06">
              <w:t xml:space="preserve">Due to the risk </w:t>
            </w:r>
            <w:r>
              <w:t xml:space="preserve">the </w:t>
            </w:r>
            <w:r w:rsidRPr="00242B06">
              <w:t>stockpile creates to the achievement of emissions budgets, options that</w:t>
            </w:r>
            <w:r>
              <w:t xml:space="preserve"> risk continuation of the stockpile will rate negatively </w:t>
            </w:r>
            <w:r w:rsidRPr="00242B06">
              <w:t>on this criterion.</w:t>
            </w:r>
          </w:p>
        </w:tc>
      </w:tr>
      <w:tr w:rsidR="00B57DEF" w:rsidRPr="006B77BB" w14:paraId="063F58A6" w14:textId="77777777" w:rsidTr="00B57DEF">
        <w:tc>
          <w:tcPr>
            <w:tcW w:w="1333" w:type="pct"/>
            <w:shd w:val="clear" w:color="auto" w:fill="auto"/>
          </w:tcPr>
          <w:p w14:paraId="19D5A0D7" w14:textId="526F6D8F" w:rsidR="00B57DEF" w:rsidRPr="006B77BB" w:rsidRDefault="00B57DEF">
            <w:pPr>
              <w:pStyle w:val="TableText"/>
            </w:pPr>
            <w:r w:rsidRPr="00A2090B">
              <w:rPr>
                <w:b/>
                <w:bCs/>
                <w:lang w:val="en-GB"/>
              </w:rPr>
              <w:t>Support for proper functioning of the NZ ETS</w:t>
            </w:r>
          </w:p>
        </w:tc>
        <w:tc>
          <w:tcPr>
            <w:tcW w:w="3667" w:type="pct"/>
            <w:shd w:val="clear" w:color="auto" w:fill="auto"/>
          </w:tcPr>
          <w:p w14:paraId="3A4C38B8" w14:textId="77777777" w:rsidR="00FC3636" w:rsidRDefault="00FC3636" w:rsidP="00FC3636">
            <w:pPr>
              <w:pStyle w:val="TableText"/>
              <w:rPr>
                <w:lang w:val="en-US"/>
              </w:rPr>
            </w:pPr>
            <w:r w:rsidRPr="00242B06">
              <w:rPr>
                <w:lang w:val="en-US"/>
              </w:rPr>
              <w:t>The NZ ETS should operate in a transparent and durable manner that allows participants to form expectations about supply and demand to support investment in domestic emissions abatement.</w:t>
            </w:r>
          </w:p>
          <w:p w14:paraId="1928AE22" w14:textId="77777777" w:rsidR="00FC3636" w:rsidRDefault="00FC3636" w:rsidP="00FC3636">
            <w:pPr>
              <w:pStyle w:val="TableText"/>
            </w:pPr>
            <w:r w:rsidRPr="00242B06">
              <w:rPr>
                <w:lang w:val="en-US"/>
              </w:rPr>
              <w:lastRenderedPageBreak/>
              <w:t xml:space="preserve">The restrictions on how settings are updated allow changes to be made in </w:t>
            </w:r>
            <w:r w:rsidRPr="14EE2E3A">
              <w:rPr>
                <w:lang w:val="en-US"/>
              </w:rPr>
              <w:t>response</w:t>
            </w:r>
            <w:r w:rsidRPr="00242B06">
              <w:rPr>
                <w:lang w:val="en-US"/>
              </w:rPr>
              <w:t xml:space="preserve"> to new information, while maintaining regulatory predictability. Options that undermine this standard approach rate negatively in this criterion.</w:t>
            </w:r>
          </w:p>
          <w:p w14:paraId="48AD062C" w14:textId="77777777" w:rsidR="00FC3636" w:rsidRDefault="00FC3636" w:rsidP="00FC3636">
            <w:pPr>
              <w:pStyle w:val="TableText"/>
            </w:pPr>
            <w:r>
              <w:rPr>
                <w:lang w:val="en-US"/>
              </w:rPr>
              <w:t xml:space="preserve">This criterion </w:t>
            </w:r>
            <w:r w:rsidRPr="00242B06">
              <w:rPr>
                <w:lang w:val="en-US"/>
              </w:rPr>
              <w:t>also includes NZ ETS participants being able to attain and surrender NZUs to meet NZ ETS obligations.</w:t>
            </w:r>
          </w:p>
          <w:p w14:paraId="338812A0" w14:textId="30D2AC30" w:rsidR="00B57DEF" w:rsidRPr="006B77BB" w:rsidRDefault="00FC3636" w:rsidP="00FC3636">
            <w:pPr>
              <w:pStyle w:val="TableText"/>
            </w:pPr>
            <w:r w:rsidRPr="00FC6FCD">
              <w:rPr>
                <w:lang w:val="en-US"/>
              </w:rPr>
              <w:t>Ensuring the NZ ETS is functioning properly supports actions in emission reductions and removals, as well as the role of the NZ ETS in meeting emissions budgets and targets.</w:t>
            </w:r>
          </w:p>
        </w:tc>
      </w:tr>
      <w:tr w:rsidR="00FC3636" w:rsidRPr="006B77BB" w14:paraId="13500F33" w14:textId="77777777" w:rsidTr="00B57DEF">
        <w:tc>
          <w:tcPr>
            <w:tcW w:w="1333" w:type="pct"/>
            <w:shd w:val="clear" w:color="auto" w:fill="auto"/>
          </w:tcPr>
          <w:p w14:paraId="67D77125" w14:textId="5D7BCD0E" w:rsidR="00FC3636" w:rsidRPr="00A2090B" w:rsidRDefault="00FC3636">
            <w:pPr>
              <w:pStyle w:val="TableText"/>
              <w:rPr>
                <w:b/>
                <w:bCs/>
                <w:lang w:val="en-GB"/>
              </w:rPr>
            </w:pPr>
            <w:r w:rsidRPr="00A2090B">
              <w:rPr>
                <w:b/>
                <w:bCs/>
                <w:lang w:val="en-GB"/>
              </w:rPr>
              <w:lastRenderedPageBreak/>
              <w:t>Support for consistency of NZU prices with the level and trajectory of international emissions prices</w:t>
            </w:r>
          </w:p>
        </w:tc>
        <w:tc>
          <w:tcPr>
            <w:tcW w:w="3667" w:type="pct"/>
            <w:shd w:val="clear" w:color="auto" w:fill="auto"/>
          </w:tcPr>
          <w:p w14:paraId="4F1C7F64" w14:textId="6B76FFD7" w:rsidR="00FC3636" w:rsidRPr="00E36C11" w:rsidRDefault="5F1D6621" w:rsidP="00E36C11">
            <w:pPr>
              <w:pStyle w:val="TableText"/>
            </w:pPr>
            <w:r w:rsidRPr="00E36C11">
              <w:t>The</w:t>
            </w:r>
            <w:r w:rsidR="00AE4D9F" w:rsidRPr="00E36C11">
              <w:t>re</w:t>
            </w:r>
            <w:r w:rsidRPr="00E36C11">
              <w:t xml:space="preserve"> </w:t>
            </w:r>
            <w:r w:rsidR="00AE4D9F" w:rsidRPr="00E36C11">
              <w:t xml:space="preserve">are </w:t>
            </w:r>
            <w:r w:rsidRPr="00E36C11">
              <w:t>two reasons for considering the level and trajectory of internation</w:t>
            </w:r>
            <w:r w:rsidR="00E36C11">
              <w:t>al</w:t>
            </w:r>
            <w:r w:rsidRPr="00E36C11">
              <w:t xml:space="preserve"> emission</w:t>
            </w:r>
            <w:r w:rsidR="009E0712">
              <w:t>s</w:t>
            </w:r>
            <w:r w:rsidRPr="00E36C11">
              <w:t xml:space="preserve"> prices. First, that international emissions prices </w:t>
            </w:r>
            <w:r w:rsidR="42488A58" w:rsidRPr="00E36C11">
              <w:t>provide</w:t>
            </w:r>
            <w:r w:rsidR="70D7DD85" w:rsidRPr="00E36C11">
              <w:t xml:space="preserve"> </w:t>
            </w:r>
            <w:r w:rsidR="42488A58" w:rsidRPr="00E36C11">
              <w:t>a comparison</w:t>
            </w:r>
            <w:r w:rsidR="70D7DD85" w:rsidRPr="00E36C11">
              <w:t xml:space="preserve"> of New Zealand’s </w:t>
            </w:r>
            <w:r w:rsidR="35F8093D" w:rsidRPr="00E36C11">
              <w:t xml:space="preserve">contribution to the global </w:t>
            </w:r>
            <w:r w:rsidR="70D7DD85" w:rsidRPr="00E36C11">
              <w:t>effort</w:t>
            </w:r>
            <w:r w:rsidR="117BC59E" w:rsidRPr="00E36C11">
              <w:t xml:space="preserve"> towards</w:t>
            </w:r>
            <w:r w:rsidRPr="00E36C11">
              <w:t xml:space="preserve"> </w:t>
            </w:r>
            <w:r w:rsidR="4A102ADC" w:rsidRPr="00E36C11">
              <w:t>addressing</w:t>
            </w:r>
            <w:r w:rsidRPr="00E36C11">
              <w:t xml:space="preserve"> </w:t>
            </w:r>
            <w:r w:rsidR="117BC59E" w:rsidRPr="00E36C11">
              <w:t>climate change</w:t>
            </w:r>
            <w:r w:rsidR="30452630" w:rsidRPr="00E36C11">
              <w:t xml:space="preserve">, notwithstanding fundamental differences </w:t>
            </w:r>
            <w:r w:rsidR="00AE4D9F" w:rsidRPr="00E36C11">
              <w:t xml:space="preserve">exist </w:t>
            </w:r>
            <w:r w:rsidR="30452630" w:rsidRPr="00E36C11">
              <w:t>between individual emission pricing schemes</w:t>
            </w:r>
            <w:r w:rsidRPr="00E36C11">
              <w:t>.</w:t>
            </w:r>
            <w:r w:rsidR="31D889B5" w:rsidRPr="00E36C11">
              <w:t xml:space="preserve"> Secondly, that o</w:t>
            </w:r>
            <w:r w:rsidRPr="00E36C11">
              <w:t xml:space="preserve">ffshore mitigation </w:t>
            </w:r>
            <w:r w:rsidR="5E75CD0A" w:rsidRPr="00E36C11">
              <w:t>could be needed</w:t>
            </w:r>
            <w:r w:rsidRPr="00E36C11">
              <w:t xml:space="preserve"> </w:t>
            </w:r>
            <w:r w:rsidR="5E75CD0A" w:rsidRPr="00E36C11">
              <w:t xml:space="preserve">to </w:t>
            </w:r>
            <w:r w:rsidRPr="00E36C11">
              <w:t>meet emissions reduction targets in addition to reducing emissions domestically.</w:t>
            </w:r>
          </w:p>
        </w:tc>
      </w:tr>
      <w:tr w:rsidR="00B57DEF" w:rsidRPr="006B77BB" w14:paraId="133DCB08" w14:textId="77777777" w:rsidTr="00B57DEF">
        <w:tc>
          <w:tcPr>
            <w:tcW w:w="1333" w:type="pct"/>
          </w:tcPr>
          <w:p w14:paraId="47388796" w14:textId="02C4FA2F" w:rsidR="00B57DEF" w:rsidRPr="006B77BB" w:rsidRDefault="00FC3636">
            <w:pPr>
              <w:pStyle w:val="TableText"/>
            </w:pPr>
            <w:r w:rsidRPr="00A2090B">
              <w:rPr>
                <w:b/>
                <w:bCs/>
                <w:lang w:val="en-US"/>
              </w:rPr>
              <w:t>Management of overall costs to the economy and households</w:t>
            </w:r>
          </w:p>
        </w:tc>
        <w:tc>
          <w:tcPr>
            <w:tcW w:w="3667" w:type="pct"/>
          </w:tcPr>
          <w:p w14:paraId="5EB65092" w14:textId="463BC030" w:rsidR="00B57DEF" w:rsidRPr="006B77BB" w:rsidRDefault="00FC3636">
            <w:pPr>
              <w:pStyle w:val="TableText"/>
            </w:pPr>
            <w:r>
              <w:rPr>
                <w:lang w:val="en-US"/>
              </w:rPr>
              <w:t xml:space="preserve">Settings manage the costs </w:t>
            </w:r>
            <w:r w:rsidRPr="00242B06">
              <w:rPr>
                <w:lang w:val="en-US"/>
              </w:rPr>
              <w:t xml:space="preserve">imposed by the </w:t>
            </w:r>
            <w:r w:rsidRPr="292BB9AA">
              <w:rPr>
                <w:lang w:val="en-US"/>
              </w:rPr>
              <w:t>NZ ETS</w:t>
            </w:r>
            <w:r w:rsidRPr="00242B06">
              <w:rPr>
                <w:lang w:val="en-US"/>
              </w:rPr>
              <w:t xml:space="preserve"> on the economy, </w:t>
            </w:r>
            <w:r w:rsidRPr="292BB9AA">
              <w:rPr>
                <w:lang w:val="en-US"/>
              </w:rPr>
              <w:t>on households, and on</w:t>
            </w:r>
            <w:r w:rsidRPr="00242B06">
              <w:rPr>
                <w:lang w:val="en-US"/>
              </w:rPr>
              <w:t xml:space="preserve"> different sectors </w:t>
            </w:r>
            <w:r>
              <w:rPr>
                <w:lang w:val="en-US"/>
              </w:rPr>
              <w:t>and</w:t>
            </w:r>
            <w:r w:rsidRPr="00242B06">
              <w:rPr>
                <w:lang w:val="en-US"/>
              </w:rPr>
              <w:t xml:space="preserve"> regions</w:t>
            </w:r>
            <w:r>
              <w:rPr>
                <w:lang w:val="en-US"/>
              </w:rPr>
              <w:t>.</w:t>
            </w:r>
          </w:p>
        </w:tc>
      </w:tr>
    </w:tbl>
    <w:p w14:paraId="44A2AB27" w14:textId="77777777" w:rsidR="00B57DEF" w:rsidRDefault="00B57DEF" w:rsidP="00B57DEF">
      <w:pPr>
        <w:pStyle w:val="BodyText"/>
      </w:pPr>
    </w:p>
    <w:p w14:paraId="7A8A3957" w14:textId="77777777" w:rsidR="001A7C31" w:rsidRPr="00D716CA" w:rsidRDefault="001A7C31" w:rsidP="00D716CA">
      <w:pPr>
        <w:pStyle w:val="BodyText"/>
      </w:pPr>
      <w:r>
        <w:br w:type="page"/>
      </w:r>
    </w:p>
    <w:p w14:paraId="23C6B272" w14:textId="77777777" w:rsidR="001A7C31" w:rsidRDefault="001A7C31" w:rsidP="001A7C31">
      <w:pPr>
        <w:pStyle w:val="Heading1"/>
      </w:pPr>
      <w:bookmarkStart w:id="53" w:name="_Toc161831670"/>
      <w:bookmarkStart w:id="54" w:name="_Toc161762881"/>
      <w:bookmarkStart w:id="55" w:name="_Toc163048585"/>
      <w:bookmarkStart w:id="56" w:name="_Toc166162147"/>
      <w:r>
        <w:lastRenderedPageBreak/>
        <w:t>Options for unit settings</w:t>
      </w:r>
      <w:bookmarkEnd w:id="53"/>
      <w:bookmarkEnd w:id="54"/>
      <w:bookmarkEnd w:id="55"/>
      <w:bookmarkEnd w:id="56"/>
    </w:p>
    <w:p w14:paraId="18B8925D" w14:textId="77777777" w:rsidR="001A7C31" w:rsidRPr="00053DAC" w:rsidRDefault="001A7C31" w:rsidP="00CA3497">
      <w:pPr>
        <w:pStyle w:val="Heading2"/>
      </w:pPr>
      <w:bookmarkStart w:id="57" w:name="_Toc161831671"/>
      <w:bookmarkStart w:id="58" w:name="_Toc161762882"/>
      <w:bookmarkStart w:id="59" w:name="_Toc163048586"/>
      <w:bookmarkStart w:id="60" w:name="_Toc166162148"/>
      <w:r>
        <w:t xml:space="preserve">Steps for calculating annual auction </w:t>
      </w:r>
      <w:proofErr w:type="gramStart"/>
      <w:r>
        <w:t>volumes</w:t>
      </w:r>
      <w:bookmarkEnd w:id="57"/>
      <w:bookmarkEnd w:id="58"/>
      <w:bookmarkEnd w:id="59"/>
      <w:bookmarkEnd w:id="60"/>
      <w:proofErr w:type="gramEnd"/>
    </w:p>
    <w:p w14:paraId="7BD3B02E" w14:textId="19DB487D" w:rsidR="001A7C31" w:rsidRDefault="001A7C31" w:rsidP="001A7C31">
      <w:pPr>
        <w:pStyle w:val="BodyText"/>
      </w:pPr>
      <w:r w:rsidRPr="00B16761">
        <w:t xml:space="preserve">A methodology for calculating </w:t>
      </w:r>
      <w:permStart w:id="237839869" w:edGrp="everyone"/>
      <w:permEnd w:id="237839869"/>
      <w:r w:rsidRPr="00B16761">
        <w:t>the annual auction volumes was first developed in 2020</w:t>
      </w:r>
      <w:r w:rsidR="2D0675C7">
        <w:t>, and</w:t>
      </w:r>
      <w:r w:rsidR="70D394DB">
        <w:t xml:space="preserve"> </w:t>
      </w:r>
      <w:r w:rsidRPr="00B16761">
        <w:t xml:space="preserve">both the Government and </w:t>
      </w:r>
      <w:r w:rsidR="5580377D">
        <w:t>the Commission</w:t>
      </w:r>
      <w:r w:rsidR="67E97856">
        <w:t xml:space="preserve"> have used this approach every year since</w:t>
      </w:r>
      <w:r w:rsidR="5580377D">
        <w:t>.</w:t>
      </w:r>
    </w:p>
    <w:p w14:paraId="031ACFF9" w14:textId="4D3232FF" w:rsidR="001A7C31" w:rsidRPr="00B16761" w:rsidRDefault="001A7C31" w:rsidP="001A7C31">
      <w:pPr>
        <w:pStyle w:val="BodyText"/>
      </w:pPr>
      <w:r>
        <w:t>This</w:t>
      </w:r>
      <w:r w:rsidRPr="00B16761">
        <w:t xml:space="preserve"> methodology moves through a series of steps, </w:t>
      </w:r>
      <w:r w:rsidR="12C814A6">
        <w:t>the result of which is</w:t>
      </w:r>
      <w:r w:rsidRPr="00B16761">
        <w:t xml:space="preserve"> then used as an input</w:t>
      </w:r>
      <w:r>
        <w:t xml:space="preserve"> </w:t>
      </w:r>
      <w:r w:rsidRPr="00B16761">
        <w:t>to calculate the limits prescribed in regulations.</w:t>
      </w:r>
    </w:p>
    <w:p w14:paraId="36A92F4A" w14:textId="0C78B3D0" w:rsidR="001A7C31" w:rsidRPr="00B16761" w:rsidRDefault="001A7C31" w:rsidP="001A7C31">
      <w:pPr>
        <w:pStyle w:val="BodyText"/>
      </w:pPr>
      <w:r w:rsidRPr="00B16761">
        <w:t>The methodology for calculating the auction volumes uses the following calculation steps: </w:t>
      </w:r>
    </w:p>
    <w:p w14:paraId="13880DB1" w14:textId="434920FA" w:rsidR="001A7C31" w:rsidRPr="00297DE4" w:rsidRDefault="001A7C31" w:rsidP="00E92844">
      <w:pPr>
        <w:pStyle w:val="BodyText"/>
        <w:numPr>
          <w:ilvl w:val="0"/>
          <w:numId w:val="21"/>
        </w:numPr>
        <w:spacing w:before="60" w:after="60"/>
        <w:ind w:left="357" w:hanging="357"/>
      </w:pPr>
      <w:r w:rsidRPr="00297DE4">
        <w:t>Align with climate change targets</w:t>
      </w:r>
      <w:r w:rsidR="71C470CD">
        <w:t>.</w:t>
      </w:r>
    </w:p>
    <w:p w14:paraId="658207AE" w14:textId="5EE6D537" w:rsidR="001A7C31" w:rsidRPr="00297DE4" w:rsidRDefault="001A7C31" w:rsidP="00E92844">
      <w:pPr>
        <w:pStyle w:val="BodyText"/>
        <w:numPr>
          <w:ilvl w:val="0"/>
          <w:numId w:val="21"/>
        </w:numPr>
        <w:spacing w:before="60" w:after="60"/>
        <w:ind w:left="357" w:hanging="357"/>
      </w:pPr>
      <w:r w:rsidRPr="00297DE4">
        <w:t>Allocate the emissions budgets to NZ ETS and non-NZ ETS sectors</w:t>
      </w:r>
      <w:r w:rsidR="128329F9">
        <w:t>.</w:t>
      </w:r>
    </w:p>
    <w:p w14:paraId="486D89E2" w14:textId="588E82EF" w:rsidR="001A7C31" w:rsidRPr="00297DE4" w:rsidRDefault="001A7C31" w:rsidP="00E92844">
      <w:pPr>
        <w:pStyle w:val="BodyText"/>
        <w:numPr>
          <w:ilvl w:val="0"/>
          <w:numId w:val="21"/>
        </w:numPr>
        <w:spacing w:before="60" w:after="60"/>
        <w:ind w:left="357" w:hanging="357"/>
      </w:pPr>
      <w:r w:rsidRPr="00297DE4">
        <w:t>Make technical adjustments</w:t>
      </w:r>
      <w:r w:rsidR="4BD4E7DD">
        <w:t>.</w:t>
      </w:r>
    </w:p>
    <w:p w14:paraId="2D4F7D9E" w14:textId="72B44AFE" w:rsidR="001A7C31" w:rsidRPr="00297DE4" w:rsidRDefault="001A7C31" w:rsidP="00E92844">
      <w:pPr>
        <w:pStyle w:val="BodyText"/>
        <w:numPr>
          <w:ilvl w:val="0"/>
          <w:numId w:val="21"/>
        </w:numPr>
        <w:spacing w:before="60" w:after="60"/>
        <w:ind w:left="357" w:hanging="357"/>
      </w:pPr>
      <w:r w:rsidRPr="00297DE4">
        <w:t xml:space="preserve">Account for </w:t>
      </w:r>
      <w:r>
        <w:t xml:space="preserve">industrial allocation </w:t>
      </w:r>
      <w:r w:rsidRPr="00297DE4">
        <w:t>volumes</w:t>
      </w:r>
      <w:r w:rsidR="57BE26C3">
        <w:t>.</w:t>
      </w:r>
    </w:p>
    <w:p w14:paraId="5D92DA0F" w14:textId="71530308" w:rsidR="001A7C31" w:rsidRPr="00297DE4" w:rsidRDefault="001A7C31" w:rsidP="00E92844">
      <w:pPr>
        <w:pStyle w:val="BodyText"/>
        <w:numPr>
          <w:ilvl w:val="0"/>
          <w:numId w:val="21"/>
        </w:numPr>
        <w:spacing w:before="60" w:after="60"/>
        <w:ind w:left="357" w:hanging="357"/>
      </w:pPr>
      <w:r w:rsidRPr="00297DE4">
        <w:t>Set the reduction volume to address the unit surplus</w:t>
      </w:r>
      <w:r w:rsidR="44C552DE">
        <w:t>.</w:t>
      </w:r>
    </w:p>
    <w:p w14:paraId="65C44C1C" w14:textId="073933A6" w:rsidR="001A7C31" w:rsidRPr="00E352BE" w:rsidRDefault="001A7C31" w:rsidP="00E92844">
      <w:pPr>
        <w:pStyle w:val="BodyText"/>
        <w:numPr>
          <w:ilvl w:val="0"/>
          <w:numId w:val="21"/>
        </w:numPr>
        <w:spacing w:before="60" w:after="60"/>
        <w:ind w:left="357" w:hanging="357"/>
      </w:pPr>
      <w:r w:rsidRPr="00E352BE">
        <w:t>Set the approved overseas unit limit</w:t>
      </w:r>
      <w:r w:rsidR="04672E42">
        <w:t>.</w:t>
      </w:r>
    </w:p>
    <w:p w14:paraId="36A8C622" w14:textId="00C2CA5B" w:rsidR="001A7C31" w:rsidRDefault="001A7C31" w:rsidP="00E92844">
      <w:pPr>
        <w:pStyle w:val="BodyText"/>
        <w:numPr>
          <w:ilvl w:val="0"/>
          <w:numId w:val="21"/>
        </w:numPr>
        <w:spacing w:before="60" w:after="60"/>
        <w:ind w:left="357" w:hanging="357"/>
        <w:rPr>
          <w:rStyle w:val="eop"/>
          <w:rFonts w:ascii="Arial" w:hAnsi="Arial" w:cs="Arial"/>
        </w:rPr>
      </w:pPr>
      <w:r w:rsidRPr="00E352BE">
        <w:t>Calculate the base auction volumes.</w:t>
      </w:r>
    </w:p>
    <w:p w14:paraId="03C5D8C7" w14:textId="31189BE8" w:rsidR="001A7C31" w:rsidRDefault="364DD91B" w:rsidP="001A7C31">
      <w:pPr>
        <w:pStyle w:val="BodyText"/>
      </w:pPr>
      <w:r>
        <w:t>Analysis of these steps, as well as our options for changes to these steps</w:t>
      </w:r>
      <w:r w:rsidR="001A7C31" w:rsidRPr="00297DE4">
        <w:t xml:space="preserve"> are outlined below.</w:t>
      </w:r>
      <w:r w:rsidR="001A7C31">
        <w:t xml:space="preserve"> </w:t>
      </w:r>
    </w:p>
    <w:p w14:paraId="5819F646" w14:textId="0817A1D2" w:rsidR="001A7C31" w:rsidRDefault="001A7C31" w:rsidP="001A7C31">
      <w:pPr>
        <w:pStyle w:val="BodyText"/>
      </w:pPr>
      <w:r>
        <w:t xml:space="preserve">We have only analysed more than one option for step 1 and step 5. This is because </w:t>
      </w:r>
      <w:r w:rsidR="00B93159">
        <w:t xml:space="preserve">the other steps mostly involve </w:t>
      </w:r>
      <w:r w:rsidR="001E578C">
        <w:t xml:space="preserve">updating numbers </w:t>
      </w:r>
      <w:r w:rsidR="00B60C34">
        <w:t xml:space="preserve">to ensure accuracy in calculation, </w:t>
      </w:r>
      <w:r w:rsidR="001E578C">
        <w:t>based on existing methodology</w:t>
      </w:r>
      <w:r>
        <w:t xml:space="preserve">. </w:t>
      </w:r>
      <w:r w:rsidR="31F1AEB1">
        <w:t>Nonetheless, for clarity</w:t>
      </w:r>
      <w:r>
        <w:t xml:space="preserve">, we have included the reason for updating these three steps </w:t>
      </w:r>
      <w:r w:rsidR="00016731">
        <w:t xml:space="preserve">and links to further information </w:t>
      </w:r>
      <w:r>
        <w:t>below.</w:t>
      </w:r>
    </w:p>
    <w:p w14:paraId="7709CD2B" w14:textId="2050E858" w:rsidR="001A7C31" w:rsidRPr="00433654" w:rsidRDefault="001A7C31" w:rsidP="00CA3497">
      <w:pPr>
        <w:pStyle w:val="Heading2"/>
      </w:pPr>
      <w:bookmarkStart w:id="61" w:name="_Toc161831672"/>
      <w:bookmarkStart w:id="62" w:name="_Toc161762883"/>
      <w:bookmarkStart w:id="63" w:name="_Toc163048587"/>
      <w:bookmarkStart w:id="64" w:name="_Toc166162149"/>
      <w:r w:rsidRPr="00433654">
        <w:t xml:space="preserve">Step 1: </w:t>
      </w:r>
      <w:r w:rsidR="014A6FC6">
        <w:t>A</w:t>
      </w:r>
      <w:r>
        <w:t>lign</w:t>
      </w:r>
      <w:r w:rsidRPr="00433654">
        <w:t xml:space="preserve"> with climate change </w:t>
      </w:r>
      <w:proofErr w:type="gramStart"/>
      <w:r w:rsidRPr="00433654">
        <w:t>targets</w:t>
      </w:r>
      <w:bookmarkEnd w:id="61"/>
      <w:bookmarkEnd w:id="62"/>
      <w:bookmarkEnd w:id="63"/>
      <w:bookmarkEnd w:id="64"/>
      <w:proofErr w:type="gramEnd"/>
    </w:p>
    <w:p w14:paraId="4E10E07C" w14:textId="149B9356" w:rsidR="001A7C31" w:rsidRDefault="001A7C31" w:rsidP="003A1AC1">
      <w:pPr>
        <w:pStyle w:val="BodyText"/>
      </w:pPr>
      <w:r>
        <w:t>The first step sets out how unit limits should align with emissions budgets, the NDC, and the 2050 target. Options detailed below present a range of how well this step can help NZ ETS accord emissions budgets and targets</w:t>
      </w:r>
      <w:r w:rsidR="00C557F4">
        <w:t>.</w:t>
      </w:r>
    </w:p>
    <w:p w14:paraId="7EF57E7F" w14:textId="77777777" w:rsidR="001A7C31" w:rsidRDefault="001A7C31" w:rsidP="001347D7">
      <w:pPr>
        <w:pStyle w:val="Heading3"/>
        <w:spacing w:before="240"/>
        <w:rPr>
          <w:b w:val="0"/>
          <w:bCs w:val="0"/>
        </w:rPr>
      </w:pPr>
      <w:r w:rsidRPr="00B672D5">
        <w:t>Option 1: Status quo</w:t>
      </w:r>
    </w:p>
    <w:p w14:paraId="27172151" w14:textId="77777777" w:rsidR="001A7C31" w:rsidRDefault="001A7C31" w:rsidP="00B672D5">
      <w:pPr>
        <w:pStyle w:val="BodyText"/>
      </w:pPr>
      <w:r>
        <w:t xml:space="preserve">The </w:t>
      </w:r>
      <w:r w:rsidRPr="00C46172">
        <w:rPr>
          <w:b/>
          <w:bCs/>
        </w:rPr>
        <w:t>status quo optio</w:t>
      </w:r>
      <w:r w:rsidRPr="00C46172">
        <w:t>n</w:t>
      </w:r>
      <w:r>
        <w:t xml:space="preserve"> is to make no changes other than to add settings for 2029.</w:t>
      </w:r>
    </w:p>
    <w:p w14:paraId="0B617E56" w14:textId="4A6E0452" w:rsidR="001A7C31" w:rsidRPr="00B672D5" w:rsidRDefault="001A7C31" w:rsidP="001347D7">
      <w:pPr>
        <w:pStyle w:val="Heading3"/>
        <w:spacing w:before="240"/>
        <w:rPr>
          <w:b w:val="0"/>
        </w:rPr>
      </w:pPr>
      <w:r w:rsidRPr="00B672D5">
        <w:t>Option 2: Minimum adjustment</w:t>
      </w:r>
    </w:p>
    <w:p w14:paraId="2CC81F51" w14:textId="1892FEB4" w:rsidR="001A7C31" w:rsidRDefault="001A7C31" w:rsidP="00FC3636">
      <w:pPr>
        <w:pStyle w:val="BodyText"/>
      </w:pPr>
      <w:r w:rsidRPr="00FC3636">
        <w:t xml:space="preserve">The </w:t>
      </w:r>
      <w:r w:rsidRPr="00C46172">
        <w:rPr>
          <w:b/>
          <w:bCs/>
        </w:rPr>
        <w:t>minimum</w:t>
      </w:r>
      <w:r w:rsidRPr="00C46172" w:rsidDel="007F3034">
        <w:rPr>
          <w:b/>
          <w:bCs/>
        </w:rPr>
        <w:t xml:space="preserve"> </w:t>
      </w:r>
      <w:r w:rsidR="00C557F4">
        <w:rPr>
          <w:b/>
          <w:bCs/>
        </w:rPr>
        <w:t>adjustment</w:t>
      </w:r>
      <w:r w:rsidRPr="00C46172" w:rsidDel="007F3034">
        <w:rPr>
          <w:b/>
          <w:bCs/>
        </w:rPr>
        <w:t xml:space="preserve"> </w:t>
      </w:r>
      <w:r w:rsidRPr="00C46172">
        <w:rPr>
          <w:b/>
          <w:bCs/>
        </w:rPr>
        <w:t>option</w:t>
      </w:r>
      <w:r>
        <w:t xml:space="preserve"> is to account for methodological changes made in the </w:t>
      </w:r>
      <w:r w:rsidR="00AF4503">
        <w:t xml:space="preserve">2023 </w:t>
      </w:r>
      <w:r>
        <w:t>New Zealand’s Greenhouse Gas Inventory (GHG Inventory). This is the Commission’s recommended option.</w:t>
      </w:r>
    </w:p>
    <w:p w14:paraId="2C6F19FB" w14:textId="12B45304" w:rsidR="00515118" w:rsidRDefault="007D5389" w:rsidP="00B672D5">
      <w:pPr>
        <w:pStyle w:val="BodyText"/>
      </w:pPr>
      <w:r>
        <w:t>M</w:t>
      </w:r>
      <w:r w:rsidR="001A7C31">
        <w:t>ethodological changes</w:t>
      </w:r>
      <w:r w:rsidR="00EA44AA">
        <w:t xml:space="preserve"> to the GHG Inventory</w:t>
      </w:r>
      <w:r w:rsidR="001F603A">
        <w:t xml:space="preserve"> impact historical emissions. They</w:t>
      </w:r>
      <w:r w:rsidR="001A7C31">
        <w:t xml:space="preserve"> </w:t>
      </w:r>
      <w:r w:rsidR="00151554">
        <w:t>are</w:t>
      </w:r>
      <w:r w:rsidR="0007101A">
        <w:t xml:space="preserve"> refinements to how emissions </w:t>
      </w:r>
      <w:r w:rsidR="007D6C45">
        <w:t>are calculated</w:t>
      </w:r>
      <w:r w:rsidR="00690A0C">
        <w:t>, such as through</w:t>
      </w:r>
      <w:r w:rsidR="00CA4B76">
        <w:t xml:space="preserve"> better data and information, rather than actions that have reduced emissions. </w:t>
      </w:r>
      <w:r w:rsidR="00B67B49">
        <w:t xml:space="preserve">These </w:t>
      </w:r>
      <w:r w:rsidR="003856B9">
        <w:t>refinements are</w:t>
      </w:r>
      <w:r w:rsidR="00151554">
        <w:t xml:space="preserve"> frequently made </w:t>
      </w:r>
      <w:r w:rsidR="00E2714F">
        <w:t>with the annual release of the</w:t>
      </w:r>
      <w:r w:rsidR="00151554" w:rsidDel="00C25E00">
        <w:t xml:space="preserve"> </w:t>
      </w:r>
      <w:r w:rsidR="00C25E00">
        <w:t xml:space="preserve">GHG </w:t>
      </w:r>
      <w:r w:rsidR="006D5710">
        <w:t>I</w:t>
      </w:r>
      <w:r w:rsidR="00151554">
        <w:t>nventory and changes can go either way.</w:t>
      </w:r>
    </w:p>
    <w:p w14:paraId="3004762A" w14:textId="21DEB288" w:rsidR="001A7C31" w:rsidRDefault="001A7C31" w:rsidP="00B672D5">
      <w:pPr>
        <w:pStyle w:val="BodyText"/>
      </w:pPr>
      <w:r>
        <w:lastRenderedPageBreak/>
        <w:t xml:space="preserve">Table </w:t>
      </w:r>
      <w:r w:rsidR="5463D9D4" w:rsidRPr="04222899">
        <w:t>2</w:t>
      </w:r>
      <w:r>
        <w:t xml:space="preserve"> shows </w:t>
      </w:r>
      <w:r w:rsidR="473A6E39" w:rsidRPr="04222899">
        <w:t>the projected</w:t>
      </w:r>
      <w:r w:rsidR="5580377D" w:rsidRPr="04222899">
        <w:t xml:space="preserve"> </w:t>
      </w:r>
      <w:r>
        <w:t>unit limits following this step</w:t>
      </w:r>
      <w:r w:rsidR="002A49BE">
        <w:t>, and</w:t>
      </w:r>
      <w:r w:rsidR="00143E6D">
        <w:t xml:space="preserve"> comparison with the status</w:t>
      </w:r>
      <w:r w:rsidR="00C0261E">
        <w:t> </w:t>
      </w:r>
      <w:r w:rsidR="00143E6D">
        <w:t>quo.</w:t>
      </w:r>
    </w:p>
    <w:p w14:paraId="2B1EEEBF" w14:textId="10C1C8A7" w:rsidR="00C0766F" w:rsidRPr="00C0766F" w:rsidRDefault="00C0766F" w:rsidP="00C0766F">
      <w:pPr>
        <w:pStyle w:val="Tableheading"/>
      </w:pPr>
      <w:bookmarkStart w:id="65" w:name="_Toc167714871"/>
      <w:r w:rsidRPr="00C0766F">
        <w:t>Table 2:</w:t>
      </w:r>
      <w:r w:rsidR="00CB6FB5">
        <w:t xml:space="preserve"> </w:t>
      </w:r>
      <w:r w:rsidR="00C31713">
        <w:tab/>
      </w:r>
      <w:r w:rsidRPr="00C0766F">
        <w:t>The Commission’s recommended option for step 1 and comparison with status quo</w:t>
      </w:r>
      <w:bookmarkEnd w:id="65"/>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022B0B" w:rsidRPr="00C63C98" w14:paraId="18E8EFFD" w14:textId="77777777" w:rsidTr="00022B0B">
        <w:trPr>
          <w:trHeight w:val="360"/>
          <w:tblHeader/>
        </w:trPr>
        <w:tc>
          <w:tcPr>
            <w:tcW w:w="1834" w:type="pct"/>
            <w:shd w:val="clear" w:color="auto" w:fill="1B556B"/>
          </w:tcPr>
          <w:p w14:paraId="48037B12" w14:textId="77777777" w:rsidR="00022B0B" w:rsidRPr="00C63C98" w:rsidRDefault="00022B0B">
            <w:pPr>
              <w:pStyle w:val="TableTextbold"/>
              <w:rPr>
                <w:color w:val="FFFFFF" w:themeColor="background1"/>
              </w:rPr>
            </w:pPr>
          </w:p>
        </w:tc>
        <w:tc>
          <w:tcPr>
            <w:tcW w:w="3166" w:type="pct"/>
            <w:gridSpan w:val="5"/>
            <w:shd w:val="clear" w:color="auto" w:fill="1B556B"/>
          </w:tcPr>
          <w:p w14:paraId="55D2F409" w14:textId="519279BA" w:rsidR="00022B0B" w:rsidRDefault="00022B0B" w:rsidP="003342EE">
            <w:pPr>
              <w:pStyle w:val="TableTextbold"/>
              <w:jc w:val="center"/>
              <w:rPr>
                <w:color w:val="FFFFFF" w:themeColor="background1"/>
              </w:rPr>
            </w:pPr>
            <w:r>
              <w:rPr>
                <w:color w:val="FFFFFF" w:themeColor="background1"/>
              </w:rPr>
              <w:t>Year</w:t>
            </w:r>
            <w:r>
              <w:rPr>
                <w:color w:val="FFFFFF" w:themeColor="background1"/>
              </w:rPr>
              <w:br/>
            </w:r>
            <w:r w:rsidR="003342EE">
              <w:rPr>
                <w:color w:val="FFFFFF" w:themeColor="background1"/>
              </w:rPr>
              <w:t>(Million NZUs)</w:t>
            </w:r>
          </w:p>
        </w:tc>
      </w:tr>
      <w:tr w:rsidR="00C63C98" w:rsidRPr="00C63C98" w14:paraId="78019E79" w14:textId="77777777" w:rsidTr="00C63C98">
        <w:trPr>
          <w:trHeight w:val="360"/>
          <w:tblHeader/>
        </w:trPr>
        <w:tc>
          <w:tcPr>
            <w:tcW w:w="1834" w:type="pct"/>
            <w:shd w:val="clear" w:color="auto" w:fill="1B556B"/>
          </w:tcPr>
          <w:p w14:paraId="5CB9ED20" w14:textId="7F6C1E37" w:rsidR="00C0766F" w:rsidRPr="006B77BB" w:rsidRDefault="00C63C98">
            <w:pPr>
              <w:pStyle w:val="TableTextbold"/>
              <w:rPr>
                <w:color w:val="FFFFFF" w:themeColor="background1"/>
              </w:rPr>
            </w:pPr>
            <w:r w:rsidRPr="00C63C98">
              <w:rPr>
                <w:color w:val="FFFFFF" w:themeColor="background1"/>
              </w:rPr>
              <w:t xml:space="preserve">Step 1: </w:t>
            </w:r>
            <w:r w:rsidR="0011687D">
              <w:rPr>
                <w:color w:val="FFFFFF" w:themeColor="background1"/>
              </w:rPr>
              <w:t>A</w:t>
            </w:r>
            <w:r w:rsidRPr="00C63C98">
              <w:rPr>
                <w:color w:val="FFFFFF" w:themeColor="background1"/>
              </w:rPr>
              <w:t xml:space="preserve">lign with emissions budget </w:t>
            </w:r>
          </w:p>
        </w:tc>
        <w:tc>
          <w:tcPr>
            <w:tcW w:w="633" w:type="pct"/>
            <w:shd w:val="clear" w:color="auto" w:fill="1B556B"/>
          </w:tcPr>
          <w:p w14:paraId="4F39CA8E" w14:textId="0D7A9060" w:rsidR="00C0766F" w:rsidRPr="006B77BB" w:rsidRDefault="00C63C98">
            <w:pPr>
              <w:pStyle w:val="TableTextbold"/>
              <w:rPr>
                <w:color w:val="FFFFFF" w:themeColor="background1"/>
              </w:rPr>
            </w:pPr>
            <w:r>
              <w:rPr>
                <w:color w:val="FFFFFF" w:themeColor="background1"/>
              </w:rPr>
              <w:t>2025</w:t>
            </w:r>
          </w:p>
        </w:tc>
        <w:tc>
          <w:tcPr>
            <w:tcW w:w="633" w:type="pct"/>
            <w:shd w:val="clear" w:color="auto" w:fill="1B556B"/>
          </w:tcPr>
          <w:p w14:paraId="4E9FE905" w14:textId="30F25604" w:rsidR="00C0766F" w:rsidRPr="006B77BB" w:rsidRDefault="00C63C98">
            <w:pPr>
              <w:pStyle w:val="TableTextbold"/>
              <w:rPr>
                <w:color w:val="FFFFFF" w:themeColor="background1"/>
              </w:rPr>
            </w:pPr>
            <w:r>
              <w:rPr>
                <w:color w:val="FFFFFF" w:themeColor="background1"/>
              </w:rPr>
              <w:t>2026</w:t>
            </w:r>
          </w:p>
        </w:tc>
        <w:tc>
          <w:tcPr>
            <w:tcW w:w="633" w:type="pct"/>
            <w:shd w:val="clear" w:color="auto" w:fill="1B556B"/>
          </w:tcPr>
          <w:p w14:paraId="02DA50A6" w14:textId="13200A03" w:rsidR="00C0766F" w:rsidRPr="006B77BB" w:rsidRDefault="00C63C98">
            <w:pPr>
              <w:pStyle w:val="TableTextbold"/>
              <w:rPr>
                <w:color w:val="FFFFFF" w:themeColor="background1"/>
              </w:rPr>
            </w:pPr>
            <w:r>
              <w:rPr>
                <w:color w:val="FFFFFF" w:themeColor="background1"/>
              </w:rPr>
              <w:t>2027</w:t>
            </w:r>
          </w:p>
        </w:tc>
        <w:tc>
          <w:tcPr>
            <w:tcW w:w="633" w:type="pct"/>
            <w:shd w:val="clear" w:color="auto" w:fill="1B556B"/>
          </w:tcPr>
          <w:p w14:paraId="1117A5A5" w14:textId="0A93C6C9" w:rsidR="00C0766F" w:rsidRPr="006B77BB" w:rsidRDefault="00C63C98">
            <w:pPr>
              <w:pStyle w:val="TableTextbold"/>
              <w:rPr>
                <w:color w:val="FFFFFF" w:themeColor="background1"/>
              </w:rPr>
            </w:pPr>
            <w:r>
              <w:rPr>
                <w:color w:val="FFFFFF" w:themeColor="background1"/>
              </w:rPr>
              <w:t>2028</w:t>
            </w:r>
          </w:p>
        </w:tc>
        <w:tc>
          <w:tcPr>
            <w:tcW w:w="634" w:type="pct"/>
            <w:shd w:val="clear" w:color="auto" w:fill="1B556B"/>
          </w:tcPr>
          <w:p w14:paraId="63CAD95D" w14:textId="0530CC00" w:rsidR="00C0766F" w:rsidRPr="006B77BB" w:rsidRDefault="00C63C98">
            <w:pPr>
              <w:pStyle w:val="TableTextbold"/>
              <w:rPr>
                <w:color w:val="FFFFFF" w:themeColor="background1"/>
              </w:rPr>
            </w:pPr>
            <w:r>
              <w:rPr>
                <w:color w:val="FFFFFF" w:themeColor="background1"/>
              </w:rPr>
              <w:t>2029</w:t>
            </w:r>
          </w:p>
        </w:tc>
      </w:tr>
      <w:tr w:rsidR="00C63C98" w:rsidRPr="006B77BB" w14:paraId="2969B465" w14:textId="77777777" w:rsidTr="00C63C98">
        <w:trPr>
          <w:trHeight w:val="360"/>
        </w:trPr>
        <w:tc>
          <w:tcPr>
            <w:tcW w:w="1834" w:type="pct"/>
            <w:shd w:val="clear" w:color="auto" w:fill="auto"/>
          </w:tcPr>
          <w:p w14:paraId="7129720E" w14:textId="7D308396" w:rsidR="00C0766F" w:rsidRPr="006B77BB" w:rsidRDefault="00C63C98">
            <w:pPr>
              <w:pStyle w:val="TableText"/>
            </w:pPr>
            <w:r w:rsidRPr="0021242D">
              <w:rPr>
                <w:rFonts w:asciiTheme="minorHAnsi" w:hAnsiTheme="minorHAnsi" w:cstheme="minorHAnsi"/>
                <w:b/>
                <w:bCs/>
              </w:rPr>
              <w:t>Option 1: status quo (extended to 2029)</w:t>
            </w:r>
          </w:p>
        </w:tc>
        <w:tc>
          <w:tcPr>
            <w:tcW w:w="633" w:type="pct"/>
          </w:tcPr>
          <w:p w14:paraId="2BFA4900" w14:textId="259DDDC8" w:rsidR="00C0766F" w:rsidRPr="006B77BB" w:rsidRDefault="00C63C98">
            <w:pPr>
              <w:pStyle w:val="TableText"/>
            </w:pPr>
            <w:r w:rsidRPr="0021242D">
              <w:rPr>
                <w:rFonts w:asciiTheme="minorHAnsi" w:hAnsiTheme="minorHAnsi" w:cstheme="minorHAnsi"/>
              </w:rPr>
              <w:t>69.7</w:t>
            </w:r>
          </w:p>
        </w:tc>
        <w:tc>
          <w:tcPr>
            <w:tcW w:w="633" w:type="pct"/>
          </w:tcPr>
          <w:p w14:paraId="6C36F8EF" w14:textId="1CE8237F" w:rsidR="00C0766F" w:rsidRPr="006B77BB" w:rsidRDefault="00C63C98">
            <w:pPr>
              <w:pStyle w:val="TableText"/>
            </w:pPr>
            <w:r w:rsidRPr="0021242D">
              <w:rPr>
                <w:rFonts w:asciiTheme="minorHAnsi" w:hAnsiTheme="minorHAnsi" w:cstheme="minorHAnsi"/>
              </w:rPr>
              <w:t>66.5</w:t>
            </w:r>
          </w:p>
        </w:tc>
        <w:tc>
          <w:tcPr>
            <w:tcW w:w="633" w:type="pct"/>
          </w:tcPr>
          <w:p w14:paraId="5EE21F1B" w14:textId="6EF90814" w:rsidR="00C0766F" w:rsidRPr="006B77BB" w:rsidRDefault="00C63C98">
            <w:pPr>
              <w:pStyle w:val="TableText"/>
            </w:pPr>
            <w:r w:rsidRPr="0021242D">
              <w:rPr>
                <w:rFonts w:asciiTheme="minorHAnsi" w:hAnsiTheme="minorHAnsi" w:cstheme="minorHAnsi"/>
              </w:rPr>
              <w:t>63.9</w:t>
            </w:r>
          </w:p>
        </w:tc>
        <w:tc>
          <w:tcPr>
            <w:tcW w:w="633" w:type="pct"/>
          </w:tcPr>
          <w:p w14:paraId="53E77307" w14:textId="3284ADBC" w:rsidR="00C0766F" w:rsidRPr="006B77BB" w:rsidRDefault="00C63C98">
            <w:pPr>
              <w:pStyle w:val="TableText"/>
            </w:pPr>
            <w:r w:rsidRPr="0021242D">
              <w:rPr>
                <w:rFonts w:asciiTheme="minorHAnsi" w:hAnsiTheme="minorHAnsi" w:cstheme="minorHAnsi"/>
              </w:rPr>
              <w:t>60.7</w:t>
            </w:r>
          </w:p>
        </w:tc>
        <w:tc>
          <w:tcPr>
            <w:tcW w:w="634" w:type="pct"/>
            <w:shd w:val="clear" w:color="auto" w:fill="auto"/>
          </w:tcPr>
          <w:p w14:paraId="5E0964B7" w14:textId="5D2B7380" w:rsidR="00C0766F" w:rsidRPr="006B77BB" w:rsidRDefault="00C63C98">
            <w:pPr>
              <w:pStyle w:val="TableText"/>
            </w:pPr>
            <w:r w:rsidRPr="0021242D">
              <w:rPr>
                <w:rFonts w:asciiTheme="minorHAnsi" w:hAnsiTheme="minorHAnsi" w:cstheme="minorHAnsi"/>
              </w:rPr>
              <w:t>58.3</w:t>
            </w:r>
          </w:p>
        </w:tc>
      </w:tr>
      <w:tr w:rsidR="00C63C98" w:rsidRPr="006B77BB" w14:paraId="2B2055C4" w14:textId="77777777" w:rsidTr="00C63C98">
        <w:trPr>
          <w:trHeight w:val="360"/>
        </w:trPr>
        <w:tc>
          <w:tcPr>
            <w:tcW w:w="1834" w:type="pct"/>
            <w:shd w:val="clear" w:color="auto" w:fill="auto"/>
          </w:tcPr>
          <w:p w14:paraId="573A6074" w14:textId="11374AF8" w:rsidR="00C0766F" w:rsidRPr="006B77BB" w:rsidRDefault="00C63C98">
            <w:pPr>
              <w:pStyle w:val="TableText"/>
            </w:pPr>
            <w:r w:rsidRPr="0021242D">
              <w:rPr>
                <w:rFonts w:asciiTheme="minorHAnsi" w:hAnsiTheme="minorHAnsi" w:cstheme="minorHAnsi"/>
                <w:b/>
                <w:bCs/>
                <w:color w:val="000000"/>
              </w:rPr>
              <w:t>Option 2: minimum adjustment</w:t>
            </w:r>
          </w:p>
        </w:tc>
        <w:tc>
          <w:tcPr>
            <w:tcW w:w="633" w:type="pct"/>
          </w:tcPr>
          <w:p w14:paraId="6684B972" w14:textId="42471FED" w:rsidR="00C0766F" w:rsidRPr="006B77BB" w:rsidRDefault="00C63C98">
            <w:pPr>
              <w:pStyle w:val="TableText"/>
            </w:pPr>
            <w:r w:rsidRPr="0021242D">
              <w:rPr>
                <w:rFonts w:asciiTheme="minorHAnsi" w:hAnsiTheme="minorHAnsi" w:cstheme="minorHAnsi"/>
              </w:rPr>
              <w:t>66.7</w:t>
            </w:r>
          </w:p>
        </w:tc>
        <w:tc>
          <w:tcPr>
            <w:tcW w:w="633" w:type="pct"/>
          </w:tcPr>
          <w:p w14:paraId="2C22158B" w14:textId="3C3A2BF0" w:rsidR="00C0766F" w:rsidRPr="006B77BB" w:rsidRDefault="00C63C98">
            <w:pPr>
              <w:pStyle w:val="TableText"/>
            </w:pPr>
            <w:r w:rsidRPr="0021242D">
              <w:rPr>
                <w:rFonts w:asciiTheme="minorHAnsi" w:hAnsiTheme="minorHAnsi" w:cstheme="minorHAnsi"/>
              </w:rPr>
              <w:t>64.2</w:t>
            </w:r>
          </w:p>
        </w:tc>
        <w:tc>
          <w:tcPr>
            <w:tcW w:w="633" w:type="pct"/>
          </w:tcPr>
          <w:p w14:paraId="7B18A4E6" w14:textId="6ACAED6F" w:rsidR="00C0766F" w:rsidRPr="006B77BB" w:rsidRDefault="00C63C98">
            <w:pPr>
              <w:pStyle w:val="TableText"/>
            </w:pPr>
            <w:r w:rsidRPr="0021242D">
              <w:rPr>
                <w:rFonts w:asciiTheme="minorHAnsi" w:hAnsiTheme="minorHAnsi" w:cstheme="minorHAnsi"/>
              </w:rPr>
              <w:t>61.8</w:t>
            </w:r>
          </w:p>
        </w:tc>
        <w:tc>
          <w:tcPr>
            <w:tcW w:w="633" w:type="pct"/>
          </w:tcPr>
          <w:p w14:paraId="4A883FCE" w14:textId="7297D015" w:rsidR="00C0766F" w:rsidRPr="006B77BB" w:rsidRDefault="00C63C98">
            <w:pPr>
              <w:pStyle w:val="TableText"/>
            </w:pPr>
            <w:r w:rsidRPr="0021242D">
              <w:rPr>
                <w:rFonts w:asciiTheme="minorHAnsi" w:hAnsiTheme="minorHAnsi" w:cstheme="minorHAnsi"/>
              </w:rPr>
              <w:t>59.3</w:t>
            </w:r>
          </w:p>
        </w:tc>
        <w:tc>
          <w:tcPr>
            <w:tcW w:w="634" w:type="pct"/>
            <w:shd w:val="clear" w:color="auto" w:fill="auto"/>
          </w:tcPr>
          <w:p w14:paraId="75933334" w14:textId="2252FDAA" w:rsidR="00C0766F" w:rsidRPr="006B77BB" w:rsidRDefault="00C63C98">
            <w:pPr>
              <w:pStyle w:val="TableText"/>
            </w:pPr>
            <w:r w:rsidRPr="0021242D">
              <w:rPr>
                <w:rFonts w:asciiTheme="minorHAnsi" w:hAnsiTheme="minorHAnsi" w:cstheme="minorHAnsi"/>
              </w:rPr>
              <w:t>57.0</w:t>
            </w:r>
          </w:p>
        </w:tc>
      </w:tr>
    </w:tbl>
    <w:p w14:paraId="0A9DD784" w14:textId="4B650ACC" w:rsidR="001A7C31" w:rsidRPr="00C46172" w:rsidRDefault="001A7C31" w:rsidP="00DA7BC3">
      <w:pPr>
        <w:pStyle w:val="Heading3"/>
        <w:spacing w:before="240"/>
        <w:rPr>
          <w:b w:val="0"/>
        </w:rPr>
      </w:pPr>
      <w:r w:rsidRPr="00C46172">
        <w:t xml:space="preserve">Option 3: </w:t>
      </w:r>
      <w:r w:rsidRPr="00B92DA7">
        <w:t xml:space="preserve">Further adjustment to </w:t>
      </w:r>
      <w:r w:rsidR="009B1E7F">
        <w:t xml:space="preserve">manage </w:t>
      </w:r>
      <w:r w:rsidR="00551FFA">
        <w:t xml:space="preserve">the impact of </w:t>
      </w:r>
      <w:r w:rsidR="009B1E7F">
        <w:t xml:space="preserve">non-ETS </w:t>
      </w:r>
      <w:proofErr w:type="gramStart"/>
      <w:r w:rsidR="009B1E7F">
        <w:t>policies</w:t>
      </w:r>
      <w:proofErr w:type="gramEnd"/>
    </w:p>
    <w:p w14:paraId="37F3E5CF" w14:textId="4F719EF8" w:rsidR="006541F6" w:rsidRDefault="001A7C31" w:rsidP="00D419B6">
      <w:pPr>
        <w:pStyle w:val="BodyText"/>
      </w:pPr>
      <w:r>
        <w:t xml:space="preserve">This option </w:t>
      </w:r>
      <w:r w:rsidR="00196FAF">
        <w:t xml:space="preserve">was described </w:t>
      </w:r>
      <w:r w:rsidR="00A6725C">
        <w:t xml:space="preserve">by the Commission </w:t>
      </w:r>
      <w:r w:rsidR="00196FAF">
        <w:t>as</w:t>
      </w:r>
      <w:r w:rsidR="00EF538C">
        <w:t xml:space="preserve"> adjusting</w:t>
      </w:r>
      <w:r w:rsidR="00196FAF">
        <w:t xml:space="preserve"> </w:t>
      </w:r>
      <w:r w:rsidR="00196FAF" w:rsidRPr="00196FAF">
        <w:t xml:space="preserve">unit limits to reflect sizeable changes in emissions that result from other </w:t>
      </w:r>
      <w:r w:rsidR="00405286">
        <w:t xml:space="preserve">non-ETS </w:t>
      </w:r>
      <w:r w:rsidR="00964973">
        <w:t>interventions</w:t>
      </w:r>
      <w:r w:rsidR="00DB134C">
        <w:t>,</w:t>
      </w:r>
      <w:r w:rsidR="00196FAF" w:rsidRPr="00196FAF">
        <w:t xml:space="preserve"> where these are not already reflected in the related emissions budget. </w:t>
      </w:r>
      <w:r w:rsidR="005E42F5">
        <w:t xml:space="preserve">These </w:t>
      </w:r>
      <w:r w:rsidR="002F71D2">
        <w:t xml:space="preserve">can include </w:t>
      </w:r>
      <w:r w:rsidR="005E42F5">
        <w:t>n</w:t>
      </w:r>
      <w:r w:rsidR="00396304" w:rsidRPr="00396304">
        <w:t xml:space="preserve">on-NZ ETS policies </w:t>
      </w:r>
      <w:r w:rsidR="00533BBC">
        <w:t xml:space="preserve">that </w:t>
      </w:r>
      <w:r w:rsidR="00396304" w:rsidRPr="00396304">
        <w:t>reduce emissions from NZ ETS-covered sectors</w:t>
      </w:r>
      <w:r w:rsidR="00EA3221">
        <w:t>, which</w:t>
      </w:r>
      <w:r w:rsidR="00396304" w:rsidRPr="00396304">
        <w:t xml:space="preserve"> reduce</w:t>
      </w:r>
      <w:r w:rsidR="00EA3221">
        <w:t>s</w:t>
      </w:r>
      <w:r w:rsidR="00396304" w:rsidRPr="00396304">
        <w:t xml:space="preserve"> demand for NZUs</w:t>
      </w:r>
      <w:r w:rsidR="00C0261E">
        <w:t xml:space="preserve">. </w:t>
      </w:r>
      <w:r w:rsidR="002F71D2">
        <w:t>These can also include firm closures</w:t>
      </w:r>
      <w:r w:rsidR="00565E70">
        <w:t xml:space="preserve"> and decarbonisation</w:t>
      </w:r>
      <w:r w:rsidR="007C495A">
        <w:t xml:space="preserve"> efforts</w:t>
      </w:r>
      <w:r w:rsidR="00565E70">
        <w:t xml:space="preserve">. </w:t>
      </w:r>
      <w:r w:rsidR="00C0261E">
        <w:t>Th</w:t>
      </w:r>
      <w:r w:rsidR="003C582C">
        <w:t>ese scenarios can lead</w:t>
      </w:r>
      <w:r w:rsidR="00396304" w:rsidRPr="00396304">
        <w:t xml:space="preserve"> to a reduction in price expectations and a risk of increased NZU use by other NZ ETS participants. This is</w:t>
      </w:r>
      <w:r w:rsidR="00596993">
        <w:t xml:space="preserve"> </w:t>
      </w:r>
      <w:r w:rsidR="001C0D4C">
        <w:t>called</w:t>
      </w:r>
      <w:r w:rsidR="00396304" w:rsidRPr="00396304">
        <w:t xml:space="preserve"> the waterbed effect.</w:t>
      </w:r>
    </w:p>
    <w:p w14:paraId="1B438877" w14:textId="674FE974" w:rsidR="008B0FEB" w:rsidRDefault="008B0FEB" w:rsidP="008B0FEB">
      <w:pPr>
        <w:pStyle w:val="BodyText"/>
      </w:pPr>
      <w:r>
        <w:t>Th</w:t>
      </w:r>
      <w:r w:rsidR="00A8403C">
        <w:t>is risk c</w:t>
      </w:r>
      <w:r>
        <w:t xml:space="preserve">an </w:t>
      </w:r>
      <w:r w:rsidR="00A8403C">
        <w:t xml:space="preserve">be </w:t>
      </w:r>
      <w:r>
        <w:t>manage</w:t>
      </w:r>
      <w:r w:rsidR="00A8403C">
        <w:t>d</w:t>
      </w:r>
      <w:r>
        <w:t xml:space="preserve"> by tightening the NZ ETS cap (reducing auction volumes) to </w:t>
      </w:r>
      <w:r w:rsidR="005873F6">
        <w:t>‘</w:t>
      </w:r>
      <w:r>
        <w:t>lock in</w:t>
      </w:r>
      <w:r w:rsidR="005873F6">
        <w:t>’</w:t>
      </w:r>
      <w:r>
        <w:t xml:space="preserve"> those </w:t>
      </w:r>
      <w:r w:rsidR="00100C27">
        <w:t xml:space="preserve">emissions </w:t>
      </w:r>
      <w:r>
        <w:t>reductions. This would have the effect of over-achieving emissions budgets,</w:t>
      </w:r>
      <w:r w:rsidR="00C33CEE">
        <w:t xml:space="preserve"> providing </w:t>
      </w:r>
      <w:r>
        <w:t>a buffer to manage risks and uncertainty</w:t>
      </w:r>
      <w:r w:rsidR="00DB1E59">
        <w:t>. It could also</w:t>
      </w:r>
      <w:r>
        <w:t xml:space="preserve"> reduc</w:t>
      </w:r>
      <w:r w:rsidR="00DB1E59">
        <w:t>e</w:t>
      </w:r>
      <w:r>
        <w:t xml:space="preserve"> the amount of offshore abatement needed to achieve our NDC.</w:t>
      </w:r>
    </w:p>
    <w:p w14:paraId="5816B2BC" w14:textId="34574F21" w:rsidR="00D419B6" w:rsidRDefault="001A7C31" w:rsidP="008B0FEB">
      <w:pPr>
        <w:pStyle w:val="BodyText"/>
      </w:pPr>
      <w:r>
        <w:t>An example of this is the New Zealand Steel Electric Arc Furnace project</w:t>
      </w:r>
      <w:r>
        <w:rPr>
          <w:rStyle w:val="FootnoteReference"/>
        </w:rPr>
        <w:footnoteReference w:id="6"/>
      </w:r>
      <w:r>
        <w:t xml:space="preserve">. </w:t>
      </w:r>
      <w:r w:rsidR="0071516F">
        <w:t xml:space="preserve">NZ Steel and its </w:t>
      </w:r>
      <w:r w:rsidR="00DE7B00">
        <w:t xml:space="preserve">coal and </w:t>
      </w:r>
      <w:r w:rsidR="0071516F">
        <w:t xml:space="preserve">fuel suppliers will surrender 800,000 less NZUs once the electric arc furnace is operational. </w:t>
      </w:r>
      <w:r w:rsidR="00D419B6">
        <w:t xml:space="preserve">The Commission did not include these reductions when considering pathways for meeting emissions budgets in the advice it provided to the Government, </w:t>
      </w:r>
      <w:proofErr w:type="spellStart"/>
      <w:r w:rsidR="00D419B6" w:rsidRPr="4BE344E1">
        <w:rPr>
          <w:i/>
          <w:iCs/>
        </w:rPr>
        <w:t>Ināia</w:t>
      </w:r>
      <w:proofErr w:type="spellEnd"/>
      <w:r w:rsidR="00D419B6" w:rsidRPr="4BE344E1">
        <w:rPr>
          <w:i/>
          <w:iCs/>
        </w:rPr>
        <w:t xml:space="preserve"> </w:t>
      </w:r>
      <w:proofErr w:type="spellStart"/>
      <w:r w:rsidR="00D419B6" w:rsidRPr="4BE344E1">
        <w:rPr>
          <w:i/>
          <w:iCs/>
        </w:rPr>
        <w:t>tonu</w:t>
      </w:r>
      <w:proofErr w:type="spellEnd"/>
      <w:r w:rsidR="00D419B6" w:rsidRPr="4BE344E1">
        <w:rPr>
          <w:i/>
          <w:iCs/>
        </w:rPr>
        <w:t xml:space="preserve"> </w:t>
      </w:r>
      <w:proofErr w:type="spellStart"/>
      <w:r w:rsidR="00D419B6" w:rsidRPr="4BE344E1">
        <w:rPr>
          <w:i/>
          <w:iCs/>
        </w:rPr>
        <w:t>nei</w:t>
      </w:r>
      <w:proofErr w:type="spellEnd"/>
      <w:r w:rsidR="00D419B6" w:rsidRPr="4BE344E1">
        <w:rPr>
          <w:rStyle w:val="FootnoteReference"/>
        </w:rPr>
        <w:footnoteReference w:id="7"/>
      </w:r>
      <w:r w:rsidR="00D419B6">
        <w:t>.</w:t>
      </w:r>
    </w:p>
    <w:p w14:paraId="53F7EAFF" w14:textId="71D4CBF3" w:rsidR="000C24B5" w:rsidRDefault="3FC1EEE4" w:rsidP="00A6725C">
      <w:pPr>
        <w:pStyle w:val="BodyText"/>
      </w:pPr>
      <w:r>
        <w:t xml:space="preserve">The </w:t>
      </w:r>
      <w:r w:rsidR="13FF0E9C" w:rsidDel="007006CD">
        <w:t xml:space="preserve">Commission </w:t>
      </w:r>
      <w:r w:rsidR="00880312">
        <w:t>raises the question of whether</w:t>
      </w:r>
      <w:r>
        <w:t xml:space="preserve"> the Government </w:t>
      </w:r>
      <w:r w:rsidR="00880312">
        <w:t xml:space="preserve">should </w:t>
      </w:r>
      <w:r w:rsidR="000D1AFF">
        <w:t xml:space="preserve">actively </w:t>
      </w:r>
      <w:r>
        <w:t>manage the waterbed effect</w:t>
      </w:r>
      <w:r w:rsidR="7FB0E406">
        <w:t xml:space="preserve"> </w:t>
      </w:r>
      <w:r w:rsidR="00667F5C">
        <w:t xml:space="preserve">by </w:t>
      </w:r>
      <w:r w:rsidR="00E83A95">
        <w:t xml:space="preserve">tightening </w:t>
      </w:r>
      <w:r w:rsidR="00D979BE">
        <w:t xml:space="preserve">unit limits from the </w:t>
      </w:r>
      <w:r w:rsidR="00926F87">
        <w:t xml:space="preserve">expected start date of the </w:t>
      </w:r>
      <w:r w:rsidR="000220B3">
        <w:t>intervention</w:t>
      </w:r>
      <w:r w:rsidR="00A65829">
        <w:t xml:space="preserve">. It would prevent </w:t>
      </w:r>
      <w:r w:rsidR="006A0B4D">
        <w:t>any</w:t>
      </w:r>
      <w:r w:rsidR="00A65829">
        <w:t xml:space="preserve"> increase in the surplus and </w:t>
      </w:r>
      <w:r w:rsidR="008F6EEC">
        <w:t xml:space="preserve">lock in </w:t>
      </w:r>
      <w:r w:rsidR="00B522DC">
        <w:t>the</w:t>
      </w:r>
      <w:r w:rsidR="003C582C">
        <w:t>se unanticipated</w:t>
      </w:r>
      <w:r w:rsidR="00B522DC">
        <w:t xml:space="preserve"> emissions reductions</w:t>
      </w:r>
      <w:r w:rsidR="007058EF">
        <w:t xml:space="preserve"> (when the emissions budgets were set)</w:t>
      </w:r>
      <w:r w:rsidR="003C582C">
        <w:t>.</w:t>
      </w:r>
    </w:p>
    <w:p w14:paraId="14FECD05" w14:textId="1E6D99BE" w:rsidR="001A7C31" w:rsidRDefault="00207D4F" w:rsidP="00A6725C">
      <w:pPr>
        <w:pStyle w:val="BodyText"/>
      </w:pPr>
      <w:r>
        <w:t xml:space="preserve">We are raising this issue </w:t>
      </w:r>
      <w:r w:rsidR="000C24B5">
        <w:t>this year</w:t>
      </w:r>
      <w:r>
        <w:t xml:space="preserve"> due to the </w:t>
      </w:r>
      <w:r w:rsidR="002A5968">
        <w:t xml:space="preserve">general </w:t>
      </w:r>
      <w:r w:rsidR="000C24B5">
        <w:t xml:space="preserve">restrictions on adjusting settings </w:t>
      </w:r>
      <w:r w:rsidR="002A5968">
        <w:t>for the first two years</w:t>
      </w:r>
      <w:r w:rsidR="00D5698A">
        <w:t xml:space="preserve"> of the five-year period</w:t>
      </w:r>
      <w:r w:rsidR="00813D3B">
        <w:t xml:space="preserve">. The NZ Steel </w:t>
      </w:r>
      <w:r w:rsidR="00606E69">
        <w:t xml:space="preserve">electric arc </w:t>
      </w:r>
      <w:r w:rsidR="00813D3B">
        <w:t>furnace will be operational from 2027</w:t>
      </w:r>
      <w:r w:rsidR="00285767">
        <w:t>, if not earlier</w:t>
      </w:r>
      <w:r w:rsidR="00B0048D">
        <w:t>. D</w:t>
      </w:r>
      <w:r w:rsidR="009445B9">
        <w:t>e</w:t>
      </w:r>
      <w:r w:rsidR="00353469">
        <w:t xml:space="preserve">laying a decision on unit limit adjustment </w:t>
      </w:r>
      <w:r w:rsidR="003D261C">
        <w:t xml:space="preserve">risks </w:t>
      </w:r>
      <w:r w:rsidR="00CC1232">
        <w:t>an increase in the surplus for 2027.</w:t>
      </w:r>
    </w:p>
    <w:p w14:paraId="703656C8" w14:textId="77777777" w:rsidR="00C06C68" w:rsidRDefault="00C06C68">
      <w:pPr>
        <w:spacing w:before="0" w:after="0" w:line="240" w:lineRule="auto"/>
        <w:jc w:val="left"/>
        <w:rPr>
          <w:rFonts w:eastAsiaTheme="minorEastAsia" w:cstheme="minorBidi"/>
        </w:rPr>
      </w:pPr>
      <w:r>
        <w:br w:type="page"/>
      </w:r>
    </w:p>
    <w:p w14:paraId="14C7AC42" w14:textId="6D4C577D" w:rsidR="0050403E" w:rsidRDefault="001A7C31" w:rsidP="0021242D">
      <w:pPr>
        <w:pStyle w:val="BodyText"/>
      </w:pPr>
      <w:r>
        <w:lastRenderedPageBreak/>
        <w:t>The Commission did not recommend additional adjustment</w:t>
      </w:r>
      <w:r w:rsidR="00B27778">
        <w:t xml:space="preserve"> </w:t>
      </w:r>
      <w:r w:rsidR="781E9322" w:rsidRPr="5CB8645C">
        <w:t>to</w:t>
      </w:r>
      <w:r w:rsidR="781E9322" w:rsidRPr="08FC6A83">
        <w:t xml:space="preserve"> unit </w:t>
      </w:r>
      <w:r w:rsidR="781E9322" w:rsidRPr="1C84A8C2">
        <w:t>limits</w:t>
      </w:r>
      <w:r>
        <w:t>, because it considered t</w:t>
      </w:r>
      <w:r w:rsidRPr="00B6363B">
        <w:t>he Government had not made clear decisions on the role of the NZ ETS in meeting the NDC</w:t>
      </w:r>
      <w:r w:rsidR="004D3864">
        <w:t xml:space="preserve"> </w:t>
      </w:r>
      <w:r w:rsidR="005B2040">
        <w:t>(</w:t>
      </w:r>
      <w:r w:rsidR="00E4061A">
        <w:t xml:space="preserve">there is </w:t>
      </w:r>
      <w:r w:rsidR="005417ED">
        <w:t xml:space="preserve">currently </w:t>
      </w:r>
      <w:r w:rsidR="00E4061A">
        <w:t xml:space="preserve">a gap </w:t>
      </w:r>
      <w:r w:rsidR="000D3F54">
        <w:t xml:space="preserve">in meeting the </w:t>
      </w:r>
      <w:r w:rsidR="005417ED">
        <w:t>emissions reduction needed to achieve</w:t>
      </w:r>
      <w:r w:rsidR="000D3F54">
        <w:t xml:space="preserve"> the NDC)</w:t>
      </w:r>
      <w:r w:rsidRPr="00B6363B">
        <w:t>.</w:t>
      </w:r>
      <w:r>
        <w:t xml:space="preserve"> </w:t>
      </w:r>
      <w:r w:rsidR="0050403E">
        <w:t xml:space="preserve">We have not quantified this option because we </w:t>
      </w:r>
      <w:r w:rsidR="00000025">
        <w:t>are seeking</w:t>
      </w:r>
      <w:r w:rsidR="0050403E">
        <w:t xml:space="preserve"> feedback on </w:t>
      </w:r>
      <w:r w:rsidR="006C6841">
        <w:t>these options</w:t>
      </w:r>
      <w:r w:rsidR="0050403E">
        <w:t>. This will inform the design of this option before consideration by the Minister and Cabinet.</w:t>
      </w:r>
    </w:p>
    <w:p w14:paraId="59A9C0C6" w14:textId="221FF5B2" w:rsidR="001A7C31" w:rsidRDefault="001A7C31" w:rsidP="0021242D">
      <w:pPr>
        <w:pStyle w:val="BodyText"/>
      </w:pPr>
      <w:r w:rsidRPr="00DA7BC3">
        <w:t xml:space="preserve">Table </w:t>
      </w:r>
      <w:r w:rsidR="00FF0BA5">
        <w:t>3</w:t>
      </w:r>
      <w:r>
        <w:t xml:space="preserve"> compares these three options</w:t>
      </w:r>
      <w:r w:rsidR="00BE6B63">
        <w:t>.</w:t>
      </w:r>
    </w:p>
    <w:p w14:paraId="60A21819" w14:textId="71BA10EB" w:rsidR="00A7546F" w:rsidRPr="006B77BB" w:rsidRDefault="00A7546F" w:rsidP="00A7546F">
      <w:pPr>
        <w:pStyle w:val="Tableheading"/>
      </w:pPr>
      <w:bookmarkStart w:id="66" w:name="_Toc167714872"/>
      <w:r w:rsidRPr="006B77BB">
        <w:t xml:space="preserve">Table </w:t>
      </w:r>
      <w:r>
        <w:t>3</w:t>
      </w:r>
      <w:r w:rsidRPr="006B77BB">
        <w:t>:</w:t>
      </w:r>
      <w:r w:rsidR="00CB6FB5">
        <w:t xml:space="preserve"> </w:t>
      </w:r>
      <w:r w:rsidR="00C31713">
        <w:tab/>
      </w:r>
      <w:r w:rsidR="00295B62">
        <w:t>Options comparison</w:t>
      </w:r>
      <w:r w:rsidR="00024713">
        <w:t xml:space="preserve"> for step 1</w:t>
      </w:r>
      <w:bookmarkEnd w:id="66"/>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986"/>
        <w:gridCol w:w="2173"/>
        <w:gridCol w:w="2172"/>
        <w:gridCol w:w="2174"/>
      </w:tblGrid>
      <w:tr w:rsidR="00A7546F" w:rsidRPr="000B0C5F" w14:paraId="18FA1590" w14:textId="77777777" w:rsidTr="293B8B1D">
        <w:trPr>
          <w:tblHeader/>
        </w:trPr>
        <w:tc>
          <w:tcPr>
            <w:tcW w:w="1167" w:type="pct"/>
            <w:shd w:val="clear" w:color="auto" w:fill="1B556B" w:themeFill="text2"/>
          </w:tcPr>
          <w:p w14:paraId="45836F7E" w14:textId="19AA66AF" w:rsidR="00A7546F" w:rsidRPr="006B77BB" w:rsidRDefault="00A7546F">
            <w:pPr>
              <w:pStyle w:val="TableTextbold"/>
              <w:rPr>
                <w:color w:val="FFFFFF" w:themeColor="background1"/>
              </w:rPr>
            </w:pPr>
          </w:p>
        </w:tc>
        <w:tc>
          <w:tcPr>
            <w:tcW w:w="1277" w:type="pct"/>
            <w:shd w:val="clear" w:color="auto" w:fill="1B556B" w:themeFill="text2"/>
          </w:tcPr>
          <w:p w14:paraId="4B685B1F" w14:textId="1A7B497A" w:rsidR="00A7546F" w:rsidRPr="006B77BB" w:rsidRDefault="000B0C5F">
            <w:pPr>
              <w:pStyle w:val="TableTextbold"/>
              <w:rPr>
                <w:color w:val="FFFFFF" w:themeColor="background1"/>
              </w:rPr>
            </w:pPr>
            <w:r w:rsidRPr="000B0C5F">
              <w:rPr>
                <w:color w:val="FFFFFF" w:themeColor="background1"/>
              </w:rPr>
              <w:t>Option One – Status quo</w:t>
            </w:r>
          </w:p>
        </w:tc>
        <w:tc>
          <w:tcPr>
            <w:tcW w:w="1277" w:type="pct"/>
            <w:shd w:val="clear" w:color="auto" w:fill="1B556B" w:themeFill="text2"/>
          </w:tcPr>
          <w:p w14:paraId="018C7865" w14:textId="0455AB23" w:rsidR="00A7546F" w:rsidRPr="006B77BB" w:rsidRDefault="000B0C5F">
            <w:pPr>
              <w:pStyle w:val="TableTextbold"/>
              <w:rPr>
                <w:color w:val="FFFFFF" w:themeColor="background1"/>
              </w:rPr>
            </w:pPr>
            <w:r w:rsidRPr="000B0C5F">
              <w:rPr>
                <w:color w:val="FFFFFF" w:themeColor="background1"/>
              </w:rPr>
              <w:t>Option Two – Minimum adjustment</w:t>
            </w:r>
          </w:p>
        </w:tc>
        <w:tc>
          <w:tcPr>
            <w:tcW w:w="1278" w:type="pct"/>
            <w:shd w:val="clear" w:color="auto" w:fill="1B556B" w:themeFill="text2"/>
          </w:tcPr>
          <w:p w14:paraId="5E590AA4" w14:textId="5773E1C1" w:rsidR="00A7546F" w:rsidRPr="006B77BB" w:rsidRDefault="000B0C5F">
            <w:pPr>
              <w:pStyle w:val="TableTextbold"/>
              <w:rPr>
                <w:color w:val="FFFFFF" w:themeColor="background1"/>
              </w:rPr>
            </w:pPr>
            <w:r w:rsidRPr="000B0C5F">
              <w:rPr>
                <w:color w:val="FFFFFF" w:themeColor="background1"/>
              </w:rPr>
              <w:t xml:space="preserve">Option Three – Further adjustment </w:t>
            </w:r>
          </w:p>
        </w:tc>
      </w:tr>
      <w:tr w:rsidR="00A7546F" w:rsidRPr="006B77BB" w14:paraId="76BDD150" w14:textId="77777777" w:rsidTr="000B0C5F">
        <w:tc>
          <w:tcPr>
            <w:tcW w:w="1167" w:type="pct"/>
            <w:shd w:val="clear" w:color="auto" w:fill="auto"/>
          </w:tcPr>
          <w:p w14:paraId="4D1A02F0" w14:textId="79D1C890" w:rsidR="00A7546F" w:rsidRPr="00C54AEC" w:rsidRDefault="000B0C5F">
            <w:pPr>
              <w:pStyle w:val="TableText"/>
              <w:rPr>
                <w:b/>
              </w:rPr>
            </w:pPr>
            <w:r w:rsidRPr="00C54AEC">
              <w:rPr>
                <w:rFonts w:asciiTheme="minorHAnsi" w:hAnsiTheme="minorHAnsi"/>
                <w:b/>
                <w:color w:val="000000" w:themeColor="text1"/>
                <w:sz w:val="20"/>
                <w:szCs w:val="20"/>
              </w:rPr>
              <w:t>Likelihood of incentivising emissions reductions</w:t>
            </w:r>
          </w:p>
        </w:tc>
        <w:tc>
          <w:tcPr>
            <w:tcW w:w="1277" w:type="pct"/>
          </w:tcPr>
          <w:p w14:paraId="56FAB76A" w14:textId="77777777" w:rsidR="00922772" w:rsidRPr="002D5BEE" w:rsidRDefault="00922772" w:rsidP="00EC16F3">
            <w:pPr>
              <w:pStyle w:val="TableText"/>
              <w:keepNext/>
              <w:rPr>
                <w:rFonts w:cs="Calibri"/>
                <w:b/>
                <w:sz w:val="20"/>
                <w:szCs w:val="20"/>
              </w:rPr>
            </w:pPr>
            <w:r w:rsidRPr="002D5BEE">
              <w:rPr>
                <w:rFonts w:cs="Calibri"/>
                <w:b/>
                <w:sz w:val="20"/>
                <w:szCs w:val="20"/>
              </w:rPr>
              <w:t>0</w:t>
            </w:r>
          </w:p>
          <w:p w14:paraId="2962F53E" w14:textId="0A265F76" w:rsidR="00A7546F" w:rsidRPr="009C7778" w:rsidRDefault="00922772" w:rsidP="000360C5">
            <w:pPr>
              <w:pStyle w:val="TableText"/>
              <w:keepNext/>
              <w:rPr>
                <w:rFonts w:cs="Calibri"/>
                <w:szCs w:val="18"/>
              </w:rPr>
            </w:pPr>
            <w:r w:rsidRPr="00C577B8">
              <w:rPr>
                <w:rFonts w:asciiTheme="minorHAnsi" w:hAnsiTheme="minorHAnsi"/>
                <w:bCs/>
                <w:color w:val="000000" w:themeColor="text1"/>
                <w:sz w:val="20"/>
                <w:szCs w:val="20"/>
              </w:rPr>
              <w:t xml:space="preserve">Not including </w:t>
            </w:r>
            <w:r w:rsidRPr="000360C5">
              <w:rPr>
                <w:rFonts w:cs="Calibri"/>
                <w:szCs w:val="18"/>
              </w:rPr>
              <w:t>methodological</w:t>
            </w:r>
            <w:r w:rsidRPr="00C577B8">
              <w:rPr>
                <w:rFonts w:asciiTheme="minorHAnsi" w:hAnsiTheme="minorHAnsi"/>
                <w:bCs/>
                <w:color w:val="000000" w:themeColor="text1"/>
                <w:sz w:val="20"/>
                <w:szCs w:val="20"/>
              </w:rPr>
              <w:t xml:space="preserve"> changes potentially reduces the contribution of emission</w:t>
            </w:r>
            <w:r w:rsidR="003912C9">
              <w:rPr>
                <w:rFonts w:asciiTheme="minorHAnsi" w:hAnsiTheme="minorHAnsi"/>
                <w:bCs/>
                <w:color w:val="000000" w:themeColor="text1"/>
                <w:sz w:val="20"/>
                <w:szCs w:val="20"/>
              </w:rPr>
              <w:t>s</w:t>
            </w:r>
            <w:r w:rsidRPr="00C577B8">
              <w:rPr>
                <w:rFonts w:asciiTheme="minorHAnsi" w:hAnsiTheme="minorHAnsi"/>
                <w:bCs/>
                <w:color w:val="000000" w:themeColor="text1"/>
                <w:sz w:val="20"/>
                <w:szCs w:val="20"/>
              </w:rPr>
              <w:t xml:space="preserve"> budgets towards the NDC and would</w:t>
            </w:r>
            <w:r w:rsidRPr="00C577B8" w:rsidDel="00746AF5">
              <w:rPr>
                <w:rFonts w:asciiTheme="minorHAnsi" w:hAnsiTheme="minorHAnsi"/>
                <w:bCs/>
                <w:color w:val="000000" w:themeColor="text1"/>
                <w:sz w:val="20"/>
                <w:szCs w:val="20"/>
              </w:rPr>
              <w:t xml:space="preserve"> </w:t>
            </w:r>
            <w:r w:rsidRPr="00C577B8">
              <w:rPr>
                <w:rFonts w:asciiTheme="minorHAnsi" w:hAnsiTheme="minorHAnsi"/>
                <w:bCs/>
                <w:color w:val="000000" w:themeColor="text1"/>
                <w:sz w:val="20"/>
                <w:szCs w:val="20"/>
              </w:rPr>
              <w:t>therefore be detrimental to accordance with the NDC.</w:t>
            </w:r>
          </w:p>
        </w:tc>
        <w:tc>
          <w:tcPr>
            <w:tcW w:w="1277" w:type="pct"/>
          </w:tcPr>
          <w:p w14:paraId="1C312F1B" w14:textId="77777777" w:rsidR="009C7778" w:rsidRPr="002D5BEE" w:rsidRDefault="009C7778" w:rsidP="009C7778">
            <w:pPr>
              <w:spacing w:before="60" w:after="60" w:line="276" w:lineRule="auto"/>
              <w:jc w:val="left"/>
              <w:rPr>
                <w:rFonts w:asciiTheme="minorHAnsi" w:eastAsiaTheme="minorEastAsia" w:hAnsiTheme="minorHAnsi" w:cstheme="minorBidi"/>
                <w:b/>
                <w:color w:val="00B050"/>
                <w:sz w:val="20"/>
                <w:szCs w:val="20"/>
              </w:rPr>
            </w:pPr>
            <w:r w:rsidRPr="002D5BEE">
              <w:rPr>
                <w:rFonts w:asciiTheme="minorHAnsi" w:eastAsiaTheme="minorEastAsia" w:hAnsiTheme="minorHAnsi" w:cstheme="minorBidi"/>
                <w:b/>
                <w:color w:val="00B050"/>
                <w:sz w:val="20"/>
                <w:szCs w:val="20"/>
              </w:rPr>
              <w:t>+</w:t>
            </w:r>
          </w:p>
          <w:p w14:paraId="34A12C4A" w14:textId="25E8D6EF" w:rsidR="00A7546F" w:rsidRPr="006B77BB" w:rsidRDefault="009C7778" w:rsidP="009C7778">
            <w:pPr>
              <w:pStyle w:val="TableText"/>
              <w:keepNext/>
            </w:pPr>
            <w:r w:rsidRPr="009C7778">
              <w:rPr>
                <w:rFonts w:cs="Calibri"/>
                <w:szCs w:val="18"/>
              </w:rPr>
              <w:t>Minimum adjustment by making methodological changes only.</w:t>
            </w:r>
          </w:p>
        </w:tc>
        <w:tc>
          <w:tcPr>
            <w:tcW w:w="1278" w:type="pct"/>
            <w:shd w:val="clear" w:color="auto" w:fill="auto"/>
          </w:tcPr>
          <w:p w14:paraId="48AAD228" w14:textId="77777777" w:rsidR="009C7778" w:rsidRPr="002D5BEE" w:rsidRDefault="009C7778" w:rsidP="009C7778">
            <w:pPr>
              <w:spacing w:before="60" w:after="60" w:line="276" w:lineRule="auto"/>
              <w:jc w:val="left"/>
              <w:rPr>
                <w:rFonts w:asciiTheme="minorHAnsi" w:eastAsiaTheme="minorEastAsia" w:hAnsiTheme="minorHAnsi" w:cstheme="minorBidi"/>
                <w:b/>
                <w:color w:val="00B050"/>
                <w:sz w:val="20"/>
                <w:szCs w:val="20"/>
              </w:rPr>
            </w:pPr>
            <w:r w:rsidRPr="002D5BEE">
              <w:rPr>
                <w:rFonts w:asciiTheme="minorHAnsi" w:eastAsiaTheme="minorEastAsia" w:hAnsiTheme="minorHAnsi" w:cstheme="minorBidi"/>
                <w:b/>
                <w:color w:val="00B050"/>
                <w:sz w:val="20"/>
                <w:szCs w:val="20"/>
              </w:rPr>
              <w:t>+ +</w:t>
            </w:r>
          </w:p>
          <w:p w14:paraId="79EF91EB" w14:textId="3F43D70A" w:rsidR="00A7546F" w:rsidRPr="006B77BB" w:rsidRDefault="009C7778" w:rsidP="009C7778">
            <w:pPr>
              <w:pStyle w:val="TableText"/>
              <w:keepNext/>
            </w:pPr>
            <w:r w:rsidRPr="293B8B1D">
              <w:rPr>
                <w:rFonts w:cs="Calibri"/>
              </w:rPr>
              <w:t>Better accords with the emissions budgets and targets</w:t>
            </w:r>
            <w:r w:rsidR="5A2FD13A" w:rsidRPr="6E262BE1">
              <w:rPr>
                <w:rFonts w:cs="Calibri"/>
              </w:rPr>
              <w:t xml:space="preserve"> through</w:t>
            </w:r>
            <w:r w:rsidRPr="293B8B1D">
              <w:rPr>
                <w:rFonts w:cs="Calibri"/>
              </w:rPr>
              <w:t xml:space="preserve"> </w:t>
            </w:r>
            <w:r w:rsidR="0C09A87E" w:rsidRPr="1E018F4A">
              <w:rPr>
                <w:rFonts w:cs="Calibri"/>
              </w:rPr>
              <w:t>d</w:t>
            </w:r>
            <w:r w:rsidR="0EAD4CD3" w:rsidRPr="1E018F4A">
              <w:rPr>
                <w:rFonts w:cs="Calibri"/>
              </w:rPr>
              <w:t xml:space="preserve">irect </w:t>
            </w:r>
            <w:r w:rsidR="3DE48F2E" w:rsidRPr="1E018F4A">
              <w:rPr>
                <w:rFonts w:cs="Calibri"/>
              </w:rPr>
              <w:t xml:space="preserve">and </w:t>
            </w:r>
            <w:r w:rsidR="3DE48F2E" w:rsidRPr="5A6FC130">
              <w:rPr>
                <w:rFonts w:cs="Calibri"/>
              </w:rPr>
              <w:t xml:space="preserve">timed </w:t>
            </w:r>
            <w:r w:rsidR="0EAD4CD3" w:rsidRPr="5A6FC130">
              <w:rPr>
                <w:rFonts w:cs="Calibri"/>
              </w:rPr>
              <w:t>reduction</w:t>
            </w:r>
            <w:r w:rsidRPr="6E262BE1">
              <w:rPr>
                <w:rFonts w:cs="Calibri"/>
              </w:rPr>
              <w:t xml:space="preserve"> in </w:t>
            </w:r>
            <w:r w:rsidR="0EAD4CD3" w:rsidRPr="6E262BE1">
              <w:rPr>
                <w:rFonts w:cs="Calibri"/>
              </w:rPr>
              <w:t xml:space="preserve">unit </w:t>
            </w:r>
            <w:r w:rsidR="0EAD4CD3" w:rsidRPr="5A6FC130">
              <w:rPr>
                <w:rFonts w:cs="Calibri"/>
              </w:rPr>
              <w:t>limit</w:t>
            </w:r>
            <w:r w:rsidR="1D8591C3" w:rsidRPr="5A6FC130">
              <w:rPr>
                <w:rFonts w:cs="Calibri"/>
              </w:rPr>
              <w:t>s.</w:t>
            </w:r>
            <w:r w:rsidR="0EAD4CD3" w:rsidRPr="6E262BE1">
              <w:rPr>
                <w:rFonts w:cs="Calibri"/>
              </w:rPr>
              <w:t xml:space="preserve"> </w:t>
            </w:r>
          </w:p>
        </w:tc>
      </w:tr>
      <w:tr w:rsidR="00A7546F" w:rsidRPr="006B77BB" w14:paraId="5891BA16" w14:textId="77777777" w:rsidTr="000B0C5F">
        <w:tc>
          <w:tcPr>
            <w:tcW w:w="1167" w:type="pct"/>
            <w:shd w:val="clear" w:color="auto" w:fill="auto"/>
          </w:tcPr>
          <w:p w14:paraId="6B13EE75" w14:textId="225A1279" w:rsidR="00A7546F" w:rsidRPr="00C54AEC" w:rsidRDefault="000B0C5F">
            <w:pPr>
              <w:pStyle w:val="TableText"/>
              <w:rPr>
                <w:b/>
              </w:rPr>
            </w:pPr>
            <w:r w:rsidRPr="00C54AEC">
              <w:rPr>
                <w:rFonts w:asciiTheme="minorHAnsi" w:hAnsiTheme="minorHAnsi"/>
                <w:b/>
                <w:color w:val="000000" w:themeColor="text1"/>
                <w:sz w:val="20"/>
                <w:szCs w:val="20"/>
              </w:rPr>
              <w:t>Support the proper functioning of the NZ</w:t>
            </w:r>
            <w:r w:rsidR="00AA45CC">
              <w:rPr>
                <w:rFonts w:asciiTheme="minorHAnsi" w:hAnsiTheme="minorHAnsi"/>
                <w:b/>
                <w:color w:val="000000" w:themeColor="text1"/>
                <w:sz w:val="20"/>
                <w:szCs w:val="20"/>
              </w:rPr>
              <w:t> </w:t>
            </w:r>
            <w:r w:rsidRPr="00C54AEC">
              <w:rPr>
                <w:rFonts w:asciiTheme="minorHAnsi" w:hAnsiTheme="minorHAnsi"/>
                <w:b/>
                <w:color w:val="000000" w:themeColor="text1"/>
                <w:sz w:val="20"/>
                <w:szCs w:val="20"/>
              </w:rPr>
              <w:t>ETS</w:t>
            </w:r>
          </w:p>
        </w:tc>
        <w:tc>
          <w:tcPr>
            <w:tcW w:w="1277" w:type="pct"/>
          </w:tcPr>
          <w:p w14:paraId="6F394A23" w14:textId="07CB43B2" w:rsidR="00A7546F" w:rsidRPr="002D5BEE" w:rsidRDefault="00C577B8" w:rsidP="009C7778">
            <w:pPr>
              <w:pStyle w:val="TableText"/>
              <w:keepNext/>
              <w:rPr>
                <w:rFonts w:cs="Calibri"/>
                <w:b/>
                <w:sz w:val="20"/>
                <w:szCs w:val="20"/>
              </w:rPr>
            </w:pPr>
            <w:r w:rsidRPr="002D5BEE">
              <w:rPr>
                <w:rFonts w:cs="Calibri"/>
                <w:b/>
                <w:sz w:val="20"/>
                <w:szCs w:val="20"/>
              </w:rPr>
              <w:t>0</w:t>
            </w:r>
          </w:p>
        </w:tc>
        <w:tc>
          <w:tcPr>
            <w:tcW w:w="1277" w:type="pct"/>
          </w:tcPr>
          <w:p w14:paraId="73C7501C" w14:textId="77777777" w:rsidR="00C577B8" w:rsidRPr="002D5BEE" w:rsidRDefault="00C577B8" w:rsidP="00C577B8">
            <w:pPr>
              <w:pStyle w:val="TableText"/>
              <w:keepNext/>
              <w:rPr>
                <w:rFonts w:cs="Calibri"/>
                <w:b/>
                <w:sz w:val="20"/>
                <w:szCs w:val="20"/>
              </w:rPr>
            </w:pPr>
            <w:r w:rsidRPr="002D5BEE">
              <w:rPr>
                <w:rFonts w:cs="Calibri"/>
                <w:b/>
                <w:sz w:val="20"/>
                <w:szCs w:val="20"/>
              </w:rPr>
              <w:t>0</w:t>
            </w:r>
          </w:p>
          <w:p w14:paraId="5A3639DE" w14:textId="30A6C2B2" w:rsidR="00A7546F" w:rsidRPr="000245D3" w:rsidRDefault="00C577B8" w:rsidP="000245D3">
            <w:pPr>
              <w:pStyle w:val="TableText"/>
              <w:keepNext/>
              <w:rPr>
                <w:rFonts w:cs="Calibri"/>
                <w:szCs w:val="18"/>
              </w:rPr>
            </w:pPr>
            <w:r w:rsidRPr="00C577B8">
              <w:rPr>
                <w:rFonts w:cs="Calibri"/>
                <w:szCs w:val="18"/>
              </w:rPr>
              <w:t>Updated unit limits to reflect methodological changes.</w:t>
            </w:r>
          </w:p>
        </w:tc>
        <w:tc>
          <w:tcPr>
            <w:tcW w:w="1278" w:type="pct"/>
            <w:shd w:val="clear" w:color="auto" w:fill="auto"/>
          </w:tcPr>
          <w:p w14:paraId="00033EB1" w14:textId="6C2149F6" w:rsidR="009D3918" w:rsidRDefault="5F7466F6" w:rsidP="00C577B8">
            <w:pPr>
              <w:pStyle w:val="TableText"/>
              <w:keepNext/>
              <w:rPr>
                <w:rFonts w:asciiTheme="minorHAnsi" w:hAnsiTheme="minorHAnsi"/>
                <w:b/>
                <w:bCs/>
                <w:color w:val="00B050"/>
                <w:sz w:val="20"/>
                <w:szCs w:val="20"/>
              </w:rPr>
            </w:pPr>
            <w:r w:rsidRPr="6E3605F2">
              <w:rPr>
                <w:rFonts w:asciiTheme="minorHAnsi" w:hAnsiTheme="minorHAnsi"/>
                <w:b/>
                <w:bCs/>
                <w:color w:val="00B050"/>
                <w:sz w:val="20"/>
                <w:szCs w:val="20"/>
              </w:rPr>
              <w:t xml:space="preserve"> +</w:t>
            </w:r>
          </w:p>
          <w:p w14:paraId="76AFFD34" w14:textId="292DF9B7" w:rsidR="00A7546F" w:rsidRPr="006B77BB" w:rsidRDefault="14E4B819" w:rsidP="00C577B8">
            <w:pPr>
              <w:pStyle w:val="TableText"/>
              <w:keepNext/>
            </w:pPr>
            <w:r w:rsidRPr="5EF61C08">
              <w:rPr>
                <w:rFonts w:cs="Calibri"/>
              </w:rPr>
              <w:t xml:space="preserve">Better than </w:t>
            </w:r>
            <w:r w:rsidR="00C577B8" w:rsidRPr="16F22CE3">
              <w:rPr>
                <w:rFonts w:cs="Calibri"/>
              </w:rPr>
              <w:t>option 2</w:t>
            </w:r>
            <w:r w:rsidR="7A783B46" w:rsidRPr="5EF61C08">
              <w:rPr>
                <w:rFonts w:cs="Calibri"/>
              </w:rPr>
              <w:t xml:space="preserve"> due </w:t>
            </w:r>
            <w:r w:rsidR="7A783B46" w:rsidRPr="5EAA34AD">
              <w:rPr>
                <w:rFonts w:cs="Calibri"/>
              </w:rPr>
              <w:t xml:space="preserve">to avoiding </w:t>
            </w:r>
            <w:r w:rsidR="4B75E1BB" w:rsidRPr="238463E9">
              <w:rPr>
                <w:rFonts w:cs="Calibri"/>
              </w:rPr>
              <w:t xml:space="preserve">some </w:t>
            </w:r>
            <w:r w:rsidR="4B75E1BB" w:rsidRPr="6296301E">
              <w:rPr>
                <w:rFonts w:cs="Calibri"/>
              </w:rPr>
              <w:t xml:space="preserve">surplus </w:t>
            </w:r>
            <w:r w:rsidR="7A783B46" w:rsidRPr="238463E9">
              <w:rPr>
                <w:rFonts w:cs="Calibri"/>
              </w:rPr>
              <w:t xml:space="preserve">supply </w:t>
            </w:r>
            <w:r w:rsidR="6C36B9C0" w:rsidRPr="238463E9">
              <w:rPr>
                <w:rFonts w:cs="Calibri"/>
              </w:rPr>
              <w:t>to</w:t>
            </w:r>
            <w:r w:rsidR="7A783B46" w:rsidRPr="12D76D88">
              <w:rPr>
                <w:rFonts w:cs="Calibri"/>
              </w:rPr>
              <w:t xml:space="preserve"> market then drawing back </w:t>
            </w:r>
            <w:r w:rsidR="4FEC8721" w:rsidRPr="6296301E">
              <w:rPr>
                <w:rFonts w:cs="Calibri"/>
              </w:rPr>
              <w:t xml:space="preserve">that volume </w:t>
            </w:r>
            <w:r w:rsidR="7A783B46" w:rsidRPr="6F5E1B7A">
              <w:rPr>
                <w:rFonts w:cs="Calibri"/>
              </w:rPr>
              <w:t xml:space="preserve">through auction </w:t>
            </w:r>
            <w:r w:rsidR="7A783B46" w:rsidRPr="3A2CE0F5">
              <w:rPr>
                <w:rFonts w:cs="Calibri"/>
              </w:rPr>
              <w:t>volume adjustment</w:t>
            </w:r>
            <w:r w:rsidR="496014D7" w:rsidRPr="3A2CE0F5">
              <w:rPr>
                <w:rFonts w:cs="Calibri"/>
              </w:rPr>
              <w:t>.</w:t>
            </w:r>
          </w:p>
        </w:tc>
      </w:tr>
      <w:tr w:rsidR="00A7546F" w:rsidRPr="006B77BB" w14:paraId="6B9FFA2E" w14:textId="77777777" w:rsidTr="000B0C5F">
        <w:tc>
          <w:tcPr>
            <w:tcW w:w="1167" w:type="pct"/>
          </w:tcPr>
          <w:p w14:paraId="699CC41E" w14:textId="2DADDF51" w:rsidR="00A7546F" w:rsidRPr="006B77BB" w:rsidRDefault="000B0C5F">
            <w:pPr>
              <w:pStyle w:val="TableText"/>
            </w:pPr>
            <w:r w:rsidRPr="001D465F">
              <w:rPr>
                <w:rFonts w:asciiTheme="minorHAnsi" w:hAnsiTheme="minorHAnsi"/>
                <w:b/>
                <w:color w:val="000000" w:themeColor="text1"/>
                <w:sz w:val="20"/>
                <w:szCs w:val="20"/>
              </w:rPr>
              <w:t>Overall assessment</w:t>
            </w:r>
          </w:p>
        </w:tc>
        <w:tc>
          <w:tcPr>
            <w:tcW w:w="1277" w:type="pct"/>
          </w:tcPr>
          <w:p w14:paraId="4A94CEC4" w14:textId="44FC9D21" w:rsidR="00A7546F" w:rsidRPr="002D5BEE" w:rsidRDefault="000360C5" w:rsidP="000360C5">
            <w:pPr>
              <w:pStyle w:val="TableText"/>
              <w:keepNext/>
              <w:rPr>
                <w:rFonts w:cs="Calibri"/>
                <w:b/>
                <w:sz w:val="20"/>
                <w:szCs w:val="20"/>
              </w:rPr>
            </w:pPr>
            <w:r w:rsidRPr="002D5BEE">
              <w:rPr>
                <w:rFonts w:cs="Calibri"/>
                <w:b/>
                <w:sz w:val="20"/>
                <w:szCs w:val="20"/>
              </w:rPr>
              <w:t>0</w:t>
            </w:r>
          </w:p>
        </w:tc>
        <w:tc>
          <w:tcPr>
            <w:tcW w:w="1277" w:type="pct"/>
          </w:tcPr>
          <w:p w14:paraId="2F882011" w14:textId="2F6ACA4B" w:rsidR="00A7546F" w:rsidRPr="002D5BEE" w:rsidRDefault="000360C5" w:rsidP="000360C5">
            <w:pPr>
              <w:spacing w:before="60" w:after="60" w:line="276" w:lineRule="auto"/>
              <w:jc w:val="left"/>
              <w:rPr>
                <w:rFonts w:asciiTheme="minorHAnsi" w:eastAsiaTheme="minorEastAsia" w:hAnsiTheme="minorHAnsi" w:cstheme="minorBidi"/>
                <w:b/>
                <w:color w:val="00B050"/>
                <w:sz w:val="20"/>
                <w:szCs w:val="20"/>
              </w:rPr>
            </w:pPr>
            <w:r w:rsidRPr="002D5BEE">
              <w:rPr>
                <w:rFonts w:asciiTheme="minorHAnsi" w:eastAsiaTheme="minorEastAsia" w:hAnsiTheme="minorHAnsi" w:cstheme="minorBidi"/>
                <w:b/>
                <w:color w:val="00B050"/>
                <w:sz w:val="20"/>
                <w:szCs w:val="20"/>
              </w:rPr>
              <w:t>+</w:t>
            </w:r>
          </w:p>
        </w:tc>
        <w:tc>
          <w:tcPr>
            <w:tcW w:w="1278" w:type="pct"/>
          </w:tcPr>
          <w:p w14:paraId="3E1CA2D7" w14:textId="4304E1CA" w:rsidR="00A7546F" w:rsidRPr="002D5BEE" w:rsidRDefault="000360C5" w:rsidP="000360C5">
            <w:pPr>
              <w:spacing w:before="60" w:after="60" w:line="276" w:lineRule="auto"/>
              <w:jc w:val="left"/>
              <w:rPr>
                <w:rFonts w:asciiTheme="minorHAnsi" w:eastAsiaTheme="minorEastAsia" w:hAnsiTheme="minorHAnsi" w:cstheme="minorBidi"/>
                <w:b/>
                <w:color w:val="00B050"/>
                <w:sz w:val="20"/>
                <w:szCs w:val="20"/>
              </w:rPr>
            </w:pPr>
            <w:r w:rsidRPr="002D5BEE">
              <w:rPr>
                <w:rFonts w:asciiTheme="minorHAnsi" w:eastAsiaTheme="minorEastAsia" w:hAnsiTheme="minorHAnsi" w:cstheme="minorBidi"/>
                <w:b/>
                <w:color w:val="00B050"/>
                <w:sz w:val="20"/>
                <w:szCs w:val="20"/>
              </w:rPr>
              <w:t>+</w:t>
            </w:r>
            <w:r w:rsidR="74A30854" w:rsidRPr="16F22CE3">
              <w:rPr>
                <w:rFonts w:asciiTheme="minorHAnsi" w:eastAsiaTheme="minorEastAsia" w:hAnsiTheme="minorHAnsi" w:cstheme="minorBidi"/>
                <w:b/>
                <w:bCs/>
                <w:color w:val="00B050"/>
                <w:sz w:val="20"/>
                <w:szCs w:val="20"/>
              </w:rPr>
              <w:t xml:space="preserve"> +</w:t>
            </w:r>
          </w:p>
        </w:tc>
      </w:tr>
    </w:tbl>
    <w:p w14:paraId="44F3FE5C" w14:textId="3FF8E396" w:rsidR="00293911" w:rsidRPr="00293911" w:rsidRDefault="00293911" w:rsidP="0015342C">
      <w:pPr>
        <w:pStyle w:val="Heading4"/>
      </w:pPr>
      <w:r w:rsidRPr="00293911">
        <w:t xml:space="preserve">Key for assessing options against the </w:t>
      </w:r>
      <w:proofErr w:type="gramStart"/>
      <w:r w:rsidRPr="00293911">
        <w:t>status quo</w:t>
      </w:r>
      <w:proofErr w:type="gramEnd"/>
    </w:p>
    <w:p w14:paraId="5E7AADB5" w14:textId="77777777" w:rsidR="00293911" w:rsidRPr="007837CC" w:rsidRDefault="00293911" w:rsidP="00293911">
      <w:pPr>
        <w:pStyle w:val="BodyText"/>
        <w:keepNext/>
        <w:spacing w:before="60" w:after="0"/>
      </w:pPr>
      <w:r w:rsidRPr="007837CC">
        <w:rPr>
          <w:b/>
          <w:bCs/>
          <w:color w:val="00B050"/>
        </w:rPr>
        <w:t>++</w:t>
      </w:r>
      <w:r w:rsidRPr="007837CC">
        <w:t xml:space="preserve"> </w:t>
      </w:r>
      <w:r w:rsidRPr="007837CC">
        <w:tab/>
        <w:t>much better than the status quo</w:t>
      </w:r>
    </w:p>
    <w:p w14:paraId="2366DBBC" w14:textId="77777777" w:rsidR="00293911" w:rsidRPr="007837CC" w:rsidRDefault="00293911" w:rsidP="00293911">
      <w:pPr>
        <w:pStyle w:val="BodyText"/>
        <w:keepNext/>
        <w:spacing w:before="60" w:after="0"/>
      </w:pPr>
      <w:r w:rsidRPr="007837CC">
        <w:rPr>
          <w:b/>
          <w:bCs/>
          <w:color w:val="00B050"/>
        </w:rPr>
        <w:t>+</w:t>
      </w:r>
      <w:r w:rsidRPr="007837CC">
        <w:t xml:space="preserve"> </w:t>
      </w:r>
      <w:r w:rsidRPr="007837CC">
        <w:tab/>
        <w:t>better than the status quo</w:t>
      </w:r>
    </w:p>
    <w:p w14:paraId="3C08931D" w14:textId="77777777" w:rsidR="00293911" w:rsidRPr="007837CC" w:rsidRDefault="00293911" w:rsidP="00293911">
      <w:pPr>
        <w:pStyle w:val="BodyText"/>
        <w:spacing w:before="60" w:after="0"/>
      </w:pPr>
      <w:r w:rsidRPr="007837CC">
        <w:rPr>
          <w:b/>
          <w:bCs/>
        </w:rPr>
        <w:t>0</w:t>
      </w:r>
      <w:r w:rsidRPr="007837CC">
        <w:tab/>
        <w:t>about the same as the status quo</w:t>
      </w:r>
    </w:p>
    <w:p w14:paraId="300094E1" w14:textId="77777777" w:rsidR="00293911" w:rsidRPr="007837CC" w:rsidRDefault="00293911" w:rsidP="00293911">
      <w:pPr>
        <w:pStyle w:val="BodyText"/>
        <w:spacing w:before="60" w:after="0"/>
      </w:pPr>
      <w:r w:rsidRPr="007837CC">
        <w:rPr>
          <w:b/>
          <w:bCs/>
          <w:color w:val="FF0000"/>
        </w:rPr>
        <w:t>–</w:t>
      </w:r>
      <w:r w:rsidRPr="007837CC">
        <w:t xml:space="preserve"> </w:t>
      </w:r>
      <w:r w:rsidRPr="007837CC">
        <w:tab/>
        <w:t>worse than the status quo</w:t>
      </w:r>
    </w:p>
    <w:p w14:paraId="215C514F" w14:textId="77777777" w:rsidR="00293911" w:rsidRPr="007837CC" w:rsidRDefault="00293911" w:rsidP="00293911">
      <w:pPr>
        <w:pStyle w:val="BodyText"/>
        <w:spacing w:before="60"/>
      </w:pPr>
      <w:r w:rsidRPr="007837CC">
        <w:rPr>
          <w:b/>
          <w:bCs/>
          <w:color w:val="FF0000"/>
        </w:rPr>
        <w:t xml:space="preserve">– – </w:t>
      </w:r>
      <w:r w:rsidRPr="007837CC">
        <w:tab/>
        <w:t>much worse than the status quo</w:t>
      </w:r>
    </w:p>
    <w:p w14:paraId="78F8BA36" w14:textId="77777777" w:rsidR="001A7C31" w:rsidRDefault="001A7C31" w:rsidP="00BB53D6">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BB53D6" w:rsidRPr="00D71C4F" w14:paraId="71E4FCC3" w14:textId="77777777">
        <w:tc>
          <w:tcPr>
            <w:tcW w:w="8505" w:type="dxa"/>
            <w:shd w:val="clear" w:color="auto" w:fill="1B556B" w:themeFill="text2"/>
          </w:tcPr>
          <w:p w14:paraId="790C8F5E" w14:textId="77777777" w:rsidR="00BB53D6" w:rsidRPr="00D71C4F" w:rsidRDefault="00BB53D6">
            <w:pPr>
              <w:pStyle w:val="TableText"/>
              <w:keepNext/>
              <w:rPr>
                <w:b/>
                <w:bCs/>
                <w:color w:val="FFFFFF" w:themeColor="background1"/>
                <w:sz w:val="20"/>
              </w:rPr>
            </w:pPr>
            <w:r w:rsidRPr="00D71C4F">
              <w:rPr>
                <w:b/>
                <w:bCs/>
                <w:color w:val="FFFFFF" w:themeColor="background1"/>
                <w:sz w:val="20"/>
              </w:rPr>
              <w:t>Questions</w:t>
            </w:r>
          </w:p>
        </w:tc>
      </w:tr>
      <w:tr w:rsidR="00BB53D6" w:rsidRPr="00943CFD" w14:paraId="3883B8DA" w14:textId="77777777">
        <w:tc>
          <w:tcPr>
            <w:tcW w:w="8505" w:type="dxa"/>
          </w:tcPr>
          <w:p w14:paraId="78C1A92A" w14:textId="1BFEC128" w:rsidR="00BB53D6" w:rsidRPr="00943CFD" w:rsidRDefault="00BB53D6" w:rsidP="00BB53D6">
            <w:pPr>
              <w:pStyle w:val="Questions"/>
              <w:ind w:left="397" w:right="0" w:hanging="397"/>
            </w:pPr>
            <w:r w:rsidRPr="00BB53D6">
              <w:t xml:space="preserve">What do you think of each of the options presented </w:t>
            </w:r>
            <w:r w:rsidR="00BC4F05">
              <w:t>for step 1</w:t>
            </w:r>
            <w:r w:rsidRPr="00BB53D6">
              <w:t>? What is your preferred option? Is there any other option that you think we should consider?</w:t>
            </w:r>
          </w:p>
        </w:tc>
      </w:tr>
      <w:tr w:rsidR="00BB53D6" w:rsidRPr="00943CFD" w14:paraId="235C6B26" w14:textId="77777777">
        <w:tc>
          <w:tcPr>
            <w:tcW w:w="8505" w:type="dxa"/>
          </w:tcPr>
          <w:p w14:paraId="30576221" w14:textId="1744DDC6" w:rsidR="00BB53D6" w:rsidRPr="00943CFD" w:rsidRDefault="00BB53D6" w:rsidP="00BB53D6">
            <w:pPr>
              <w:pStyle w:val="Questions"/>
              <w:ind w:left="397" w:right="0" w:hanging="397"/>
            </w:pPr>
            <w:r w:rsidRPr="00BB53D6">
              <w:t xml:space="preserve">If option 3 </w:t>
            </w:r>
            <w:r w:rsidR="00CC5DC3">
              <w:t>for step 1 was</w:t>
            </w:r>
            <w:r w:rsidRPr="00BB53D6">
              <w:t xml:space="preserve"> proposed, what criteria could be used to identify eligible reductions and removals?</w:t>
            </w:r>
          </w:p>
        </w:tc>
      </w:tr>
    </w:tbl>
    <w:p w14:paraId="7E66651C" w14:textId="54CB150E" w:rsidR="001A7C31" w:rsidRDefault="001A7C31" w:rsidP="00CA3497">
      <w:pPr>
        <w:pStyle w:val="Heading2"/>
      </w:pPr>
      <w:bookmarkStart w:id="67" w:name="_Toc161831673"/>
      <w:bookmarkStart w:id="68" w:name="_Toc161762884"/>
      <w:bookmarkStart w:id="69" w:name="_Toc163048588"/>
      <w:bookmarkStart w:id="70" w:name="_Toc166162150"/>
      <w:r w:rsidRPr="00433654">
        <w:lastRenderedPageBreak/>
        <w:t xml:space="preserve">Step 2: </w:t>
      </w:r>
      <w:r>
        <w:t>A</w:t>
      </w:r>
      <w:r w:rsidRPr="00433654">
        <w:t>llocate the emissions budgets to NZ</w:t>
      </w:r>
      <w:r w:rsidR="00231E49">
        <w:t> </w:t>
      </w:r>
      <w:r w:rsidRPr="00433654">
        <w:t xml:space="preserve">ETS and non-NZ ETS </w:t>
      </w:r>
      <w:proofErr w:type="gramStart"/>
      <w:r w:rsidRPr="00433654">
        <w:t>sectors</w:t>
      </w:r>
      <w:bookmarkEnd w:id="67"/>
      <w:bookmarkEnd w:id="68"/>
      <w:bookmarkEnd w:id="69"/>
      <w:bookmarkEnd w:id="70"/>
      <w:proofErr w:type="gramEnd"/>
    </w:p>
    <w:p w14:paraId="2EBCD735" w14:textId="77777777" w:rsidR="001A7C31" w:rsidRDefault="001A7C31" w:rsidP="001A7C31">
      <w:pPr>
        <w:pStyle w:val="BodyText"/>
      </w:pPr>
      <w:r w:rsidRPr="00DC50C2">
        <w:t xml:space="preserve">This step allocates emissions budgets between </w:t>
      </w:r>
      <w:r>
        <w:t xml:space="preserve">emissions and removals </w:t>
      </w:r>
      <w:r w:rsidRPr="00DC50C2">
        <w:t xml:space="preserve">that the NZ ETS covers and those that it does not. It recognises that emissions </w:t>
      </w:r>
      <w:r>
        <w:t xml:space="preserve">and removals </w:t>
      </w:r>
      <w:r w:rsidRPr="00DC50C2">
        <w:t xml:space="preserve">outside the </w:t>
      </w:r>
      <w:r>
        <w:t xml:space="preserve">NZ </w:t>
      </w:r>
      <w:r w:rsidRPr="00DC50C2">
        <w:t>ETS will account for a portion of the emissions budget</w:t>
      </w:r>
      <w:r>
        <w:t>.</w:t>
      </w:r>
    </w:p>
    <w:p w14:paraId="7AEC7056" w14:textId="5B05966C" w:rsidR="00CC1232" w:rsidRDefault="00E21058" w:rsidP="001A7C31">
      <w:pPr>
        <w:pStyle w:val="BodyText"/>
      </w:pPr>
      <w:r>
        <w:t>T</w:t>
      </w:r>
      <w:r w:rsidR="00D932CC">
        <w:t xml:space="preserve">he emissions budget </w:t>
      </w:r>
      <w:r w:rsidR="00D329B6">
        <w:t xml:space="preserve">volume allocated to </w:t>
      </w:r>
      <w:r w:rsidR="00CC1232">
        <w:t xml:space="preserve">NZ </w:t>
      </w:r>
      <w:r w:rsidR="00D329B6">
        <w:t xml:space="preserve">ETS and non-NZ ETS sectors is based on specified shares of effort set by the </w:t>
      </w:r>
      <w:r w:rsidR="005E1813">
        <w:t xml:space="preserve">sector sub-targets from the first emissions reduction plan. </w:t>
      </w:r>
      <w:r w:rsidR="004A3009">
        <w:t xml:space="preserve">In previous years, </w:t>
      </w:r>
      <w:r w:rsidR="007B2F23">
        <w:t>t</w:t>
      </w:r>
      <w:r w:rsidR="004A3009">
        <w:t>his</w:t>
      </w:r>
      <w:r w:rsidR="002507B2">
        <w:t xml:space="preserve"> </w:t>
      </w:r>
      <w:r w:rsidR="004A3009">
        <w:t xml:space="preserve">has </w:t>
      </w:r>
      <w:r w:rsidR="002507B2">
        <w:t>mean</w:t>
      </w:r>
      <w:r w:rsidR="007B2F23">
        <w:t>t that</w:t>
      </w:r>
      <w:r w:rsidR="002507B2">
        <w:t xml:space="preserve"> if non-NZ ETS emissions (mainly from agriculture) </w:t>
      </w:r>
      <w:r w:rsidR="00371EA4">
        <w:t>are different from the assumed pathway</w:t>
      </w:r>
      <w:r w:rsidR="002C7E47">
        <w:t xml:space="preserve">, the </w:t>
      </w:r>
      <w:r w:rsidR="00CF1D83">
        <w:t xml:space="preserve">level of effort required </w:t>
      </w:r>
      <w:r w:rsidR="009D3918">
        <w:t>by</w:t>
      </w:r>
      <w:r w:rsidR="00CF1D83">
        <w:t xml:space="preserve"> NZ ETS sectors does not change</w:t>
      </w:r>
      <w:r w:rsidR="005F2B59">
        <w:t xml:space="preserve">. </w:t>
      </w:r>
      <w:r w:rsidR="00204ACA">
        <w:t>This approach has been used since 2022.</w:t>
      </w:r>
    </w:p>
    <w:p w14:paraId="474E170A" w14:textId="4B5FB304" w:rsidR="00A04505" w:rsidRDefault="005F2B59" w:rsidP="001A7C31">
      <w:pPr>
        <w:pStyle w:val="BodyText"/>
      </w:pPr>
      <w:r>
        <w:t xml:space="preserve">For example, if emissions from </w:t>
      </w:r>
      <w:r w:rsidR="001E05C9">
        <w:t xml:space="preserve">non-ETS sectors </w:t>
      </w:r>
      <w:r w:rsidR="4B67DC7F">
        <w:t>increase</w:t>
      </w:r>
      <w:r w:rsidR="49E87BFE">
        <w:t xml:space="preserve"> from expectations</w:t>
      </w:r>
      <w:r w:rsidR="007D6C07">
        <w:t xml:space="preserve">, </w:t>
      </w:r>
      <w:r w:rsidR="00BB2A7A">
        <w:t xml:space="preserve">NZ ETS sectors </w:t>
      </w:r>
      <w:r w:rsidR="00B06EBF">
        <w:t xml:space="preserve">do not become responsible for </w:t>
      </w:r>
      <w:r w:rsidR="0008476A">
        <w:t xml:space="preserve">further emissions reductions to ‘make up’ for that increase. </w:t>
      </w:r>
      <w:r w:rsidR="006717D8">
        <w:t>Conversely</w:t>
      </w:r>
      <w:r w:rsidR="009A1DED">
        <w:t xml:space="preserve">, if emissions from </w:t>
      </w:r>
      <w:r w:rsidR="001E05C9">
        <w:t>non-ETS sectors</w:t>
      </w:r>
      <w:r w:rsidR="009A1DED">
        <w:t xml:space="preserve"> decreased, </w:t>
      </w:r>
      <w:r w:rsidR="00D10203">
        <w:t>NZ ETS sectors retain the same level of effort as before.</w:t>
      </w:r>
    </w:p>
    <w:p w14:paraId="3383921F" w14:textId="147EECE3" w:rsidR="00204ACA" w:rsidRDefault="000D6629" w:rsidP="00204ACA">
      <w:pPr>
        <w:pStyle w:val="BodyText"/>
      </w:pPr>
      <w:r>
        <w:t>P</w:t>
      </w:r>
      <w:r w:rsidR="00930DD1">
        <w:t>rojections of emissions from non-</w:t>
      </w:r>
      <w:r w:rsidR="00B26136">
        <w:t xml:space="preserve">NZ ETS </w:t>
      </w:r>
      <w:r w:rsidR="00930DD1">
        <w:t>sectors</w:t>
      </w:r>
      <w:r w:rsidR="00CA2396">
        <w:t xml:space="preserve">, </w:t>
      </w:r>
      <w:r w:rsidR="00761122">
        <w:t xml:space="preserve">in particular </w:t>
      </w:r>
      <w:r w:rsidR="00C11E6A">
        <w:t>agriculture, are</w:t>
      </w:r>
      <w:r w:rsidR="00930DD1">
        <w:t xml:space="preserve"> </w:t>
      </w:r>
      <w:r w:rsidR="00A7293A">
        <w:t xml:space="preserve">above target pathway levels due to methodological and policy changes. </w:t>
      </w:r>
      <w:r w:rsidR="006C78DE">
        <w:t>This means</w:t>
      </w:r>
      <w:r w:rsidR="008706BD">
        <w:t xml:space="preserve"> decisions on NZ ETS </w:t>
      </w:r>
      <w:r w:rsidR="00B26136">
        <w:t xml:space="preserve">settings </w:t>
      </w:r>
      <w:r w:rsidR="00E019DF">
        <w:t xml:space="preserve">using the previous </w:t>
      </w:r>
      <w:r w:rsidR="00EA4E4F">
        <w:t xml:space="preserve">approach </w:t>
      </w:r>
      <w:r w:rsidR="00466288">
        <w:t>are</w:t>
      </w:r>
      <w:r w:rsidR="001E7F84">
        <w:t xml:space="preserve"> unlikely </w:t>
      </w:r>
      <w:r w:rsidR="00D7067D">
        <w:t>to</w:t>
      </w:r>
      <w:r w:rsidR="008706BD">
        <w:t xml:space="preserve"> be in</w:t>
      </w:r>
      <w:r w:rsidR="0006584E">
        <w:t xml:space="preserve"> strict</w:t>
      </w:r>
      <w:r w:rsidR="008706BD">
        <w:t xml:space="preserve"> accordance with emission</w:t>
      </w:r>
      <w:r w:rsidR="004426D9">
        <w:t>s</w:t>
      </w:r>
      <w:r w:rsidR="008706BD">
        <w:t xml:space="preserve"> budgets</w:t>
      </w:r>
      <w:r w:rsidR="00277EAF">
        <w:t>. Th</w:t>
      </w:r>
      <w:r w:rsidR="009015D6">
        <w:t>is</w:t>
      </w:r>
      <w:r w:rsidR="00277EAF">
        <w:t xml:space="preserve"> divergence would need to be justified according to </w:t>
      </w:r>
      <w:r w:rsidR="007113A9">
        <w:t xml:space="preserve">a consideration of the matters </w:t>
      </w:r>
      <w:r w:rsidR="00277EAF">
        <w:t>in the Act</w:t>
      </w:r>
      <w:r w:rsidR="007D174E">
        <w:t xml:space="preserve">, </w:t>
      </w:r>
      <w:r w:rsidR="00277EAF">
        <w:t>support</w:t>
      </w:r>
      <w:r w:rsidR="007D174E">
        <w:t>ed by</w:t>
      </w:r>
      <w:r w:rsidR="00277EAF">
        <w:t xml:space="preserve"> evidence.</w:t>
      </w:r>
      <w:r w:rsidR="006C4F12">
        <w:t xml:space="preserve"> </w:t>
      </w:r>
      <w:r w:rsidR="00204ACA">
        <w:t xml:space="preserve">We are interested in your feedback on </w:t>
      </w:r>
      <w:r w:rsidR="00EF12E8">
        <w:t xml:space="preserve">how the emissions budget is allocated, including the </w:t>
      </w:r>
      <w:r w:rsidR="00204ACA">
        <w:t>c</w:t>
      </w:r>
      <w:r w:rsidR="006C0798">
        <w:t xml:space="preserve">urrent approach </w:t>
      </w:r>
      <w:r w:rsidR="00204ACA">
        <w:t>and whether an alternative should be considered.</w:t>
      </w:r>
    </w:p>
    <w:p w14:paraId="1D98E2B9" w14:textId="40425894" w:rsidR="001A7C31" w:rsidRDefault="001A7C31" w:rsidP="001A7C31">
      <w:pPr>
        <w:pStyle w:val="BodyText"/>
      </w:pPr>
      <w:r>
        <w:t>The following sources of emissions and removals are currently outside the NZ ETS</w:t>
      </w:r>
      <w:r w:rsidR="00332F6B">
        <w:rPr>
          <w:rStyle w:val="FootnoteReference"/>
        </w:rPr>
        <w:footnoteReference w:id="8"/>
      </w:r>
      <w:r>
        <w:t>:</w:t>
      </w:r>
    </w:p>
    <w:p w14:paraId="0D3E9E37" w14:textId="7FF50566" w:rsidR="001A7C31" w:rsidRDefault="001A7C31" w:rsidP="00A44EDE">
      <w:pPr>
        <w:pStyle w:val="Bullet"/>
      </w:pPr>
      <w:r>
        <w:t>Agriculture</w:t>
      </w:r>
      <w:r w:rsidR="277E9DBC">
        <w:t xml:space="preserve"> </w:t>
      </w:r>
      <w:r w:rsidR="00A44EDE">
        <w:t>–</w:t>
      </w:r>
      <w:r>
        <w:t xml:space="preserve"> biogenic methane and nitrous oxide</w:t>
      </w:r>
      <w:r w:rsidR="00560119">
        <w:t xml:space="preserve"> and carbo</w:t>
      </w:r>
      <w:r w:rsidR="005B18A4">
        <w:t xml:space="preserve">n dioxide from </w:t>
      </w:r>
      <w:r w:rsidR="00F015FB">
        <w:t>fertiliser use</w:t>
      </w:r>
      <w:r w:rsidR="15533ED4">
        <w:t>.</w:t>
      </w:r>
    </w:p>
    <w:p w14:paraId="364850A3" w14:textId="0CBC56A2" w:rsidR="001A7C31" w:rsidRDefault="001A7C31" w:rsidP="00357E77">
      <w:pPr>
        <w:pStyle w:val="Bullet"/>
      </w:pPr>
      <w:r>
        <w:t>Waste</w:t>
      </w:r>
      <w:r w:rsidR="5D0746B1">
        <w:t xml:space="preserve"> </w:t>
      </w:r>
      <w:r w:rsidR="00A44EDE">
        <w:t>–</w:t>
      </w:r>
      <w:r>
        <w:t xml:space="preserve"> all waste emissions </w:t>
      </w:r>
      <w:r w:rsidR="5CD7F43A">
        <w:t xml:space="preserve">except </w:t>
      </w:r>
      <w:r>
        <w:t>methane emissions from municipal landfill disposal facilities</w:t>
      </w:r>
      <w:r w:rsidR="40F1B79C">
        <w:t>.</w:t>
      </w:r>
    </w:p>
    <w:p w14:paraId="0F4A60F3" w14:textId="7F0296EF" w:rsidR="001A7C31" w:rsidRPr="00E002A8" w:rsidRDefault="001A7C31" w:rsidP="00A44EDE">
      <w:pPr>
        <w:pStyle w:val="Bullet"/>
        <w:rPr>
          <w:rStyle w:val="normaltextrun"/>
        </w:rPr>
      </w:pPr>
      <w:r>
        <w:rPr>
          <w:rStyle w:val="normaltextrun"/>
          <w:rFonts w:cs="Calibri"/>
          <w:color w:val="000000"/>
          <w:shd w:val="clear" w:color="auto" w:fill="FFFFFF"/>
        </w:rPr>
        <w:t>Synthetic greenhouse gases</w:t>
      </w:r>
      <w:r w:rsidR="1B46AE1F">
        <w:rPr>
          <w:rStyle w:val="normaltextrun"/>
          <w:rFonts w:cs="Calibri"/>
          <w:color w:val="000000"/>
          <w:shd w:val="clear" w:color="auto" w:fill="FFFFFF"/>
        </w:rPr>
        <w:t xml:space="preserve"> </w:t>
      </w:r>
      <w:r w:rsidR="004734D2">
        <w:rPr>
          <w:rStyle w:val="normaltextrun"/>
          <w:rFonts w:cs="Calibri"/>
          <w:color w:val="000000"/>
          <w:shd w:val="clear" w:color="auto" w:fill="FFFFFF"/>
        </w:rPr>
        <w:t>–</w:t>
      </w:r>
      <w:r>
        <w:t xml:space="preserve"> </w:t>
      </w:r>
      <w:r w:rsidR="17005CDC">
        <w:t>s</w:t>
      </w:r>
      <w:r>
        <w:rPr>
          <w:rStyle w:val="normaltextrun"/>
          <w:rFonts w:cs="Calibri"/>
          <w:color w:val="000000"/>
          <w:shd w:val="clear" w:color="auto" w:fill="FFFFFF"/>
        </w:rPr>
        <w:t xml:space="preserve">ome sources of emissions associated with certain goods and vehicles are priced through the Synthetic Greenhouse Gas </w:t>
      </w:r>
      <w:r w:rsidR="7EB57839">
        <w:rPr>
          <w:rStyle w:val="normaltextrun"/>
          <w:rFonts w:cs="Calibri"/>
          <w:color w:val="000000"/>
          <w:shd w:val="clear" w:color="auto" w:fill="FFFFFF"/>
        </w:rPr>
        <w:t>Le</w:t>
      </w:r>
      <w:r w:rsidR="0D383808">
        <w:rPr>
          <w:rStyle w:val="normaltextrun"/>
          <w:rFonts w:cs="Calibri"/>
          <w:color w:val="000000"/>
          <w:shd w:val="clear" w:color="auto" w:fill="FFFFFF"/>
        </w:rPr>
        <w:t>vy</w:t>
      </w:r>
      <w:r w:rsidR="0DA56838">
        <w:rPr>
          <w:rStyle w:val="normaltextrun"/>
          <w:rFonts w:cs="Calibri"/>
          <w:color w:val="000000"/>
          <w:shd w:val="clear" w:color="auto" w:fill="FFFFFF"/>
        </w:rPr>
        <w:t>,</w:t>
      </w:r>
      <w:r w:rsidR="0D383808">
        <w:rPr>
          <w:rStyle w:val="normaltextrun"/>
          <w:rFonts w:cs="Calibri"/>
          <w:color w:val="000000"/>
          <w:shd w:val="clear" w:color="auto" w:fill="FFFFFF"/>
        </w:rPr>
        <w:t xml:space="preserve"> instead of facing NZ ETS unit emissions surrender obligations. </w:t>
      </w:r>
      <w:r w:rsidR="15D770F6">
        <w:rPr>
          <w:rStyle w:val="normaltextrun"/>
          <w:rFonts w:cs="Calibri"/>
          <w:color w:val="000000"/>
          <w:shd w:val="clear" w:color="auto" w:fill="FFFFFF"/>
        </w:rPr>
        <w:t>Some</w:t>
      </w:r>
      <w:r w:rsidR="0D383808">
        <w:rPr>
          <w:rStyle w:val="normaltextrun"/>
          <w:rFonts w:cs="Calibri"/>
          <w:color w:val="000000"/>
          <w:shd w:val="clear" w:color="auto" w:fill="FFFFFF"/>
        </w:rPr>
        <w:t xml:space="preserve"> </w:t>
      </w:r>
      <w:r>
        <w:rPr>
          <w:rStyle w:val="normaltextrun"/>
          <w:rFonts w:cs="Calibri"/>
          <w:color w:val="000000"/>
          <w:shd w:val="clear" w:color="auto" w:fill="FFFFFF"/>
        </w:rPr>
        <w:t xml:space="preserve">additional very small sources </w:t>
      </w:r>
      <w:r w:rsidR="04BEFC80">
        <w:rPr>
          <w:rStyle w:val="normaltextrun"/>
          <w:rFonts w:cs="Calibri"/>
          <w:color w:val="000000"/>
          <w:shd w:val="clear" w:color="auto" w:fill="FFFFFF"/>
        </w:rPr>
        <w:t>(such as medical uses) are</w:t>
      </w:r>
      <w:r>
        <w:rPr>
          <w:rStyle w:val="normaltextrun"/>
          <w:rFonts w:cs="Calibri"/>
          <w:color w:val="000000"/>
          <w:shd w:val="clear" w:color="auto" w:fill="FFFFFF"/>
        </w:rPr>
        <w:t xml:space="preserve"> not covered by either pricing mechanism.</w:t>
      </w:r>
    </w:p>
    <w:p w14:paraId="3375F4B0" w14:textId="5D381E49" w:rsidR="001A7C31" w:rsidRPr="003C61D7" w:rsidRDefault="001A7C31" w:rsidP="00A44EDE">
      <w:pPr>
        <w:pStyle w:val="Bullet"/>
      </w:pPr>
      <w:r>
        <w:rPr>
          <w:rStyle w:val="normaltextrun"/>
          <w:rFonts w:cs="Calibri"/>
          <w:color w:val="000000"/>
          <w:shd w:val="clear" w:color="auto" w:fill="FFFFFF"/>
        </w:rPr>
        <w:t>Industrial processes and product use</w:t>
      </w:r>
      <w:r w:rsidR="7B9079F2">
        <w:rPr>
          <w:rStyle w:val="normaltextrun"/>
          <w:rFonts w:cs="Calibri"/>
          <w:color w:val="000000"/>
          <w:shd w:val="clear" w:color="auto" w:fill="FFFFFF"/>
        </w:rPr>
        <w:t xml:space="preserve"> </w:t>
      </w:r>
      <w:r w:rsidR="00A44EDE">
        <w:rPr>
          <w:rStyle w:val="normaltextrun"/>
          <w:rFonts w:cs="Calibri"/>
          <w:color w:val="000000"/>
          <w:shd w:val="clear" w:color="auto" w:fill="FFFFFF"/>
        </w:rPr>
        <w:t>–</w:t>
      </w:r>
      <w:r>
        <w:rPr>
          <w:rStyle w:val="normaltextrun"/>
          <w:rFonts w:cs="Calibri"/>
          <w:color w:val="000000"/>
          <w:shd w:val="clear" w:color="auto" w:fill="FFFFFF"/>
        </w:rPr>
        <w:t xml:space="preserve"> </w:t>
      </w:r>
      <w:r w:rsidR="4AB8D476">
        <w:rPr>
          <w:rStyle w:val="normaltextrun"/>
          <w:rFonts w:cs="Calibri"/>
          <w:color w:val="000000"/>
          <w:shd w:val="clear" w:color="auto" w:fill="FFFFFF"/>
        </w:rPr>
        <w:t>s</w:t>
      </w:r>
      <w:r>
        <w:rPr>
          <w:rStyle w:val="normaltextrun"/>
          <w:rFonts w:cs="Calibri"/>
          <w:color w:val="000000"/>
        </w:rPr>
        <w:t xml:space="preserve">everal small emissions sources in the </w:t>
      </w:r>
      <w:r w:rsidR="00BC51C4">
        <w:rPr>
          <w:rStyle w:val="normaltextrun"/>
          <w:rFonts w:cs="Calibri"/>
          <w:color w:val="000000"/>
        </w:rPr>
        <w:t>i</w:t>
      </w:r>
      <w:r w:rsidR="00BC51C4">
        <w:rPr>
          <w:rStyle w:val="normaltextrun"/>
          <w:rFonts w:cs="Calibri"/>
          <w:color w:val="000000"/>
          <w:shd w:val="clear" w:color="auto" w:fill="FFFFFF"/>
        </w:rPr>
        <w:t>ndustrial processes and product use</w:t>
      </w:r>
      <w:r w:rsidR="003A6966">
        <w:rPr>
          <w:rStyle w:val="normaltextrun"/>
          <w:rFonts w:cs="Calibri"/>
          <w:color w:val="000000"/>
          <w:shd w:val="clear" w:color="auto" w:fill="FFFFFF"/>
        </w:rPr>
        <w:t xml:space="preserve"> </w:t>
      </w:r>
      <w:r>
        <w:rPr>
          <w:rStyle w:val="normaltextrun"/>
          <w:rFonts w:cs="Calibri"/>
          <w:color w:val="000000"/>
        </w:rPr>
        <w:t>inventory category are outside the NZ ETS</w:t>
      </w:r>
      <w:r w:rsidR="41D3E315">
        <w:rPr>
          <w:rStyle w:val="normaltextrun"/>
          <w:rFonts w:cs="Calibri"/>
          <w:color w:val="000000"/>
        </w:rPr>
        <w:t>, including</w:t>
      </w:r>
      <w:r>
        <w:rPr>
          <w:rStyle w:val="normaltextrun"/>
          <w:rFonts w:cs="Calibri"/>
          <w:color w:val="000000"/>
        </w:rPr>
        <w:t>:</w:t>
      </w:r>
    </w:p>
    <w:p w14:paraId="4F38D66F" w14:textId="0E4FC888" w:rsidR="001A7C31" w:rsidRPr="00A44EDE" w:rsidRDefault="00627BFF" w:rsidP="005E11BE">
      <w:pPr>
        <w:pStyle w:val="Sub-lista"/>
        <w:numPr>
          <w:ilvl w:val="0"/>
          <w:numId w:val="36"/>
        </w:numPr>
      </w:pPr>
      <w:r w:rsidRPr="00A44EDE">
        <w:t>n</w:t>
      </w:r>
      <w:r w:rsidR="001A7C31" w:rsidRPr="00A44EDE">
        <w:t>on-energy products from fuels and solvent use</w:t>
      </w:r>
    </w:p>
    <w:p w14:paraId="528739A3" w14:textId="3D25FCDD" w:rsidR="001A7C31" w:rsidRPr="00A44EDE" w:rsidRDefault="00627BFF" w:rsidP="005E11BE">
      <w:pPr>
        <w:pStyle w:val="Sub-lista"/>
        <w:numPr>
          <w:ilvl w:val="0"/>
          <w:numId w:val="36"/>
        </w:numPr>
      </w:pPr>
      <w:r w:rsidRPr="00A44EDE">
        <w:t>n</w:t>
      </w:r>
      <w:r w:rsidR="001A7C31" w:rsidRPr="00A44EDE">
        <w:t>itrous oxide from medical applications</w:t>
      </w:r>
    </w:p>
    <w:p w14:paraId="28BB0FD6" w14:textId="22F65B9A" w:rsidR="001A7C31" w:rsidRPr="00A44EDE" w:rsidRDefault="5EFAE59E" w:rsidP="005E11BE">
      <w:pPr>
        <w:pStyle w:val="Sub-lista"/>
        <w:numPr>
          <w:ilvl w:val="0"/>
          <w:numId w:val="36"/>
        </w:numPr>
      </w:pPr>
      <w:r w:rsidRPr="00A44EDE">
        <w:t>other uses of carbonate.</w:t>
      </w:r>
    </w:p>
    <w:p w14:paraId="2B5B549E" w14:textId="78BDCCCC" w:rsidR="001A7C31" w:rsidRPr="009A45C3" w:rsidRDefault="001A7C31" w:rsidP="00A44EDE">
      <w:pPr>
        <w:pStyle w:val="Bullet"/>
        <w:rPr>
          <w:rStyle w:val="normaltextrun"/>
          <w:rFonts w:cs="Calibri"/>
          <w:color w:val="000000" w:themeColor="text1"/>
        </w:rPr>
      </w:pPr>
      <w:r w:rsidRPr="009A45C3">
        <w:rPr>
          <w:rStyle w:val="normaltextrun"/>
          <w:rFonts w:cs="Calibri"/>
          <w:color w:val="000000"/>
          <w:shd w:val="clear" w:color="auto" w:fill="FFFFFF"/>
        </w:rPr>
        <w:t>Forestry</w:t>
      </w:r>
      <w:r w:rsidR="1CA822B7" w:rsidRPr="009A45C3">
        <w:rPr>
          <w:rStyle w:val="normaltextrun"/>
          <w:rFonts w:cs="Calibri"/>
          <w:color w:val="000000"/>
          <w:shd w:val="clear" w:color="auto" w:fill="FFFFFF"/>
        </w:rPr>
        <w:t xml:space="preserve"> </w:t>
      </w:r>
      <w:r w:rsidR="00A44EDE">
        <w:rPr>
          <w:rStyle w:val="normaltextrun"/>
          <w:rFonts w:cs="Calibri"/>
          <w:color w:val="000000"/>
          <w:shd w:val="clear" w:color="auto" w:fill="FFFFFF"/>
        </w:rPr>
        <w:t>–</w:t>
      </w:r>
      <w:r w:rsidRPr="009A45C3">
        <w:rPr>
          <w:rStyle w:val="normaltextrun"/>
          <w:rFonts w:cs="Calibri"/>
          <w:color w:val="000000"/>
          <w:shd w:val="clear" w:color="auto" w:fill="FFFFFF"/>
        </w:rPr>
        <w:t xml:space="preserve"> the subset of post-1989 forest land that is not registered in the NZ ETS.</w:t>
      </w:r>
      <w:r>
        <w:rPr>
          <w:rStyle w:val="normaltextrun"/>
          <w:rFonts w:cs="Calibri"/>
          <w:color w:val="000000"/>
          <w:shd w:val="clear" w:color="auto" w:fill="FFFFFF"/>
        </w:rPr>
        <w:t xml:space="preserve"> The </w:t>
      </w:r>
      <w:r w:rsidRPr="009A45C3">
        <w:rPr>
          <w:rStyle w:val="normaltextrun"/>
          <w:rFonts w:cs="Calibri"/>
          <w:color w:val="000000"/>
          <w:shd w:val="clear" w:color="auto" w:fill="FFFFFF"/>
        </w:rPr>
        <w:t>Commission</w:t>
      </w:r>
      <w:r>
        <w:rPr>
          <w:rStyle w:val="normaltextrun"/>
          <w:rFonts w:cs="Calibri"/>
          <w:color w:val="000000"/>
          <w:shd w:val="clear" w:color="auto" w:fill="FFFFFF"/>
        </w:rPr>
        <w:t xml:space="preserve"> has </w:t>
      </w:r>
      <w:r w:rsidRPr="009A45C3">
        <w:rPr>
          <w:rStyle w:val="normaltextrun"/>
          <w:rFonts w:cs="Calibri"/>
          <w:color w:val="000000"/>
          <w:shd w:val="clear" w:color="auto" w:fill="FFFFFF"/>
        </w:rPr>
        <w:t>assume</w:t>
      </w:r>
      <w:r>
        <w:rPr>
          <w:rStyle w:val="normaltextrun"/>
          <w:rFonts w:cs="Calibri"/>
          <w:color w:val="000000"/>
          <w:shd w:val="clear" w:color="auto" w:fill="FFFFFF"/>
        </w:rPr>
        <w:t xml:space="preserve">d </w:t>
      </w:r>
      <w:r w:rsidRPr="009A45C3">
        <w:rPr>
          <w:rStyle w:val="normaltextrun"/>
          <w:rFonts w:cs="Calibri"/>
          <w:color w:val="000000"/>
          <w:shd w:val="clear" w:color="auto" w:fill="FFFFFF"/>
        </w:rPr>
        <w:t>t</w:t>
      </w:r>
      <w:r>
        <w:rPr>
          <w:rStyle w:val="normaltextrun"/>
          <w:rFonts w:cs="Calibri"/>
          <w:color w:val="000000"/>
          <w:shd w:val="clear" w:color="auto" w:fill="FFFFFF"/>
        </w:rPr>
        <w:t>hat all currently registered forest land would remain registered</w:t>
      </w:r>
      <w:r w:rsidR="5141EE68">
        <w:rPr>
          <w:rStyle w:val="normaltextrun"/>
          <w:rFonts w:cs="Calibri"/>
          <w:color w:val="000000"/>
          <w:shd w:val="clear" w:color="auto" w:fill="FFFFFF"/>
        </w:rPr>
        <w:t>,</w:t>
      </w:r>
      <w:r>
        <w:rPr>
          <w:rStyle w:val="normaltextrun"/>
          <w:rFonts w:cs="Calibri"/>
          <w:color w:val="000000"/>
          <w:shd w:val="clear" w:color="auto" w:fill="FFFFFF"/>
        </w:rPr>
        <w:t xml:space="preserve"> and that all</w:t>
      </w:r>
      <w:r w:rsidRPr="009A45C3">
        <w:rPr>
          <w:rStyle w:val="normaltextrun"/>
          <w:rFonts w:cs="Calibri"/>
          <w:color w:val="000000"/>
          <w:shd w:val="clear" w:color="auto" w:fill="FFFFFF"/>
        </w:rPr>
        <w:t xml:space="preserve"> </w:t>
      </w:r>
      <w:r w:rsidR="6BE93A07" w:rsidRPr="009A45C3">
        <w:rPr>
          <w:rStyle w:val="normaltextrun"/>
          <w:rFonts w:cs="Calibri"/>
          <w:color w:val="000000"/>
          <w:shd w:val="clear" w:color="auto" w:fill="FFFFFF"/>
        </w:rPr>
        <w:t xml:space="preserve">eligible </w:t>
      </w:r>
      <w:r w:rsidRPr="009A45C3">
        <w:rPr>
          <w:rStyle w:val="normaltextrun"/>
          <w:rFonts w:cs="Calibri"/>
          <w:color w:val="000000"/>
          <w:shd w:val="clear" w:color="auto" w:fill="FFFFFF"/>
        </w:rPr>
        <w:t>post-1989 forests</w:t>
      </w:r>
      <w:r>
        <w:rPr>
          <w:rStyle w:val="normaltextrun"/>
          <w:rFonts w:cs="Calibri"/>
          <w:color w:val="000000"/>
          <w:shd w:val="clear" w:color="auto" w:fill="FFFFFF"/>
        </w:rPr>
        <w:t xml:space="preserve"> planted from 2019 </w:t>
      </w:r>
      <w:r w:rsidRPr="009A45C3">
        <w:rPr>
          <w:rStyle w:val="normaltextrun"/>
          <w:rFonts w:cs="Calibri"/>
          <w:color w:val="000000"/>
          <w:shd w:val="clear" w:color="auto" w:fill="FFFFFF"/>
        </w:rPr>
        <w:t>will register</w:t>
      </w:r>
      <w:r w:rsidR="2C21F94F" w:rsidRPr="009A45C3">
        <w:rPr>
          <w:rStyle w:val="normaltextrun"/>
          <w:rFonts w:cs="Calibri"/>
          <w:color w:val="000000"/>
          <w:shd w:val="clear" w:color="auto" w:fill="FFFFFF"/>
        </w:rPr>
        <w:t xml:space="preserve"> or have already done so</w:t>
      </w:r>
      <w:r w:rsidRPr="009A45C3">
        <w:rPr>
          <w:rStyle w:val="normaltextrun"/>
          <w:rFonts w:cs="Calibri"/>
          <w:color w:val="000000"/>
          <w:shd w:val="clear" w:color="auto" w:fill="FFFFFF"/>
        </w:rPr>
        <w:t>. This equates to allocating 100</w:t>
      </w:r>
      <w:r w:rsidR="5EFBB143" w:rsidRPr="009A45C3">
        <w:rPr>
          <w:rStyle w:val="normaltextrun"/>
          <w:rFonts w:cs="Calibri"/>
          <w:color w:val="000000"/>
          <w:shd w:val="clear" w:color="auto" w:fill="FFFFFF"/>
        </w:rPr>
        <w:t xml:space="preserve"> per cent</w:t>
      </w:r>
      <w:r w:rsidRPr="009A45C3">
        <w:rPr>
          <w:rStyle w:val="normaltextrun"/>
          <w:rFonts w:cs="Calibri"/>
          <w:color w:val="000000"/>
          <w:shd w:val="clear" w:color="auto" w:fill="FFFFFF"/>
        </w:rPr>
        <w:t xml:space="preserve"> of post-1989 forestry (both carbon dioxide removals from forest growth and emissions from deforestation) to the NZ ETS sectors.</w:t>
      </w:r>
    </w:p>
    <w:p w14:paraId="69C9FD00" w14:textId="4FEC078B" w:rsidR="001A7C31" w:rsidRDefault="51C6208A" w:rsidP="001A7C31">
      <w:pPr>
        <w:pStyle w:val="BodyText"/>
      </w:pPr>
      <w:r>
        <w:lastRenderedPageBreak/>
        <w:t xml:space="preserve">Table </w:t>
      </w:r>
      <w:r w:rsidR="00755188">
        <w:t>4</w:t>
      </w:r>
      <w:r w:rsidR="001A7C31">
        <w:t xml:space="preserve"> shows the updated allocated volume of emission</w:t>
      </w:r>
      <w:r w:rsidR="00A654A4">
        <w:t>s</w:t>
      </w:r>
      <w:r w:rsidR="001A7C31">
        <w:t xml:space="preserve"> budgets to sectors inside and outside the NZ ETS</w:t>
      </w:r>
      <w:r w:rsidR="6C4B5C49">
        <w:t>.</w:t>
      </w:r>
    </w:p>
    <w:p w14:paraId="07F5FDA1" w14:textId="799DFFA8" w:rsidR="001A7C31" w:rsidRPr="00C0766F" w:rsidRDefault="001A7C31" w:rsidP="00B72323">
      <w:pPr>
        <w:pStyle w:val="Tableheading"/>
      </w:pPr>
      <w:bookmarkStart w:id="71" w:name="_Toc167714873"/>
      <w:r w:rsidRPr="00C0766F">
        <w:t xml:space="preserve">Table </w:t>
      </w:r>
      <w:r w:rsidR="00FF0BA5">
        <w:t>4</w:t>
      </w:r>
      <w:r w:rsidRPr="00C0766F">
        <w:t>:</w:t>
      </w:r>
      <w:r w:rsidR="00CB6FB5">
        <w:t xml:space="preserve"> </w:t>
      </w:r>
      <w:r w:rsidR="00C31713">
        <w:tab/>
      </w:r>
      <w:r w:rsidR="00C5371A">
        <w:t>Option</w:t>
      </w:r>
      <w:r>
        <w:t xml:space="preserve"> for step 2</w:t>
      </w:r>
      <w:bookmarkEnd w:id="71"/>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3342EE" w:rsidRPr="00C63C98" w14:paraId="22B7DE84" w14:textId="77777777" w:rsidTr="003342EE">
        <w:trPr>
          <w:trHeight w:val="360"/>
          <w:tblHeader/>
        </w:trPr>
        <w:tc>
          <w:tcPr>
            <w:tcW w:w="1834" w:type="pct"/>
            <w:shd w:val="clear" w:color="auto" w:fill="1B556B" w:themeFill="text2"/>
          </w:tcPr>
          <w:p w14:paraId="06BFBBB4" w14:textId="77777777" w:rsidR="003342EE" w:rsidRPr="006B77BB" w:rsidRDefault="003342EE">
            <w:pPr>
              <w:pStyle w:val="TableTextbold"/>
              <w:rPr>
                <w:color w:val="FFFFFF" w:themeColor="background1"/>
              </w:rPr>
            </w:pPr>
          </w:p>
        </w:tc>
        <w:tc>
          <w:tcPr>
            <w:tcW w:w="3166" w:type="pct"/>
            <w:gridSpan w:val="5"/>
            <w:shd w:val="clear" w:color="auto" w:fill="1B556B" w:themeFill="text2"/>
          </w:tcPr>
          <w:p w14:paraId="2E342D3A" w14:textId="0E286C0C" w:rsidR="003342EE" w:rsidRDefault="003342EE" w:rsidP="003342EE">
            <w:pPr>
              <w:pStyle w:val="TableTextbold"/>
              <w:jc w:val="center"/>
              <w:rPr>
                <w:color w:val="FFFFFF" w:themeColor="background1"/>
              </w:rPr>
            </w:pPr>
            <w:r>
              <w:rPr>
                <w:color w:val="FFFFFF" w:themeColor="background1"/>
              </w:rPr>
              <w:t>Year</w:t>
            </w:r>
            <w:r>
              <w:rPr>
                <w:color w:val="FFFFFF" w:themeColor="background1"/>
              </w:rPr>
              <w:br/>
              <w:t>(Million NZUs)</w:t>
            </w:r>
          </w:p>
        </w:tc>
      </w:tr>
      <w:tr w:rsidR="001A7C31" w:rsidRPr="00C63C98" w14:paraId="39C2EC0C" w14:textId="77777777" w:rsidTr="5992082C">
        <w:trPr>
          <w:trHeight w:val="360"/>
          <w:tblHeader/>
        </w:trPr>
        <w:tc>
          <w:tcPr>
            <w:tcW w:w="1834" w:type="pct"/>
            <w:shd w:val="clear" w:color="auto" w:fill="1B556B" w:themeFill="text2"/>
          </w:tcPr>
          <w:p w14:paraId="030FD026" w14:textId="6112CA40" w:rsidR="001A7C31" w:rsidRPr="006B77BB" w:rsidRDefault="001A7C31">
            <w:pPr>
              <w:pStyle w:val="TableTextbold"/>
              <w:rPr>
                <w:color w:val="FFFFFF" w:themeColor="background1"/>
              </w:rPr>
            </w:pPr>
          </w:p>
        </w:tc>
        <w:tc>
          <w:tcPr>
            <w:tcW w:w="633" w:type="pct"/>
            <w:shd w:val="clear" w:color="auto" w:fill="1B556B" w:themeFill="text2"/>
          </w:tcPr>
          <w:p w14:paraId="10B1004C"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2025</w:t>
            </w:r>
          </w:p>
        </w:tc>
        <w:tc>
          <w:tcPr>
            <w:tcW w:w="633" w:type="pct"/>
            <w:shd w:val="clear" w:color="auto" w:fill="1B556B" w:themeFill="text2"/>
          </w:tcPr>
          <w:p w14:paraId="716529D1"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2026</w:t>
            </w:r>
          </w:p>
        </w:tc>
        <w:tc>
          <w:tcPr>
            <w:tcW w:w="633" w:type="pct"/>
            <w:shd w:val="clear" w:color="auto" w:fill="1B556B" w:themeFill="text2"/>
          </w:tcPr>
          <w:p w14:paraId="51022F56"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2027</w:t>
            </w:r>
          </w:p>
        </w:tc>
        <w:tc>
          <w:tcPr>
            <w:tcW w:w="633" w:type="pct"/>
            <w:shd w:val="clear" w:color="auto" w:fill="1B556B" w:themeFill="text2"/>
          </w:tcPr>
          <w:p w14:paraId="5BDECC2F"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2028</w:t>
            </w:r>
          </w:p>
        </w:tc>
        <w:tc>
          <w:tcPr>
            <w:tcW w:w="634" w:type="pct"/>
            <w:shd w:val="clear" w:color="auto" w:fill="1B556B" w:themeFill="text2"/>
          </w:tcPr>
          <w:p w14:paraId="0D4C0E07"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2029</w:t>
            </w:r>
          </w:p>
        </w:tc>
      </w:tr>
      <w:tr w:rsidR="001A7C31" w:rsidRPr="001D465F" w14:paraId="41107E9D" w14:textId="77777777">
        <w:trPr>
          <w:trHeight w:val="360"/>
        </w:trPr>
        <w:tc>
          <w:tcPr>
            <w:tcW w:w="1834" w:type="pct"/>
            <w:shd w:val="clear" w:color="auto" w:fill="auto"/>
          </w:tcPr>
          <w:p w14:paraId="05E66978" w14:textId="3FC5B58B" w:rsidR="001A7C31" w:rsidRPr="00C54AEC" w:rsidRDefault="001A7C31">
            <w:pPr>
              <w:pStyle w:val="TableText"/>
              <w:rPr>
                <w:b/>
              </w:rPr>
            </w:pPr>
            <w:r w:rsidRPr="00C54AEC">
              <w:rPr>
                <w:rFonts w:asciiTheme="minorHAnsi" w:hAnsiTheme="minorHAnsi"/>
                <w:b/>
                <w:sz w:val="20"/>
                <w:szCs w:val="20"/>
              </w:rPr>
              <w:t xml:space="preserve">Share of </w:t>
            </w:r>
            <w:r w:rsidRPr="28E72730">
              <w:rPr>
                <w:rFonts w:asciiTheme="minorHAnsi" w:hAnsiTheme="minorHAnsi"/>
                <w:b/>
                <w:bCs/>
                <w:sz w:val="20"/>
                <w:szCs w:val="20"/>
              </w:rPr>
              <w:t>emission</w:t>
            </w:r>
            <w:r w:rsidR="582CB6EE" w:rsidRPr="28E72730">
              <w:rPr>
                <w:rFonts w:asciiTheme="minorHAnsi" w:hAnsiTheme="minorHAnsi"/>
                <w:b/>
                <w:bCs/>
                <w:sz w:val="20"/>
                <w:szCs w:val="20"/>
              </w:rPr>
              <w:t>s</w:t>
            </w:r>
            <w:r w:rsidRPr="28E72730">
              <w:rPr>
                <w:rFonts w:asciiTheme="minorHAnsi" w:hAnsiTheme="minorHAnsi"/>
                <w:b/>
                <w:sz w:val="20"/>
                <w:szCs w:val="20"/>
              </w:rPr>
              <w:t xml:space="preserve"> budget allocated to non-NZ ETS sectors</w:t>
            </w:r>
            <w:r w:rsidR="003D55BD">
              <w:rPr>
                <w:rFonts w:asciiTheme="minorHAnsi" w:hAnsiTheme="minorHAnsi"/>
                <w:b/>
                <w:sz w:val="20"/>
                <w:szCs w:val="20"/>
              </w:rPr>
              <w:t xml:space="preserve"> </w:t>
            </w:r>
          </w:p>
        </w:tc>
        <w:tc>
          <w:tcPr>
            <w:tcW w:w="633" w:type="pct"/>
          </w:tcPr>
          <w:p w14:paraId="7368E3A7" w14:textId="0D000220" w:rsidR="001A7C31" w:rsidRPr="00B72323" w:rsidRDefault="001A7C31">
            <w:pPr>
              <w:pStyle w:val="TableText"/>
            </w:pPr>
            <w:r w:rsidRPr="00B72323">
              <w:rPr>
                <w:rFonts w:asciiTheme="minorHAnsi" w:hAnsiTheme="minorHAnsi"/>
                <w:color w:val="000000" w:themeColor="text1"/>
                <w:sz w:val="20"/>
                <w:szCs w:val="20"/>
              </w:rPr>
              <w:t>-41.5</w:t>
            </w:r>
          </w:p>
        </w:tc>
        <w:tc>
          <w:tcPr>
            <w:tcW w:w="633" w:type="pct"/>
          </w:tcPr>
          <w:p w14:paraId="19F26D50" w14:textId="231B88B1" w:rsidR="001A7C31" w:rsidRPr="00B72323" w:rsidRDefault="001A7C31">
            <w:pPr>
              <w:pStyle w:val="TableText"/>
            </w:pPr>
            <w:r w:rsidRPr="00B72323">
              <w:rPr>
                <w:rFonts w:asciiTheme="minorHAnsi" w:hAnsiTheme="minorHAnsi"/>
                <w:color w:val="000000" w:themeColor="text1"/>
                <w:sz w:val="20"/>
                <w:szCs w:val="20"/>
              </w:rPr>
              <w:t>-41.0</w:t>
            </w:r>
          </w:p>
        </w:tc>
        <w:tc>
          <w:tcPr>
            <w:tcW w:w="633" w:type="pct"/>
          </w:tcPr>
          <w:p w14:paraId="0458626B" w14:textId="2846B62F" w:rsidR="001A7C31" w:rsidRPr="00B72323" w:rsidRDefault="001A7C31">
            <w:pPr>
              <w:pStyle w:val="TableText"/>
            </w:pPr>
            <w:r w:rsidRPr="00B72323">
              <w:rPr>
                <w:rFonts w:asciiTheme="minorHAnsi" w:hAnsiTheme="minorHAnsi"/>
                <w:color w:val="000000" w:themeColor="text1"/>
                <w:sz w:val="20"/>
                <w:szCs w:val="20"/>
              </w:rPr>
              <w:t>-40.7</w:t>
            </w:r>
          </w:p>
        </w:tc>
        <w:tc>
          <w:tcPr>
            <w:tcW w:w="633" w:type="pct"/>
          </w:tcPr>
          <w:p w14:paraId="4DC459DE" w14:textId="3A62484E" w:rsidR="001A7C31" w:rsidRPr="00B72323" w:rsidRDefault="001A7C31">
            <w:pPr>
              <w:pStyle w:val="TableText"/>
            </w:pPr>
            <w:r w:rsidRPr="00B72323">
              <w:rPr>
                <w:rFonts w:asciiTheme="minorHAnsi" w:hAnsiTheme="minorHAnsi"/>
                <w:color w:val="000000" w:themeColor="text1"/>
                <w:sz w:val="20"/>
                <w:szCs w:val="20"/>
              </w:rPr>
              <w:t>-40.4</w:t>
            </w:r>
          </w:p>
        </w:tc>
        <w:tc>
          <w:tcPr>
            <w:tcW w:w="634" w:type="pct"/>
            <w:shd w:val="clear" w:color="auto" w:fill="auto"/>
          </w:tcPr>
          <w:p w14:paraId="00B87FEE" w14:textId="6D19FCAC" w:rsidR="001A7C31" w:rsidRPr="00B72323" w:rsidRDefault="001A7C31">
            <w:pPr>
              <w:pStyle w:val="TableText"/>
            </w:pPr>
            <w:r w:rsidRPr="00B72323">
              <w:rPr>
                <w:rFonts w:asciiTheme="minorHAnsi" w:hAnsiTheme="minorHAnsi"/>
                <w:color w:val="000000" w:themeColor="text1"/>
                <w:sz w:val="20"/>
                <w:szCs w:val="20"/>
              </w:rPr>
              <w:t>-40.0</w:t>
            </w:r>
          </w:p>
        </w:tc>
      </w:tr>
      <w:tr w:rsidR="001A7C31" w:rsidRPr="001D465F" w14:paraId="5E4CDD3C" w14:textId="77777777">
        <w:trPr>
          <w:trHeight w:val="360"/>
        </w:trPr>
        <w:tc>
          <w:tcPr>
            <w:tcW w:w="1834" w:type="pct"/>
            <w:shd w:val="clear" w:color="auto" w:fill="auto"/>
          </w:tcPr>
          <w:p w14:paraId="30D62CDF" w14:textId="42C1AFC6" w:rsidR="001A7C31" w:rsidRPr="00C54AEC" w:rsidRDefault="001A7C31">
            <w:pPr>
              <w:pStyle w:val="TableText"/>
              <w:rPr>
                <w:b/>
              </w:rPr>
            </w:pPr>
            <w:r w:rsidRPr="00C54AEC">
              <w:rPr>
                <w:rFonts w:asciiTheme="minorHAnsi" w:hAnsiTheme="minorHAnsi"/>
                <w:b/>
                <w:sz w:val="20"/>
                <w:szCs w:val="20"/>
              </w:rPr>
              <w:t xml:space="preserve">Share of </w:t>
            </w:r>
            <w:r w:rsidRPr="28E72730">
              <w:rPr>
                <w:rFonts w:asciiTheme="minorHAnsi" w:hAnsiTheme="minorHAnsi"/>
                <w:b/>
                <w:bCs/>
                <w:sz w:val="20"/>
                <w:szCs w:val="20"/>
              </w:rPr>
              <w:t>emission</w:t>
            </w:r>
            <w:r w:rsidR="759FDC96" w:rsidRPr="28E72730">
              <w:rPr>
                <w:rFonts w:asciiTheme="minorHAnsi" w:hAnsiTheme="minorHAnsi"/>
                <w:b/>
                <w:bCs/>
                <w:sz w:val="20"/>
                <w:szCs w:val="20"/>
              </w:rPr>
              <w:t>s</w:t>
            </w:r>
            <w:r w:rsidRPr="28E72730">
              <w:rPr>
                <w:rFonts w:asciiTheme="minorHAnsi" w:hAnsiTheme="minorHAnsi"/>
                <w:b/>
                <w:sz w:val="20"/>
                <w:szCs w:val="20"/>
              </w:rPr>
              <w:t xml:space="preserve"> budget allocated to NZ ETS sectors</w:t>
            </w:r>
          </w:p>
        </w:tc>
        <w:tc>
          <w:tcPr>
            <w:tcW w:w="633" w:type="pct"/>
          </w:tcPr>
          <w:p w14:paraId="2384322B" w14:textId="2248A316" w:rsidR="001A7C31" w:rsidRPr="00B72323" w:rsidRDefault="001A7C31">
            <w:pPr>
              <w:pStyle w:val="TableText"/>
            </w:pPr>
            <w:r w:rsidRPr="00B72323">
              <w:rPr>
                <w:rFonts w:asciiTheme="minorHAnsi" w:hAnsiTheme="minorHAnsi" w:cstheme="minorHAnsi"/>
                <w:color w:val="000000"/>
                <w:sz w:val="20"/>
                <w:szCs w:val="20"/>
              </w:rPr>
              <w:t>25.2</w:t>
            </w:r>
          </w:p>
        </w:tc>
        <w:tc>
          <w:tcPr>
            <w:tcW w:w="633" w:type="pct"/>
          </w:tcPr>
          <w:p w14:paraId="21855638" w14:textId="698E9792" w:rsidR="001A7C31" w:rsidRPr="00B72323" w:rsidRDefault="001A7C31">
            <w:pPr>
              <w:pStyle w:val="TableText"/>
            </w:pPr>
            <w:r w:rsidRPr="00B72323">
              <w:rPr>
                <w:rFonts w:asciiTheme="minorHAnsi" w:hAnsiTheme="minorHAnsi" w:cstheme="minorHAnsi"/>
                <w:color w:val="000000"/>
                <w:sz w:val="20"/>
                <w:szCs w:val="20"/>
              </w:rPr>
              <w:t>23.2</w:t>
            </w:r>
          </w:p>
        </w:tc>
        <w:tc>
          <w:tcPr>
            <w:tcW w:w="633" w:type="pct"/>
          </w:tcPr>
          <w:p w14:paraId="13495779" w14:textId="1D007CBB" w:rsidR="001A7C31" w:rsidRPr="00B72323" w:rsidRDefault="001A7C31">
            <w:pPr>
              <w:pStyle w:val="TableText"/>
            </w:pPr>
            <w:r w:rsidRPr="00B72323">
              <w:rPr>
                <w:rFonts w:asciiTheme="minorHAnsi" w:hAnsiTheme="minorHAnsi" w:cstheme="minorHAnsi"/>
                <w:color w:val="000000"/>
                <w:sz w:val="20"/>
                <w:szCs w:val="20"/>
              </w:rPr>
              <w:t>21.2</w:t>
            </w:r>
          </w:p>
        </w:tc>
        <w:tc>
          <w:tcPr>
            <w:tcW w:w="633" w:type="pct"/>
          </w:tcPr>
          <w:p w14:paraId="7FAD681D" w14:textId="5346501A" w:rsidR="001A7C31" w:rsidRPr="00B72323" w:rsidRDefault="001A7C31">
            <w:pPr>
              <w:pStyle w:val="TableText"/>
            </w:pPr>
            <w:r w:rsidRPr="00B72323">
              <w:rPr>
                <w:rFonts w:asciiTheme="minorHAnsi" w:hAnsiTheme="minorHAnsi" w:cstheme="minorHAnsi"/>
                <w:color w:val="000000"/>
                <w:sz w:val="20"/>
                <w:szCs w:val="20"/>
              </w:rPr>
              <w:t>19.0</w:t>
            </w:r>
          </w:p>
        </w:tc>
        <w:tc>
          <w:tcPr>
            <w:tcW w:w="634" w:type="pct"/>
            <w:shd w:val="clear" w:color="auto" w:fill="auto"/>
          </w:tcPr>
          <w:p w14:paraId="3A80125A" w14:textId="1BE18710" w:rsidR="001A7C31" w:rsidRPr="00B72323" w:rsidRDefault="001A7C31">
            <w:pPr>
              <w:pStyle w:val="TableText"/>
            </w:pPr>
            <w:r w:rsidRPr="00B72323">
              <w:rPr>
                <w:rFonts w:asciiTheme="minorHAnsi" w:hAnsiTheme="minorHAnsi" w:cstheme="minorHAnsi"/>
                <w:color w:val="000000"/>
                <w:sz w:val="20"/>
                <w:szCs w:val="20"/>
              </w:rPr>
              <w:t>17.0</w:t>
            </w:r>
          </w:p>
        </w:tc>
      </w:tr>
    </w:tbl>
    <w:p w14:paraId="491AFAA0" w14:textId="77777777" w:rsidR="001A7C31" w:rsidRDefault="001A7C31" w:rsidP="00B72323">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B72323" w:rsidRPr="00D71C4F" w14:paraId="46797CD5" w14:textId="77777777">
        <w:tc>
          <w:tcPr>
            <w:tcW w:w="8505" w:type="dxa"/>
            <w:shd w:val="clear" w:color="auto" w:fill="1B556B" w:themeFill="text2"/>
          </w:tcPr>
          <w:p w14:paraId="2B0DAB83" w14:textId="77777777" w:rsidR="00B72323" w:rsidRPr="00D71C4F" w:rsidRDefault="00B72323">
            <w:pPr>
              <w:pStyle w:val="TableText"/>
              <w:keepNext/>
              <w:rPr>
                <w:b/>
                <w:bCs/>
                <w:color w:val="FFFFFF" w:themeColor="background1"/>
                <w:sz w:val="20"/>
              </w:rPr>
            </w:pPr>
            <w:r w:rsidRPr="00D71C4F">
              <w:rPr>
                <w:b/>
                <w:bCs/>
                <w:color w:val="FFFFFF" w:themeColor="background1"/>
                <w:sz w:val="20"/>
              </w:rPr>
              <w:t>Questions</w:t>
            </w:r>
          </w:p>
        </w:tc>
      </w:tr>
      <w:tr w:rsidR="00B72323" w:rsidRPr="00943CFD" w14:paraId="29BEA06E" w14:textId="77777777">
        <w:tc>
          <w:tcPr>
            <w:tcW w:w="8505" w:type="dxa"/>
          </w:tcPr>
          <w:p w14:paraId="3DB6D2B8" w14:textId="6C62D751" w:rsidR="00B72323" w:rsidRPr="00943CFD" w:rsidRDefault="00B72323">
            <w:pPr>
              <w:pStyle w:val="Questions"/>
              <w:ind w:left="397" w:right="0" w:hanging="397"/>
            </w:pPr>
            <w:r w:rsidRPr="00B72323">
              <w:t xml:space="preserve">Do you agree with </w:t>
            </w:r>
            <w:r w:rsidR="002C17EB">
              <w:t>the</w:t>
            </w:r>
            <w:r w:rsidR="002C17EB" w:rsidRPr="00B72323">
              <w:t xml:space="preserve"> </w:t>
            </w:r>
            <w:r w:rsidRPr="00B72323">
              <w:t>calculation</w:t>
            </w:r>
            <w:r w:rsidR="002C17EB">
              <w:t xml:space="preserve"> for step 2</w:t>
            </w:r>
            <w:r w:rsidRPr="00B72323">
              <w:t xml:space="preserve">? If not, </w:t>
            </w:r>
            <w:r w:rsidR="00992BBF">
              <w:t>why not? D</w:t>
            </w:r>
            <w:r w:rsidRPr="00B72323">
              <w:t>o you have any evidence or information to suggest a different share of the emission</w:t>
            </w:r>
            <w:r w:rsidR="001A28DF">
              <w:t>s</w:t>
            </w:r>
            <w:r w:rsidRPr="00B72323">
              <w:t xml:space="preserve"> budget?</w:t>
            </w:r>
          </w:p>
        </w:tc>
      </w:tr>
    </w:tbl>
    <w:p w14:paraId="59924D55" w14:textId="0495BCB2" w:rsidR="001A7C31" w:rsidRDefault="001A7C31" w:rsidP="00CA3497">
      <w:pPr>
        <w:pStyle w:val="Heading2"/>
      </w:pPr>
      <w:bookmarkStart w:id="72" w:name="_Toc161831674"/>
      <w:bookmarkStart w:id="73" w:name="_Toc161762885"/>
      <w:bookmarkStart w:id="74" w:name="_Toc163048589"/>
      <w:bookmarkStart w:id="75" w:name="_Toc166162151"/>
      <w:r>
        <w:t xml:space="preserve">Step 3: </w:t>
      </w:r>
      <w:r w:rsidR="5E6DB9EA">
        <w:t>Make t</w:t>
      </w:r>
      <w:r>
        <w:t xml:space="preserve">echnical </w:t>
      </w:r>
      <w:proofErr w:type="gramStart"/>
      <w:r>
        <w:t>adjustments</w:t>
      </w:r>
      <w:bookmarkEnd w:id="72"/>
      <w:bookmarkEnd w:id="73"/>
      <w:bookmarkEnd w:id="74"/>
      <w:bookmarkEnd w:id="75"/>
      <w:proofErr w:type="gramEnd"/>
    </w:p>
    <w:p w14:paraId="5CAD9855" w14:textId="5785F107" w:rsidR="001A7C31" w:rsidRPr="00BB4142" w:rsidRDefault="000E569C" w:rsidP="001A7C31">
      <w:pPr>
        <w:pStyle w:val="BodyText"/>
      </w:pPr>
      <w:r>
        <w:t>T</w:t>
      </w:r>
      <w:r w:rsidR="001A7C31">
        <w:t>his step is a mechanical step, therefore only one option is presented in this consultation document.</w:t>
      </w:r>
    </w:p>
    <w:p w14:paraId="0AB9E8A6" w14:textId="334AE753" w:rsidR="001A7C31" w:rsidRDefault="001A7C31" w:rsidP="001A7C31">
      <w:pPr>
        <w:pStyle w:val="BodyText"/>
      </w:pPr>
      <w:r>
        <w:t xml:space="preserve">Emissions reported into the NZ ETS for covered sectors are intended to align with emissions reported in </w:t>
      </w:r>
      <w:r w:rsidR="144AE7B8">
        <w:t xml:space="preserve">the </w:t>
      </w:r>
      <w:r>
        <w:t>GHG Inventory</w:t>
      </w:r>
      <w:r w:rsidR="6DE58663">
        <w:t>, as</w:t>
      </w:r>
      <w:r>
        <w:t xml:space="preserve"> New Zealand uses inventory data to report progress towards targets. Any accounting misalignment could mean too many, or too few, emission units are supplied into the market</w:t>
      </w:r>
      <w:r w:rsidR="4CF52D4B">
        <w:t>,</w:t>
      </w:r>
      <w:r>
        <w:t xml:space="preserve"> risk</w:t>
      </w:r>
      <w:r w:rsidR="423997C5">
        <w:t>ing</w:t>
      </w:r>
      <w:r>
        <w:t xml:space="preserve"> over- or under- achieving those targets.</w:t>
      </w:r>
    </w:p>
    <w:p w14:paraId="191ECDC6" w14:textId="28943212" w:rsidR="001A7C31" w:rsidRDefault="001A7C31" w:rsidP="001A7C31">
      <w:pPr>
        <w:pStyle w:val="BodyText"/>
      </w:pPr>
      <w:r>
        <w:t xml:space="preserve">In 2022 and 2023, </w:t>
      </w:r>
      <w:r w:rsidRPr="00615976">
        <w:t xml:space="preserve">the Commission identified </w:t>
      </w:r>
      <w:r>
        <w:t>that</w:t>
      </w:r>
      <w:r w:rsidR="1ECA94BA">
        <w:t>, compared to the GHG Inventory,</w:t>
      </w:r>
      <w:r>
        <w:t xml:space="preserve"> </w:t>
      </w:r>
      <w:r w:rsidRPr="00615976">
        <w:t>the</w:t>
      </w:r>
      <w:r>
        <w:t xml:space="preserve"> NZ ETS reported lower emissions for the liquid fossil fuels, </w:t>
      </w:r>
      <w:proofErr w:type="gramStart"/>
      <w:r>
        <w:t>coal</w:t>
      </w:r>
      <w:proofErr w:type="gramEnd"/>
      <w:r>
        <w:t xml:space="preserve"> and steel sectors</w:t>
      </w:r>
      <w:r w:rsidR="76C988F5">
        <w:t xml:space="preserve">. </w:t>
      </w:r>
      <w:r w:rsidR="00E5261D">
        <w:t>Considering</w:t>
      </w:r>
      <w:r w:rsidR="76C988F5">
        <w:t xml:space="preserve"> this difference, the Commission</w:t>
      </w:r>
      <w:r w:rsidR="14C0E0C0">
        <w:t xml:space="preserve"> proposed technical adjustments, </w:t>
      </w:r>
      <w:r w:rsidR="6B04C071">
        <w:t>which t</w:t>
      </w:r>
      <w:r w:rsidR="04744712">
        <w:t>he Government applied in</w:t>
      </w:r>
      <w:r w:rsidR="00663969">
        <w:t> </w:t>
      </w:r>
      <w:r w:rsidR="04744712">
        <w:t>2023</w:t>
      </w:r>
      <w:r w:rsidR="6B04C071">
        <w:t>.</w:t>
      </w:r>
    </w:p>
    <w:p w14:paraId="4DC8D183" w14:textId="2ECB1EB5" w:rsidR="001A7C31" w:rsidRDefault="001A7C31" w:rsidP="001A7C31">
      <w:pPr>
        <w:pStyle w:val="BodyText"/>
      </w:pPr>
      <w:r>
        <w:t xml:space="preserve">For this year, the Commission has advised that the differences observed between coal and steel production </w:t>
      </w:r>
      <w:r w:rsidR="7AE8B266">
        <w:t xml:space="preserve">reported </w:t>
      </w:r>
      <w:r>
        <w:t xml:space="preserve">in the GHG Inventory and the NZ ETS </w:t>
      </w:r>
      <w:r w:rsidR="4DF22A59">
        <w:t>(</w:t>
      </w:r>
      <w:r>
        <w:t xml:space="preserve">which </w:t>
      </w:r>
      <w:r w:rsidR="669FEE43">
        <w:t>occurred</w:t>
      </w:r>
      <w:r>
        <w:t xml:space="preserve"> due to a previous technical error in emissions reporting</w:t>
      </w:r>
      <w:r w:rsidR="538D3784">
        <w:t>)</w:t>
      </w:r>
      <w:r>
        <w:t xml:space="preserve"> no longer existed.</w:t>
      </w:r>
    </w:p>
    <w:p w14:paraId="2C1A6B5A" w14:textId="441F3B7F" w:rsidR="001A7C31" w:rsidRDefault="001A7C31" w:rsidP="001A7C31">
      <w:pPr>
        <w:pStyle w:val="BodyText"/>
      </w:pPr>
      <w:r>
        <w:t xml:space="preserve">However, the Commission </w:t>
      </w:r>
      <w:r w:rsidR="1AAA7560">
        <w:t>has recommended</w:t>
      </w:r>
      <w:r>
        <w:t xml:space="preserve"> a technical adjustment to account for an observed discrepancy </w:t>
      </w:r>
      <w:r w:rsidR="4955DE95">
        <w:t xml:space="preserve">between the GHG Inventory and the NZ ETS </w:t>
      </w:r>
      <w:r>
        <w:t>of approximately 3</w:t>
      </w:r>
      <w:r w:rsidR="18E00A31">
        <w:t xml:space="preserve"> per cent</w:t>
      </w:r>
      <w:r>
        <w:t xml:space="preserve"> in total </w:t>
      </w:r>
      <w:r w:rsidR="002F2D6E">
        <w:t>liquid fossil fuels</w:t>
      </w:r>
      <w:r w:rsidR="002F2D6E" w:rsidDel="002F2D6E">
        <w:t xml:space="preserve"> </w:t>
      </w:r>
      <w:r>
        <w:t xml:space="preserve">and stationary energy emissions. The Commission observed </w:t>
      </w:r>
      <w:r w:rsidR="2E28912A">
        <w:t xml:space="preserve">the most likely cause of </w:t>
      </w:r>
      <w:r>
        <w:t xml:space="preserve">this discrepancy was differing classification of liquid petroleum gas emissions, and </w:t>
      </w:r>
      <w:r w:rsidR="5FA0877D">
        <w:t>that the discrepancy</w:t>
      </w:r>
      <w:r>
        <w:t xml:space="preserve"> remained</w:t>
      </w:r>
      <w:r w:rsidR="458042BA">
        <w:t>,</w:t>
      </w:r>
      <w:r>
        <w:t xml:space="preserve"> despite combining the categories.</w:t>
      </w:r>
      <w:r w:rsidR="00B3434C">
        <w:t xml:space="preserve"> We are investigating this discrepancy.</w:t>
      </w:r>
    </w:p>
    <w:p w14:paraId="5275E2FA" w14:textId="368725E1" w:rsidR="001A7C31" w:rsidRDefault="001A7C31" w:rsidP="001A7C31">
      <w:pPr>
        <w:pStyle w:val="BodyText"/>
      </w:pPr>
      <w:r>
        <w:t xml:space="preserve">Table </w:t>
      </w:r>
      <w:r w:rsidR="00755188">
        <w:t>5</w:t>
      </w:r>
      <w:r>
        <w:t xml:space="preserve"> outlines the update for this step</w:t>
      </w:r>
      <w:r w:rsidR="00AF0A37">
        <w:rPr>
          <w:rStyle w:val="FootnoteReference"/>
        </w:rPr>
        <w:footnoteReference w:id="9"/>
      </w:r>
      <w:r>
        <w:t>.</w:t>
      </w:r>
    </w:p>
    <w:p w14:paraId="5529A22C" w14:textId="4D72CFD7" w:rsidR="001A7C31" w:rsidRPr="00C35AA8" w:rsidRDefault="001A7C31" w:rsidP="00B72323">
      <w:pPr>
        <w:pStyle w:val="Tableheading"/>
      </w:pPr>
      <w:bookmarkStart w:id="76" w:name="_Toc167714874"/>
      <w:r w:rsidRPr="00C0766F">
        <w:lastRenderedPageBreak/>
        <w:t xml:space="preserve">Table </w:t>
      </w:r>
      <w:r w:rsidR="00FF0BA5">
        <w:t>5</w:t>
      </w:r>
      <w:r w:rsidRPr="00C0766F">
        <w:t>:</w:t>
      </w:r>
      <w:r w:rsidR="00CB6FB5">
        <w:t xml:space="preserve"> </w:t>
      </w:r>
      <w:r w:rsidR="00C31713">
        <w:tab/>
      </w:r>
      <w:r>
        <w:t>Option for</w:t>
      </w:r>
      <w:r w:rsidRPr="00C35AA8">
        <w:t xml:space="preserve"> step 3</w:t>
      </w:r>
      <w:bookmarkEnd w:id="76"/>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E606FE" w:rsidRPr="00C63C98" w14:paraId="0BCB0265" w14:textId="77777777" w:rsidTr="00E606FE">
        <w:trPr>
          <w:trHeight w:val="360"/>
          <w:tblHeader/>
        </w:trPr>
        <w:tc>
          <w:tcPr>
            <w:tcW w:w="1834" w:type="pct"/>
            <w:shd w:val="clear" w:color="auto" w:fill="1B556B"/>
          </w:tcPr>
          <w:p w14:paraId="5A45F273" w14:textId="77777777" w:rsidR="00E606FE" w:rsidRPr="006B77BB" w:rsidRDefault="00E606FE">
            <w:pPr>
              <w:pStyle w:val="TableTextbold"/>
              <w:rPr>
                <w:color w:val="FFFFFF" w:themeColor="background1"/>
              </w:rPr>
            </w:pPr>
          </w:p>
        </w:tc>
        <w:tc>
          <w:tcPr>
            <w:tcW w:w="3166" w:type="pct"/>
            <w:gridSpan w:val="5"/>
            <w:shd w:val="clear" w:color="auto" w:fill="1B556B"/>
          </w:tcPr>
          <w:p w14:paraId="05F10EA2" w14:textId="45825F29" w:rsidR="00E606FE" w:rsidRDefault="00E606FE" w:rsidP="00E606FE">
            <w:pPr>
              <w:pStyle w:val="TableTextbold"/>
              <w:jc w:val="center"/>
              <w:rPr>
                <w:color w:val="FFFFFF" w:themeColor="background1"/>
              </w:rPr>
            </w:pPr>
            <w:r>
              <w:rPr>
                <w:color w:val="FFFFFF" w:themeColor="background1"/>
              </w:rPr>
              <w:t>Year</w:t>
            </w:r>
            <w:r>
              <w:rPr>
                <w:color w:val="FFFFFF" w:themeColor="background1"/>
              </w:rPr>
              <w:br/>
              <w:t>(Million NZUs)</w:t>
            </w:r>
          </w:p>
        </w:tc>
      </w:tr>
      <w:tr w:rsidR="001A7C31" w:rsidRPr="00C63C98" w14:paraId="12346D23" w14:textId="77777777">
        <w:trPr>
          <w:trHeight w:val="360"/>
          <w:tblHeader/>
        </w:trPr>
        <w:tc>
          <w:tcPr>
            <w:tcW w:w="1834" w:type="pct"/>
            <w:shd w:val="clear" w:color="auto" w:fill="1B556B"/>
          </w:tcPr>
          <w:p w14:paraId="393F5245" w14:textId="77777777" w:rsidR="001A7C31" w:rsidRPr="006B77BB" w:rsidRDefault="001A7C31">
            <w:pPr>
              <w:pStyle w:val="TableTextbold"/>
              <w:rPr>
                <w:color w:val="FFFFFF" w:themeColor="background1"/>
              </w:rPr>
            </w:pPr>
          </w:p>
        </w:tc>
        <w:tc>
          <w:tcPr>
            <w:tcW w:w="633" w:type="pct"/>
            <w:shd w:val="clear" w:color="auto" w:fill="1B556B"/>
          </w:tcPr>
          <w:p w14:paraId="4D43E434" w14:textId="77777777" w:rsidR="001A7C31" w:rsidRPr="00E606FE" w:rsidRDefault="001A7C31">
            <w:pPr>
              <w:pStyle w:val="TableTextbold"/>
              <w:rPr>
                <w:rFonts w:asciiTheme="minorHAnsi" w:hAnsiTheme="minorHAnsi" w:cstheme="minorHAnsi"/>
                <w:b w:val="0"/>
                <w:color w:val="FFFFFF" w:themeColor="background1"/>
                <w:sz w:val="20"/>
                <w:szCs w:val="20"/>
              </w:rPr>
            </w:pPr>
            <w:r>
              <w:rPr>
                <w:color w:val="FFFFFF" w:themeColor="background1"/>
              </w:rPr>
              <w:t>2025</w:t>
            </w:r>
          </w:p>
        </w:tc>
        <w:tc>
          <w:tcPr>
            <w:tcW w:w="633" w:type="pct"/>
            <w:shd w:val="clear" w:color="auto" w:fill="1B556B"/>
          </w:tcPr>
          <w:p w14:paraId="40966F24" w14:textId="77777777" w:rsidR="001A7C31" w:rsidRPr="006B77BB" w:rsidRDefault="001A7C31">
            <w:pPr>
              <w:pStyle w:val="TableTextbold"/>
              <w:rPr>
                <w:color w:val="FFFFFF" w:themeColor="background1"/>
              </w:rPr>
            </w:pPr>
            <w:r>
              <w:rPr>
                <w:color w:val="FFFFFF" w:themeColor="background1"/>
              </w:rPr>
              <w:t>2026</w:t>
            </w:r>
          </w:p>
        </w:tc>
        <w:tc>
          <w:tcPr>
            <w:tcW w:w="633" w:type="pct"/>
            <w:shd w:val="clear" w:color="auto" w:fill="1B556B"/>
          </w:tcPr>
          <w:p w14:paraId="66328028" w14:textId="77777777" w:rsidR="001A7C31" w:rsidRPr="006B77BB" w:rsidRDefault="001A7C31">
            <w:pPr>
              <w:pStyle w:val="TableTextbold"/>
              <w:rPr>
                <w:color w:val="FFFFFF" w:themeColor="background1"/>
              </w:rPr>
            </w:pPr>
            <w:r>
              <w:rPr>
                <w:color w:val="FFFFFF" w:themeColor="background1"/>
              </w:rPr>
              <w:t>2027</w:t>
            </w:r>
          </w:p>
        </w:tc>
        <w:tc>
          <w:tcPr>
            <w:tcW w:w="633" w:type="pct"/>
            <w:shd w:val="clear" w:color="auto" w:fill="1B556B"/>
          </w:tcPr>
          <w:p w14:paraId="3A6B74B2" w14:textId="77777777" w:rsidR="001A7C31" w:rsidRPr="006B77BB" w:rsidRDefault="001A7C31">
            <w:pPr>
              <w:pStyle w:val="TableTextbold"/>
              <w:rPr>
                <w:color w:val="FFFFFF" w:themeColor="background1"/>
              </w:rPr>
            </w:pPr>
            <w:r>
              <w:rPr>
                <w:color w:val="FFFFFF" w:themeColor="background1"/>
              </w:rPr>
              <w:t>2028</w:t>
            </w:r>
          </w:p>
        </w:tc>
        <w:tc>
          <w:tcPr>
            <w:tcW w:w="634" w:type="pct"/>
            <w:shd w:val="clear" w:color="auto" w:fill="1B556B"/>
          </w:tcPr>
          <w:p w14:paraId="4768954C" w14:textId="77777777" w:rsidR="001A7C31" w:rsidRPr="006B77BB" w:rsidRDefault="001A7C31">
            <w:pPr>
              <w:pStyle w:val="TableTextbold"/>
              <w:rPr>
                <w:color w:val="FFFFFF" w:themeColor="background1"/>
              </w:rPr>
            </w:pPr>
            <w:r>
              <w:rPr>
                <w:color w:val="FFFFFF" w:themeColor="background1"/>
              </w:rPr>
              <w:t>2029</w:t>
            </w:r>
          </w:p>
        </w:tc>
      </w:tr>
      <w:tr w:rsidR="001A7C31" w:rsidRPr="001D465F" w14:paraId="1723B572" w14:textId="77777777">
        <w:trPr>
          <w:trHeight w:val="360"/>
        </w:trPr>
        <w:tc>
          <w:tcPr>
            <w:tcW w:w="1834" w:type="pct"/>
            <w:shd w:val="clear" w:color="auto" w:fill="auto"/>
          </w:tcPr>
          <w:p w14:paraId="004B9A1B" w14:textId="06993C05" w:rsidR="001A7C31" w:rsidRPr="00B72323" w:rsidRDefault="001A7C31">
            <w:pPr>
              <w:pStyle w:val="TableText"/>
            </w:pPr>
            <w:r w:rsidRPr="28E72730">
              <w:rPr>
                <w:rFonts w:asciiTheme="minorHAnsi" w:hAnsiTheme="minorHAnsi"/>
                <w:b/>
                <w:color w:val="000000" w:themeColor="text1"/>
                <w:sz w:val="20"/>
                <w:szCs w:val="20"/>
              </w:rPr>
              <w:t>Technical adjustment</w:t>
            </w:r>
          </w:p>
        </w:tc>
        <w:tc>
          <w:tcPr>
            <w:tcW w:w="633" w:type="pct"/>
          </w:tcPr>
          <w:p w14:paraId="6F63AEBC" w14:textId="611BDAB9" w:rsidR="001A7C31" w:rsidRPr="00B72323" w:rsidRDefault="001A7C31">
            <w:pPr>
              <w:pStyle w:val="TableText"/>
            </w:pPr>
            <w:r w:rsidRPr="001D465F">
              <w:rPr>
                <w:rFonts w:asciiTheme="minorHAnsi" w:hAnsiTheme="minorHAnsi" w:cstheme="minorHAnsi"/>
                <w:sz w:val="20"/>
                <w:szCs w:val="20"/>
              </w:rPr>
              <w:t>-0.7</w:t>
            </w:r>
          </w:p>
        </w:tc>
        <w:tc>
          <w:tcPr>
            <w:tcW w:w="633" w:type="pct"/>
          </w:tcPr>
          <w:p w14:paraId="5E335397" w14:textId="7FCEB54B" w:rsidR="001A7C31" w:rsidRPr="00B72323" w:rsidRDefault="001A7C31">
            <w:pPr>
              <w:pStyle w:val="TableText"/>
            </w:pPr>
            <w:r w:rsidRPr="001D465F">
              <w:rPr>
                <w:rFonts w:asciiTheme="minorHAnsi" w:hAnsiTheme="minorHAnsi" w:cstheme="minorHAnsi"/>
                <w:sz w:val="20"/>
                <w:szCs w:val="20"/>
              </w:rPr>
              <w:t>-0.7</w:t>
            </w:r>
          </w:p>
        </w:tc>
        <w:tc>
          <w:tcPr>
            <w:tcW w:w="633" w:type="pct"/>
          </w:tcPr>
          <w:p w14:paraId="721AA24B" w14:textId="5248CCE9" w:rsidR="001A7C31" w:rsidRPr="00B72323" w:rsidRDefault="001A7C31">
            <w:pPr>
              <w:pStyle w:val="TableText"/>
            </w:pPr>
            <w:r w:rsidRPr="001D465F">
              <w:rPr>
                <w:rFonts w:asciiTheme="minorHAnsi" w:hAnsiTheme="minorHAnsi" w:cstheme="minorHAnsi"/>
                <w:sz w:val="20"/>
                <w:szCs w:val="20"/>
              </w:rPr>
              <w:t>-0.7</w:t>
            </w:r>
          </w:p>
        </w:tc>
        <w:tc>
          <w:tcPr>
            <w:tcW w:w="633" w:type="pct"/>
          </w:tcPr>
          <w:p w14:paraId="02D0FA4E" w14:textId="4DE9F41D" w:rsidR="001A7C31" w:rsidRPr="00B72323" w:rsidRDefault="001A7C31">
            <w:pPr>
              <w:pStyle w:val="TableText"/>
            </w:pPr>
            <w:r w:rsidRPr="001D465F">
              <w:rPr>
                <w:rFonts w:asciiTheme="minorHAnsi" w:hAnsiTheme="minorHAnsi" w:cstheme="minorHAnsi"/>
                <w:sz w:val="20"/>
                <w:szCs w:val="20"/>
              </w:rPr>
              <w:t>-0.7</w:t>
            </w:r>
          </w:p>
        </w:tc>
        <w:tc>
          <w:tcPr>
            <w:tcW w:w="634" w:type="pct"/>
            <w:shd w:val="clear" w:color="auto" w:fill="auto"/>
          </w:tcPr>
          <w:p w14:paraId="261F3AE9" w14:textId="2346E4D6" w:rsidR="001A7C31" w:rsidRPr="00B72323" w:rsidRDefault="001A7C31">
            <w:pPr>
              <w:pStyle w:val="TableText"/>
            </w:pPr>
            <w:r w:rsidRPr="001D465F">
              <w:rPr>
                <w:rFonts w:asciiTheme="minorHAnsi" w:hAnsiTheme="minorHAnsi" w:cstheme="minorHAnsi"/>
                <w:sz w:val="20"/>
                <w:szCs w:val="20"/>
              </w:rPr>
              <w:t>-0.7</w:t>
            </w:r>
          </w:p>
        </w:tc>
      </w:tr>
    </w:tbl>
    <w:p w14:paraId="0CD9B69E" w14:textId="77777777" w:rsidR="001A7C31" w:rsidRDefault="001A7C31" w:rsidP="00B72323">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B72323" w:rsidRPr="00D71C4F" w14:paraId="7B63187D" w14:textId="77777777">
        <w:tc>
          <w:tcPr>
            <w:tcW w:w="8505" w:type="dxa"/>
            <w:shd w:val="clear" w:color="auto" w:fill="1B556B" w:themeFill="text2"/>
          </w:tcPr>
          <w:p w14:paraId="173F8878" w14:textId="77777777" w:rsidR="00B72323" w:rsidRPr="00D71C4F" w:rsidRDefault="00B72323">
            <w:pPr>
              <w:pStyle w:val="TableText"/>
              <w:keepNext/>
              <w:rPr>
                <w:b/>
                <w:bCs/>
                <w:color w:val="FFFFFF" w:themeColor="background1"/>
                <w:sz w:val="20"/>
              </w:rPr>
            </w:pPr>
            <w:r w:rsidRPr="00D71C4F">
              <w:rPr>
                <w:b/>
                <w:bCs/>
                <w:color w:val="FFFFFF" w:themeColor="background1"/>
                <w:sz w:val="20"/>
              </w:rPr>
              <w:t>Questions</w:t>
            </w:r>
          </w:p>
        </w:tc>
      </w:tr>
      <w:tr w:rsidR="00B72323" w:rsidRPr="00943CFD" w14:paraId="1E51D002" w14:textId="77777777">
        <w:tc>
          <w:tcPr>
            <w:tcW w:w="8505" w:type="dxa"/>
          </w:tcPr>
          <w:p w14:paraId="23AF7CC1" w14:textId="3DB335B8" w:rsidR="00B72323" w:rsidRPr="00943CFD" w:rsidRDefault="00B72323">
            <w:pPr>
              <w:pStyle w:val="Questions"/>
              <w:ind w:left="397" w:right="0" w:hanging="397"/>
            </w:pPr>
            <w:r w:rsidRPr="00B72323">
              <w:t xml:space="preserve">Do you agree with </w:t>
            </w:r>
            <w:r w:rsidR="002506D2" w:rsidRPr="00B72323">
              <w:t>th</w:t>
            </w:r>
            <w:r w:rsidR="002506D2">
              <w:t>e</w:t>
            </w:r>
            <w:r w:rsidR="002506D2" w:rsidRPr="00B72323">
              <w:t xml:space="preserve"> </w:t>
            </w:r>
            <w:r w:rsidRPr="00B72323">
              <w:t>calculation</w:t>
            </w:r>
            <w:r w:rsidR="00256AB5">
              <w:t xml:space="preserve"> for step </w:t>
            </w:r>
            <w:r w:rsidR="009A5356">
              <w:t>3</w:t>
            </w:r>
            <w:r w:rsidRPr="00B72323">
              <w:t xml:space="preserve">? If not, </w:t>
            </w:r>
            <w:r w:rsidR="00FB6791">
              <w:t>why not? D</w:t>
            </w:r>
            <w:r w:rsidRPr="00B72323">
              <w:t>o you have any evidence or information to support a different option?</w:t>
            </w:r>
          </w:p>
        </w:tc>
      </w:tr>
    </w:tbl>
    <w:p w14:paraId="31F30E80" w14:textId="507C1451" w:rsidR="001A7C31" w:rsidRDefault="001A7C31" w:rsidP="00CA3497">
      <w:pPr>
        <w:pStyle w:val="Heading2"/>
      </w:pPr>
      <w:bookmarkStart w:id="77" w:name="_Toc161831675"/>
      <w:bookmarkStart w:id="78" w:name="_Toc161762886"/>
      <w:bookmarkStart w:id="79" w:name="_Toc163048590"/>
      <w:bookmarkStart w:id="80" w:name="_Toc166162152"/>
      <w:r>
        <w:t>Step 4: Account for industrial allocation</w:t>
      </w:r>
      <w:bookmarkEnd w:id="77"/>
      <w:bookmarkEnd w:id="78"/>
      <w:r w:rsidR="2CC79B2E">
        <w:t xml:space="preserve"> volumes</w:t>
      </w:r>
      <w:bookmarkEnd w:id="79"/>
      <w:bookmarkEnd w:id="80"/>
    </w:p>
    <w:p w14:paraId="548016FF" w14:textId="71050794" w:rsidR="001A7C31" w:rsidRDefault="001A7C31" w:rsidP="001A7C31">
      <w:pPr>
        <w:pStyle w:val="BodyText"/>
      </w:pPr>
      <w:r>
        <w:t>S</w:t>
      </w:r>
      <w:r w:rsidR="07D3D141">
        <w:t>tep 4 is a mechanical step (</w:t>
      </w:r>
      <w:r w:rsidR="60938249">
        <w:t xml:space="preserve">like </w:t>
      </w:r>
      <w:r>
        <w:t>step 3</w:t>
      </w:r>
      <w:r w:rsidR="3994C7F6">
        <w:t>)</w:t>
      </w:r>
      <w:r w:rsidR="00C6066B">
        <w:t xml:space="preserve">, therefore </w:t>
      </w:r>
      <w:r>
        <w:t>only one option is presented in this consultation document.</w:t>
      </w:r>
    </w:p>
    <w:p w14:paraId="50FF0DF3" w14:textId="23F95554" w:rsidR="001A7C31" w:rsidRDefault="001A7C31" w:rsidP="001A7C31">
      <w:pPr>
        <w:pStyle w:val="BodyText"/>
      </w:pPr>
      <w:r>
        <w:t xml:space="preserve">The Government provides allocations of units to businesses undertaking industrial activities that are prescribed as </w:t>
      </w:r>
      <w:r w:rsidR="5707ED9E">
        <w:t>‘</w:t>
      </w:r>
      <w:r>
        <w:t>emissions-intensive</w:t>
      </w:r>
      <w:r w:rsidR="24F20BD8">
        <w:t>’</w:t>
      </w:r>
      <w:r>
        <w:t xml:space="preserve"> and </w:t>
      </w:r>
      <w:r w:rsidR="562F77C2">
        <w:t>‘</w:t>
      </w:r>
      <w:r>
        <w:t>trade-exposed</w:t>
      </w:r>
      <w:r w:rsidR="465D6080">
        <w:t>’</w:t>
      </w:r>
      <w:r>
        <w:t>. To ensure alignment with emission</w:t>
      </w:r>
      <w:r w:rsidR="5DCB8B39">
        <w:t>s</w:t>
      </w:r>
      <w:r>
        <w:t xml:space="preserve"> budgets, these units reduce the number of units that the Government can sell at</w:t>
      </w:r>
      <w:r w:rsidR="0037353C">
        <w:t> </w:t>
      </w:r>
      <w:r>
        <w:t>auction.</w:t>
      </w:r>
    </w:p>
    <w:p w14:paraId="63C710E5" w14:textId="42894663" w:rsidR="001A7C31" w:rsidRDefault="001A7C31" w:rsidP="001A7C31">
      <w:pPr>
        <w:pStyle w:val="BodyText"/>
      </w:pPr>
      <w:r>
        <w:t xml:space="preserve">The Commission has forecast industrial allocation volumes for the coming five years. </w:t>
      </w:r>
      <w:r w:rsidRPr="00900EB4">
        <w:t xml:space="preserve">This forecast is based on the existing allocative baselines and production levels of </w:t>
      </w:r>
      <w:r>
        <w:t xml:space="preserve">businesses in </w:t>
      </w:r>
      <w:r w:rsidRPr="00900EB4">
        <w:t>eligible activities.</w:t>
      </w:r>
    </w:p>
    <w:p w14:paraId="66E0176D" w14:textId="56A04978" w:rsidR="001A7C31" w:rsidRPr="00953D5A" w:rsidRDefault="001A7C31" w:rsidP="001A7C31">
      <w:pPr>
        <w:pStyle w:val="BodyText"/>
      </w:pPr>
      <w:r w:rsidRPr="00953D5A">
        <w:t xml:space="preserve">The Commission </w:t>
      </w:r>
      <w:r w:rsidR="096F9C53">
        <w:t>has</w:t>
      </w:r>
      <w:r>
        <w:t xml:space="preserve"> </w:t>
      </w:r>
      <w:r w:rsidRPr="00953D5A">
        <w:t xml:space="preserve">forecast </w:t>
      </w:r>
      <w:r w:rsidRPr="00464AE0">
        <w:t>industrial allocation to be 26.4 million units over the period 2025–29, which is approximately 25</w:t>
      </w:r>
      <w:r w:rsidR="159E2346">
        <w:t xml:space="preserve"> per cent</w:t>
      </w:r>
      <w:r w:rsidRPr="00464AE0">
        <w:t xml:space="preserve"> of the total emissions volume allocated to NZ ETS sectors</w:t>
      </w:r>
      <w:r w:rsidRPr="00953D5A">
        <w:t>.</w:t>
      </w:r>
    </w:p>
    <w:p w14:paraId="3DEFA290" w14:textId="360C27F2" w:rsidR="001A7C31" w:rsidRDefault="001A7C31" w:rsidP="001A7C31">
      <w:pPr>
        <w:pStyle w:val="BodyText"/>
      </w:pPr>
      <w:r>
        <w:t>T</w:t>
      </w:r>
      <w:r w:rsidRPr="00464AE0">
        <w:t>he Commission’s recommendation</w:t>
      </w:r>
      <w:r>
        <w:t xml:space="preserve">s are </w:t>
      </w:r>
      <w:r w:rsidRPr="00464AE0">
        <w:t xml:space="preserve">outlined in table </w:t>
      </w:r>
      <w:r w:rsidR="003D650B">
        <w:t>6</w:t>
      </w:r>
      <w:r w:rsidR="005D1789">
        <w:rPr>
          <w:rStyle w:val="FootnoteReference"/>
        </w:rPr>
        <w:footnoteReference w:id="10"/>
      </w:r>
      <w:r w:rsidRPr="00464AE0">
        <w:t>.</w:t>
      </w:r>
    </w:p>
    <w:p w14:paraId="7429D8DF" w14:textId="37FAD94C" w:rsidR="001A7C31" w:rsidRPr="00464AE0" w:rsidRDefault="001A7C31" w:rsidP="00C54AEC">
      <w:pPr>
        <w:pStyle w:val="Tableheading"/>
        <w:rPr>
          <w:b w:val="0"/>
        </w:rPr>
      </w:pPr>
      <w:bookmarkStart w:id="81" w:name="_Toc167714875"/>
      <w:r w:rsidRPr="00C0766F">
        <w:t xml:space="preserve">Table </w:t>
      </w:r>
      <w:r w:rsidR="00FF0BA5">
        <w:t>6</w:t>
      </w:r>
      <w:r w:rsidRPr="00C0766F">
        <w:t>:</w:t>
      </w:r>
      <w:r w:rsidR="00CB6FB5">
        <w:t xml:space="preserve"> </w:t>
      </w:r>
      <w:r w:rsidR="00C31713">
        <w:tab/>
      </w:r>
      <w:r>
        <w:t>Option for step 4</w:t>
      </w:r>
      <w:bookmarkEnd w:id="81"/>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E606FE" w:rsidRPr="00C63C98" w14:paraId="69C3BAD4" w14:textId="77777777" w:rsidTr="00E606FE">
        <w:trPr>
          <w:trHeight w:val="360"/>
          <w:tblHeader/>
        </w:trPr>
        <w:tc>
          <w:tcPr>
            <w:tcW w:w="1834" w:type="pct"/>
            <w:shd w:val="clear" w:color="auto" w:fill="1B556B"/>
          </w:tcPr>
          <w:p w14:paraId="0FD118D2" w14:textId="77777777" w:rsidR="00E606FE" w:rsidRPr="006B77BB" w:rsidRDefault="00E606FE">
            <w:pPr>
              <w:pStyle w:val="TableTextbold"/>
              <w:rPr>
                <w:color w:val="FFFFFF" w:themeColor="background1"/>
              </w:rPr>
            </w:pPr>
          </w:p>
        </w:tc>
        <w:tc>
          <w:tcPr>
            <w:tcW w:w="3166" w:type="pct"/>
            <w:gridSpan w:val="5"/>
            <w:shd w:val="clear" w:color="auto" w:fill="1B556B"/>
          </w:tcPr>
          <w:p w14:paraId="3DF48CA0" w14:textId="36CEBD15" w:rsidR="00E606FE" w:rsidRDefault="00E606FE" w:rsidP="00E606FE">
            <w:pPr>
              <w:pStyle w:val="TableTextbold"/>
              <w:jc w:val="center"/>
              <w:rPr>
                <w:color w:val="FFFFFF" w:themeColor="background1"/>
              </w:rPr>
            </w:pPr>
            <w:r>
              <w:rPr>
                <w:color w:val="FFFFFF" w:themeColor="background1"/>
              </w:rPr>
              <w:t>Year</w:t>
            </w:r>
            <w:r>
              <w:rPr>
                <w:color w:val="FFFFFF" w:themeColor="background1"/>
              </w:rPr>
              <w:br/>
              <w:t>(Million NZUs)</w:t>
            </w:r>
          </w:p>
        </w:tc>
      </w:tr>
      <w:tr w:rsidR="001A7C31" w:rsidRPr="00C63C98" w14:paraId="7BA581D1" w14:textId="77777777">
        <w:trPr>
          <w:trHeight w:val="360"/>
          <w:tblHeader/>
        </w:trPr>
        <w:tc>
          <w:tcPr>
            <w:tcW w:w="1834" w:type="pct"/>
            <w:shd w:val="clear" w:color="auto" w:fill="1B556B"/>
          </w:tcPr>
          <w:p w14:paraId="0471CEFD" w14:textId="77777777" w:rsidR="001A7C31" w:rsidRPr="006B77BB" w:rsidRDefault="001A7C31">
            <w:pPr>
              <w:pStyle w:val="TableTextbold"/>
              <w:rPr>
                <w:color w:val="FFFFFF" w:themeColor="background1"/>
              </w:rPr>
            </w:pPr>
          </w:p>
        </w:tc>
        <w:tc>
          <w:tcPr>
            <w:tcW w:w="633" w:type="pct"/>
            <w:shd w:val="clear" w:color="auto" w:fill="1B556B"/>
          </w:tcPr>
          <w:p w14:paraId="1D1E69A6" w14:textId="77777777" w:rsidR="001A7C31" w:rsidRPr="001D465F" w:rsidRDefault="001A7C31">
            <w:pPr>
              <w:pStyle w:val="TableTextbold"/>
              <w:rPr>
                <w:rFonts w:asciiTheme="minorHAnsi" w:hAnsiTheme="minorHAnsi" w:cstheme="minorHAnsi"/>
                <w:b w:val="0"/>
                <w:color w:val="000000"/>
                <w:sz w:val="20"/>
                <w:szCs w:val="20"/>
              </w:rPr>
            </w:pPr>
            <w:r>
              <w:rPr>
                <w:color w:val="FFFFFF" w:themeColor="background1"/>
              </w:rPr>
              <w:t>2025</w:t>
            </w:r>
          </w:p>
        </w:tc>
        <w:tc>
          <w:tcPr>
            <w:tcW w:w="633" w:type="pct"/>
            <w:shd w:val="clear" w:color="auto" w:fill="1B556B"/>
          </w:tcPr>
          <w:p w14:paraId="32C7BF73" w14:textId="77777777" w:rsidR="001A7C31" w:rsidRPr="006B77BB" w:rsidRDefault="001A7C31">
            <w:pPr>
              <w:pStyle w:val="TableTextbold"/>
              <w:rPr>
                <w:color w:val="FFFFFF" w:themeColor="background1"/>
              </w:rPr>
            </w:pPr>
            <w:r>
              <w:rPr>
                <w:color w:val="FFFFFF" w:themeColor="background1"/>
              </w:rPr>
              <w:t>2026</w:t>
            </w:r>
          </w:p>
        </w:tc>
        <w:tc>
          <w:tcPr>
            <w:tcW w:w="633" w:type="pct"/>
            <w:shd w:val="clear" w:color="auto" w:fill="1B556B"/>
          </w:tcPr>
          <w:p w14:paraId="340876D2" w14:textId="77777777" w:rsidR="001A7C31" w:rsidRPr="006B77BB" w:rsidRDefault="001A7C31">
            <w:pPr>
              <w:pStyle w:val="TableTextbold"/>
              <w:rPr>
                <w:color w:val="FFFFFF" w:themeColor="background1"/>
              </w:rPr>
            </w:pPr>
            <w:r>
              <w:rPr>
                <w:color w:val="FFFFFF" w:themeColor="background1"/>
              </w:rPr>
              <w:t>2027</w:t>
            </w:r>
          </w:p>
        </w:tc>
        <w:tc>
          <w:tcPr>
            <w:tcW w:w="633" w:type="pct"/>
            <w:shd w:val="clear" w:color="auto" w:fill="1B556B"/>
          </w:tcPr>
          <w:p w14:paraId="43C31A2D" w14:textId="77777777" w:rsidR="001A7C31" w:rsidRPr="006B77BB" w:rsidRDefault="001A7C31">
            <w:pPr>
              <w:pStyle w:val="TableTextbold"/>
              <w:rPr>
                <w:color w:val="FFFFFF" w:themeColor="background1"/>
              </w:rPr>
            </w:pPr>
            <w:r>
              <w:rPr>
                <w:color w:val="FFFFFF" w:themeColor="background1"/>
              </w:rPr>
              <w:t>2028</w:t>
            </w:r>
          </w:p>
        </w:tc>
        <w:tc>
          <w:tcPr>
            <w:tcW w:w="634" w:type="pct"/>
            <w:shd w:val="clear" w:color="auto" w:fill="1B556B"/>
          </w:tcPr>
          <w:p w14:paraId="2ECFF98E" w14:textId="77777777" w:rsidR="001A7C31" w:rsidRPr="006B77BB" w:rsidRDefault="001A7C31">
            <w:pPr>
              <w:pStyle w:val="TableTextbold"/>
              <w:rPr>
                <w:color w:val="FFFFFF" w:themeColor="background1"/>
              </w:rPr>
            </w:pPr>
            <w:r>
              <w:rPr>
                <w:color w:val="FFFFFF" w:themeColor="background1"/>
              </w:rPr>
              <w:t>2029</w:t>
            </w:r>
          </w:p>
        </w:tc>
      </w:tr>
      <w:tr w:rsidR="001A7C31" w:rsidRPr="001D465F" w14:paraId="6A00A866" w14:textId="77777777">
        <w:trPr>
          <w:trHeight w:val="360"/>
        </w:trPr>
        <w:tc>
          <w:tcPr>
            <w:tcW w:w="1834" w:type="pct"/>
            <w:shd w:val="clear" w:color="auto" w:fill="auto"/>
          </w:tcPr>
          <w:p w14:paraId="177228D6" w14:textId="3438A878" w:rsidR="001A7C31" w:rsidRPr="00B72323" w:rsidRDefault="001A7C31">
            <w:pPr>
              <w:pStyle w:val="TableText"/>
            </w:pPr>
            <w:r w:rsidRPr="28E72730">
              <w:rPr>
                <w:rFonts w:asciiTheme="minorHAnsi" w:hAnsiTheme="minorHAnsi"/>
                <w:b/>
                <w:color w:val="000000" w:themeColor="text1"/>
                <w:sz w:val="20"/>
                <w:szCs w:val="20"/>
              </w:rPr>
              <w:t>Industrial allocation</w:t>
            </w:r>
          </w:p>
        </w:tc>
        <w:tc>
          <w:tcPr>
            <w:tcW w:w="633" w:type="pct"/>
          </w:tcPr>
          <w:p w14:paraId="1195619A" w14:textId="57D6E6EC" w:rsidR="001A7C31" w:rsidRPr="00B72323" w:rsidRDefault="001A7C31">
            <w:pPr>
              <w:pStyle w:val="TableText"/>
            </w:pPr>
            <w:r w:rsidRPr="001D465F">
              <w:rPr>
                <w:rFonts w:asciiTheme="minorHAnsi" w:hAnsiTheme="minorHAnsi" w:cstheme="minorHAnsi"/>
                <w:sz w:val="20"/>
                <w:szCs w:val="20"/>
              </w:rPr>
              <w:t>-5.9</w:t>
            </w:r>
          </w:p>
        </w:tc>
        <w:tc>
          <w:tcPr>
            <w:tcW w:w="633" w:type="pct"/>
          </w:tcPr>
          <w:p w14:paraId="2ACE0BD7" w14:textId="69AE5E2B" w:rsidR="001A7C31" w:rsidRPr="00B72323" w:rsidRDefault="001A7C31">
            <w:pPr>
              <w:pStyle w:val="TableText"/>
            </w:pPr>
            <w:r w:rsidRPr="001D465F">
              <w:rPr>
                <w:rFonts w:asciiTheme="minorHAnsi" w:hAnsiTheme="minorHAnsi" w:cstheme="minorHAnsi"/>
                <w:sz w:val="20"/>
                <w:szCs w:val="20"/>
              </w:rPr>
              <w:t>-5.8</w:t>
            </w:r>
          </w:p>
        </w:tc>
        <w:tc>
          <w:tcPr>
            <w:tcW w:w="633" w:type="pct"/>
          </w:tcPr>
          <w:p w14:paraId="3DA9081A" w14:textId="0DF474DC" w:rsidR="001A7C31" w:rsidRPr="00B72323" w:rsidRDefault="001A7C31">
            <w:pPr>
              <w:pStyle w:val="TableText"/>
            </w:pPr>
            <w:r w:rsidRPr="001D465F">
              <w:rPr>
                <w:rFonts w:asciiTheme="minorHAnsi" w:hAnsiTheme="minorHAnsi" w:cstheme="minorHAnsi"/>
                <w:sz w:val="20"/>
                <w:szCs w:val="20"/>
              </w:rPr>
              <w:t>-5.0</w:t>
            </w:r>
          </w:p>
        </w:tc>
        <w:tc>
          <w:tcPr>
            <w:tcW w:w="633" w:type="pct"/>
          </w:tcPr>
          <w:p w14:paraId="18A8B4D9" w14:textId="082D528E" w:rsidR="001A7C31" w:rsidRPr="00B72323" w:rsidRDefault="001A7C31">
            <w:pPr>
              <w:pStyle w:val="TableText"/>
            </w:pPr>
            <w:r w:rsidRPr="001D465F">
              <w:rPr>
                <w:rFonts w:asciiTheme="minorHAnsi" w:hAnsiTheme="minorHAnsi" w:cstheme="minorHAnsi"/>
                <w:sz w:val="20"/>
                <w:szCs w:val="20"/>
              </w:rPr>
              <w:t>-4.9</w:t>
            </w:r>
          </w:p>
        </w:tc>
        <w:tc>
          <w:tcPr>
            <w:tcW w:w="634" w:type="pct"/>
            <w:shd w:val="clear" w:color="auto" w:fill="auto"/>
          </w:tcPr>
          <w:p w14:paraId="1B2EB5C9" w14:textId="542EE45D" w:rsidR="001A7C31" w:rsidRPr="00B72323" w:rsidRDefault="001A7C31">
            <w:pPr>
              <w:pStyle w:val="TableText"/>
            </w:pPr>
            <w:r w:rsidRPr="001D465F">
              <w:rPr>
                <w:rFonts w:asciiTheme="minorHAnsi" w:hAnsiTheme="minorHAnsi" w:cstheme="minorHAnsi"/>
                <w:sz w:val="20"/>
                <w:szCs w:val="20"/>
              </w:rPr>
              <w:t>-4.8</w:t>
            </w:r>
          </w:p>
        </w:tc>
      </w:tr>
    </w:tbl>
    <w:p w14:paraId="05933F68" w14:textId="200F83D9" w:rsidR="001A7C31" w:rsidRDefault="001A7C31" w:rsidP="00D8368F">
      <w:pPr>
        <w:pStyle w:val="BodyText"/>
        <w:spacing w:before="240"/>
      </w:pPr>
      <w:r>
        <w:t xml:space="preserve">The Government is implementing relevant provisions of the </w:t>
      </w:r>
      <w:r w:rsidRPr="00036B49">
        <w:t xml:space="preserve">Climate Change Response (Late Payment Penalties and Industrial Allocation) Amendment Act 2023 </w:t>
      </w:r>
      <w:r w:rsidR="5C791445">
        <w:t>by</w:t>
      </w:r>
      <w:r>
        <w:t xml:space="preserve"> collecting data to update allocative baselines. All data </w:t>
      </w:r>
      <w:r w:rsidR="028B6C81">
        <w:t>are</w:t>
      </w:r>
      <w:r>
        <w:t xml:space="preserve"> now being reviewed</w:t>
      </w:r>
      <w:r w:rsidR="00FF7614">
        <w:t>.</w:t>
      </w:r>
    </w:p>
    <w:p w14:paraId="03BB618F" w14:textId="77777777" w:rsidR="004D5594" w:rsidRDefault="004D5594">
      <w:pPr>
        <w:spacing w:before="0" w:after="0" w:line="240" w:lineRule="auto"/>
        <w:jc w:val="left"/>
        <w:rPr>
          <w:rFonts w:eastAsiaTheme="minorEastAsia" w:cstheme="minorBidi"/>
        </w:rPr>
      </w:pPr>
      <w:r>
        <w:br w:type="page"/>
      </w:r>
    </w:p>
    <w:p w14:paraId="7CF43399" w14:textId="7862DCBE" w:rsidR="001A7C31" w:rsidRDefault="001A7C31" w:rsidP="001A7C31">
      <w:pPr>
        <w:pStyle w:val="BodyText"/>
      </w:pPr>
      <w:r>
        <w:lastRenderedPageBreak/>
        <w:t xml:space="preserve">The updated allocative baselines are not expected to be set in regulations until the second half of </w:t>
      </w:r>
      <w:r w:rsidR="6B6A0B6E">
        <w:t>2024,</w:t>
      </w:r>
      <w:r>
        <w:t xml:space="preserve"> because they will include the recalculation of the general electricity allocation factor in July</w:t>
      </w:r>
      <w:r w:rsidR="0C642094">
        <w:t xml:space="preserve"> 2024</w:t>
      </w:r>
      <w:r>
        <w:t xml:space="preserve">. This means the </w:t>
      </w:r>
      <w:r w:rsidR="00475C3A">
        <w:t>changes to forecast</w:t>
      </w:r>
      <w:r>
        <w:t xml:space="preserve"> industrial allocation will be considered in the 2025 settings analysis.</w:t>
      </w:r>
    </w:p>
    <w:p w14:paraId="2508CE71" w14:textId="77777777" w:rsidR="001A7C31" w:rsidRDefault="001A7C31" w:rsidP="00565A9E">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565A9E" w:rsidRPr="00D71C4F" w14:paraId="2243D575" w14:textId="77777777">
        <w:tc>
          <w:tcPr>
            <w:tcW w:w="8505" w:type="dxa"/>
            <w:shd w:val="clear" w:color="auto" w:fill="1B556B" w:themeFill="text2"/>
          </w:tcPr>
          <w:p w14:paraId="5DE4815E" w14:textId="77777777" w:rsidR="00565A9E" w:rsidRPr="00D71C4F" w:rsidRDefault="00565A9E">
            <w:pPr>
              <w:pStyle w:val="TableText"/>
              <w:keepNext/>
              <w:rPr>
                <w:b/>
                <w:bCs/>
                <w:color w:val="FFFFFF" w:themeColor="background1"/>
                <w:sz w:val="20"/>
              </w:rPr>
            </w:pPr>
            <w:r w:rsidRPr="00D71C4F">
              <w:rPr>
                <w:b/>
                <w:bCs/>
                <w:color w:val="FFFFFF" w:themeColor="background1"/>
                <w:sz w:val="20"/>
              </w:rPr>
              <w:t>Questions</w:t>
            </w:r>
          </w:p>
        </w:tc>
      </w:tr>
      <w:tr w:rsidR="00565A9E" w:rsidRPr="00943CFD" w14:paraId="5A3F0629" w14:textId="77777777">
        <w:tc>
          <w:tcPr>
            <w:tcW w:w="8505" w:type="dxa"/>
          </w:tcPr>
          <w:p w14:paraId="1F60A8F8" w14:textId="755716FA" w:rsidR="00565A9E" w:rsidRPr="00943CFD" w:rsidRDefault="00565A9E">
            <w:pPr>
              <w:pStyle w:val="Questions"/>
              <w:ind w:left="397" w:right="0" w:hanging="397"/>
            </w:pPr>
            <w:r w:rsidRPr="00B72323">
              <w:t xml:space="preserve">Do you agree with </w:t>
            </w:r>
            <w:r w:rsidR="000E63F5" w:rsidRPr="00B72323">
              <w:t>th</w:t>
            </w:r>
            <w:r w:rsidR="000E63F5">
              <w:t>e</w:t>
            </w:r>
            <w:r w:rsidR="000E63F5" w:rsidRPr="00B72323">
              <w:t xml:space="preserve"> </w:t>
            </w:r>
            <w:r w:rsidRPr="00B72323">
              <w:t>calculation</w:t>
            </w:r>
            <w:r w:rsidR="000E63F5">
              <w:t xml:space="preserve"> for step 4</w:t>
            </w:r>
            <w:r w:rsidRPr="00B72323">
              <w:t xml:space="preserve">? If not, </w:t>
            </w:r>
            <w:r w:rsidR="00475C3A">
              <w:t>why not? D</w:t>
            </w:r>
            <w:r w:rsidRPr="00B72323">
              <w:t>o you have any evidence or information to support a different option?</w:t>
            </w:r>
          </w:p>
        </w:tc>
      </w:tr>
    </w:tbl>
    <w:p w14:paraId="444D70BE" w14:textId="0BD7A7DB" w:rsidR="001A7C31" w:rsidRDefault="001A7C31" w:rsidP="00CA3497">
      <w:pPr>
        <w:pStyle w:val="Heading2"/>
      </w:pPr>
      <w:bookmarkStart w:id="82" w:name="_Toc161831676"/>
      <w:bookmarkStart w:id="83" w:name="_Toc161762887"/>
      <w:bookmarkStart w:id="84" w:name="_Toc163048591"/>
      <w:bookmarkStart w:id="85" w:name="_Toc166162153"/>
      <w:r>
        <w:t xml:space="preserve">Step 5: </w:t>
      </w:r>
      <w:r w:rsidRPr="00433654">
        <w:t xml:space="preserve">Set the reduction volume to address the </w:t>
      </w:r>
      <w:bookmarkEnd w:id="82"/>
      <w:bookmarkEnd w:id="83"/>
      <w:r>
        <w:t>unit</w:t>
      </w:r>
      <w:r w:rsidR="1B1DF977">
        <w:t xml:space="preserve"> </w:t>
      </w:r>
      <w:proofErr w:type="gramStart"/>
      <w:r w:rsidR="1B1DF977">
        <w:t>surplus</w:t>
      </w:r>
      <w:bookmarkEnd w:id="84"/>
      <w:bookmarkEnd w:id="85"/>
      <w:proofErr w:type="gramEnd"/>
    </w:p>
    <w:p w14:paraId="69EB02EF" w14:textId="5C151C9E" w:rsidR="001A7C31" w:rsidRDefault="001A7C31" w:rsidP="001A7C31">
      <w:pPr>
        <w:pStyle w:val="BodyText"/>
      </w:pPr>
      <w:r>
        <w:t xml:space="preserve">This step </w:t>
      </w:r>
      <w:r w:rsidR="00EB74A9">
        <w:t xml:space="preserve">calculates </w:t>
      </w:r>
      <w:r>
        <w:t xml:space="preserve">the </w:t>
      </w:r>
      <w:r w:rsidR="00EB74A9">
        <w:t xml:space="preserve">reduction of </w:t>
      </w:r>
      <w:r>
        <w:t xml:space="preserve">surplus </w:t>
      </w:r>
      <w:r w:rsidR="00902620">
        <w:t>units</w:t>
      </w:r>
      <w:r>
        <w:t xml:space="preserve">. </w:t>
      </w:r>
      <w:r w:rsidR="07912E70">
        <w:t>A</w:t>
      </w:r>
      <w:r>
        <w:t xml:space="preserve"> large quantity of units</w:t>
      </w:r>
      <w:r w:rsidR="00D2304C">
        <w:t xml:space="preserve"> </w:t>
      </w:r>
      <w:r w:rsidR="762C0D77">
        <w:t>is</w:t>
      </w:r>
      <w:r w:rsidR="00D2304C">
        <w:t xml:space="preserve"> banked</w:t>
      </w:r>
      <w:r w:rsidDel="00D2304C">
        <w:t xml:space="preserve"> </w:t>
      </w:r>
      <w:r>
        <w:t>in private accounts</w:t>
      </w:r>
      <w:r w:rsidR="00902620">
        <w:t xml:space="preserve">. These </w:t>
      </w:r>
      <w:r>
        <w:t xml:space="preserve">provide liquidity to the market </w:t>
      </w:r>
      <w:r w:rsidR="00902620">
        <w:t xml:space="preserve">and </w:t>
      </w:r>
      <w:r>
        <w:t>help</w:t>
      </w:r>
      <w:r w:rsidR="242C8C5E">
        <w:t xml:space="preserve"> to</w:t>
      </w:r>
      <w:r>
        <w:t xml:space="preserve"> reduce price volatility</w:t>
      </w:r>
      <w:r w:rsidR="66D027C2">
        <w:t>. However,</w:t>
      </w:r>
      <w:r>
        <w:t xml:space="preserve"> the current </w:t>
      </w:r>
      <w:r w:rsidR="00801ADF">
        <w:t>nu</w:t>
      </w:r>
      <w:r w:rsidR="009C73A5">
        <w:t xml:space="preserve">mber of units </w:t>
      </w:r>
      <w:r w:rsidR="009B70DD">
        <w:t xml:space="preserve">banked </w:t>
      </w:r>
      <w:r>
        <w:t>presents risks to achieving emissions budgets.</w:t>
      </w:r>
    </w:p>
    <w:p w14:paraId="2358E4E7" w14:textId="4CF21DE6" w:rsidR="00A42A20" w:rsidRDefault="00A42A20" w:rsidP="00A42A20">
      <w:pPr>
        <w:pStyle w:val="BodyText"/>
      </w:pPr>
      <w:r>
        <w:t>Some of the</w:t>
      </w:r>
      <w:r w:rsidR="00B32B6B">
        <w:t xml:space="preserve"> banked</w:t>
      </w:r>
      <w:r>
        <w:t xml:space="preserve"> NZUs</w:t>
      </w:r>
      <w:r w:rsidDel="00B32B6B">
        <w:t xml:space="preserve"> </w:t>
      </w:r>
      <w:r>
        <w:t xml:space="preserve">are held to meet future surrender liabilities or for other reasons, while others are estimated to be held for investment purposes and will more readily </w:t>
      </w:r>
      <w:r w:rsidR="00474041">
        <w:t>be sold</w:t>
      </w:r>
      <w:r>
        <w:t xml:space="preserve"> when market price</w:t>
      </w:r>
      <w:r w:rsidR="00CA5BDA">
        <w:t xml:space="preserve"> expectations change</w:t>
      </w:r>
      <w:r w:rsidR="005369D4">
        <w:t xml:space="preserve"> </w:t>
      </w:r>
      <w:r w:rsidR="00B67A21">
        <w:t>–</w:t>
      </w:r>
      <w:r w:rsidR="005369D4">
        <w:t xml:space="preserve"> </w:t>
      </w:r>
      <w:r w:rsidR="00B67A21">
        <w:t>th</w:t>
      </w:r>
      <w:r w:rsidR="006623C1">
        <w:t>ese</w:t>
      </w:r>
      <w:r w:rsidR="00B67A21">
        <w:t xml:space="preserve"> are </w:t>
      </w:r>
      <w:r w:rsidR="001100F5">
        <w:t>considered ‘</w:t>
      </w:r>
      <w:proofErr w:type="gramStart"/>
      <w:r w:rsidR="001100F5">
        <w:t>surplus’</w:t>
      </w:r>
      <w:proofErr w:type="gramEnd"/>
      <w:r w:rsidR="001100F5">
        <w:t xml:space="preserve"> to the needs of emitters</w:t>
      </w:r>
      <w:r w:rsidR="00CA5BDA">
        <w:t xml:space="preserve">. </w:t>
      </w:r>
      <w:r w:rsidR="00B60C34">
        <w:t>The</w:t>
      </w:r>
      <w:r w:rsidR="001A7C31">
        <w:t xml:space="preserve"> </w:t>
      </w:r>
      <w:r w:rsidR="00CA5BDA">
        <w:t>use of th</w:t>
      </w:r>
      <w:r w:rsidR="001100F5">
        <w:t>ese</w:t>
      </w:r>
      <w:r w:rsidR="00CA5BDA">
        <w:t xml:space="preserve"> </w:t>
      </w:r>
      <w:r w:rsidR="001100F5">
        <w:t>surplus</w:t>
      </w:r>
      <w:r w:rsidR="008A34C9">
        <w:t xml:space="preserve"> NZUs by emitters to meet increased NZ ETS obligations </w:t>
      </w:r>
      <w:r>
        <w:t>potentially cause</w:t>
      </w:r>
      <w:r w:rsidR="008A34C9">
        <w:t>s</w:t>
      </w:r>
      <w:r>
        <w:t xml:space="preserve"> challenges in meeting emissions budgets. To reduce </w:t>
      </w:r>
      <w:r w:rsidR="008A34C9">
        <w:t xml:space="preserve">this </w:t>
      </w:r>
      <w:r>
        <w:t xml:space="preserve">risk, the </w:t>
      </w:r>
      <w:r w:rsidR="00BB0982">
        <w:t xml:space="preserve">surplus </w:t>
      </w:r>
      <w:r>
        <w:t>needs to be managed.</w:t>
      </w:r>
    </w:p>
    <w:p w14:paraId="2452495C" w14:textId="020119C0" w:rsidR="00A42A20" w:rsidRDefault="00A42A20" w:rsidP="00A42A20">
      <w:pPr>
        <w:pStyle w:val="BodyText"/>
      </w:pPr>
      <w:r>
        <w:t xml:space="preserve">Units move into </w:t>
      </w:r>
      <w:r w:rsidR="00F32B89">
        <w:t xml:space="preserve">accounts </w:t>
      </w:r>
      <w:r>
        <w:t>as they are:</w:t>
      </w:r>
    </w:p>
    <w:p w14:paraId="03D5274A" w14:textId="25B6F7E5" w:rsidR="00A42A20" w:rsidRDefault="00A42A20" w:rsidP="0043555C">
      <w:pPr>
        <w:pStyle w:val="Bullet"/>
      </w:pPr>
      <w:r>
        <w:t xml:space="preserve">sold by </w:t>
      </w:r>
      <w:proofErr w:type="gramStart"/>
      <w:r>
        <w:t>auction</w:t>
      </w:r>
      <w:proofErr w:type="gramEnd"/>
    </w:p>
    <w:p w14:paraId="235105B2" w14:textId="200CE05B" w:rsidR="00A42A20" w:rsidRDefault="00A42A20" w:rsidP="0043555C">
      <w:pPr>
        <w:pStyle w:val="Bullet"/>
      </w:pPr>
      <w:r>
        <w:t xml:space="preserve">transferred for industrial </w:t>
      </w:r>
      <w:proofErr w:type="gramStart"/>
      <w:r>
        <w:t>allocation</w:t>
      </w:r>
      <w:proofErr w:type="gramEnd"/>
    </w:p>
    <w:p w14:paraId="76543FE6" w14:textId="20C878FC" w:rsidR="00A42A20" w:rsidRDefault="00A42A20" w:rsidP="0043555C">
      <w:pPr>
        <w:pStyle w:val="Bullet"/>
      </w:pPr>
      <w:r>
        <w:t>transferred for removal activities such as forestry.</w:t>
      </w:r>
    </w:p>
    <w:p w14:paraId="204232AD" w14:textId="06629B89" w:rsidR="00A42A20" w:rsidRDefault="00A42A20" w:rsidP="00910769">
      <w:pPr>
        <w:pStyle w:val="BodyText"/>
      </w:pPr>
      <w:r>
        <w:t xml:space="preserve">Units move out of </w:t>
      </w:r>
      <w:r w:rsidR="00F32B89">
        <w:t xml:space="preserve">accounts </w:t>
      </w:r>
      <w:r>
        <w:t>as they are</w:t>
      </w:r>
      <w:r w:rsidR="00E92D43">
        <w:t xml:space="preserve"> </w:t>
      </w:r>
      <w:r>
        <w:t>surrendered to the Crown by NZ ETS participants to meet their ETS obligations.</w:t>
      </w:r>
    </w:p>
    <w:p w14:paraId="62A05F48" w14:textId="2799FDA1" w:rsidR="001A7C31" w:rsidRDefault="00A42A20" w:rsidP="001A7C31">
      <w:pPr>
        <w:pStyle w:val="BodyText"/>
      </w:pPr>
      <w:r>
        <w:t>The methodology used to calculate auction volumes includes a s</w:t>
      </w:r>
      <w:r w:rsidR="004637E1">
        <w:t>urplus</w:t>
      </w:r>
      <w:r>
        <w:t xml:space="preserve"> reduction step, which means setting an auction limit </w:t>
      </w:r>
      <w:r w:rsidR="00F14766">
        <w:t>t</w:t>
      </w:r>
      <w:r w:rsidR="0011643B">
        <w:t>o re</w:t>
      </w:r>
      <w:r w:rsidR="00FC0DDE">
        <w:t xml:space="preserve">duce the risk </w:t>
      </w:r>
      <w:r w:rsidR="003440A9">
        <w:t>of emissions being allowed to exceed emissions budgets</w:t>
      </w:r>
      <w:r>
        <w:t>. This requires NZ ETS participants to use some NZUs from the s</w:t>
      </w:r>
      <w:r w:rsidR="00E13117">
        <w:t>urplus</w:t>
      </w:r>
      <w:r>
        <w:t xml:space="preserve"> to meet their NZ ETS surrender obligations.</w:t>
      </w:r>
      <w:r w:rsidR="00FE39B3">
        <w:t xml:space="preserve"> </w:t>
      </w:r>
      <w:r w:rsidR="00F17CF7">
        <w:t>In 2022, the Commission estimated that th</w:t>
      </w:r>
      <w:r w:rsidR="001A7C31">
        <w:t>e central point of the surplus was 49 million units. Adjustments were made to units available for auction to reduce the surplus to zero by 2030.</w:t>
      </w:r>
    </w:p>
    <w:p w14:paraId="3D744245" w14:textId="3B2F106C" w:rsidR="001A7C31" w:rsidRPr="00C2233B" w:rsidRDefault="001A7C31" w:rsidP="001A7C31">
      <w:pPr>
        <w:pStyle w:val="Heading3"/>
      </w:pPr>
      <w:r>
        <w:t xml:space="preserve">The Commission’s estimate of the surplus </w:t>
      </w:r>
      <w:r w:rsidR="3A084C0D">
        <w:t>has increased</w:t>
      </w:r>
      <w:r w:rsidR="005F5304">
        <w:t> </w:t>
      </w:r>
      <w:proofErr w:type="gramStart"/>
      <w:r w:rsidR="3A084C0D">
        <w:t>significantly</w:t>
      </w:r>
      <w:proofErr w:type="gramEnd"/>
    </w:p>
    <w:p w14:paraId="301F273C" w14:textId="2EBF14A8" w:rsidR="001A7C31" w:rsidRDefault="001A7C31" w:rsidP="001A7C31">
      <w:pPr>
        <w:pStyle w:val="BodyText"/>
      </w:pPr>
      <w:r>
        <w:t xml:space="preserve">The Commission has updated </w:t>
      </w:r>
      <w:r w:rsidR="1C06DB14">
        <w:t>its</w:t>
      </w:r>
      <w:r>
        <w:t xml:space="preserve"> central surplus estimate to 68 million units, within a range of 51</w:t>
      </w:r>
      <w:r w:rsidR="71067147">
        <w:t xml:space="preserve"> </w:t>
      </w:r>
      <w:r w:rsidR="006477DD">
        <w:t>–</w:t>
      </w:r>
      <w:r w:rsidR="6C2200A1">
        <w:t xml:space="preserve"> </w:t>
      </w:r>
      <w:r>
        <w:t>85 million units</w:t>
      </w:r>
      <w:r w:rsidR="00D72A5E">
        <w:t xml:space="preserve"> (as </w:t>
      </w:r>
      <w:proofErr w:type="gramStart"/>
      <w:r w:rsidR="00D72A5E">
        <w:t>at</w:t>
      </w:r>
      <w:proofErr w:type="gramEnd"/>
      <w:r w:rsidR="00D72A5E">
        <w:t xml:space="preserve"> 30 September 2023)</w:t>
      </w:r>
      <w:r>
        <w:t>. This is an increase of approximately 19 million units on the 2022 surplus estimates.</w:t>
      </w:r>
    </w:p>
    <w:p w14:paraId="1C4E7C72" w14:textId="77777777" w:rsidR="00521315" w:rsidRDefault="00521315">
      <w:pPr>
        <w:spacing w:before="0" w:after="0" w:line="240" w:lineRule="auto"/>
        <w:jc w:val="left"/>
        <w:rPr>
          <w:rFonts w:eastAsiaTheme="minorEastAsia" w:cstheme="minorBidi"/>
        </w:rPr>
      </w:pPr>
      <w:r>
        <w:br w:type="page"/>
      </w:r>
    </w:p>
    <w:p w14:paraId="3630FE4A" w14:textId="35CD33F1" w:rsidR="001A7C31" w:rsidRDefault="001A7C31" w:rsidP="001A7C31">
      <w:pPr>
        <w:pStyle w:val="BodyText"/>
      </w:pPr>
      <w:r>
        <w:lastRenderedPageBreak/>
        <w:t xml:space="preserve">In the Commission’s view, the surplus has increased </w:t>
      </w:r>
      <w:r w:rsidR="0F4AF7D9">
        <w:t>due to</w:t>
      </w:r>
      <w:r>
        <w:t>:</w:t>
      </w:r>
    </w:p>
    <w:p w14:paraId="10984064" w14:textId="61AE3080" w:rsidR="001A7C31" w:rsidRDefault="70AC5935" w:rsidP="00087D99">
      <w:pPr>
        <w:pStyle w:val="Bullet"/>
      </w:pPr>
      <w:r>
        <w:t>p</w:t>
      </w:r>
      <w:r w:rsidR="001A7C31">
        <w:t>re-1990 forest allocation units being on-sold by their original recipients at a faster rate than previously estimated (approximately 7 million additional surplus units)</w:t>
      </w:r>
    </w:p>
    <w:p w14:paraId="3BEAF832" w14:textId="123C0484" w:rsidR="001A7C31" w:rsidRDefault="0064023D" w:rsidP="00087D99">
      <w:pPr>
        <w:pStyle w:val="Bullet"/>
      </w:pPr>
      <w:r>
        <w:t>t</w:t>
      </w:r>
      <w:r w:rsidR="001A7C31">
        <w:t>he increase of approximately 11 million ‘low risk’ units held by post-1989 forestry participants.</w:t>
      </w:r>
    </w:p>
    <w:p w14:paraId="40407506" w14:textId="77777777" w:rsidR="001A7C31" w:rsidRDefault="001A7C31" w:rsidP="001A7C31">
      <w:pPr>
        <w:pStyle w:val="Heading3"/>
      </w:pPr>
      <w:r>
        <w:t>The Commission’s methodology and surplus estimate</w:t>
      </w:r>
    </w:p>
    <w:p w14:paraId="03D63F60" w14:textId="6479E025" w:rsidR="001A7C31" w:rsidRDefault="001A7C31" w:rsidP="001A7C31">
      <w:pPr>
        <w:pStyle w:val="BodyText"/>
      </w:pPr>
      <w:r>
        <w:t xml:space="preserve">We have reviewed the Commission’s methodology for estimating the surplus and its underlying data. The methodology is the same as when first estimated in 2022. This is outlined in </w:t>
      </w:r>
      <w:hyperlink w:anchor="_Appendix_2:_Methodology" w:history="1">
        <w:r w:rsidR="00E36079" w:rsidRPr="00E36079">
          <w:rPr>
            <w:rStyle w:val="Hyperlink"/>
          </w:rPr>
          <w:t>a</w:t>
        </w:r>
        <w:r w:rsidRPr="00E36079">
          <w:rPr>
            <w:rStyle w:val="Hyperlink"/>
          </w:rPr>
          <w:t>ppendix 2</w:t>
        </w:r>
      </w:hyperlink>
      <w:r>
        <w:t xml:space="preserve"> and can also be found in the Commission’s 2022 advice on settings</w:t>
      </w:r>
      <w:r>
        <w:rPr>
          <w:rStyle w:val="FootnoteReference"/>
        </w:rPr>
        <w:footnoteReference w:id="11"/>
      </w:r>
      <w:r>
        <w:t>.</w:t>
      </w:r>
    </w:p>
    <w:p w14:paraId="4D49F155" w14:textId="7E13E0AD" w:rsidR="001A7C31" w:rsidRDefault="001A7C31" w:rsidP="001A7C31">
      <w:pPr>
        <w:pStyle w:val="BodyText"/>
      </w:pPr>
      <w:r>
        <w:t>We are interested in your views on the Commission’s interpretation of increase</w:t>
      </w:r>
      <w:r w:rsidR="00AB168B">
        <w:t>s</w:t>
      </w:r>
      <w:r>
        <w:t xml:space="preserve"> </w:t>
      </w:r>
      <w:r w:rsidR="00AB168B">
        <w:t>in the</w:t>
      </w:r>
      <w:r>
        <w:t xml:space="preserve"> transfer of pre-1990 units between accounts as additions to the surplus. </w:t>
      </w:r>
      <w:r w:rsidR="00AB168B">
        <w:t>T</w:t>
      </w:r>
      <w:r>
        <w:t>his is the same methodology as used in previous reports to the Minister</w:t>
      </w:r>
      <w:r w:rsidR="00AB168B">
        <w:t xml:space="preserve">. However, it is </w:t>
      </w:r>
      <w:r w:rsidR="00454F76">
        <w:t xml:space="preserve">not certain that transfers result </w:t>
      </w:r>
      <w:r>
        <w:t>the units becom</w:t>
      </w:r>
      <w:r w:rsidR="00454F76">
        <w:t>ing</w:t>
      </w:r>
      <w:r>
        <w:t xml:space="preserve"> available to the wider market.</w:t>
      </w:r>
    </w:p>
    <w:p w14:paraId="52141269" w14:textId="29C38CE9" w:rsidR="00F52868" w:rsidRPr="00527A7F" w:rsidRDefault="00F52868" w:rsidP="00527A7F">
      <w:pPr>
        <w:pStyle w:val="Heading3"/>
      </w:pPr>
      <w:r w:rsidRPr="00527A7F">
        <w:t>T</w:t>
      </w:r>
      <w:r w:rsidR="00527A7F">
        <w:t>iming differences and the surplus</w:t>
      </w:r>
    </w:p>
    <w:p w14:paraId="7E242D95" w14:textId="6FA906B9" w:rsidR="00161530" w:rsidRDefault="00527A7F" w:rsidP="001A7C31">
      <w:pPr>
        <w:pStyle w:val="BodyText"/>
      </w:pPr>
      <w:r>
        <w:t>S</w:t>
      </w:r>
      <w:r w:rsidR="001A7C31">
        <w:t xml:space="preserve">ome forestry removal units </w:t>
      </w:r>
      <w:r w:rsidR="00F648C3">
        <w:t xml:space="preserve">create risks to achieving emission budgets. There are two </w:t>
      </w:r>
      <w:proofErr w:type="gramStart"/>
      <w:r w:rsidR="00F648C3">
        <w:t>reasons</w:t>
      </w:r>
      <w:proofErr w:type="gramEnd"/>
      <w:r w:rsidR="00F648C3">
        <w:t xml:space="preserve"> </w:t>
      </w:r>
    </w:p>
    <w:p w14:paraId="33635034" w14:textId="753754AB" w:rsidR="00161530" w:rsidRDefault="00AF5265" w:rsidP="003918C5">
      <w:pPr>
        <w:pStyle w:val="Bullet"/>
      </w:pPr>
      <w:r>
        <w:t>F</w:t>
      </w:r>
      <w:r w:rsidRPr="00C56167">
        <w:t xml:space="preserve">orestry </w:t>
      </w:r>
      <w:r w:rsidR="001A7C31">
        <w:t xml:space="preserve">units can be used by an emitter </w:t>
      </w:r>
      <w:r w:rsidR="001A7C31" w:rsidRPr="00C56167">
        <w:t xml:space="preserve">in </w:t>
      </w:r>
      <w:r w:rsidR="001A7C31">
        <w:t>a different</w:t>
      </w:r>
      <w:r w:rsidR="001A7C31" w:rsidRPr="00C56167">
        <w:t xml:space="preserve"> emissions budget period </w:t>
      </w:r>
      <w:r w:rsidR="00294AE0">
        <w:t xml:space="preserve">from </w:t>
      </w:r>
      <w:r w:rsidR="001A7C31">
        <w:t xml:space="preserve">that </w:t>
      </w:r>
      <w:r w:rsidR="001A7C31" w:rsidRPr="00C56167">
        <w:t xml:space="preserve">in which the removal they represent took place. </w:t>
      </w:r>
      <w:r w:rsidR="001A7C31">
        <w:t xml:space="preserve">Such use </w:t>
      </w:r>
      <w:r w:rsidR="001A7C31" w:rsidRPr="00C56167">
        <w:t xml:space="preserve">would allow for higher net emissions in </w:t>
      </w:r>
      <w:r w:rsidR="001A7C31">
        <w:t xml:space="preserve">the </w:t>
      </w:r>
      <w:r w:rsidR="001A7C31" w:rsidRPr="00C56167">
        <w:t>budget period</w:t>
      </w:r>
      <w:r w:rsidR="001A7C31">
        <w:t xml:space="preserve">, </w:t>
      </w:r>
      <w:r w:rsidR="001A7C31" w:rsidRPr="00C56167">
        <w:t>pos</w:t>
      </w:r>
      <w:r w:rsidR="001A7C31">
        <w:t>ing</w:t>
      </w:r>
      <w:r w:rsidR="001A7C31" w:rsidRPr="00C56167">
        <w:t xml:space="preserve"> a risk to </w:t>
      </w:r>
      <w:r w:rsidR="001A7C31">
        <w:t xml:space="preserve">budget </w:t>
      </w:r>
      <w:r w:rsidR="001A7C31" w:rsidRPr="00C56167">
        <w:t>achievement.</w:t>
      </w:r>
      <w:r w:rsidR="001A7C31">
        <w:t xml:space="preserve"> </w:t>
      </w:r>
    </w:p>
    <w:p w14:paraId="4FBFDC0F" w14:textId="7A97FA1E" w:rsidR="00BC7F86" w:rsidRDefault="001A7C31" w:rsidP="003918C5">
      <w:pPr>
        <w:pStyle w:val="Bullet"/>
      </w:pPr>
      <w:r>
        <w:t xml:space="preserve">Additionally, some units </w:t>
      </w:r>
      <w:r w:rsidR="001931AC">
        <w:t xml:space="preserve">in the stockpile </w:t>
      </w:r>
      <w:r>
        <w:t xml:space="preserve">represent removals </w:t>
      </w:r>
      <w:r w:rsidR="00F54E52">
        <w:t>before</w:t>
      </w:r>
      <w:r>
        <w:t xml:space="preserve"> the first emissions budget period.</w:t>
      </w:r>
      <w:r w:rsidR="00BC7F86">
        <w:t xml:space="preserve"> </w:t>
      </w:r>
    </w:p>
    <w:p w14:paraId="56B8843C" w14:textId="59F1101B" w:rsidR="001A7C31" w:rsidRDefault="001A7C31" w:rsidP="001A7C31">
      <w:pPr>
        <w:pStyle w:val="Heading3"/>
      </w:pPr>
      <w:r>
        <w:t xml:space="preserve">We have considered three options, including the Commission’s </w:t>
      </w:r>
      <w:proofErr w:type="gramStart"/>
      <w:r>
        <w:t>recommendation</w:t>
      </w:r>
      <w:proofErr w:type="gramEnd"/>
    </w:p>
    <w:p w14:paraId="7FB5E4A9" w14:textId="3DD26EBF" w:rsidR="001A7C31" w:rsidRDefault="001A7C31" w:rsidP="001A7C31">
      <w:pPr>
        <w:pStyle w:val="BodyText"/>
      </w:pPr>
      <w:r>
        <w:t>The options considered include the recommended option from the Commission.</w:t>
      </w:r>
    </w:p>
    <w:p w14:paraId="001212B2" w14:textId="117E48C9" w:rsidR="001A7C31" w:rsidRDefault="001A7C31" w:rsidP="001A7C31">
      <w:pPr>
        <w:pStyle w:val="BodyText"/>
      </w:pPr>
      <w:r>
        <w:t xml:space="preserve">We have not included an option to </w:t>
      </w:r>
      <w:r w:rsidRPr="00EB6DE9">
        <w:t xml:space="preserve">extend </w:t>
      </w:r>
      <w:r w:rsidR="00AC3B1D">
        <w:t>the timeframe</w:t>
      </w:r>
      <w:r w:rsidR="004023B6">
        <w:t xml:space="preserve"> to reduce the </w:t>
      </w:r>
      <w:r w:rsidR="00AB6704">
        <w:t xml:space="preserve">surplus </w:t>
      </w:r>
      <w:r w:rsidR="00AC3B1D">
        <w:t>to zero</w:t>
      </w:r>
      <w:r w:rsidRPr="00EB6DE9" w:rsidDel="00AC3B1D">
        <w:t xml:space="preserve"> </w:t>
      </w:r>
      <w:r w:rsidRPr="00EB6DE9">
        <w:t xml:space="preserve">beyond 2030. This is because </w:t>
      </w:r>
      <w:r>
        <w:t xml:space="preserve">it would decrease the alignment of NZ ETS settings with the </w:t>
      </w:r>
      <w:r w:rsidRPr="00EB6DE9">
        <w:t xml:space="preserve">second </w:t>
      </w:r>
      <w:r w:rsidR="008977D9">
        <w:t xml:space="preserve">and third </w:t>
      </w:r>
      <w:r w:rsidRPr="00EB6DE9">
        <w:t>emissions budget</w:t>
      </w:r>
      <w:r w:rsidR="008977D9">
        <w:t>s</w:t>
      </w:r>
      <w:r w:rsidRPr="00EB6DE9">
        <w:t xml:space="preserve"> and the NDC</w:t>
      </w:r>
      <w:r>
        <w:t>.</w:t>
      </w:r>
    </w:p>
    <w:p w14:paraId="5063EE56" w14:textId="77777777" w:rsidR="001A7C31" w:rsidRPr="00C06C68" w:rsidRDefault="001A7C31" w:rsidP="004C40EF">
      <w:pPr>
        <w:pStyle w:val="Heading4"/>
      </w:pPr>
      <w:r w:rsidRPr="00EA06B6">
        <w:t xml:space="preserve">Option 1: No change to surplus reductions </w:t>
      </w:r>
      <w:r w:rsidRPr="00C06C68">
        <w:t>despite the updated surplus estimate</w:t>
      </w:r>
    </w:p>
    <w:p w14:paraId="24BB3183" w14:textId="28377075" w:rsidR="001A7C31" w:rsidRDefault="001A7C31" w:rsidP="001A7C31">
      <w:pPr>
        <w:pStyle w:val="BodyText"/>
      </w:pPr>
      <w:r>
        <w:t>This option means continuing with the surplus estimate of 49 million units, and not updating surplus reductions for 2025</w:t>
      </w:r>
      <w:r w:rsidR="000E1D3B">
        <w:t>–</w:t>
      </w:r>
      <w:r>
        <w:t>2</w:t>
      </w:r>
      <w:r w:rsidR="008977D9">
        <w:t>8</w:t>
      </w:r>
      <w:r>
        <w:t>. This option does not include the change to the surplus estimate.</w:t>
      </w:r>
      <w:r w:rsidR="008977D9">
        <w:t xml:space="preserve"> The projected value </w:t>
      </w:r>
      <w:r w:rsidR="00E32FDC">
        <w:t>estimated in 2023 would be used for 2029.</w:t>
      </w:r>
    </w:p>
    <w:p w14:paraId="3C672EA7" w14:textId="4D7AC0CC" w:rsidR="001A7C31" w:rsidRPr="00C06C68" w:rsidRDefault="001A7C31" w:rsidP="004C40EF">
      <w:pPr>
        <w:pStyle w:val="Heading4"/>
      </w:pPr>
      <w:r w:rsidRPr="004C40EF">
        <w:lastRenderedPageBreak/>
        <w:t>Option 2: Update surplus reductions for 2027</w:t>
      </w:r>
      <w:r w:rsidR="002C6274">
        <w:t>–</w:t>
      </w:r>
      <w:r w:rsidRPr="004C40EF">
        <w:t>2</w:t>
      </w:r>
      <w:r w:rsidR="00E32FDC">
        <w:t>8</w:t>
      </w:r>
      <w:r w:rsidRPr="004C40EF">
        <w:t xml:space="preserve"> </w:t>
      </w:r>
      <w:r w:rsidRPr="00C06C68">
        <w:t xml:space="preserve">for the new surplus </w:t>
      </w:r>
      <w:proofErr w:type="gramStart"/>
      <w:r w:rsidRPr="00C06C68">
        <w:t>estimate</w:t>
      </w:r>
      <w:proofErr w:type="gramEnd"/>
    </w:p>
    <w:p w14:paraId="04D956DB" w14:textId="297ADC88" w:rsidR="001A7C31" w:rsidRDefault="001A7C31" w:rsidP="001A7C31">
      <w:pPr>
        <w:pStyle w:val="BodyText"/>
      </w:pPr>
      <w:r>
        <w:t>This option means updates to 2027</w:t>
      </w:r>
      <w:r w:rsidR="002C6274">
        <w:t>–</w:t>
      </w:r>
      <w:r>
        <w:t>2</w:t>
      </w:r>
      <w:r w:rsidR="00E32FDC">
        <w:t>8</w:t>
      </w:r>
      <w:r>
        <w:t xml:space="preserve"> for the new surplus estimate</w:t>
      </w:r>
      <w:r w:rsidR="00761735">
        <w:t xml:space="preserve"> and a projection to 2029</w:t>
      </w:r>
      <w:r>
        <w:t>.</w:t>
      </w:r>
    </w:p>
    <w:p w14:paraId="20E5D000" w14:textId="68533FD2" w:rsidR="001A7C31" w:rsidRPr="00C06C68" w:rsidRDefault="001A7C31" w:rsidP="004C40EF">
      <w:pPr>
        <w:pStyle w:val="Heading4"/>
      </w:pPr>
      <w:r w:rsidRPr="004C40EF">
        <w:t>Option 3: Update surplus reductions for 2025</w:t>
      </w:r>
      <w:r w:rsidR="00D96142">
        <w:t>–</w:t>
      </w:r>
      <w:r w:rsidRPr="004C40EF">
        <w:t>2</w:t>
      </w:r>
      <w:r w:rsidR="00D4427D">
        <w:t>8</w:t>
      </w:r>
      <w:r w:rsidRPr="004C40EF">
        <w:t xml:space="preserve"> to reflect </w:t>
      </w:r>
      <w:r w:rsidRPr="00C06C68">
        <w:t>the new surplus estimate (the Commission’s recommendation)</w:t>
      </w:r>
    </w:p>
    <w:p w14:paraId="2B694B92" w14:textId="60C8FDF9" w:rsidR="001A7C31" w:rsidRDefault="001A7C31" w:rsidP="001A7C31">
      <w:pPr>
        <w:pStyle w:val="BodyText"/>
      </w:pPr>
      <w:r>
        <w:t>This option means applying new surplus reductions to all years between 2025</w:t>
      </w:r>
      <w:r w:rsidR="00961E3E">
        <w:t>–</w:t>
      </w:r>
      <w:r>
        <w:t xml:space="preserve">29. </w:t>
      </w:r>
    </w:p>
    <w:p w14:paraId="0184E307" w14:textId="7E41D266" w:rsidR="001A7C31" w:rsidRDefault="00B81047" w:rsidP="001A7C31">
      <w:pPr>
        <w:pStyle w:val="BodyText"/>
      </w:pPr>
      <w:r>
        <w:t>T</w:t>
      </w:r>
      <w:r w:rsidR="001A7C31">
        <w:t>he surplus reductions would be distributed evenly between 2025</w:t>
      </w:r>
      <w:r w:rsidR="00961E3E">
        <w:t>–</w:t>
      </w:r>
      <w:r w:rsidR="001A7C31">
        <w:t>29</w:t>
      </w:r>
      <w:r>
        <w:t xml:space="preserve"> unlike option 2</w:t>
      </w:r>
      <w:r w:rsidR="001A7C31">
        <w:t xml:space="preserve">. Table </w:t>
      </w:r>
      <w:r w:rsidR="00755188">
        <w:t>7</w:t>
      </w:r>
      <w:r w:rsidR="001A7C31">
        <w:t xml:space="preserve"> shows surplus reduction </w:t>
      </w:r>
      <w:r w:rsidR="001E3793">
        <w:t>adjustments</w:t>
      </w:r>
      <w:r w:rsidR="001A7C31">
        <w:t xml:space="preserve"> for option 3.</w:t>
      </w:r>
    </w:p>
    <w:p w14:paraId="61AC917A" w14:textId="649EDF63" w:rsidR="005E1F13" w:rsidRPr="00C0766F" w:rsidRDefault="005E1F13" w:rsidP="005E1F13">
      <w:pPr>
        <w:pStyle w:val="Tableheading"/>
      </w:pPr>
      <w:bookmarkStart w:id="86" w:name="_Toc167714876"/>
      <w:r w:rsidRPr="00C0766F">
        <w:t xml:space="preserve">Table </w:t>
      </w:r>
      <w:r>
        <w:t>7</w:t>
      </w:r>
      <w:r w:rsidRPr="00C0766F">
        <w:t>:</w:t>
      </w:r>
      <w:r w:rsidR="00CB6FB5">
        <w:t xml:space="preserve"> </w:t>
      </w:r>
      <w:r w:rsidR="00C31713">
        <w:tab/>
      </w:r>
      <w:r>
        <w:t>Option 3 surplus reduction adjustment</w:t>
      </w:r>
      <w:bookmarkEnd w:id="86"/>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5E1F13" w:rsidRPr="00C63C98" w14:paraId="0377E5A2" w14:textId="77777777" w:rsidTr="005E1F13">
        <w:trPr>
          <w:trHeight w:val="360"/>
          <w:tblHeader/>
        </w:trPr>
        <w:tc>
          <w:tcPr>
            <w:tcW w:w="1834" w:type="pct"/>
            <w:shd w:val="clear" w:color="auto" w:fill="1B556B"/>
          </w:tcPr>
          <w:p w14:paraId="3455D814" w14:textId="77777777" w:rsidR="005E1F13" w:rsidRPr="006B77BB" w:rsidRDefault="005E1F13">
            <w:pPr>
              <w:pStyle w:val="TableTextbold"/>
              <w:rPr>
                <w:color w:val="FFFFFF" w:themeColor="background1"/>
              </w:rPr>
            </w:pPr>
          </w:p>
        </w:tc>
        <w:tc>
          <w:tcPr>
            <w:tcW w:w="3166" w:type="pct"/>
            <w:gridSpan w:val="5"/>
            <w:shd w:val="clear" w:color="auto" w:fill="1B556B"/>
          </w:tcPr>
          <w:p w14:paraId="3355F3D4" w14:textId="5E0E5B4F" w:rsidR="005E1F13" w:rsidRPr="006B77BB" w:rsidRDefault="005E1F13" w:rsidP="005E1F13">
            <w:pPr>
              <w:pStyle w:val="TableTextbold"/>
              <w:jc w:val="center"/>
              <w:rPr>
                <w:color w:val="FFFFFF" w:themeColor="background1"/>
              </w:rPr>
            </w:pPr>
            <w:r>
              <w:rPr>
                <w:color w:val="FFFFFF" w:themeColor="background1"/>
              </w:rPr>
              <w:t xml:space="preserve">Year </w:t>
            </w:r>
            <w:r w:rsidR="006428FB">
              <w:rPr>
                <w:color w:val="FFFFFF" w:themeColor="background1"/>
              </w:rPr>
              <w:br/>
            </w:r>
            <w:r>
              <w:rPr>
                <w:color w:val="FFFFFF" w:themeColor="background1"/>
              </w:rPr>
              <w:t>(Million NZUs)</w:t>
            </w:r>
          </w:p>
        </w:tc>
      </w:tr>
      <w:tr w:rsidR="005E1F13" w:rsidRPr="00C63C98" w14:paraId="6C9E8012" w14:textId="77777777">
        <w:trPr>
          <w:trHeight w:val="360"/>
          <w:tblHeader/>
        </w:trPr>
        <w:tc>
          <w:tcPr>
            <w:tcW w:w="1834" w:type="pct"/>
            <w:shd w:val="clear" w:color="auto" w:fill="1B556B"/>
          </w:tcPr>
          <w:p w14:paraId="418AE8B5" w14:textId="77777777" w:rsidR="005E1F13" w:rsidRPr="006B77BB" w:rsidRDefault="005E1F13" w:rsidP="005E1F13">
            <w:pPr>
              <w:pStyle w:val="TableTextbold"/>
              <w:rPr>
                <w:color w:val="FFFFFF" w:themeColor="background1"/>
              </w:rPr>
            </w:pPr>
          </w:p>
        </w:tc>
        <w:tc>
          <w:tcPr>
            <w:tcW w:w="633" w:type="pct"/>
            <w:shd w:val="clear" w:color="auto" w:fill="1B556B"/>
          </w:tcPr>
          <w:p w14:paraId="090E4485" w14:textId="217CF365" w:rsidR="005E1F13" w:rsidRDefault="005E1F13" w:rsidP="005E1F13">
            <w:pPr>
              <w:pStyle w:val="TableTextbold"/>
              <w:rPr>
                <w:color w:val="FFFFFF" w:themeColor="background1"/>
              </w:rPr>
            </w:pPr>
            <w:r>
              <w:rPr>
                <w:color w:val="FFFFFF" w:themeColor="background1"/>
              </w:rPr>
              <w:t>2025</w:t>
            </w:r>
          </w:p>
        </w:tc>
        <w:tc>
          <w:tcPr>
            <w:tcW w:w="633" w:type="pct"/>
            <w:shd w:val="clear" w:color="auto" w:fill="1B556B"/>
          </w:tcPr>
          <w:p w14:paraId="036750DA" w14:textId="5192300C" w:rsidR="005E1F13" w:rsidRDefault="005E1F13" w:rsidP="005E1F13">
            <w:pPr>
              <w:pStyle w:val="TableTextbold"/>
              <w:rPr>
                <w:color w:val="FFFFFF" w:themeColor="background1"/>
              </w:rPr>
            </w:pPr>
            <w:r>
              <w:rPr>
                <w:color w:val="FFFFFF" w:themeColor="background1"/>
              </w:rPr>
              <w:t>2026</w:t>
            </w:r>
          </w:p>
        </w:tc>
        <w:tc>
          <w:tcPr>
            <w:tcW w:w="633" w:type="pct"/>
            <w:shd w:val="clear" w:color="auto" w:fill="1B556B"/>
          </w:tcPr>
          <w:p w14:paraId="2D9566F4" w14:textId="704A2BB3" w:rsidR="005E1F13" w:rsidRDefault="005E1F13" w:rsidP="005E1F13">
            <w:pPr>
              <w:pStyle w:val="TableTextbold"/>
              <w:rPr>
                <w:color w:val="FFFFFF" w:themeColor="background1"/>
              </w:rPr>
            </w:pPr>
            <w:r>
              <w:rPr>
                <w:color w:val="FFFFFF" w:themeColor="background1"/>
              </w:rPr>
              <w:t>2027</w:t>
            </w:r>
          </w:p>
        </w:tc>
        <w:tc>
          <w:tcPr>
            <w:tcW w:w="633" w:type="pct"/>
            <w:shd w:val="clear" w:color="auto" w:fill="1B556B"/>
          </w:tcPr>
          <w:p w14:paraId="579B7B7A" w14:textId="687B6F15" w:rsidR="005E1F13" w:rsidRDefault="005E1F13" w:rsidP="005E1F13">
            <w:pPr>
              <w:pStyle w:val="TableTextbold"/>
              <w:rPr>
                <w:color w:val="FFFFFF" w:themeColor="background1"/>
              </w:rPr>
            </w:pPr>
            <w:r>
              <w:rPr>
                <w:color w:val="FFFFFF" w:themeColor="background1"/>
              </w:rPr>
              <w:t>2028</w:t>
            </w:r>
          </w:p>
        </w:tc>
        <w:tc>
          <w:tcPr>
            <w:tcW w:w="634" w:type="pct"/>
            <w:shd w:val="clear" w:color="auto" w:fill="1B556B"/>
          </w:tcPr>
          <w:p w14:paraId="02DCD330" w14:textId="6261589C" w:rsidR="005E1F13" w:rsidRDefault="005E1F13" w:rsidP="005E1F13">
            <w:pPr>
              <w:pStyle w:val="TableTextbold"/>
              <w:rPr>
                <w:color w:val="FFFFFF" w:themeColor="background1"/>
              </w:rPr>
            </w:pPr>
            <w:r>
              <w:rPr>
                <w:color w:val="FFFFFF" w:themeColor="background1"/>
              </w:rPr>
              <w:t>2029</w:t>
            </w:r>
          </w:p>
        </w:tc>
      </w:tr>
      <w:tr w:rsidR="005E1F13" w:rsidRPr="00B72323" w14:paraId="4205969A" w14:textId="77777777">
        <w:trPr>
          <w:trHeight w:val="360"/>
        </w:trPr>
        <w:tc>
          <w:tcPr>
            <w:tcW w:w="1834" w:type="pct"/>
            <w:shd w:val="clear" w:color="auto" w:fill="auto"/>
          </w:tcPr>
          <w:p w14:paraId="29B1349F" w14:textId="56C3DD5B" w:rsidR="005E1F13" w:rsidRPr="00B72323" w:rsidRDefault="005E1F13">
            <w:pPr>
              <w:pStyle w:val="TableText"/>
              <w:rPr>
                <w:bCs/>
              </w:rPr>
            </w:pPr>
            <w:r w:rsidRPr="00BB2C9F">
              <w:rPr>
                <w:rFonts w:asciiTheme="minorHAnsi" w:hAnsiTheme="minorHAnsi" w:cstheme="minorHAnsi"/>
                <w:b/>
                <w:sz w:val="20"/>
              </w:rPr>
              <w:t>Option 3 surplus reduction</w:t>
            </w:r>
            <w:r w:rsidR="003D55BD">
              <w:rPr>
                <w:rFonts w:asciiTheme="minorHAnsi" w:hAnsiTheme="minorHAnsi" w:cstheme="minorHAnsi"/>
                <w:b/>
                <w:sz w:val="20"/>
              </w:rPr>
              <w:t xml:space="preserve"> </w:t>
            </w:r>
            <w:r w:rsidR="003D55BD">
              <w:rPr>
                <w:rFonts w:asciiTheme="minorHAnsi" w:hAnsiTheme="minorHAnsi" w:cstheme="minorHAnsi"/>
                <w:b/>
                <w:bCs/>
              </w:rPr>
              <w:t>(million NZUs)</w:t>
            </w:r>
          </w:p>
        </w:tc>
        <w:tc>
          <w:tcPr>
            <w:tcW w:w="633" w:type="pct"/>
          </w:tcPr>
          <w:p w14:paraId="0E3C7728" w14:textId="5E798BEF" w:rsidR="005E1F13" w:rsidRPr="00B72323" w:rsidRDefault="005E1F13">
            <w:pPr>
              <w:pStyle w:val="TableText"/>
              <w:rPr>
                <w:bCs/>
              </w:rPr>
            </w:pPr>
            <w:r>
              <w:rPr>
                <w:rFonts w:asciiTheme="minorHAnsi" w:hAnsiTheme="minorHAnsi" w:cstheme="minorHAnsi"/>
                <w:szCs w:val="20"/>
              </w:rPr>
              <w:t>-12.7</w:t>
            </w:r>
          </w:p>
        </w:tc>
        <w:tc>
          <w:tcPr>
            <w:tcW w:w="633" w:type="pct"/>
          </w:tcPr>
          <w:p w14:paraId="40B3E045" w14:textId="2915FE5D" w:rsidR="005E1F13" w:rsidRPr="00B72323" w:rsidRDefault="005E1F13">
            <w:pPr>
              <w:pStyle w:val="TableText"/>
              <w:rPr>
                <w:bCs/>
              </w:rPr>
            </w:pPr>
            <w:r>
              <w:rPr>
                <w:rFonts w:asciiTheme="minorHAnsi" w:hAnsiTheme="minorHAnsi" w:cstheme="minorHAnsi"/>
                <w:szCs w:val="20"/>
              </w:rPr>
              <w:t>-11.7</w:t>
            </w:r>
          </w:p>
        </w:tc>
        <w:tc>
          <w:tcPr>
            <w:tcW w:w="633" w:type="pct"/>
          </w:tcPr>
          <w:p w14:paraId="4FAF8D62" w14:textId="04D048E1" w:rsidR="005E1F13" w:rsidRPr="00B72323" w:rsidRDefault="005E1F13">
            <w:pPr>
              <w:pStyle w:val="TableText"/>
              <w:rPr>
                <w:bCs/>
              </w:rPr>
            </w:pPr>
            <w:r>
              <w:rPr>
                <w:rFonts w:asciiTheme="minorHAnsi" w:hAnsiTheme="minorHAnsi" w:cstheme="minorHAnsi"/>
                <w:szCs w:val="20"/>
              </w:rPr>
              <w:t>-10.7</w:t>
            </w:r>
          </w:p>
        </w:tc>
        <w:tc>
          <w:tcPr>
            <w:tcW w:w="633" w:type="pct"/>
          </w:tcPr>
          <w:p w14:paraId="1CCFCC09" w14:textId="45B975F5" w:rsidR="005E1F13" w:rsidRPr="00B72323" w:rsidRDefault="005E1F13">
            <w:pPr>
              <w:pStyle w:val="TableText"/>
              <w:rPr>
                <w:bCs/>
              </w:rPr>
            </w:pPr>
            <w:r>
              <w:rPr>
                <w:rFonts w:asciiTheme="minorHAnsi" w:hAnsiTheme="minorHAnsi" w:cstheme="minorHAnsi"/>
                <w:szCs w:val="20"/>
              </w:rPr>
              <w:t>-9.5</w:t>
            </w:r>
          </w:p>
        </w:tc>
        <w:tc>
          <w:tcPr>
            <w:tcW w:w="634" w:type="pct"/>
            <w:shd w:val="clear" w:color="auto" w:fill="auto"/>
          </w:tcPr>
          <w:p w14:paraId="6AD32A2B" w14:textId="16971207" w:rsidR="005E1F13" w:rsidRPr="00B72323" w:rsidRDefault="005E1F13">
            <w:pPr>
              <w:pStyle w:val="TableText"/>
              <w:rPr>
                <w:bCs/>
              </w:rPr>
            </w:pPr>
            <w:r>
              <w:rPr>
                <w:rFonts w:asciiTheme="minorHAnsi" w:hAnsiTheme="minorHAnsi" w:cstheme="minorHAnsi"/>
                <w:szCs w:val="20"/>
              </w:rPr>
              <w:t>-8.6</w:t>
            </w:r>
          </w:p>
        </w:tc>
      </w:tr>
    </w:tbl>
    <w:p w14:paraId="6979D904" w14:textId="43F9BE85" w:rsidR="001A7C31" w:rsidRDefault="00AA449F" w:rsidP="001A7C31">
      <w:pPr>
        <w:pStyle w:val="BodyText"/>
      </w:pPr>
      <w:r>
        <w:t>T</w:t>
      </w:r>
      <w:r w:rsidR="001A7C31">
        <w:t xml:space="preserve">he numbers above </w:t>
      </w:r>
      <w:r>
        <w:t xml:space="preserve">do not include </w:t>
      </w:r>
      <w:r w:rsidR="001A7C31">
        <w:t>changes to the</w:t>
      </w:r>
      <w:r w:rsidR="00ED1436">
        <w:t xml:space="preserve"> number of units banked in pri</w:t>
      </w:r>
      <w:r w:rsidR="003254CD">
        <w:t>vate accounts</w:t>
      </w:r>
      <w:r w:rsidR="001A7C31" w:rsidDel="003254CD">
        <w:t xml:space="preserve"> </w:t>
      </w:r>
      <w:r w:rsidR="001A7C31">
        <w:t xml:space="preserve">since September 2023. We are aware that the </w:t>
      </w:r>
      <w:r w:rsidR="003A10A1">
        <w:t xml:space="preserve">number of banked units </w:t>
      </w:r>
      <w:r w:rsidR="001A7C31">
        <w:t>was marginally smaller at the end of December 202</w:t>
      </w:r>
      <w:r w:rsidR="0002084C">
        <w:t>3</w:t>
      </w:r>
      <w:r w:rsidR="001A7C31">
        <w:t xml:space="preserve">. </w:t>
      </w:r>
      <w:proofErr w:type="gramStart"/>
      <w:r w:rsidR="00777D83">
        <w:t>For the purpose of</w:t>
      </w:r>
      <w:proofErr w:type="gramEnd"/>
      <w:r w:rsidR="00777D83">
        <w:t xml:space="preserve"> consultation, c</w:t>
      </w:r>
      <w:r w:rsidR="001A7C31">
        <w:t xml:space="preserve">hoosing a point in time to determine unit supply settings from improves certainty to market participants and allows comparability and consistency, as noted by the Commission. </w:t>
      </w:r>
    </w:p>
    <w:p w14:paraId="20D532E5" w14:textId="77777777" w:rsidR="001A7C31" w:rsidRPr="00C9577F" w:rsidRDefault="001A7C31" w:rsidP="006F095F">
      <w:pPr>
        <w:pStyle w:val="Heading5"/>
        <w:spacing w:before="120"/>
      </w:pPr>
      <w:bookmarkStart w:id="87" w:name="_Justification_for_consulting"/>
      <w:bookmarkEnd w:id="87"/>
      <w:r w:rsidRPr="00C9577F">
        <w:t>Justification for consulting on option 3</w:t>
      </w:r>
    </w:p>
    <w:p w14:paraId="2E0E4141" w14:textId="59561485" w:rsidR="001A7C31" w:rsidRDefault="001A7C31" w:rsidP="001A7C31">
      <w:pPr>
        <w:pStyle w:val="BodyText"/>
      </w:pPr>
      <w:r>
        <w:t xml:space="preserve">The Act </w:t>
      </w:r>
      <w:r w:rsidR="00704048">
        <w:t>mandates</w:t>
      </w:r>
      <w:r>
        <w:t xml:space="preserve"> that the first two years of settings (</w:t>
      </w:r>
      <w:proofErr w:type="spellStart"/>
      <w:r w:rsidR="00407A71">
        <w:t>ie</w:t>
      </w:r>
      <w:proofErr w:type="spellEnd"/>
      <w:r w:rsidR="00407A71">
        <w:t>,</w:t>
      </w:r>
      <w:r>
        <w:t xml:space="preserve"> 2025</w:t>
      </w:r>
      <w:r w:rsidR="00407A71">
        <w:t>–</w:t>
      </w:r>
      <w:r>
        <w:t>26 for this year) can only be updated in specifical circumstances.</w:t>
      </w:r>
      <w:r w:rsidR="00315C8E">
        <w:rPr>
          <w:rStyle w:val="FootnoteReference"/>
        </w:rPr>
        <w:footnoteReference w:id="12"/>
      </w:r>
      <w:r>
        <w:t xml:space="preserve"> We </w:t>
      </w:r>
      <w:r w:rsidR="00C621EC">
        <w:t xml:space="preserve">seek your feedback </w:t>
      </w:r>
      <w:r>
        <w:t>on whether the thresholds have been met for this option to be considered. The new surplus estimate means status quo settings are potentially misaligned with emissions budgets and targets.</w:t>
      </w:r>
    </w:p>
    <w:p w14:paraId="73EA1EB8" w14:textId="77777777" w:rsidR="001A7C31" w:rsidRDefault="001A7C31" w:rsidP="006F095F">
      <w:pPr>
        <w:pStyle w:val="Heading3"/>
        <w:spacing w:before="240"/>
        <w:rPr>
          <w:b w:val="0"/>
          <w:bCs w:val="0"/>
        </w:rPr>
      </w:pPr>
      <w:r w:rsidRPr="00C9577F">
        <w:t>Comparison of options</w:t>
      </w:r>
    </w:p>
    <w:p w14:paraId="77A97D50" w14:textId="15985474" w:rsidR="001A7C31" w:rsidRDefault="001A7C31" w:rsidP="001A7C31">
      <w:pPr>
        <w:pStyle w:val="BodyText"/>
      </w:pPr>
      <w:r w:rsidRPr="00C9577F">
        <w:t xml:space="preserve">Table </w:t>
      </w:r>
      <w:r w:rsidR="00FF0BA5">
        <w:t>8</w:t>
      </w:r>
      <w:r w:rsidRPr="00C9577F">
        <w:t xml:space="preserve"> compares the three options</w:t>
      </w:r>
      <w:r w:rsidR="006E139D">
        <w:t xml:space="preserve"> for step 5</w:t>
      </w:r>
      <w:r w:rsidR="001E4A9D">
        <w:t>.</w:t>
      </w:r>
    </w:p>
    <w:p w14:paraId="15450009" w14:textId="77777777" w:rsidR="001A1DC1" w:rsidRDefault="001A1DC1">
      <w:pPr>
        <w:spacing w:before="0" w:after="0" w:line="240" w:lineRule="auto"/>
        <w:jc w:val="left"/>
        <w:rPr>
          <w:rFonts w:eastAsia="Calibri"/>
          <w:b/>
          <w:sz w:val="20"/>
        </w:rPr>
      </w:pPr>
      <w:r>
        <w:br w:type="page"/>
      </w:r>
    </w:p>
    <w:p w14:paraId="4E8E831A" w14:textId="306E5F26" w:rsidR="00295B62" w:rsidRPr="00C0766F" w:rsidRDefault="00295B62" w:rsidP="00295B62">
      <w:pPr>
        <w:pStyle w:val="Tableheading"/>
      </w:pPr>
      <w:bookmarkStart w:id="88" w:name="_Toc167714877"/>
      <w:r w:rsidRPr="00C0766F">
        <w:lastRenderedPageBreak/>
        <w:t xml:space="preserve">Table </w:t>
      </w:r>
      <w:r>
        <w:t>8</w:t>
      </w:r>
      <w:r w:rsidRPr="00C0766F">
        <w:t>:</w:t>
      </w:r>
      <w:r w:rsidR="00CB6FB5">
        <w:t xml:space="preserve"> </w:t>
      </w:r>
      <w:r w:rsidR="00C31713">
        <w:tab/>
      </w:r>
      <w:r w:rsidRPr="00295B62">
        <w:t>Options comparison</w:t>
      </w:r>
      <w:r w:rsidR="00F45638">
        <w:t xml:space="preserve"> for step 5</w:t>
      </w:r>
      <w:bookmarkEnd w:id="88"/>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987"/>
        <w:gridCol w:w="2172"/>
        <w:gridCol w:w="2172"/>
        <w:gridCol w:w="2174"/>
      </w:tblGrid>
      <w:tr w:rsidR="006C7556" w:rsidRPr="000B0C5F" w14:paraId="6170EE87" w14:textId="77777777" w:rsidTr="00F803DD">
        <w:trPr>
          <w:tblHeader/>
        </w:trPr>
        <w:tc>
          <w:tcPr>
            <w:tcW w:w="1168" w:type="pct"/>
            <w:shd w:val="clear" w:color="auto" w:fill="1B556B"/>
          </w:tcPr>
          <w:p w14:paraId="12F40B33" w14:textId="77777777" w:rsidR="006C7556" w:rsidRPr="006B77BB" w:rsidRDefault="006C7556">
            <w:pPr>
              <w:pStyle w:val="TableTextbold"/>
              <w:rPr>
                <w:color w:val="FFFFFF" w:themeColor="background1"/>
              </w:rPr>
            </w:pPr>
          </w:p>
        </w:tc>
        <w:tc>
          <w:tcPr>
            <w:tcW w:w="1277" w:type="pct"/>
            <w:shd w:val="clear" w:color="auto" w:fill="1B556B"/>
          </w:tcPr>
          <w:p w14:paraId="375E59ED" w14:textId="77777777" w:rsidR="006C7556" w:rsidRPr="006B77BB" w:rsidRDefault="006C7556">
            <w:pPr>
              <w:pStyle w:val="TableTextbold"/>
              <w:rPr>
                <w:color w:val="FFFFFF" w:themeColor="background1"/>
              </w:rPr>
            </w:pPr>
            <w:r w:rsidRPr="000B0C5F">
              <w:rPr>
                <w:color w:val="FFFFFF" w:themeColor="background1"/>
              </w:rPr>
              <w:t>Option One – Status quo</w:t>
            </w:r>
          </w:p>
        </w:tc>
        <w:tc>
          <w:tcPr>
            <w:tcW w:w="1277" w:type="pct"/>
            <w:shd w:val="clear" w:color="auto" w:fill="1B556B"/>
          </w:tcPr>
          <w:p w14:paraId="39ACADFE" w14:textId="73D5F9C1" w:rsidR="006C7556" w:rsidRPr="006B77BB" w:rsidRDefault="006C7556">
            <w:pPr>
              <w:pStyle w:val="TableTextbold"/>
              <w:rPr>
                <w:color w:val="FFFFFF" w:themeColor="background1"/>
              </w:rPr>
            </w:pPr>
            <w:r w:rsidRPr="000B0C5F">
              <w:rPr>
                <w:color w:val="FFFFFF" w:themeColor="background1"/>
              </w:rPr>
              <w:t xml:space="preserve">Option Two – </w:t>
            </w:r>
            <w:r w:rsidR="003720AD" w:rsidRPr="003720AD">
              <w:rPr>
                <w:color w:val="FFFFFF" w:themeColor="background1"/>
              </w:rPr>
              <w:t xml:space="preserve">Update surplus reduction </w:t>
            </w:r>
            <w:r w:rsidR="00F56687">
              <w:rPr>
                <w:color w:val="FFFFFF" w:themeColor="background1"/>
              </w:rPr>
              <w:br/>
            </w:r>
            <w:r w:rsidR="003720AD" w:rsidRPr="003720AD">
              <w:rPr>
                <w:color w:val="FFFFFF" w:themeColor="background1"/>
              </w:rPr>
              <w:t>2027</w:t>
            </w:r>
            <w:r w:rsidR="00264F5E">
              <w:rPr>
                <w:color w:val="FFFFFF" w:themeColor="background1"/>
              </w:rPr>
              <w:t>–</w:t>
            </w:r>
            <w:r w:rsidR="003720AD" w:rsidRPr="003720AD">
              <w:rPr>
                <w:color w:val="FFFFFF" w:themeColor="background1"/>
              </w:rPr>
              <w:t>29</w:t>
            </w:r>
          </w:p>
        </w:tc>
        <w:tc>
          <w:tcPr>
            <w:tcW w:w="1278" w:type="pct"/>
            <w:shd w:val="clear" w:color="auto" w:fill="1B556B"/>
          </w:tcPr>
          <w:p w14:paraId="309BBB65" w14:textId="4941562C" w:rsidR="006C7556" w:rsidRPr="006B77BB" w:rsidRDefault="006C7556">
            <w:pPr>
              <w:pStyle w:val="TableTextbold"/>
              <w:rPr>
                <w:color w:val="FFFFFF" w:themeColor="background1"/>
              </w:rPr>
            </w:pPr>
            <w:r w:rsidRPr="000B0C5F">
              <w:rPr>
                <w:color w:val="FFFFFF" w:themeColor="background1"/>
              </w:rPr>
              <w:t xml:space="preserve">Option Three – </w:t>
            </w:r>
            <w:r w:rsidR="003720AD" w:rsidRPr="003720AD">
              <w:rPr>
                <w:color w:val="FFFFFF" w:themeColor="background1"/>
              </w:rPr>
              <w:t xml:space="preserve">Update surplus reduction </w:t>
            </w:r>
            <w:r w:rsidR="00F56687">
              <w:rPr>
                <w:color w:val="FFFFFF" w:themeColor="background1"/>
              </w:rPr>
              <w:br/>
            </w:r>
            <w:r w:rsidR="003720AD" w:rsidRPr="003720AD">
              <w:rPr>
                <w:color w:val="FFFFFF" w:themeColor="background1"/>
              </w:rPr>
              <w:t>2025</w:t>
            </w:r>
            <w:r w:rsidR="00264F5E">
              <w:rPr>
                <w:color w:val="FFFFFF" w:themeColor="background1"/>
              </w:rPr>
              <w:t>–</w:t>
            </w:r>
            <w:r w:rsidR="003720AD" w:rsidRPr="003720AD">
              <w:rPr>
                <w:color w:val="FFFFFF" w:themeColor="background1"/>
              </w:rPr>
              <w:t>29</w:t>
            </w:r>
          </w:p>
        </w:tc>
      </w:tr>
      <w:tr w:rsidR="006C7556" w:rsidRPr="006B77BB" w14:paraId="28E79CD1" w14:textId="77777777" w:rsidTr="00F803DD">
        <w:tc>
          <w:tcPr>
            <w:tcW w:w="1168" w:type="pct"/>
            <w:shd w:val="clear" w:color="auto" w:fill="auto"/>
          </w:tcPr>
          <w:p w14:paraId="447B8CE8" w14:textId="77777777" w:rsidR="006C7556" w:rsidRPr="00C54AEC" w:rsidRDefault="006C7556">
            <w:pPr>
              <w:pStyle w:val="TableText"/>
              <w:rPr>
                <w:b/>
              </w:rPr>
            </w:pPr>
            <w:r w:rsidRPr="00C54AEC">
              <w:rPr>
                <w:rFonts w:asciiTheme="minorHAnsi" w:hAnsiTheme="minorHAnsi"/>
                <w:b/>
                <w:color w:val="000000" w:themeColor="text1"/>
                <w:sz w:val="20"/>
                <w:szCs w:val="20"/>
              </w:rPr>
              <w:t>Likelihood of incentivising emissions reductions</w:t>
            </w:r>
          </w:p>
        </w:tc>
        <w:tc>
          <w:tcPr>
            <w:tcW w:w="1277" w:type="pct"/>
          </w:tcPr>
          <w:p w14:paraId="481520C3" w14:textId="77777777" w:rsidR="007D24EC" w:rsidRPr="002D5BEE" w:rsidRDefault="007D24EC" w:rsidP="00F803DD">
            <w:pPr>
              <w:pStyle w:val="TableText0"/>
              <w:spacing w:line="276" w:lineRule="auto"/>
              <w:rPr>
                <w:rFonts w:asciiTheme="minorHAnsi" w:hAnsiTheme="minorHAnsi" w:cstheme="minorHAnsi"/>
                <w:b/>
                <w:szCs w:val="20"/>
                <w:lang w:val="en-NZ"/>
              </w:rPr>
            </w:pPr>
            <w:r w:rsidRPr="002D5BEE">
              <w:rPr>
                <w:rFonts w:asciiTheme="minorHAnsi" w:hAnsiTheme="minorHAnsi" w:cstheme="minorHAnsi"/>
                <w:b/>
                <w:szCs w:val="20"/>
                <w:lang w:val="en-NZ"/>
              </w:rPr>
              <w:t>0</w:t>
            </w:r>
          </w:p>
          <w:p w14:paraId="7A689D5D" w14:textId="790ED3F1" w:rsidR="006C7556" w:rsidRPr="009C7778" w:rsidRDefault="007D24EC" w:rsidP="007D24EC">
            <w:pPr>
              <w:pStyle w:val="TableText"/>
              <w:keepNext/>
              <w:rPr>
                <w:rFonts w:cs="Calibri"/>
                <w:szCs w:val="18"/>
              </w:rPr>
            </w:pPr>
            <w:r w:rsidRPr="001D465F">
              <w:rPr>
                <w:rFonts w:asciiTheme="minorHAnsi" w:hAnsiTheme="minorHAnsi" w:cstheme="minorHAnsi"/>
                <w:bCs/>
                <w:szCs w:val="20"/>
              </w:rPr>
              <w:t xml:space="preserve">Does not address </w:t>
            </w:r>
            <w:r w:rsidR="00C64168">
              <w:rPr>
                <w:rFonts w:asciiTheme="minorHAnsi" w:hAnsiTheme="minorHAnsi" w:cstheme="minorHAnsi"/>
                <w:bCs/>
                <w:szCs w:val="20"/>
              </w:rPr>
              <w:t>the</w:t>
            </w:r>
            <w:r w:rsidRPr="001D465F">
              <w:rPr>
                <w:rFonts w:asciiTheme="minorHAnsi" w:hAnsiTheme="minorHAnsi" w:cstheme="minorHAnsi"/>
                <w:bCs/>
                <w:szCs w:val="20"/>
              </w:rPr>
              <w:t xml:space="preserve"> risks</w:t>
            </w:r>
            <w:r w:rsidR="00BC1829">
              <w:rPr>
                <w:rFonts w:asciiTheme="minorHAnsi" w:hAnsiTheme="minorHAnsi" w:cstheme="minorHAnsi"/>
                <w:bCs/>
                <w:szCs w:val="20"/>
              </w:rPr>
              <w:t xml:space="preserve"> that</w:t>
            </w:r>
            <w:r w:rsidRPr="001D465F">
              <w:rPr>
                <w:rFonts w:asciiTheme="minorHAnsi" w:hAnsiTheme="minorHAnsi" w:cstheme="minorHAnsi"/>
                <w:bCs/>
                <w:szCs w:val="20"/>
              </w:rPr>
              <w:t xml:space="preserve"> </w:t>
            </w:r>
            <w:r w:rsidR="00010B11">
              <w:rPr>
                <w:rFonts w:asciiTheme="minorHAnsi" w:hAnsiTheme="minorHAnsi" w:cstheme="minorHAnsi"/>
                <w:bCs/>
                <w:szCs w:val="20"/>
              </w:rPr>
              <w:t>an</w:t>
            </w:r>
            <w:r w:rsidRPr="001D465F">
              <w:rPr>
                <w:rFonts w:asciiTheme="minorHAnsi" w:hAnsiTheme="minorHAnsi" w:cstheme="minorHAnsi"/>
                <w:bCs/>
                <w:szCs w:val="20"/>
              </w:rPr>
              <w:t xml:space="preserve"> increase in </w:t>
            </w:r>
            <w:r w:rsidR="00BE6545">
              <w:rPr>
                <w:rFonts w:asciiTheme="minorHAnsi" w:hAnsiTheme="minorHAnsi" w:cstheme="minorHAnsi"/>
                <w:bCs/>
                <w:szCs w:val="20"/>
              </w:rPr>
              <w:t xml:space="preserve">the </w:t>
            </w:r>
            <w:r w:rsidRPr="001D465F">
              <w:rPr>
                <w:rFonts w:asciiTheme="minorHAnsi" w:hAnsiTheme="minorHAnsi" w:cstheme="minorHAnsi"/>
                <w:bCs/>
                <w:szCs w:val="20"/>
              </w:rPr>
              <w:t>surplus estimate poses to the achievement of emissions budgets and targets (</w:t>
            </w:r>
            <w:proofErr w:type="gramStart"/>
            <w:r w:rsidRPr="001D465F">
              <w:rPr>
                <w:rFonts w:asciiTheme="minorHAnsi" w:hAnsiTheme="minorHAnsi" w:cstheme="minorHAnsi"/>
                <w:bCs/>
                <w:szCs w:val="20"/>
              </w:rPr>
              <w:t>in particular the</w:t>
            </w:r>
            <w:proofErr w:type="gramEnd"/>
            <w:r w:rsidRPr="001D465F">
              <w:rPr>
                <w:rFonts w:asciiTheme="minorHAnsi" w:hAnsiTheme="minorHAnsi" w:cstheme="minorHAnsi"/>
                <w:bCs/>
                <w:szCs w:val="20"/>
              </w:rPr>
              <w:t xml:space="preserve"> second emissions budget and NDC1).</w:t>
            </w:r>
          </w:p>
        </w:tc>
        <w:tc>
          <w:tcPr>
            <w:tcW w:w="1277" w:type="pct"/>
          </w:tcPr>
          <w:p w14:paraId="3B41F78C" w14:textId="77777777" w:rsidR="007D24EC" w:rsidRPr="002D5BEE" w:rsidRDefault="007D24EC" w:rsidP="00F803DD">
            <w:pPr>
              <w:pStyle w:val="TableText0"/>
              <w:spacing w:line="276" w:lineRule="auto"/>
              <w:rPr>
                <w:rFonts w:asciiTheme="minorHAnsi" w:hAnsiTheme="minorHAnsi" w:cstheme="minorHAnsi"/>
                <w:b/>
                <w:color w:val="00B050"/>
                <w:szCs w:val="20"/>
                <w:lang w:val="en-NZ"/>
              </w:rPr>
            </w:pPr>
            <w:r w:rsidRPr="002D5BEE">
              <w:rPr>
                <w:rFonts w:asciiTheme="minorHAnsi" w:hAnsiTheme="minorHAnsi" w:cstheme="minorHAnsi"/>
                <w:b/>
                <w:color w:val="00B050"/>
                <w:szCs w:val="20"/>
                <w:lang w:val="en-NZ"/>
              </w:rPr>
              <w:t>+ +</w:t>
            </w:r>
          </w:p>
          <w:p w14:paraId="6E48563E" w14:textId="1CBF8F4B" w:rsidR="006C7556" w:rsidRPr="006B77BB" w:rsidRDefault="00066187" w:rsidP="007D24EC">
            <w:pPr>
              <w:pStyle w:val="TableText"/>
              <w:keepNext/>
            </w:pPr>
            <w:r>
              <w:rPr>
                <w:rFonts w:asciiTheme="minorHAnsi" w:hAnsiTheme="minorHAnsi" w:cstheme="minorHAnsi"/>
                <w:szCs w:val="20"/>
              </w:rPr>
              <w:t>T</w:t>
            </w:r>
            <w:r w:rsidR="007D24EC" w:rsidRPr="00A97B0E">
              <w:rPr>
                <w:rFonts w:asciiTheme="minorHAnsi" w:hAnsiTheme="minorHAnsi" w:cstheme="minorHAnsi"/>
                <w:szCs w:val="18"/>
              </w:rPr>
              <w:t xml:space="preserve">his option would be </w:t>
            </w:r>
            <w:r w:rsidRPr="00A97B0E">
              <w:rPr>
                <w:rFonts w:asciiTheme="minorHAnsi" w:hAnsiTheme="minorHAnsi" w:cstheme="minorHAnsi"/>
                <w:szCs w:val="18"/>
              </w:rPr>
              <w:t xml:space="preserve">more likely to be </w:t>
            </w:r>
            <w:r w:rsidR="007D24EC" w:rsidRPr="00A97B0E">
              <w:rPr>
                <w:rFonts w:asciiTheme="minorHAnsi" w:hAnsiTheme="minorHAnsi" w:cstheme="minorHAnsi"/>
                <w:szCs w:val="18"/>
              </w:rPr>
              <w:t>in strict accordance</w:t>
            </w:r>
            <w:r w:rsidRPr="00A97B0E">
              <w:rPr>
                <w:rFonts w:asciiTheme="minorHAnsi" w:hAnsiTheme="minorHAnsi" w:cstheme="minorHAnsi"/>
                <w:szCs w:val="18"/>
              </w:rPr>
              <w:t xml:space="preserve"> with emission </w:t>
            </w:r>
            <w:r w:rsidR="00A97B0E" w:rsidRPr="00A97B0E">
              <w:rPr>
                <w:rFonts w:asciiTheme="minorHAnsi" w:hAnsiTheme="minorHAnsi" w:cstheme="minorHAnsi"/>
                <w:szCs w:val="18"/>
              </w:rPr>
              <w:t>targets and budgets</w:t>
            </w:r>
            <w:r w:rsidR="007D24EC" w:rsidRPr="00014880">
              <w:rPr>
                <w:rFonts w:asciiTheme="minorHAnsi" w:hAnsiTheme="minorHAnsi" w:cstheme="minorHAnsi"/>
                <w:szCs w:val="20"/>
              </w:rPr>
              <w:t xml:space="preserve"> due to reducing the surplus at a faster rate than the status quo.</w:t>
            </w:r>
          </w:p>
        </w:tc>
        <w:tc>
          <w:tcPr>
            <w:tcW w:w="1278" w:type="pct"/>
            <w:shd w:val="clear" w:color="auto" w:fill="auto"/>
          </w:tcPr>
          <w:p w14:paraId="080CBD84" w14:textId="77777777" w:rsidR="007D24EC" w:rsidRPr="002D5BEE" w:rsidRDefault="007D24EC" w:rsidP="00F803DD">
            <w:pPr>
              <w:pStyle w:val="TableText0"/>
              <w:spacing w:line="276" w:lineRule="auto"/>
              <w:rPr>
                <w:rFonts w:asciiTheme="minorHAnsi" w:hAnsiTheme="minorHAnsi" w:cstheme="minorHAnsi"/>
                <w:b/>
                <w:color w:val="00B050"/>
                <w:szCs w:val="20"/>
                <w:lang w:val="en-NZ"/>
              </w:rPr>
            </w:pPr>
            <w:r w:rsidRPr="002D5BEE">
              <w:rPr>
                <w:rFonts w:asciiTheme="minorHAnsi" w:hAnsiTheme="minorHAnsi" w:cstheme="minorHAnsi"/>
                <w:b/>
                <w:color w:val="00B050"/>
                <w:szCs w:val="20"/>
                <w:lang w:val="en-NZ"/>
              </w:rPr>
              <w:t>+ +</w:t>
            </w:r>
          </w:p>
          <w:p w14:paraId="659BE686" w14:textId="6BCF32AA" w:rsidR="006C7556" w:rsidRPr="006B77BB" w:rsidRDefault="007D24EC" w:rsidP="007D24EC">
            <w:pPr>
              <w:pStyle w:val="TableText"/>
              <w:keepNext/>
            </w:pPr>
            <w:proofErr w:type="gramStart"/>
            <w:r>
              <w:rPr>
                <w:rFonts w:asciiTheme="minorHAnsi" w:hAnsiTheme="minorHAnsi" w:cstheme="minorHAnsi"/>
                <w:szCs w:val="20"/>
              </w:rPr>
              <w:t>Similar to</w:t>
            </w:r>
            <w:proofErr w:type="gramEnd"/>
            <w:r>
              <w:rPr>
                <w:rFonts w:asciiTheme="minorHAnsi" w:hAnsiTheme="minorHAnsi" w:cstheme="minorHAnsi"/>
                <w:szCs w:val="20"/>
              </w:rPr>
              <w:t xml:space="preserve"> option two.</w:t>
            </w:r>
          </w:p>
        </w:tc>
      </w:tr>
      <w:tr w:rsidR="006C7556" w:rsidRPr="006B77BB" w14:paraId="457BA0CD" w14:textId="77777777" w:rsidTr="00F803DD">
        <w:tc>
          <w:tcPr>
            <w:tcW w:w="1168" w:type="pct"/>
            <w:shd w:val="clear" w:color="auto" w:fill="auto"/>
          </w:tcPr>
          <w:p w14:paraId="5877B43F" w14:textId="1EDED9EC" w:rsidR="006C7556" w:rsidRPr="00C54AEC" w:rsidRDefault="006C7556">
            <w:pPr>
              <w:pStyle w:val="TableText"/>
              <w:rPr>
                <w:b/>
              </w:rPr>
            </w:pPr>
            <w:r w:rsidRPr="00C54AEC">
              <w:rPr>
                <w:rFonts w:asciiTheme="minorHAnsi" w:hAnsiTheme="minorHAnsi"/>
                <w:b/>
                <w:color w:val="000000" w:themeColor="text1"/>
                <w:sz w:val="20"/>
                <w:szCs w:val="20"/>
              </w:rPr>
              <w:t>Support the proper functioning of the NZ</w:t>
            </w:r>
            <w:r w:rsidR="00B531AB">
              <w:rPr>
                <w:rFonts w:asciiTheme="minorHAnsi" w:hAnsiTheme="minorHAnsi"/>
                <w:b/>
                <w:color w:val="000000" w:themeColor="text1"/>
                <w:sz w:val="20"/>
                <w:szCs w:val="20"/>
              </w:rPr>
              <w:t> </w:t>
            </w:r>
            <w:r w:rsidRPr="00C54AEC">
              <w:rPr>
                <w:rFonts w:asciiTheme="minorHAnsi" w:hAnsiTheme="minorHAnsi"/>
                <w:b/>
                <w:color w:val="000000" w:themeColor="text1"/>
                <w:sz w:val="20"/>
                <w:szCs w:val="20"/>
              </w:rPr>
              <w:t>ETS</w:t>
            </w:r>
          </w:p>
        </w:tc>
        <w:tc>
          <w:tcPr>
            <w:tcW w:w="1277" w:type="pct"/>
          </w:tcPr>
          <w:p w14:paraId="6F339455" w14:textId="77777777" w:rsidR="007D24EC" w:rsidRPr="002D5BEE" w:rsidRDefault="007D24EC" w:rsidP="00F803DD">
            <w:pPr>
              <w:pStyle w:val="TableText0"/>
              <w:spacing w:line="276" w:lineRule="auto"/>
              <w:rPr>
                <w:rFonts w:asciiTheme="minorHAnsi" w:hAnsiTheme="minorHAnsi" w:cstheme="minorHAnsi"/>
                <w:b/>
                <w:szCs w:val="20"/>
                <w:lang w:val="en-NZ"/>
              </w:rPr>
            </w:pPr>
            <w:r w:rsidRPr="002D5BEE">
              <w:rPr>
                <w:rFonts w:asciiTheme="minorHAnsi" w:hAnsiTheme="minorHAnsi" w:cstheme="minorHAnsi"/>
                <w:b/>
                <w:szCs w:val="20"/>
                <w:lang w:val="en-NZ"/>
              </w:rPr>
              <w:t>0</w:t>
            </w:r>
          </w:p>
          <w:p w14:paraId="67149997" w14:textId="72753E77" w:rsidR="006C7556" w:rsidRPr="00B531AB" w:rsidRDefault="006C7556" w:rsidP="00B531AB">
            <w:pPr>
              <w:pStyle w:val="TableText0"/>
              <w:rPr>
                <w:sz w:val="18"/>
                <w:szCs w:val="18"/>
              </w:rPr>
            </w:pPr>
          </w:p>
        </w:tc>
        <w:tc>
          <w:tcPr>
            <w:tcW w:w="1277" w:type="pct"/>
          </w:tcPr>
          <w:p w14:paraId="343B5DC5" w14:textId="77777777" w:rsidR="007D24EC" w:rsidRPr="002D5BEE" w:rsidRDefault="007D24EC" w:rsidP="00F803DD">
            <w:pPr>
              <w:pStyle w:val="TableText0"/>
              <w:spacing w:line="276" w:lineRule="auto"/>
              <w:rPr>
                <w:rFonts w:asciiTheme="minorHAnsi" w:hAnsiTheme="minorHAnsi" w:cstheme="minorHAnsi"/>
                <w:b/>
                <w:color w:val="FF0000"/>
                <w:szCs w:val="20"/>
                <w:lang w:val="en-NZ"/>
              </w:rPr>
            </w:pPr>
            <w:r w:rsidRPr="002D5BEE">
              <w:rPr>
                <w:rFonts w:asciiTheme="minorHAnsi" w:hAnsiTheme="minorHAnsi" w:cstheme="minorHAnsi"/>
                <w:b/>
                <w:color w:val="FF0000"/>
                <w:szCs w:val="20"/>
                <w:lang w:val="en-NZ"/>
              </w:rPr>
              <w:t>- -</w:t>
            </w:r>
          </w:p>
          <w:p w14:paraId="28153C1B" w14:textId="677C2AD6" w:rsidR="006C7556" w:rsidRPr="006B77BB" w:rsidRDefault="007D24EC" w:rsidP="007D24EC">
            <w:pPr>
              <w:pStyle w:val="TableText"/>
            </w:pPr>
            <w:r w:rsidRPr="001D465F">
              <w:rPr>
                <w:rFonts w:asciiTheme="minorHAnsi" w:hAnsiTheme="minorHAnsi" w:cstheme="minorHAnsi"/>
                <w:szCs w:val="20"/>
              </w:rPr>
              <w:t>Sharp reduction of unit limits for 2027</w:t>
            </w:r>
            <w:r w:rsidR="00B531AB">
              <w:rPr>
                <w:rFonts w:asciiTheme="minorHAnsi" w:hAnsiTheme="minorHAnsi" w:cstheme="minorHAnsi"/>
                <w:szCs w:val="20"/>
              </w:rPr>
              <w:t>–</w:t>
            </w:r>
            <w:r w:rsidRPr="001D465F">
              <w:rPr>
                <w:rFonts w:asciiTheme="minorHAnsi" w:hAnsiTheme="minorHAnsi" w:cstheme="minorHAnsi"/>
                <w:szCs w:val="20"/>
              </w:rPr>
              <w:t xml:space="preserve">29 will likely </w:t>
            </w:r>
            <w:r w:rsidR="00AC4ED0">
              <w:rPr>
                <w:rFonts w:asciiTheme="minorHAnsi" w:hAnsiTheme="minorHAnsi" w:cstheme="minorHAnsi"/>
                <w:szCs w:val="20"/>
              </w:rPr>
              <w:t>impact</w:t>
            </w:r>
            <w:r w:rsidRPr="001D465F">
              <w:rPr>
                <w:rFonts w:asciiTheme="minorHAnsi" w:hAnsiTheme="minorHAnsi" w:cstheme="minorHAnsi"/>
                <w:szCs w:val="20"/>
              </w:rPr>
              <w:t xml:space="preserve"> </w:t>
            </w:r>
            <w:r w:rsidR="00B109EF">
              <w:rPr>
                <w:rFonts w:asciiTheme="minorHAnsi" w:hAnsiTheme="minorHAnsi" w:cstheme="minorHAnsi"/>
                <w:szCs w:val="20"/>
              </w:rPr>
              <w:t xml:space="preserve">market function as participants will have considerably reduced auction volumes from which to seek unit for compliance needs. Participants would need to change </w:t>
            </w:r>
            <w:r w:rsidR="00A15738">
              <w:rPr>
                <w:rFonts w:asciiTheme="minorHAnsi" w:hAnsiTheme="minorHAnsi" w:cstheme="minorHAnsi"/>
                <w:szCs w:val="20"/>
              </w:rPr>
              <w:t>market strategies.</w:t>
            </w:r>
          </w:p>
        </w:tc>
        <w:tc>
          <w:tcPr>
            <w:tcW w:w="1278" w:type="pct"/>
            <w:shd w:val="clear" w:color="auto" w:fill="auto"/>
          </w:tcPr>
          <w:p w14:paraId="1415273F" w14:textId="77777777" w:rsidR="007D24EC" w:rsidRPr="002D5BEE" w:rsidRDefault="007D24EC" w:rsidP="00F803DD">
            <w:pPr>
              <w:pStyle w:val="TableText0"/>
              <w:spacing w:line="276" w:lineRule="auto"/>
              <w:rPr>
                <w:rFonts w:asciiTheme="minorHAnsi" w:hAnsiTheme="minorHAnsi" w:cstheme="minorHAnsi"/>
                <w:b/>
                <w:color w:val="FF0000"/>
                <w:szCs w:val="20"/>
                <w:lang w:val="en-NZ"/>
              </w:rPr>
            </w:pPr>
            <w:r w:rsidRPr="002D5BEE">
              <w:rPr>
                <w:rFonts w:asciiTheme="minorHAnsi" w:hAnsiTheme="minorHAnsi" w:cstheme="minorHAnsi"/>
                <w:b/>
                <w:color w:val="FF0000"/>
                <w:szCs w:val="20"/>
                <w:lang w:val="en-NZ"/>
              </w:rPr>
              <w:t>-</w:t>
            </w:r>
          </w:p>
          <w:p w14:paraId="56D85D2E" w14:textId="5B6C874D" w:rsidR="006C7556" w:rsidRPr="006B77BB" w:rsidRDefault="00A15738" w:rsidP="00FB08EB">
            <w:pPr>
              <w:pStyle w:val="TableText0"/>
            </w:pPr>
            <w:r w:rsidRPr="00EC4104">
              <w:rPr>
                <w:rStyle w:val="normaltextrun"/>
                <w:rFonts w:asciiTheme="minorHAnsi" w:hAnsiTheme="minorHAnsi" w:cstheme="minorHAnsi"/>
                <w:sz w:val="18"/>
                <w:szCs w:val="18"/>
              </w:rPr>
              <w:t xml:space="preserve">Small </w:t>
            </w:r>
            <w:r w:rsidR="00E918ED" w:rsidRPr="00EC4104">
              <w:rPr>
                <w:rStyle w:val="normaltextrun"/>
                <w:rFonts w:asciiTheme="minorHAnsi" w:hAnsiTheme="minorHAnsi" w:cstheme="minorHAnsi"/>
                <w:sz w:val="18"/>
                <w:szCs w:val="18"/>
              </w:rPr>
              <w:t>n</w:t>
            </w:r>
            <w:r w:rsidR="007D24EC" w:rsidRPr="00EC4104">
              <w:rPr>
                <w:rStyle w:val="normaltextrun"/>
                <w:rFonts w:asciiTheme="minorHAnsi" w:hAnsiTheme="minorHAnsi" w:cstheme="minorHAnsi"/>
                <w:sz w:val="18"/>
                <w:szCs w:val="18"/>
              </w:rPr>
              <w:t>egativ</w:t>
            </w:r>
            <w:r w:rsidR="00E918ED" w:rsidRPr="00EC4104">
              <w:rPr>
                <w:rStyle w:val="normaltextrun"/>
                <w:rFonts w:asciiTheme="minorHAnsi" w:hAnsiTheme="minorHAnsi" w:cstheme="minorHAnsi"/>
                <w:sz w:val="18"/>
                <w:szCs w:val="18"/>
              </w:rPr>
              <w:t>e</w:t>
            </w:r>
            <w:r w:rsidR="007D24EC" w:rsidRPr="00B531AB">
              <w:rPr>
                <w:rStyle w:val="normaltextrun"/>
                <w:rFonts w:asciiTheme="minorHAnsi" w:hAnsiTheme="minorHAnsi" w:cstheme="minorHAnsi"/>
                <w:sz w:val="18"/>
                <w:szCs w:val="18"/>
              </w:rPr>
              <w:t xml:space="preserve"> impact </w:t>
            </w:r>
            <w:r w:rsidR="00EC4104" w:rsidRPr="00EC4104">
              <w:rPr>
                <w:rStyle w:val="normaltextrun"/>
                <w:rFonts w:asciiTheme="minorHAnsi" w:hAnsiTheme="minorHAnsi" w:cstheme="minorHAnsi"/>
                <w:sz w:val="18"/>
                <w:szCs w:val="18"/>
              </w:rPr>
              <w:t xml:space="preserve">on </w:t>
            </w:r>
            <w:r w:rsidR="007D24EC" w:rsidRPr="00B531AB">
              <w:rPr>
                <w:rStyle w:val="normaltextrun"/>
                <w:rFonts w:asciiTheme="minorHAnsi" w:hAnsiTheme="minorHAnsi" w:cstheme="minorHAnsi"/>
                <w:sz w:val="18"/>
                <w:szCs w:val="18"/>
              </w:rPr>
              <w:t>regulatory certainty as update to unit settings will come into force next year</w:t>
            </w:r>
            <w:r w:rsidR="00EC4104" w:rsidRPr="00FF1616">
              <w:rPr>
                <w:rStyle w:val="normaltextrun"/>
                <w:rFonts w:asciiTheme="minorHAnsi" w:hAnsiTheme="minorHAnsi" w:cstheme="minorHAnsi"/>
                <w:sz w:val="18"/>
                <w:szCs w:val="18"/>
              </w:rPr>
              <w:t xml:space="preserve"> instead of </w:t>
            </w:r>
            <w:r w:rsidR="0062399A" w:rsidRPr="00FF1616">
              <w:rPr>
                <w:rStyle w:val="normaltextrun"/>
                <w:rFonts w:asciiTheme="minorHAnsi" w:hAnsiTheme="minorHAnsi" w:cstheme="minorHAnsi"/>
                <w:sz w:val="18"/>
                <w:szCs w:val="18"/>
              </w:rPr>
              <w:t>setting remaining unchanged for two years</w:t>
            </w:r>
            <w:r w:rsidR="007D24EC" w:rsidRPr="00B531AB">
              <w:rPr>
                <w:rStyle w:val="normaltextrun"/>
                <w:rFonts w:asciiTheme="minorHAnsi" w:hAnsiTheme="minorHAnsi" w:cstheme="minorHAnsi"/>
                <w:sz w:val="18"/>
                <w:szCs w:val="18"/>
              </w:rPr>
              <w:t>.</w:t>
            </w:r>
          </w:p>
        </w:tc>
      </w:tr>
      <w:tr w:rsidR="006C7556" w:rsidRPr="006B77BB" w14:paraId="25B81203" w14:textId="77777777" w:rsidTr="00F803DD">
        <w:tc>
          <w:tcPr>
            <w:tcW w:w="1168" w:type="pct"/>
          </w:tcPr>
          <w:p w14:paraId="32D4B250" w14:textId="77777777" w:rsidR="006C7556" w:rsidRPr="006B77BB" w:rsidRDefault="006C7556">
            <w:pPr>
              <w:pStyle w:val="TableText"/>
            </w:pPr>
            <w:r w:rsidRPr="001D465F">
              <w:rPr>
                <w:rFonts w:asciiTheme="minorHAnsi" w:hAnsiTheme="minorHAnsi"/>
                <w:b/>
                <w:color w:val="000000" w:themeColor="text1"/>
                <w:sz w:val="20"/>
                <w:szCs w:val="20"/>
              </w:rPr>
              <w:t>Overall assessment</w:t>
            </w:r>
          </w:p>
        </w:tc>
        <w:tc>
          <w:tcPr>
            <w:tcW w:w="1277" w:type="pct"/>
          </w:tcPr>
          <w:p w14:paraId="24C978BC" w14:textId="2290B59E" w:rsidR="006C7556" w:rsidRPr="002D5BEE" w:rsidRDefault="007D24EC">
            <w:pPr>
              <w:pStyle w:val="TableText"/>
              <w:keepNext/>
              <w:rPr>
                <w:rFonts w:cs="Calibri"/>
                <w:b/>
                <w:sz w:val="20"/>
                <w:szCs w:val="20"/>
              </w:rPr>
            </w:pPr>
            <w:r w:rsidRPr="002D5BEE">
              <w:rPr>
                <w:rFonts w:asciiTheme="minorHAnsi" w:hAnsiTheme="minorHAnsi" w:cstheme="minorHAnsi"/>
                <w:b/>
                <w:sz w:val="20"/>
                <w:szCs w:val="20"/>
              </w:rPr>
              <w:t>0</w:t>
            </w:r>
          </w:p>
        </w:tc>
        <w:tc>
          <w:tcPr>
            <w:tcW w:w="1277" w:type="pct"/>
          </w:tcPr>
          <w:p w14:paraId="60299DAF" w14:textId="02FC6073" w:rsidR="006C7556" w:rsidRPr="002D5BEE" w:rsidRDefault="007D24EC">
            <w:pPr>
              <w:spacing w:before="60" w:after="60" w:line="276" w:lineRule="auto"/>
              <w:jc w:val="left"/>
              <w:rPr>
                <w:rFonts w:asciiTheme="minorHAnsi" w:eastAsiaTheme="minorEastAsia" w:hAnsiTheme="minorHAnsi" w:cstheme="minorBidi"/>
                <w:b/>
                <w:color w:val="FF0000"/>
                <w:sz w:val="20"/>
                <w:szCs w:val="20"/>
              </w:rPr>
            </w:pPr>
            <w:r w:rsidRPr="002D5BEE">
              <w:rPr>
                <w:rFonts w:asciiTheme="minorHAnsi" w:hAnsiTheme="minorHAnsi" w:cstheme="minorHAnsi"/>
                <w:b/>
                <w:color w:val="FF0000"/>
                <w:sz w:val="20"/>
                <w:szCs w:val="20"/>
              </w:rPr>
              <w:t>-</w:t>
            </w:r>
          </w:p>
        </w:tc>
        <w:tc>
          <w:tcPr>
            <w:tcW w:w="1278" w:type="pct"/>
          </w:tcPr>
          <w:p w14:paraId="3793372A" w14:textId="34ADF34F" w:rsidR="006C7556" w:rsidRPr="002D5BEE" w:rsidRDefault="007D24EC">
            <w:pPr>
              <w:spacing w:before="60" w:after="60" w:line="276" w:lineRule="auto"/>
              <w:jc w:val="left"/>
              <w:rPr>
                <w:rFonts w:asciiTheme="minorHAnsi" w:eastAsiaTheme="minorEastAsia" w:hAnsiTheme="minorHAnsi" w:cstheme="minorBidi"/>
                <w:b/>
                <w:color w:val="00B050"/>
                <w:sz w:val="20"/>
                <w:szCs w:val="20"/>
              </w:rPr>
            </w:pPr>
            <w:r w:rsidRPr="002D5BEE">
              <w:rPr>
                <w:rFonts w:asciiTheme="minorHAnsi" w:hAnsiTheme="minorHAnsi" w:cstheme="minorHAnsi"/>
                <w:b/>
                <w:color w:val="00B050"/>
                <w:sz w:val="20"/>
                <w:szCs w:val="20"/>
              </w:rPr>
              <w:t>+</w:t>
            </w:r>
          </w:p>
        </w:tc>
      </w:tr>
    </w:tbl>
    <w:p w14:paraId="2197C912" w14:textId="77777777" w:rsidR="006C7556" w:rsidRPr="00293911" w:rsidRDefault="006C7556" w:rsidP="006C7556">
      <w:pPr>
        <w:pStyle w:val="Heading4"/>
      </w:pPr>
      <w:r w:rsidRPr="00293911">
        <w:t xml:space="preserve">Key for assessing options against the </w:t>
      </w:r>
      <w:proofErr w:type="gramStart"/>
      <w:r w:rsidRPr="00293911">
        <w:t>status quo</w:t>
      </w:r>
      <w:proofErr w:type="gramEnd"/>
    </w:p>
    <w:p w14:paraId="5709720F" w14:textId="77777777" w:rsidR="006C7556" w:rsidRPr="007837CC" w:rsidRDefault="006C7556" w:rsidP="006C7556">
      <w:pPr>
        <w:pStyle w:val="BodyText"/>
        <w:keepNext/>
        <w:spacing w:before="60" w:after="0"/>
      </w:pPr>
      <w:r w:rsidRPr="007837CC">
        <w:rPr>
          <w:b/>
          <w:bCs/>
          <w:color w:val="00B050"/>
        </w:rPr>
        <w:t>++</w:t>
      </w:r>
      <w:r w:rsidRPr="007837CC">
        <w:t xml:space="preserve"> </w:t>
      </w:r>
      <w:r w:rsidRPr="007837CC">
        <w:tab/>
        <w:t>much better than the status quo</w:t>
      </w:r>
    </w:p>
    <w:p w14:paraId="20697DF8" w14:textId="77777777" w:rsidR="006C7556" w:rsidRPr="007837CC" w:rsidRDefault="006C7556" w:rsidP="006C7556">
      <w:pPr>
        <w:pStyle w:val="BodyText"/>
        <w:keepNext/>
        <w:spacing w:before="60" w:after="0"/>
      </w:pPr>
      <w:r w:rsidRPr="007837CC">
        <w:rPr>
          <w:b/>
          <w:bCs/>
          <w:color w:val="00B050"/>
        </w:rPr>
        <w:t>+</w:t>
      </w:r>
      <w:r w:rsidRPr="007837CC">
        <w:t xml:space="preserve"> </w:t>
      </w:r>
      <w:r w:rsidRPr="007837CC">
        <w:tab/>
        <w:t>better than the status quo</w:t>
      </w:r>
    </w:p>
    <w:p w14:paraId="0A1268BE" w14:textId="77777777" w:rsidR="006C7556" w:rsidRPr="007837CC" w:rsidRDefault="006C7556" w:rsidP="006C7556">
      <w:pPr>
        <w:pStyle w:val="BodyText"/>
        <w:spacing w:before="60" w:after="0"/>
      </w:pPr>
      <w:r w:rsidRPr="007837CC">
        <w:rPr>
          <w:b/>
          <w:bCs/>
        </w:rPr>
        <w:t>0</w:t>
      </w:r>
      <w:r w:rsidRPr="007837CC">
        <w:tab/>
        <w:t>about the same as the status quo</w:t>
      </w:r>
    </w:p>
    <w:p w14:paraId="7F48E5BC" w14:textId="77777777" w:rsidR="006C7556" w:rsidRPr="007837CC" w:rsidRDefault="006C7556" w:rsidP="006C7556">
      <w:pPr>
        <w:pStyle w:val="BodyText"/>
        <w:spacing w:before="60" w:after="0"/>
      </w:pPr>
      <w:r w:rsidRPr="007837CC">
        <w:rPr>
          <w:b/>
          <w:bCs/>
          <w:color w:val="FF0000"/>
        </w:rPr>
        <w:t>–</w:t>
      </w:r>
      <w:r w:rsidRPr="007837CC">
        <w:t xml:space="preserve"> </w:t>
      </w:r>
      <w:r w:rsidRPr="007837CC">
        <w:tab/>
        <w:t>worse than the status quo</w:t>
      </w:r>
    </w:p>
    <w:p w14:paraId="2AA25DA7" w14:textId="77777777" w:rsidR="006C7556" w:rsidRPr="007837CC" w:rsidRDefault="006C7556" w:rsidP="006C7556">
      <w:pPr>
        <w:pStyle w:val="BodyText"/>
        <w:spacing w:before="60"/>
      </w:pPr>
      <w:r w:rsidRPr="007837CC">
        <w:rPr>
          <w:b/>
          <w:bCs/>
          <w:color w:val="FF0000"/>
        </w:rPr>
        <w:t xml:space="preserve">– – </w:t>
      </w:r>
      <w:r w:rsidRPr="007837CC">
        <w:tab/>
        <w:t>much worse than the status quo</w:t>
      </w:r>
    </w:p>
    <w:p w14:paraId="01326350" w14:textId="77777777" w:rsidR="001A7C31" w:rsidRDefault="001A7C31" w:rsidP="00AF399F">
      <w:pPr>
        <w:pStyle w:val="Heading3"/>
        <w:spacing w:after="240"/>
      </w:pPr>
      <w:r w:rsidRPr="00917519">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AF399F" w:rsidRPr="00D71C4F" w14:paraId="1EA3A204" w14:textId="77777777">
        <w:tc>
          <w:tcPr>
            <w:tcW w:w="8505" w:type="dxa"/>
            <w:shd w:val="clear" w:color="auto" w:fill="1B556B" w:themeFill="text2"/>
          </w:tcPr>
          <w:p w14:paraId="0518ACA3" w14:textId="77777777" w:rsidR="00AF399F" w:rsidRPr="00D71C4F" w:rsidRDefault="00AF399F">
            <w:pPr>
              <w:pStyle w:val="TableText"/>
              <w:keepNext/>
              <w:rPr>
                <w:b/>
                <w:bCs/>
                <w:color w:val="FFFFFF" w:themeColor="background1"/>
                <w:sz w:val="20"/>
              </w:rPr>
            </w:pPr>
            <w:r w:rsidRPr="00D71C4F">
              <w:rPr>
                <w:b/>
                <w:bCs/>
                <w:color w:val="FFFFFF" w:themeColor="background1"/>
                <w:sz w:val="20"/>
              </w:rPr>
              <w:t>Questions</w:t>
            </w:r>
          </w:p>
        </w:tc>
      </w:tr>
      <w:tr w:rsidR="00AF399F" w:rsidRPr="00943CFD" w14:paraId="2348AD3A" w14:textId="77777777">
        <w:tc>
          <w:tcPr>
            <w:tcW w:w="8505" w:type="dxa"/>
          </w:tcPr>
          <w:p w14:paraId="068B264B" w14:textId="4D0ABDDD" w:rsidR="00AF399F" w:rsidRPr="00943CFD" w:rsidRDefault="00AF399F">
            <w:pPr>
              <w:pStyle w:val="Questions"/>
              <w:ind w:left="397" w:right="0" w:hanging="397"/>
            </w:pPr>
            <w:r w:rsidRPr="00B72323">
              <w:t>Do you agree with t</w:t>
            </w:r>
            <w:r w:rsidRPr="00AF399F">
              <w:t>he Commission’s surplus methodology and estimate? If not, why not?</w:t>
            </w:r>
          </w:p>
        </w:tc>
      </w:tr>
      <w:tr w:rsidR="00AF399F" w:rsidRPr="00943CFD" w14:paraId="35F06C04" w14:textId="77777777">
        <w:tc>
          <w:tcPr>
            <w:tcW w:w="8505" w:type="dxa"/>
          </w:tcPr>
          <w:p w14:paraId="4E1926C0" w14:textId="14891F91" w:rsidR="00AF399F" w:rsidRPr="00B72323" w:rsidRDefault="00AF399F">
            <w:pPr>
              <w:pStyle w:val="Questions"/>
              <w:ind w:left="397" w:right="0" w:hanging="397"/>
            </w:pPr>
            <w:r w:rsidRPr="00AF399F">
              <w:t>What is your preferred option</w:t>
            </w:r>
            <w:r w:rsidR="00864C86">
              <w:t xml:space="preserve"> for step 5</w:t>
            </w:r>
            <w:r w:rsidRPr="00AF399F">
              <w:t>? Is there any other option that you think we should consider?</w:t>
            </w:r>
          </w:p>
        </w:tc>
      </w:tr>
      <w:tr w:rsidR="00AF399F" w:rsidRPr="00943CFD" w14:paraId="77F955D4" w14:textId="77777777">
        <w:tc>
          <w:tcPr>
            <w:tcW w:w="8505" w:type="dxa"/>
          </w:tcPr>
          <w:p w14:paraId="128E4BA9" w14:textId="19B10F46" w:rsidR="00AF399F" w:rsidRPr="00B72323" w:rsidRDefault="00AF399F">
            <w:pPr>
              <w:pStyle w:val="Questions"/>
              <w:ind w:left="397" w:right="0" w:hanging="397"/>
            </w:pPr>
            <w:r w:rsidRPr="00AF399F">
              <w:t>We are interested in your views on the Commission’s interpretation of increased transfers of pre-1990 units. Do you think the sale of pre-1990 units have increased? If so, what factors are influencing this?</w:t>
            </w:r>
          </w:p>
        </w:tc>
      </w:tr>
    </w:tbl>
    <w:p w14:paraId="4263140C" w14:textId="77777777" w:rsidR="001A7C31" w:rsidRDefault="001A7C31" w:rsidP="00CA3497">
      <w:pPr>
        <w:pStyle w:val="Heading2"/>
      </w:pPr>
      <w:bookmarkStart w:id="89" w:name="_Toc161831677"/>
      <w:bookmarkStart w:id="90" w:name="_Toc161762888"/>
      <w:bookmarkStart w:id="91" w:name="_Toc163048592"/>
      <w:bookmarkStart w:id="92" w:name="_Toc166162154"/>
      <w:r>
        <w:lastRenderedPageBreak/>
        <w:t xml:space="preserve">Step 6: Set the approved overseas unit </w:t>
      </w:r>
      <w:proofErr w:type="gramStart"/>
      <w:r>
        <w:t>limit</w:t>
      </w:r>
      <w:bookmarkEnd w:id="89"/>
      <w:bookmarkEnd w:id="90"/>
      <w:bookmarkEnd w:id="91"/>
      <w:bookmarkEnd w:id="92"/>
      <w:proofErr w:type="gramEnd"/>
    </w:p>
    <w:p w14:paraId="6E04E1E1" w14:textId="70980D1C" w:rsidR="001A7C31" w:rsidRDefault="001A7C31" w:rsidP="001A7C31">
      <w:pPr>
        <w:pStyle w:val="BodyText"/>
      </w:pPr>
      <w:r>
        <w:t xml:space="preserve">There are currently no overseas units approved for use in the NZ ETS. Therefore, the approved overseas unit limit </w:t>
      </w:r>
      <w:r w:rsidR="00D61A8C">
        <w:t>i</w:t>
      </w:r>
      <w:r>
        <w:t>s zero.</w:t>
      </w:r>
    </w:p>
    <w:p w14:paraId="4C5A668E" w14:textId="7E168E57" w:rsidR="001A7C31" w:rsidRDefault="001A7C31" w:rsidP="00CA3497">
      <w:pPr>
        <w:pStyle w:val="Heading2"/>
      </w:pPr>
      <w:bookmarkStart w:id="93" w:name="_Toc161762889"/>
      <w:bookmarkStart w:id="94" w:name="_Toc161831678"/>
      <w:bookmarkStart w:id="95" w:name="_Toc163048593"/>
      <w:bookmarkStart w:id="96" w:name="_Toc166162155"/>
      <w:r>
        <w:t xml:space="preserve">Step 7: Calculate the base auction </w:t>
      </w:r>
      <w:bookmarkEnd w:id="93"/>
      <w:proofErr w:type="gramStart"/>
      <w:r>
        <w:t>volumes</w:t>
      </w:r>
      <w:bookmarkEnd w:id="94"/>
      <w:bookmarkEnd w:id="95"/>
      <w:bookmarkEnd w:id="96"/>
      <w:proofErr w:type="gramEnd"/>
    </w:p>
    <w:p w14:paraId="431D2C21" w14:textId="6C4B52EB" w:rsidR="001A7C31" w:rsidRDefault="00D61A8C" w:rsidP="001E0864">
      <w:pPr>
        <w:pStyle w:val="BodyText"/>
      </w:pPr>
      <w:r>
        <w:t>T</w:t>
      </w:r>
      <w:r w:rsidR="001A7C31" w:rsidRPr="007519A5">
        <w:t xml:space="preserve">able </w:t>
      </w:r>
      <w:r w:rsidR="00755188">
        <w:t>9</w:t>
      </w:r>
      <w:r w:rsidR="001A7C31" w:rsidRPr="007519A5">
        <w:t xml:space="preserve"> </w:t>
      </w:r>
      <w:r w:rsidR="001A7C31">
        <w:t xml:space="preserve">sets out the calculation of the annual auction volumes using the </w:t>
      </w:r>
      <w:r w:rsidR="00D5297D">
        <w:t xml:space="preserve">Commission’s </w:t>
      </w:r>
      <w:r w:rsidR="001A7C31">
        <w:t>recommended options (and in the case of all steps aside from step 1 and 5, the only options) for 2025</w:t>
      </w:r>
      <w:r w:rsidR="00E85B27">
        <w:t>–</w:t>
      </w:r>
      <w:r w:rsidR="001A7C31">
        <w:t>29</w:t>
      </w:r>
      <w:r w:rsidR="00E85B27">
        <w:t>.</w:t>
      </w:r>
    </w:p>
    <w:p w14:paraId="6B7E0509" w14:textId="0AE17B43" w:rsidR="00356A21" w:rsidRPr="00C0766F" w:rsidRDefault="00356A21" w:rsidP="00356A21">
      <w:pPr>
        <w:pStyle w:val="Tableheading"/>
      </w:pPr>
      <w:bookmarkStart w:id="97" w:name="_Toc167714878"/>
      <w:r w:rsidRPr="00C0766F">
        <w:t xml:space="preserve">Table </w:t>
      </w:r>
      <w:r>
        <w:t>9</w:t>
      </w:r>
      <w:r w:rsidRPr="00C0766F">
        <w:t>:</w:t>
      </w:r>
      <w:r w:rsidR="00CB6FB5">
        <w:t xml:space="preserve"> </w:t>
      </w:r>
      <w:r w:rsidR="00C31713">
        <w:tab/>
      </w:r>
      <w:r w:rsidR="00A90042" w:rsidRPr="00A90042">
        <w:t>The Commission’s recommended option for the calculation of the base auction volume</w:t>
      </w:r>
      <w:bookmarkEnd w:id="97"/>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4C22E0" w:rsidRPr="00C63C98" w14:paraId="6DB52057" w14:textId="77777777" w:rsidTr="004C22E0">
        <w:trPr>
          <w:trHeight w:val="360"/>
          <w:tblHeader/>
        </w:trPr>
        <w:tc>
          <w:tcPr>
            <w:tcW w:w="1834" w:type="pct"/>
            <w:shd w:val="clear" w:color="auto" w:fill="1B556B"/>
          </w:tcPr>
          <w:p w14:paraId="2FA737A2" w14:textId="77777777" w:rsidR="004C22E0" w:rsidRDefault="004C22E0">
            <w:pPr>
              <w:pStyle w:val="TableTextbold"/>
              <w:rPr>
                <w:color w:val="FFFFFF" w:themeColor="background1"/>
              </w:rPr>
            </w:pPr>
          </w:p>
        </w:tc>
        <w:tc>
          <w:tcPr>
            <w:tcW w:w="3166" w:type="pct"/>
            <w:gridSpan w:val="5"/>
            <w:shd w:val="clear" w:color="auto" w:fill="1B556B"/>
          </w:tcPr>
          <w:p w14:paraId="5480D696" w14:textId="443C1943" w:rsidR="004C22E0" w:rsidRDefault="004C22E0" w:rsidP="004C22E0">
            <w:pPr>
              <w:pStyle w:val="TableTextbold"/>
              <w:jc w:val="center"/>
              <w:rPr>
                <w:color w:val="FFFFFF" w:themeColor="background1"/>
              </w:rPr>
            </w:pPr>
            <w:r>
              <w:rPr>
                <w:color w:val="FFFFFF" w:themeColor="background1"/>
              </w:rPr>
              <w:t>Year</w:t>
            </w:r>
            <w:r>
              <w:rPr>
                <w:color w:val="FFFFFF" w:themeColor="background1"/>
              </w:rPr>
              <w:br/>
              <w:t>(Million NZUs)</w:t>
            </w:r>
          </w:p>
        </w:tc>
      </w:tr>
      <w:tr w:rsidR="00356A21" w:rsidRPr="00C63C98" w14:paraId="2F13640C" w14:textId="77777777">
        <w:trPr>
          <w:trHeight w:val="360"/>
          <w:tblHeader/>
        </w:trPr>
        <w:tc>
          <w:tcPr>
            <w:tcW w:w="1834" w:type="pct"/>
            <w:shd w:val="clear" w:color="auto" w:fill="1B556B"/>
          </w:tcPr>
          <w:p w14:paraId="2DED8510" w14:textId="0CED6B75" w:rsidR="00356A21" w:rsidRPr="006B77BB" w:rsidRDefault="00356A21">
            <w:pPr>
              <w:pStyle w:val="TableTextbold"/>
              <w:rPr>
                <w:color w:val="FFFFFF" w:themeColor="background1"/>
              </w:rPr>
            </w:pPr>
            <w:r>
              <w:rPr>
                <w:color w:val="FFFFFF" w:themeColor="background1"/>
              </w:rPr>
              <w:t>Step</w:t>
            </w:r>
          </w:p>
        </w:tc>
        <w:tc>
          <w:tcPr>
            <w:tcW w:w="633" w:type="pct"/>
            <w:shd w:val="clear" w:color="auto" w:fill="1B556B"/>
          </w:tcPr>
          <w:p w14:paraId="0C16844B" w14:textId="77777777" w:rsidR="00356A21" w:rsidRDefault="00356A21">
            <w:pPr>
              <w:pStyle w:val="TableTextbold"/>
              <w:rPr>
                <w:color w:val="FFFFFF" w:themeColor="background1"/>
              </w:rPr>
            </w:pPr>
            <w:r>
              <w:rPr>
                <w:color w:val="FFFFFF" w:themeColor="background1"/>
              </w:rPr>
              <w:t>2025</w:t>
            </w:r>
          </w:p>
        </w:tc>
        <w:tc>
          <w:tcPr>
            <w:tcW w:w="633" w:type="pct"/>
            <w:shd w:val="clear" w:color="auto" w:fill="1B556B"/>
          </w:tcPr>
          <w:p w14:paraId="56DDDDAD" w14:textId="77777777" w:rsidR="00356A21" w:rsidRDefault="00356A21">
            <w:pPr>
              <w:pStyle w:val="TableTextbold"/>
              <w:rPr>
                <w:color w:val="FFFFFF" w:themeColor="background1"/>
              </w:rPr>
            </w:pPr>
            <w:r>
              <w:rPr>
                <w:color w:val="FFFFFF" w:themeColor="background1"/>
              </w:rPr>
              <w:t>2026</w:t>
            </w:r>
          </w:p>
        </w:tc>
        <w:tc>
          <w:tcPr>
            <w:tcW w:w="633" w:type="pct"/>
            <w:shd w:val="clear" w:color="auto" w:fill="1B556B"/>
          </w:tcPr>
          <w:p w14:paraId="188E2B0A" w14:textId="77777777" w:rsidR="00356A21" w:rsidRDefault="00356A21">
            <w:pPr>
              <w:pStyle w:val="TableTextbold"/>
              <w:rPr>
                <w:color w:val="FFFFFF" w:themeColor="background1"/>
              </w:rPr>
            </w:pPr>
            <w:r>
              <w:rPr>
                <w:color w:val="FFFFFF" w:themeColor="background1"/>
              </w:rPr>
              <w:t>2027</w:t>
            </w:r>
          </w:p>
        </w:tc>
        <w:tc>
          <w:tcPr>
            <w:tcW w:w="633" w:type="pct"/>
            <w:shd w:val="clear" w:color="auto" w:fill="1B556B"/>
          </w:tcPr>
          <w:p w14:paraId="2115D568" w14:textId="77777777" w:rsidR="00356A21" w:rsidRDefault="00356A21">
            <w:pPr>
              <w:pStyle w:val="TableTextbold"/>
              <w:rPr>
                <w:color w:val="FFFFFF" w:themeColor="background1"/>
              </w:rPr>
            </w:pPr>
            <w:r>
              <w:rPr>
                <w:color w:val="FFFFFF" w:themeColor="background1"/>
              </w:rPr>
              <w:t>2028</w:t>
            </w:r>
          </w:p>
        </w:tc>
        <w:tc>
          <w:tcPr>
            <w:tcW w:w="634" w:type="pct"/>
            <w:shd w:val="clear" w:color="auto" w:fill="1B556B"/>
          </w:tcPr>
          <w:p w14:paraId="5DA8C827" w14:textId="77777777" w:rsidR="00356A21" w:rsidRDefault="00356A21">
            <w:pPr>
              <w:pStyle w:val="TableTextbold"/>
              <w:rPr>
                <w:color w:val="FFFFFF" w:themeColor="background1"/>
              </w:rPr>
            </w:pPr>
            <w:r>
              <w:rPr>
                <w:color w:val="FFFFFF" w:themeColor="background1"/>
              </w:rPr>
              <w:t>2029</w:t>
            </w:r>
          </w:p>
        </w:tc>
      </w:tr>
      <w:tr w:rsidR="00356A21" w:rsidRPr="00B72323" w14:paraId="531A51AC" w14:textId="77777777">
        <w:trPr>
          <w:trHeight w:val="360"/>
        </w:trPr>
        <w:tc>
          <w:tcPr>
            <w:tcW w:w="1834" w:type="pct"/>
            <w:shd w:val="clear" w:color="auto" w:fill="auto"/>
          </w:tcPr>
          <w:p w14:paraId="15F1FF12" w14:textId="50A1F116"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1: </w:t>
            </w:r>
            <w:r w:rsidRPr="001D465F">
              <w:rPr>
                <w:rFonts w:asciiTheme="minorHAnsi" w:hAnsiTheme="minorHAnsi" w:cstheme="minorHAnsi"/>
                <w:b/>
                <w:bCs/>
                <w:color w:val="000000" w:themeColor="text1"/>
                <w:sz w:val="20"/>
                <w:szCs w:val="20"/>
              </w:rPr>
              <w:t>A</w:t>
            </w:r>
            <w:r w:rsidRPr="001D465F">
              <w:rPr>
                <w:rFonts w:asciiTheme="minorHAnsi" w:hAnsiTheme="minorHAnsi" w:cstheme="minorHAnsi"/>
                <w:b/>
                <w:color w:val="000000" w:themeColor="text1"/>
                <w:sz w:val="20"/>
                <w:szCs w:val="20"/>
              </w:rPr>
              <w:t xml:space="preserve">lign with </w:t>
            </w:r>
            <w:r w:rsidR="000F4AB9">
              <w:rPr>
                <w:rFonts w:asciiTheme="minorHAnsi" w:hAnsiTheme="minorHAnsi" w:cstheme="minorHAnsi"/>
                <w:b/>
                <w:color w:val="000000" w:themeColor="text1"/>
                <w:sz w:val="20"/>
                <w:szCs w:val="20"/>
              </w:rPr>
              <w:t>c</w:t>
            </w:r>
            <w:r w:rsidR="000F4AB9">
              <w:rPr>
                <w:b/>
                <w:color w:val="000000" w:themeColor="text1"/>
                <w:sz w:val="20"/>
                <w:szCs w:val="20"/>
              </w:rPr>
              <w:t>limate change targets</w:t>
            </w:r>
          </w:p>
        </w:tc>
        <w:tc>
          <w:tcPr>
            <w:tcW w:w="633" w:type="pct"/>
          </w:tcPr>
          <w:p w14:paraId="7FD31FCA" w14:textId="33B6C2E5" w:rsidR="00356A21" w:rsidRPr="00B72323" w:rsidRDefault="00356A21">
            <w:pPr>
              <w:pStyle w:val="TableText"/>
              <w:rPr>
                <w:bCs/>
              </w:rPr>
            </w:pPr>
            <w:r w:rsidRPr="001D465F">
              <w:rPr>
                <w:rFonts w:asciiTheme="minorHAnsi" w:hAnsiTheme="minorHAnsi" w:cstheme="minorHAnsi"/>
                <w:sz w:val="20"/>
                <w:szCs w:val="20"/>
              </w:rPr>
              <w:t>66.7</w:t>
            </w:r>
          </w:p>
        </w:tc>
        <w:tc>
          <w:tcPr>
            <w:tcW w:w="633" w:type="pct"/>
          </w:tcPr>
          <w:p w14:paraId="617788CF" w14:textId="761F60A5" w:rsidR="00356A21" w:rsidRPr="00B72323" w:rsidRDefault="00356A21">
            <w:pPr>
              <w:pStyle w:val="TableText"/>
              <w:rPr>
                <w:bCs/>
              </w:rPr>
            </w:pPr>
            <w:r w:rsidRPr="001D465F">
              <w:rPr>
                <w:rFonts w:asciiTheme="minorHAnsi" w:hAnsiTheme="minorHAnsi" w:cstheme="minorHAnsi"/>
                <w:sz w:val="20"/>
                <w:szCs w:val="20"/>
              </w:rPr>
              <w:t>64.2</w:t>
            </w:r>
          </w:p>
        </w:tc>
        <w:tc>
          <w:tcPr>
            <w:tcW w:w="633" w:type="pct"/>
          </w:tcPr>
          <w:p w14:paraId="41C853ED" w14:textId="6E0F125E" w:rsidR="00356A21" w:rsidRPr="00B72323" w:rsidRDefault="00356A21">
            <w:pPr>
              <w:pStyle w:val="TableText"/>
              <w:rPr>
                <w:bCs/>
              </w:rPr>
            </w:pPr>
            <w:r w:rsidRPr="001D465F">
              <w:rPr>
                <w:rFonts w:asciiTheme="minorHAnsi" w:hAnsiTheme="minorHAnsi" w:cstheme="minorHAnsi"/>
                <w:sz w:val="20"/>
                <w:szCs w:val="20"/>
              </w:rPr>
              <w:t>61.8</w:t>
            </w:r>
          </w:p>
        </w:tc>
        <w:tc>
          <w:tcPr>
            <w:tcW w:w="633" w:type="pct"/>
          </w:tcPr>
          <w:p w14:paraId="3D488610" w14:textId="08F21B9E" w:rsidR="00356A21" w:rsidRPr="00B72323" w:rsidRDefault="00356A21">
            <w:pPr>
              <w:pStyle w:val="TableText"/>
              <w:rPr>
                <w:bCs/>
              </w:rPr>
            </w:pPr>
            <w:r w:rsidRPr="001D465F">
              <w:rPr>
                <w:rFonts w:asciiTheme="minorHAnsi" w:hAnsiTheme="minorHAnsi" w:cstheme="minorHAnsi"/>
                <w:sz w:val="20"/>
                <w:szCs w:val="20"/>
              </w:rPr>
              <w:t>59.3</w:t>
            </w:r>
          </w:p>
        </w:tc>
        <w:tc>
          <w:tcPr>
            <w:tcW w:w="634" w:type="pct"/>
            <w:shd w:val="clear" w:color="auto" w:fill="auto"/>
          </w:tcPr>
          <w:p w14:paraId="224BDAEC" w14:textId="198E75CF" w:rsidR="00356A21" w:rsidRPr="00B72323" w:rsidRDefault="00356A21">
            <w:pPr>
              <w:pStyle w:val="TableText"/>
              <w:rPr>
                <w:bCs/>
              </w:rPr>
            </w:pPr>
            <w:r w:rsidRPr="001D465F">
              <w:rPr>
                <w:rFonts w:asciiTheme="minorHAnsi" w:hAnsiTheme="minorHAnsi" w:cstheme="minorHAnsi"/>
                <w:sz w:val="20"/>
                <w:szCs w:val="20"/>
              </w:rPr>
              <w:t>57.0</w:t>
            </w:r>
          </w:p>
        </w:tc>
      </w:tr>
      <w:tr w:rsidR="00356A21" w:rsidRPr="00B72323" w14:paraId="3B9AF19A" w14:textId="77777777">
        <w:trPr>
          <w:trHeight w:val="360"/>
        </w:trPr>
        <w:tc>
          <w:tcPr>
            <w:tcW w:w="1834" w:type="pct"/>
            <w:shd w:val="clear" w:color="auto" w:fill="auto"/>
          </w:tcPr>
          <w:p w14:paraId="6A3CB66E" w14:textId="6FAAB959"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w:t>
            </w:r>
            <w:r w:rsidRPr="001D465F">
              <w:rPr>
                <w:rFonts w:asciiTheme="minorHAnsi" w:hAnsiTheme="minorHAnsi" w:cstheme="minorHAnsi"/>
                <w:b/>
                <w:bCs/>
                <w:color w:val="000000" w:themeColor="text1"/>
                <w:sz w:val="20"/>
                <w:szCs w:val="20"/>
              </w:rPr>
              <w:t>2a</w:t>
            </w:r>
            <w:r w:rsidRPr="001D465F">
              <w:rPr>
                <w:rFonts w:asciiTheme="minorHAnsi" w:hAnsiTheme="minorHAnsi" w:cstheme="minorHAnsi"/>
                <w:b/>
                <w:color w:val="000000" w:themeColor="text1"/>
                <w:sz w:val="20"/>
                <w:szCs w:val="20"/>
              </w:rPr>
              <w:t xml:space="preserve">: </w:t>
            </w:r>
            <w:r w:rsidRPr="001D465F">
              <w:rPr>
                <w:rFonts w:asciiTheme="minorHAnsi" w:hAnsiTheme="minorHAnsi" w:cstheme="minorHAnsi"/>
                <w:b/>
                <w:bCs/>
                <w:color w:val="000000" w:themeColor="text1"/>
                <w:sz w:val="20"/>
                <w:szCs w:val="20"/>
              </w:rPr>
              <w:t>A</w:t>
            </w:r>
            <w:r w:rsidRPr="001D465F">
              <w:rPr>
                <w:rFonts w:asciiTheme="minorHAnsi" w:hAnsiTheme="minorHAnsi" w:cstheme="minorHAnsi"/>
                <w:b/>
                <w:color w:val="000000" w:themeColor="text1"/>
                <w:sz w:val="20"/>
                <w:szCs w:val="20"/>
              </w:rPr>
              <w:t xml:space="preserve">llocate to </w:t>
            </w:r>
            <w:r w:rsidRPr="001D465F">
              <w:rPr>
                <w:rFonts w:asciiTheme="minorHAnsi" w:hAnsiTheme="minorHAnsi" w:cstheme="minorHAnsi"/>
                <w:b/>
                <w:bCs/>
                <w:color w:val="000000" w:themeColor="text1"/>
                <w:sz w:val="20"/>
                <w:szCs w:val="20"/>
              </w:rPr>
              <w:t>non-</w:t>
            </w:r>
            <w:r w:rsidRPr="001D465F">
              <w:rPr>
                <w:rFonts w:asciiTheme="minorHAnsi" w:hAnsiTheme="minorHAnsi" w:cstheme="minorHAnsi"/>
                <w:b/>
                <w:color w:val="000000" w:themeColor="text1"/>
                <w:sz w:val="20"/>
                <w:szCs w:val="20"/>
              </w:rPr>
              <w:t>NZ ETS sectors</w:t>
            </w:r>
          </w:p>
        </w:tc>
        <w:tc>
          <w:tcPr>
            <w:tcW w:w="633" w:type="pct"/>
          </w:tcPr>
          <w:p w14:paraId="362F97FE" w14:textId="45654AE6" w:rsidR="00356A21" w:rsidRPr="00B72323" w:rsidRDefault="00356A21">
            <w:pPr>
              <w:pStyle w:val="TableText"/>
              <w:rPr>
                <w:bCs/>
              </w:rPr>
            </w:pPr>
            <w:r w:rsidRPr="001D465F">
              <w:rPr>
                <w:rFonts w:asciiTheme="minorHAnsi" w:hAnsiTheme="minorHAnsi" w:cstheme="minorHAnsi"/>
                <w:sz w:val="20"/>
                <w:szCs w:val="20"/>
              </w:rPr>
              <w:t>-41.5</w:t>
            </w:r>
          </w:p>
        </w:tc>
        <w:tc>
          <w:tcPr>
            <w:tcW w:w="633" w:type="pct"/>
          </w:tcPr>
          <w:p w14:paraId="5AE6B2AE" w14:textId="41398F6E" w:rsidR="00356A21" w:rsidRPr="00B72323" w:rsidRDefault="00356A21">
            <w:pPr>
              <w:pStyle w:val="TableText"/>
              <w:rPr>
                <w:bCs/>
              </w:rPr>
            </w:pPr>
            <w:r w:rsidRPr="001D465F">
              <w:rPr>
                <w:rFonts w:asciiTheme="minorHAnsi" w:hAnsiTheme="minorHAnsi" w:cstheme="minorHAnsi"/>
                <w:sz w:val="20"/>
                <w:szCs w:val="20"/>
              </w:rPr>
              <w:t>-41.0</w:t>
            </w:r>
          </w:p>
        </w:tc>
        <w:tc>
          <w:tcPr>
            <w:tcW w:w="633" w:type="pct"/>
          </w:tcPr>
          <w:p w14:paraId="5F619B05" w14:textId="52D607EA" w:rsidR="00356A21" w:rsidRPr="00B72323" w:rsidRDefault="00356A21">
            <w:pPr>
              <w:pStyle w:val="TableText"/>
              <w:rPr>
                <w:bCs/>
              </w:rPr>
            </w:pPr>
            <w:r w:rsidRPr="001D465F">
              <w:rPr>
                <w:rFonts w:asciiTheme="minorHAnsi" w:hAnsiTheme="minorHAnsi" w:cstheme="minorHAnsi"/>
                <w:sz w:val="20"/>
                <w:szCs w:val="20"/>
              </w:rPr>
              <w:t>-40.7</w:t>
            </w:r>
          </w:p>
        </w:tc>
        <w:tc>
          <w:tcPr>
            <w:tcW w:w="633" w:type="pct"/>
          </w:tcPr>
          <w:p w14:paraId="3E84F88A" w14:textId="146A61C1" w:rsidR="00356A21" w:rsidRPr="00B72323" w:rsidRDefault="00356A21">
            <w:pPr>
              <w:pStyle w:val="TableText"/>
              <w:rPr>
                <w:bCs/>
              </w:rPr>
            </w:pPr>
            <w:r w:rsidRPr="001D465F">
              <w:rPr>
                <w:rFonts w:asciiTheme="minorHAnsi" w:hAnsiTheme="minorHAnsi" w:cstheme="minorHAnsi"/>
                <w:sz w:val="20"/>
                <w:szCs w:val="20"/>
              </w:rPr>
              <w:t>-40.4</w:t>
            </w:r>
          </w:p>
        </w:tc>
        <w:tc>
          <w:tcPr>
            <w:tcW w:w="634" w:type="pct"/>
            <w:shd w:val="clear" w:color="auto" w:fill="auto"/>
          </w:tcPr>
          <w:p w14:paraId="0E3FAB4A" w14:textId="00F00F56" w:rsidR="00356A21" w:rsidRPr="00B72323" w:rsidRDefault="00356A21">
            <w:pPr>
              <w:pStyle w:val="TableText"/>
              <w:rPr>
                <w:bCs/>
              </w:rPr>
            </w:pPr>
            <w:r w:rsidRPr="001D465F">
              <w:rPr>
                <w:rFonts w:asciiTheme="minorHAnsi" w:hAnsiTheme="minorHAnsi" w:cstheme="minorHAnsi"/>
                <w:sz w:val="20"/>
                <w:szCs w:val="20"/>
              </w:rPr>
              <w:t>-40.0</w:t>
            </w:r>
          </w:p>
        </w:tc>
      </w:tr>
      <w:tr w:rsidR="00356A21" w:rsidRPr="00B72323" w14:paraId="17F6D364" w14:textId="77777777">
        <w:trPr>
          <w:trHeight w:val="360"/>
        </w:trPr>
        <w:tc>
          <w:tcPr>
            <w:tcW w:w="1834" w:type="pct"/>
            <w:shd w:val="clear" w:color="auto" w:fill="auto"/>
          </w:tcPr>
          <w:p w14:paraId="1D5657CA" w14:textId="64B39C95" w:rsidR="00356A21" w:rsidRPr="00356A21" w:rsidRDefault="00356A21">
            <w:pPr>
              <w:pStyle w:val="TableText"/>
              <w:rPr>
                <w:b/>
                <w:bCs/>
              </w:rPr>
            </w:pPr>
            <w:r w:rsidRPr="00356A21">
              <w:rPr>
                <w:rFonts w:asciiTheme="minorHAnsi" w:hAnsiTheme="minorHAnsi" w:cstheme="minorHAnsi"/>
                <w:b/>
                <w:bCs/>
                <w:color w:val="000000" w:themeColor="text1"/>
                <w:sz w:val="20"/>
                <w:szCs w:val="20"/>
              </w:rPr>
              <w:t>Step 2b: Allocate to NZ ETS sectors</w:t>
            </w:r>
          </w:p>
        </w:tc>
        <w:tc>
          <w:tcPr>
            <w:tcW w:w="633" w:type="pct"/>
          </w:tcPr>
          <w:p w14:paraId="147291B0" w14:textId="09B27034" w:rsidR="00356A21" w:rsidRPr="00B72323" w:rsidRDefault="00356A21">
            <w:pPr>
              <w:pStyle w:val="TableText"/>
              <w:rPr>
                <w:bCs/>
              </w:rPr>
            </w:pPr>
            <w:r w:rsidRPr="001D465F">
              <w:rPr>
                <w:rFonts w:asciiTheme="minorHAnsi" w:hAnsiTheme="minorHAnsi" w:cstheme="minorHAnsi"/>
                <w:sz w:val="20"/>
                <w:szCs w:val="20"/>
              </w:rPr>
              <w:t>25.2</w:t>
            </w:r>
          </w:p>
        </w:tc>
        <w:tc>
          <w:tcPr>
            <w:tcW w:w="633" w:type="pct"/>
          </w:tcPr>
          <w:p w14:paraId="0A4BD459" w14:textId="05387DD8" w:rsidR="00356A21" w:rsidRPr="00B72323" w:rsidRDefault="00356A21">
            <w:pPr>
              <w:pStyle w:val="TableText"/>
              <w:rPr>
                <w:bCs/>
              </w:rPr>
            </w:pPr>
            <w:r w:rsidRPr="001D465F">
              <w:rPr>
                <w:rFonts w:asciiTheme="minorHAnsi" w:hAnsiTheme="minorHAnsi" w:cstheme="minorHAnsi"/>
                <w:sz w:val="20"/>
                <w:szCs w:val="20"/>
              </w:rPr>
              <w:t>23.2</w:t>
            </w:r>
          </w:p>
        </w:tc>
        <w:tc>
          <w:tcPr>
            <w:tcW w:w="633" w:type="pct"/>
          </w:tcPr>
          <w:p w14:paraId="1A1E11C8" w14:textId="625C36B6" w:rsidR="00356A21" w:rsidRPr="00B72323" w:rsidRDefault="00356A21">
            <w:pPr>
              <w:pStyle w:val="TableText"/>
              <w:rPr>
                <w:bCs/>
              </w:rPr>
            </w:pPr>
            <w:r w:rsidRPr="001D465F">
              <w:rPr>
                <w:rFonts w:asciiTheme="minorHAnsi" w:hAnsiTheme="minorHAnsi" w:cstheme="minorHAnsi"/>
                <w:sz w:val="20"/>
                <w:szCs w:val="20"/>
              </w:rPr>
              <w:t>21.2</w:t>
            </w:r>
          </w:p>
        </w:tc>
        <w:tc>
          <w:tcPr>
            <w:tcW w:w="633" w:type="pct"/>
          </w:tcPr>
          <w:p w14:paraId="0E9CE905" w14:textId="69F9CD57" w:rsidR="00356A21" w:rsidRPr="00B72323" w:rsidRDefault="00356A21">
            <w:pPr>
              <w:pStyle w:val="TableText"/>
              <w:rPr>
                <w:bCs/>
              </w:rPr>
            </w:pPr>
            <w:r w:rsidRPr="001D465F">
              <w:rPr>
                <w:rFonts w:asciiTheme="minorHAnsi" w:hAnsiTheme="minorHAnsi" w:cstheme="minorHAnsi"/>
                <w:sz w:val="20"/>
                <w:szCs w:val="20"/>
              </w:rPr>
              <w:t>19.0</w:t>
            </w:r>
          </w:p>
        </w:tc>
        <w:tc>
          <w:tcPr>
            <w:tcW w:w="634" w:type="pct"/>
            <w:shd w:val="clear" w:color="auto" w:fill="auto"/>
          </w:tcPr>
          <w:p w14:paraId="34A4239B" w14:textId="2735C1D2" w:rsidR="00356A21" w:rsidRPr="00B72323" w:rsidRDefault="00356A21">
            <w:pPr>
              <w:pStyle w:val="TableText"/>
              <w:rPr>
                <w:bCs/>
              </w:rPr>
            </w:pPr>
            <w:r w:rsidRPr="001D465F">
              <w:rPr>
                <w:rFonts w:asciiTheme="minorHAnsi" w:hAnsiTheme="minorHAnsi" w:cstheme="minorHAnsi"/>
                <w:sz w:val="20"/>
                <w:szCs w:val="20"/>
              </w:rPr>
              <w:t>17.0</w:t>
            </w:r>
          </w:p>
        </w:tc>
      </w:tr>
      <w:tr w:rsidR="00356A21" w:rsidRPr="00B72323" w14:paraId="119A8860" w14:textId="77777777">
        <w:trPr>
          <w:trHeight w:val="360"/>
        </w:trPr>
        <w:tc>
          <w:tcPr>
            <w:tcW w:w="1834" w:type="pct"/>
            <w:shd w:val="clear" w:color="auto" w:fill="auto"/>
          </w:tcPr>
          <w:p w14:paraId="3FCE7377" w14:textId="60BA4345"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3: </w:t>
            </w:r>
            <w:r w:rsidR="00122BEB">
              <w:rPr>
                <w:rFonts w:asciiTheme="minorHAnsi" w:hAnsiTheme="minorHAnsi" w:cstheme="minorHAnsi"/>
                <w:b/>
                <w:bCs/>
                <w:color w:val="000000" w:themeColor="text1"/>
                <w:sz w:val="20"/>
                <w:szCs w:val="20"/>
              </w:rPr>
              <w:t>Make t</w:t>
            </w:r>
            <w:r w:rsidRPr="001D465F">
              <w:rPr>
                <w:rFonts w:asciiTheme="minorHAnsi" w:hAnsiTheme="minorHAnsi" w:cstheme="minorHAnsi"/>
                <w:b/>
                <w:color w:val="000000" w:themeColor="text1"/>
                <w:sz w:val="20"/>
                <w:szCs w:val="20"/>
              </w:rPr>
              <w:t>echnical adjustment</w:t>
            </w:r>
          </w:p>
        </w:tc>
        <w:tc>
          <w:tcPr>
            <w:tcW w:w="633" w:type="pct"/>
          </w:tcPr>
          <w:p w14:paraId="6E308188" w14:textId="5F5A2201" w:rsidR="00356A21" w:rsidRPr="00B72323" w:rsidRDefault="00356A21">
            <w:pPr>
              <w:pStyle w:val="TableText"/>
              <w:rPr>
                <w:bCs/>
              </w:rPr>
            </w:pPr>
            <w:r w:rsidRPr="001D465F">
              <w:rPr>
                <w:rFonts w:asciiTheme="minorHAnsi" w:hAnsiTheme="minorHAnsi" w:cstheme="minorHAnsi"/>
                <w:sz w:val="20"/>
                <w:szCs w:val="20"/>
              </w:rPr>
              <w:t>-0.7</w:t>
            </w:r>
          </w:p>
        </w:tc>
        <w:tc>
          <w:tcPr>
            <w:tcW w:w="633" w:type="pct"/>
          </w:tcPr>
          <w:p w14:paraId="55E62E6C" w14:textId="1FD76C7D" w:rsidR="00356A21" w:rsidRPr="00B72323" w:rsidRDefault="00356A21">
            <w:pPr>
              <w:pStyle w:val="TableText"/>
              <w:rPr>
                <w:bCs/>
              </w:rPr>
            </w:pPr>
            <w:r w:rsidRPr="001D465F">
              <w:rPr>
                <w:rFonts w:asciiTheme="minorHAnsi" w:hAnsiTheme="minorHAnsi" w:cstheme="minorHAnsi"/>
                <w:sz w:val="20"/>
                <w:szCs w:val="20"/>
              </w:rPr>
              <w:t>-0.7</w:t>
            </w:r>
          </w:p>
        </w:tc>
        <w:tc>
          <w:tcPr>
            <w:tcW w:w="633" w:type="pct"/>
          </w:tcPr>
          <w:p w14:paraId="7A8FD45A" w14:textId="2669AF02" w:rsidR="00356A21" w:rsidRPr="00B72323" w:rsidRDefault="00356A21">
            <w:pPr>
              <w:pStyle w:val="TableText"/>
              <w:rPr>
                <w:bCs/>
              </w:rPr>
            </w:pPr>
            <w:r w:rsidRPr="001D465F">
              <w:rPr>
                <w:rFonts w:asciiTheme="minorHAnsi" w:hAnsiTheme="minorHAnsi" w:cstheme="minorHAnsi"/>
                <w:sz w:val="20"/>
                <w:szCs w:val="20"/>
              </w:rPr>
              <w:t>-0.7</w:t>
            </w:r>
          </w:p>
        </w:tc>
        <w:tc>
          <w:tcPr>
            <w:tcW w:w="633" w:type="pct"/>
          </w:tcPr>
          <w:p w14:paraId="7AD268D8" w14:textId="3F6BB106" w:rsidR="00356A21" w:rsidRPr="00B72323" w:rsidRDefault="00356A21">
            <w:pPr>
              <w:pStyle w:val="TableText"/>
              <w:rPr>
                <w:bCs/>
              </w:rPr>
            </w:pPr>
            <w:r w:rsidRPr="001D465F">
              <w:rPr>
                <w:rFonts w:asciiTheme="minorHAnsi" w:hAnsiTheme="minorHAnsi" w:cstheme="minorHAnsi"/>
                <w:sz w:val="20"/>
                <w:szCs w:val="20"/>
              </w:rPr>
              <w:t>-0.7</w:t>
            </w:r>
          </w:p>
        </w:tc>
        <w:tc>
          <w:tcPr>
            <w:tcW w:w="634" w:type="pct"/>
            <w:shd w:val="clear" w:color="auto" w:fill="auto"/>
          </w:tcPr>
          <w:p w14:paraId="750D12E3" w14:textId="21731018" w:rsidR="00356A21" w:rsidRPr="00B72323" w:rsidRDefault="00356A21">
            <w:pPr>
              <w:pStyle w:val="TableText"/>
              <w:rPr>
                <w:bCs/>
              </w:rPr>
            </w:pPr>
            <w:r w:rsidRPr="001D465F">
              <w:rPr>
                <w:rFonts w:asciiTheme="minorHAnsi" w:hAnsiTheme="minorHAnsi" w:cstheme="minorHAnsi"/>
                <w:sz w:val="20"/>
                <w:szCs w:val="20"/>
              </w:rPr>
              <w:t>-0.7</w:t>
            </w:r>
          </w:p>
        </w:tc>
      </w:tr>
      <w:tr w:rsidR="00356A21" w:rsidRPr="00B72323" w14:paraId="45E8D087" w14:textId="77777777">
        <w:trPr>
          <w:trHeight w:val="360"/>
        </w:trPr>
        <w:tc>
          <w:tcPr>
            <w:tcW w:w="1834" w:type="pct"/>
            <w:shd w:val="clear" w:color="auto" w:fill="auto"/>
          </w:tcPr>
          <w:p w14:paraId="0C830E91" w14:textId="4422B3DA"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4: </w:t>
            </w:r>
            <w:r w:rsidR="00BE0A3B">
              <w:rPr>
                <w:rFonts w:asciiTheme="minorHAnsi" w:hAnsiTheme="minorHAnsi" w:cstheme="minorHAnsi"/>
                <w:b/>
                <w:bCs/>
                <w:color w:val="000000" w:themeColor="text1"/>
                <w:sz w:val="20"/>
                <w:szCs w:val="20"/>
              </w:rPr>
              <w:t>Account for i</w:t>
            </w:r>
            <w:r w:rsidRPr="001D465F">
              <w:rPr>
                <w:rFonts w:asciiTheme="minorHAnsi" w:hAnsiTheme="minorHAnsi" w:cstheme="minorHAnsi"/>
                <w:b/>
                <w:color w:val="000000" w:themeColor="text1"/>
                <w:sz w:val="20"/>
                <w:szCs w:val="20"/>
              </w:rPr>
              <w:t>ndustrial allocation</w:t>
            </w:r>
            <w:r w:rsidR="00BE0A3B">
              <w:rPr>
                <w:rFonts w:asciiTheme="minorHAnsi" w:hAnsiTheme="minorHAnsi" w:cstheme="minorHAnsi"/>
                <w:b/>
                <w:color w:val="000000" w:themeColor="text1"/>
                <w:sz w:val="20"/>
                <w:szCs w:val="20"/>
              </w:rPr>
              <w:t xml:space="preserve"> volumes</w:t>
            </w:r>
          </w:p>
        </w:tc>
        <w:tc>
          <w:tcPr>
            <w:tcW w:w="633" w:type="pct"/>
          </w:tcPr>
          <w:p w14:paraId="1AD291DE" w14:textId="254284C0" w:rsidR="00356A21" w:rsidRPr="00B72323" w:rsidRDefault="00356A21">
            <w:pPr>
              <w:pStyle w:val="TableText"/>
              <w:rPr>
                <w:bCs/>
              </w:rPr>
            </w:pPr>
            <w:r w:rsidRPr="001D465F">
              <w:rPr>
                <w:rFonts w:asciiTheme="minorHAnsi" w:hAnsiTheme="minorHAnsi" w:cstheme="minorHAnsi"/>
                <w:sz w:val="20"/>
                <w:szCs w:val="20"/>
              </w:rPr>
              <w:t>-5.9</w:t>
            </w:r>
          </w:p>
        </w:tc>
        <w:tc>
          <w:tcPr>
            <w:tcW w:w="633" w:type="pct"/>
          </w:tcPr>
          <w:p w14:paraId="1B32A62D" w14:textId="4110D926" w:rsidR="00356A21" w:rsidRPr="00B72323" w:rsidRDefault="00356A21">
            <w:pPr>
              <w:pStyle w:val="TableText"/>
              <w:rPr>
                <w:bCs/>
              </w:rPr>
            </w:pPr>
            <w:r w:rsidRPr="001D465F">
              <w:rPr>
                <w:rFonts w:asciiTheme="minorHAnsi" w:hAnsiTheme="minorHAnsi" w:cstheme="minorHAnsi"/>
                <w:sz w:val="20"/>
                <w:szCs w:val="20"/>
              </w:rPr>
              <w:t>-5.8</w:t>
            </w:r>
          </w:p>
        </w:tc>
        <w:tc>
          <w:tcPr>
            <w:tcW w:w="633" w:type="pct"/>
          </w:tcPr>
          <w:p w14:paraId="011DCC7E" w14:textId="772A02DE" w:rsidR="00356A21" w:rsidRPr="00B72323" w:rsidRDefault="00356A21">
            <w:pPr>
              <w:pStyle w:val="TableText"/>
              <w:rPr>
                <w:bCs/>
              </w:rPr>
            </w:pPr>
            <w:r w:rsidRPr="001D465F">
              <w:rPr>
                <w:rFonts w:asciiTheme="minorHAnsi" w:hAnsiTheme="minorHAnsi" w:cstheme="minorHAnsi"/>
                <w:sz w:val="20"/>
                <w:szCs w:val="20"/>
              </w:rPr>
              <w:t>-5.0</w:t>
            </w:r>
          </w:p>
        </w:tc>
        <w:tc>
          <w:tcPr>
            <w:tcW w:w="633" w:type="pct"/>
          </w:tcPr>
          <w:p w14:paraId="6F3A9D77" w14:textId="4E48BC2B" w:rsidR="00356A21" w:rsidRPr="00B72323" w:rsidRDefault="00356A21">
            <w:pPr>
              <w:pStyle w:val="TableText"/>
              <w:rPr>
                <w:bCs/>
              </w:rPr>
            </w:pPr>
            <w:r w:rsidRPr="001D465F">
              <w:rPr>
                <w:rFonts w:asciiTheme="minorHAnsi" w:hAnsiTheme="minorHAnsi" w:cstheme="minorHAnsi"/>
                <w:sz w:val="20"/>
                <w:szCs w:val="20"/>
              </w:rPr>
              <w:t>-4.9</w:t>
            </w:r>
          </w:p>
        </w:tc>
        <w:tc>
          <w:tcPr>
            <w:tcW w:w="634" w:type="pct"/>
            <w:shd w:val="clear" w:color="auto" w:fill="auto"/>
          </w:tcPr>
          <w:p w14:paraId="36B7D811" w14:textId="5F2F862F" w:rsidR="00356A21" w:rsidRPr="00B72323" w:rsidRDefault="00356A21">
            <w:pPr>
              <w:pStyle w:val="TableText"/>
              <w:rPr>
                <w:bCs/>
              </w:rPr>
            </w:pPr>
            <w:r w:rsidRPr="001D465F">
              <w:rPr>
                <w:rFonts w:asciiTheme="minorHAnsi" w:hAnsiTheme="minorHAnsi" w:cstheme="minorHAnsi"/>
                <w:sz w:val="20"/>
                <w:szCs w:val="20"/>
              </w:rPr>
              <w:t>-4.8</w:t>
            </w:r>
          </w:p>
        </w:tc>
      </w:tr>
      <w:tr w:rsidR="00356A21" w:rsidRPr="00B72323" w14:paraId="4706E7AA" w14:textId="77777777">
        <w:trPr>
          <w:trHeight w:val="360"/>
        </w:trPr>
        <w:tc>
          <w:tcPr>
            <w:tcW w:w="1834" w:type="pct"/>
            <w:shd w:val="clear" w:color="auto" w:fill="auto"/>
          </w:tcPr>
          <w:p w14:paraId="73C5DA32" w14:textId="025A9B19"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5: </w:t>
            </w:r>
            <w:r w:rsidR="0094165C">
              <w:rPr>
                <w:rFonts w:asciiTheme="minorHAnsi" w:hAnsiTheme="minorHAnsi" w:cstheme="minorHAnsi"/>
                <w:b/>
                <w:bCs/>
                <w:color w:val="000000" w:themeColor="text1"/>
                <w:sz w:val="20"/>
                <w:szCs w:val="20"/>
              </w:rPr>
              <w:t xml:space="preserve">Set the </w:t>
            </w:r>
            <w:r w:rsidR="00044613">
              <w:rPr>
                <w:rFonts w:asciiTheme="minorHAnsi" w:hAnsiTheme="minorHAnsi" w:cstheme="minorHAnsi"/>
                <w:b/>
                <w:bCs/>
                <w:color w:val="000000" w:themeColor="text1"/>
                <w:sz w:val="20"/>
                <w:szCs w:val="20"/>
              </w:rPr>
              <w:t>reduction volume to address the unit surplus</w:t>
            </w:r>
            <w:r w:rsidRPr="001D465F">
              <w:rPr>
                <w:rFonts w:asciiTheme="minorHAnsi" w:hAnsiTheme="minorHAnsi" w:cstheme="minorHAnsi"/>
                <w:b/>
                <w:color w:val="000000" w:themeColor="text1"/>
                <w:sz w:val="20"/>
                <w:szCs w:val="20"/>
              </w:rPr>
              <w:t>*</w:t>
            </w:r>
          </w:p>
        </w:tc>
        <w:tc>
          <w:tcPr>
            <w:tcW w:w="633" w:type="pct"/>
          </w:tcPr>
          <w:p w14:paraId="08509E8A" w14:textId="0A20D09D" w:rsidR="00356A21" w:rsidRPr="00B72323" w:rsidRDefault="00356A21">
            <w:pPr>
              <w:pStyle w:val="TableText"/>
              <w:rPr>
                <w:bCs/>
              </w:rPr>
            </w:pPr>
            <w:r w:rsidRPr="001D465F">
              <w:rPr>
                <w:rFonts w:asciiTheme="minorHAnsi" w:hAnsiTheme="minorHAnsi" w:cstheme="minorHAnsi"/>
                <w:sz w:val="20"/>
                <w:szCs w:val="20"/>
              </w:rPr>
              <w:t>-12.7</w:t>
            </w:r>
          </w:p>
        </w:tc>
        <w:tc>
          <w:tcPr>
            <w:tcW w:w="633" w:type="pct"/>
          </w:tcPr>
          <w:p w14:paraId="17DEB6AD" w14:textId="6E26F59A" w:rsidR="00356A21" w:rsidRPr="00B72323" w:rsidRDefault="00356A21">
            <w:pPr>
              <w:pStyle w:val="TableText"/>
              <w:rPr>
                <w:bCs/>
              </w:rPr>
            </w:pPr>
            <w:r w:rsidRPr="001D465F">
              <w:rPr>
                <w:rFonts w:asciiTheme="minorHAnsi" w:hAnsiTheme="minorHAnsi" w:cstheme="minorHAnsi"/>
                <w:sz w:val="20"/>
                <w:szCs w:val="20"/>
              </w:rPr>
              <w:t>-11.7</w:t>
            </w:r>
          </w:p>
        </w:tc>
        <w:tc>
          <w:tcPr>
            <w:tcW w:w="633" w:type="pct"/>
          </w:tcPr>
          <w:p w14:paraId="5612DA92" w14:textId="13EA8D09" w:rsidR="00356A21" w:rsidRPr="00B72323" w:rsidRDefault="00356A21">
            <w:pPr>
              <w:pStyle w:val="TableText"/>
              <w:rPr>
                <w:bCs/>
              </w:rPr>
            </w:pPr>
            <w:r w:rsidRPr="001D465F">
              <w:rPr>
                <w:rFonts w:asciiTheme="minorHAnsi" w:hAnsiTheme="minorHAnsi" w:cstheme="minorHAnsi"/>
                <w:sz w:val="20"/>
                <w:szCs w:val="20"/>
              </w:rPr>
              <w:t>-10.7</w:t>
            </w:r>
          </w:p>
        </w:tc>
        <w:tc>
          <w:tcPr>
            <w:tcW w:w="633" w:type="pct"/>
          </w:tcPr>
          <w:p w14:paraId="2C57F712" w14:textId="605B7A6D" w:rsidR="00356A21" w:rsidRPr="00B72323" w:rsidRDefault="00356A21">
            <w:pPr>
              <w:pStyle w:val="TableText"/>
              <w:rPr>
                <w:bCs/>
              </w:rPr>
            </w:pPr>
            <w:r w:rsidRPr="001D465F">
              <w:rPr>
                <w:rFonts w:asciiTheme="minorHAnsi" w:hAnsiTheme="minorHAnsi" w:cstheme="minorHAnsi"/>
                <w:sz w:val="20"/>
                <w:szCs w:val="20"/>
              </w:rPr>
              <w:t>-9.5</w:t>
            </w:r>
          </w:p>
        </w:tc>
        <w:tc>
          <w:tcPr>
            <w:tcW w:w="634" w:type="pct"/>
            <w:shd w:val="clear" w:color="auto" w:fill="auto"/>
          </w:tcPr>
          <w:p w14:paraId="45AE33D2" w14:textId="2EAC16BF" w:rsidR="00356A21" w:rsidRPr="00B72323" w:rsidRDefault="00356A21">
            <w:pPr>
              <w:pStyle w:val="TableText"/>
              <w:rPr>
                <w:bCs/>
              </w:rPr>
            </w:pPr>
            <w:r w:rsidRPr="001D465F">
              <w:rPr>
                <w:rFonts w:asciiTheme="minorHAnsi" w:hAnsiTheme="minorHAnsi" w:cstheme="minorHAnsi"/>
                <w:sz w:val="20"/>
                <w:szCs w:val="20"/>
              </w:rPr>
              <w:t>-8.6</w:t>
            </w:r>
          </w:p>
        </w:tc>
      </w:tr>
      <w:tr w:rsidR="00356A21" w:rsidRPr="00B72323" w14:paraId="41AAB4E8" w14:textId="77777777" w:rsidTr="00FC2F61">
        <w:trPr>
          <w:trHeight w:val="360"/>
        </w:trPr>
        <w:tc>
          <w:tcPr>
            <w:tcW w:w="1834" w:type="pct"/>
            <w:tcBorders>
              <w:bottom w:val="single" w:sz="4" w:space="0" w:color="1B556B"/>
            </w:tcBorders>
            <w:shd w:val="clear" w:color="auto" w:fill="auto"/>
          </w:tcPr>
          <w:p w14:paraId="4BE5E9B8" w14:textId="454F48F7" w:rsidR="00356A21" w:rsidRPr="00B72323" w:rsidRDefault="00356A21">
            <w:pPr>
              <w:pStyle w:val="TableText"/>
              <w:rPr>
                <w:bCs/>
              </w:rPr>
            </w:pPr>
            <w:r w:rsidRPr="001D465F">
              <w:rPr>
                <w:rFonts w:asciiTheme="minorHAnsi" w:hAnsiTheme="minorHAnsi" w:cstheme="minorHAnsi"/>
                <w:b/>
                <w:color w:val="000000" w:themeColor="text1"/>
                <w:sz w:val="20"/>
                <w:szCs w:val="20"/>
              </w:rPr>
              <w:t xml:space="preserve">Step 6: </w:t>
            </w:r>
            <w:r w:rsidR="00044613">
              <w:rPr>
                <w:rFonts w:asciiTheme="minorHAnsi" w:hAnsiTheme="minorHAnsi" w:cstheme="minorHAnsi"/>
                <w:b/>
                <w:bCs/>
                <w:color w:val="000000" w:themeColor="text1"/>
                <w:sz w:val="20"/>
                <w:szCs w:val="20"/>
              </w:rPr>
              <w:t xml:space="preserve">Set the approved </w:t>
            </w:r>
            <w:r w:rsidR="00D531B8">
              <w:rPr>
                <w:rFonts w:asciiTheme="minorHAnsi" w:hAnsiTheme="minorHAnsi" w:cstheme="minorHAnsi"/>
                <w:b/>
                <w:bCs/>
                <w:color w:val="000000" w:themeColor="text1"/>
                <w:sz w:val="20"/>
                <w:szCs w:val="20"/>
              </w:rPr>
              <w:t>overse</w:t>
            </w:r>
            <w:r w:rsidR="003924C9">
              <w:rPr>
                <w:rFonts w:asciiTheme="minorHAnsi" w:hAnsiTheme="minorHAnsi" w:cstheme="minorHAnsi"/>
                <w:b/>
                <w:bCs/>
                <w:color w:val="000000" w:themeColor="text1"/>
                <w:sz w:val="20"/>
                <w:szCs w:val="20"/>
              </w:rPr>
              <w:t>a</w:t>
            </w:r>
            <w:r w:rsidR="00D531B8">
              <w:rPr>
                <w:rFonts w:asciiTheme="minorHAnsi" w:hAnsiTheme="minorHAnsi" w:cstheme="minorHAnsi"/>
                <w:b/>
                <w:bCs/>
                <w:color w:val="000000" w:themeColor="text1"/>
                <w:sz w:val="20"/>
                <w:szCs w:val="20"/>
              </w:rPr>
              <w:t xml:space="preserve">s </w:t>
            </w:r>
            <w:r w:rsidRPr="001D465F">
              <w:rPr>
                <w:rFonts w:asciiTheme="minorHAnsi" w:hAnsiTheme="minorHAnsi" w:cstheme="minorHAnsi"/>
                <w:b/>
                <w:color w:val="000000" w:themeColor="text1"/>
                <w:sz w:val="20"/>
                <w:szCs w:val="20"/>
              </w:rPr>
              <w:t>unit limit</w:t>
            </w:r>
          </w:p>
        </w:tc>
        <w:tc>
          <w:tcPr>
            <w:tcW w:w="633" w:type="pct"/>
            <w:tcBorders>
              <w:bottom w:val="single" w:sz="4" w:space="0" w:color="1B556B"/>
            </w:tcBorders>
          </w:tcPr>
          <w:p w14:paraId="4E441760" w14:textId="5B371350" w:rsidR="00356A21" w:rsidRPr="00B72323" w:rsidRDefault="00356A21">
            <w:pPr>
              <w:pStyle w:val="TableText"/>
              <w:rPr>
                <w:bCs/>
              </w:rPr>
            </w:pPr>
            <w:r w:rsidRPr="001D465F">
              <w:rPr>
                <w:rFonts w:asciiTheme="minorHAnsi" w:hAnsiTheme="minorHAnsi" w:cstheme="minorHAnsi"/>
                <w:sz w:val="20"/>
                <w:szCs w:val="20"/>
              </w:rPr>
              <w:t>0</w:t>
            </w:r>
          </w:p>
        </w:tc>
        <w:tc>
          <w:tcPr>
            <w:tcW w:w="633" w:type="pct"/>
            <w:tcBorders>
              <w:bottom w:val="single" w:sz="4" w:space="0" w:color="1B556B"/>
            </w:tcBorders>
          </w:tcPr>
          <w:p w14:paraId="2541AE6B" w14:textId="6AECBD60" w:rsidR="00356A21" w:rsidRPr="00B72323" w:rsidRDefault="00356A21">
            <w:pPr>
              <w:pStyle w:val="TableText"/>
              <w:rPr>
                <w:bCs/>
              </w:rPr>
            </w:pPr>
            <w:r w:rsidRPr="001D465F">
              <w:rPr>
                <w:rFonts w:asciiTheme="minorHAnsi" w:hAnsiTheme="minorHAnsi" w:cstheme="minorHAnsi"/>
                <w:sz w:val="20"/>
                <w:szCs w:val="20"/>
              </w:rPr>
              <w:t>0</w:t>
            </w:r>
          </w:p>
        </w:tc>
        <w:tc>
          <w:tcPr>
            <w:tcW w:w="633" w:type="pct"/>
            <w:tcBorders>
              <w:bottom w:val="single" w:sz="4" w:space="0" w:color="1B556B"/>
            </w:tcBorders>
          </w:tcPr>
          <w:p w14:paraId="63CD11F7" w14:textId="1729F97F" w:rsidR="00356A21" w:rsidRPr="00B72323" w:rsidRDefault="00356A21">
            <w:pPr>
              <w:pStyle w:val="TableText"/>
              <w:rPr>
                <w:bCs/>
              </w:rPr>
            </w:pPr>
            <w:r w:rsidRPr="001D465F">
              <w:rPr>
                <w:rFonts w:asciiTheme="minorHAnsi" w:hAnsiTheme="minorHAnsi" w:cstheme="minorHAnsi"/>
                <w:sz w:val="20"/>
                <w:szCs w:val="20"/>
              </w:rPr>
              <w:t>0</w:t>
            </w:r>
          </w:p>
        </w:tc>
        <w:tc>
          <w:tcPr>
            <w:tcW w:w="633" w:type="pct"/>
            <w:tcBorders>
              <w:bottom w:val="single" w:sz="4" w:space="0" w:color="1B556B"/>
            </w:tcBorders>
          </w:tcPr>
          <w:p w14:paraId="4D371B6E" w14:textId="40554D16" w:rsidR="00356A21" w:rsidRPr="00B72323" w:rsidRDefault="00356A21">
            <w:pPr>
              <w:pStyle w:val="TableText"/>
              <w:rPr>
                <w:bCs/>
              </w:rPr>
            </w:pPr>
            <w:r w:rsidRPr="001D465F">
              <w:rPr>
                <w:rFonts w:asciiTheme="minorHAnsi" w:hAnsiTheme="minorHAnsi" w:cstheme="minorHAnsi"/>
                <w:sz w:val="20"/>
                <w:szCs w:val="20"/>
              </w:rPr>
              <w:t>0</w:t>
            </w:r>
          </w:p>
        </w:tc>
        <w:tc>
          <w:tcPr>
            <w:tcW w:w="634" w:type="pct"/>
            <w:tcBorders>
              <w:bottom w:val="single" w:sz="4" w:space="0" w:color="1B556B"/>
            </w:tcBorders>
            <w:shd w:val="clear" w:color="auto" w:fill="auto"/>
          </w:tcPr>
          <w:p w14:paraId="5624179D" w14:textId="237B1791" w:rsidR="00356A21" w:rsidRPr="00B72323" w:rsidRDefault="00356A21">
            <w:pPr>
              <w:pStyle w:val="TableText"/>
              <w:rPr>
                <w:bCs/>
              </w:rPr>
            </w:pPr>
            <w:r w:rsidRPr="001D465F">
              <w:rPr>
                <w:rFonts w:asciiTheme="minorHAnsi" w:hAnsiTheme="minorHAnsi" w:cstheme="minorHAnsi"/>
                <w:sz w:val="20"/>
                <w:szCs w:val="20"/>
              </w:rPr>
              <w:t>0</w:t>
            </w:r>
          </w:p>
        </w:tc>
      </w:tr>
      <w:tr w:rsidR="00356A21" w:rsidRPr="00B72323" w14:paraId="689380F2" w14:textId="77777777">
        <w:trPr>
          <w:trHeight w:val="360"/>
        </w:trPr>
        <w:tc>
          <w:tcPr>
            <w:tcW w:w="1834" w:type="pct"/>
            <w:shd w:val="clear" w:color="auto" w:fill="auto"/>
          </w:tcPr>
          <w:p w14:paraId="13BBCD88" w14:textId="0DAF0F8A" w:rsidR="00356A21" w:rsidRPr="00B72323" w:rsidRDefault="00356A21">
            <w:pPr>
              <w:pStyle w:val="TableText"/>
              <w:rPr>
                <w:bCs/>
              </w:rPr>
            </w:pPr>
            <w:r w:rsidRPr="001D465F">
              <w:rPr>
                <w:rFonts w:asciiTheme="minorHAnsi" w:hAnsiTheme="minorHAnsi" w:cstheme="minorHAnsi"/>
                <w:b/>
                <w:bCs/>
                <w:color w:val="000000"/>
                <w:sz w:val="20"/>
                <w:szCs w:val="20"/>
              </w:rPr>
              <w:t xml:space="preserve">Step 7: </w:t>
            </w:r>
            <w:r w:rsidR="003924C9">
              <w:rPr>
                <w:rFonts w:asciiTheme="minorHAnsi" w:hAnsiTheme="minorHAnsi" w:cstheme="minorHAnsi"/>
                <w:b/>
                <w:bCs/>
                <w:color w:val="000000"/>
                <w:sz w:val="20"/>
                <w:szCs w:val="20"/>
              </w:rPr>
              <w:t>Calculate the base auction volumes</w:t>
            </w:r>
            <w:r w:rsidRPr="001D465F">
              <w:rPr>
                <w:rFonts w:asciiTheme="minorHAnsi" w:hAnsiTheme="minorHAnsi" w:cstheme="minorHAnsi"/>
                <w:color w:val="000000"/>
                <w:sz w:val="20"/>
                <w:szCs w:val="20"/>
              </w:rPr>
              <w:t>*</w:t>
            </w:r>
          </w:p>
        </w:tc>
        <w:tc>
          <w:tcPr>
            <w:tcW w:w="633" w:type="pct"/>
          </w:tcPr>
          <w:p w14:paraId="26C88EDC" w14:textId="37F8B5F5" w:rsidR="00356A21" w:rsidRPr="00B72323" w:rsidRDefault="00356A21">
            <w:pPr>
              <w:pStyle w:val="TableText"/>
              <w:rPr>
                <w:bCs/>
              </w:rPr>
            </w:pPr>
            <w:r w:rsidRPr="001D465F">
              <w:rPr>
                <w:rFonts w:asciiTheme="minorHAnsi" w:hAnsiTheme="minorHAnsi" w:cstheme="minorHAnsi"/>
                <w:b/>
                <w:bCs/>
                <w:sz w:val="20"/>
                <w:szCs w:val="20"/>
              </w:rPr>
              <w:t>5.9</w:t>
            </w:r>
          </w:p>
        </w:tc>
        <w:tc>
          <w:tcPr>
            <w:tcW w:w="633" w:type="pct"/>
          </w:tcPr>
          <w:p w14:paraId="771D4717" w14:textId="2D8FA379" w:rsidR="00356A21" w:rsidRPr="00B72323" w:rsidRDefault="00356A21">
            <w:pPr>
              <w:pStyle w:val="TableText"/>
              <w:rPr>
                <w:bCs/>
              </w:rPr>
            </w:pPr>
            <w:r w:rsidRPr="001D465F">
              <w:rPr>
                <w:rFonts w:asciiTheme="minorHAnsi" w:hAnsiTheme="minorHAnsi" w:cstheme="minorHAnsi"/>
                <w:b/>
                <w:bCs/>
                <w:sz w:val="20"/>
                <w:szCs w:val="20"/>
              </w:rPr>
              <w:t>5.0</w:t>
            </w:r>
          </w:p>
        </w:tc>
        <w:tc>
          <w:tcPr>
            <w:tcW w:w="633" w:type="pct"/>
          </w:tcPr>
          <w:p w14:paraId="393D2DE6" w14:textId="179BDB6F" w:rsidR="00356A21" w:rsidRPr="00B72323" w:rsidRDefault="00356A21">
            <w:pPr>
              <w:pStyle w:val="TableText"/>
              <w:rPr>
                <w:bCs/>
              </w:rPr>
            </w:pPr>
            <w:r w:rsidRPr="001D465F">
              <w:rPr>
                <w:rFonts w:asciiTheme="minorHAnsi" w:hAnsiTheme="minorHAnsi" w:cstheme="minorHAnsi"/>
                <w:b/>
                <w:bCs/>
                <w:sz w:val="20"/>
                <w:szCs w:val="20"/>
              </w:rPr>
              <w:t>4.9</w:t>
            </w:r>
          </w:p>
        </w:tc>
        <w:tc>
          <w:tcPr>
            <w:tcW w:w="633" w:type="pct"/>
          </w:tcPr>
          <w:p w14:paraId="7B16A3CC" w14:textId="61F17A8C" w:rsidR="00356A21" w:rsidRPr="00B72323" w:rsidRDefault="00356A21">
            <w:pPr>
              <w:pStyle w:val="TableText"/>
              <w:rPr>
                <w:bCs/>
              </w:rPr>
            </w:pPr>
            <w:r w:rsidRPr="001D465F">
              <w:rPr>
                <w:rFonts w:asciiTheme="minorHAnsi" w:hAnsiTheme="minorHAnsi" w:cstheme="minorHAnsi"/>
                <w:b/>
                <w:bCs/>
                <w:sz w:val="20"/>
                <w:szCs w:val="20"/>
              </w:rPr>
              <w:t>3.9</w:t>
            </w:r>
          </w:p>
        </w:tc>
        <w:tc>
          <w:tcPr>
            <w:tcW w:w="634" w:type="pct"/>
            <w:shd w:val="clear" w:color="auto" w:fill="auto"/>
          </w:tcPr>
          <w:p w14:paraId="2E96C1BF" w14:textId="7A706FF8" w:rsidR="00356A21" w:rsidRPr="00B72323" w:rsidRDefault="00356A21">
            <w:pPr>
              <w:pStyle w:val="TableText"/>
              <w:rPr>
                <w:bCs/>
              </w:rPr>
            </w:pPr>
            <w:r w:rsidRPr="001D465F">
              <w:rPr>
                <w:rFonts w:asciiTheme="minorHAnsi" w:hAnsiTheme="minorHAnsi" w:cstheme="minorHAnsi"/>
                <w:b/>
                <w:bCs/>
                <w:sz w:val="20"/>
                <w:szCs w:val="20"/>
              </w:rPr>
              <w:t>3.0</w:t>
            </w:r>
          </w:p>
        </w:tc>
      </w:tr>
    </w:tbl>
    <w:p w14:paraId="60F5FC18" w14:textId="19861841" w:rsidR="001A7C31" w:rsidRPr="0097564D" w:rsidRDefault="001A7C31" w:rsidP="00356A21">
      <w:pPr>
        <w:pStyle w:val="Note"/>
        <w:spacing w:before="120"/>
      </w:pPr>
      <w:r w:rsidRPr="0097564D">
        <w:t>*Note</w:t>
      </w:r>
      <w:r>
        <w:t xml:space="preserve"> we will provide final numbers when seeking final Cabinet approval once a preferred set of options is identified following consultation. </w:t>
      </w:r>
    </w:p>
    <w:p w14:paraId="58C63F89" w14:textId="3F9AA2E6" w:rsidR="001A7C31" w:rsidRPr="00FC2F61" w:rsidRDefault="004C20E0" w:rsidP="00FC2F61">
      <w:pPr>
        <w:pStyle w:val="BodyText"/>
      </w:pPr>
      <w:r>
        <w:t>Table 9</w:t>
      </w:r>
      <w:r w:rsidR="007D01E5">
        <w:t xml:space="preserve"> excludes adjustments for </w:t>
      </w:r>
      <w:r w:rsidR="004521D5">
        <w:t xml:space="preserve">abatement </w:t>
      </w:r>
      <w:r w:rsidR="00F6429C">
        <w:t>that was not expected when emission budgets were set (</w:t>
      </w:r>
      <w:r w:rsidR="00802757">
        <w:t>s</w:t>
      </w:r>
      <w:r w:rsidR="00F6429C">
        <w:t xml:space="preserve">tep 1) and </w:t>
      </w:r>
      <w:r w:rsidR="00600FAA">
        <w:t xml:space="preserve">for the possibility the non-NZ ETS share of the budget will be exceeded. </w:t>
      </w:r>
      <w:r w:rsidR="006C4C1C">
        <w:t xml:space="preserve">Both </w:t>
      </w:r>
      <w:r w:rsidR="00C1479F">
        <w:t xml:space="preserve">adjustments </w:t>
      </w:r>
      <w:r w:rsidR="006C4C1C">
        <w:t>would reduce auction volume.</w:t>
      </w:r>
    </w:p>
    <w:p w14:paraId="1AE039D9" w14:textId="00654567" w:rsidR="008A3732" w:rsidRDefault="008A3732" w:rsidP="00CA3497">
      <w:pPr>
        <w:pStyle w:val="Heading2"/>
      </w:pPr>
      <w:bookmarkStart w:id="98" w:name="_Accordance_with_emissions"/>
      <w:bookmarkStart w:id="99" w:name="_Toc163048594"/>
      <w:bookmarkStart w:id="100" w:name="_Toc166162156"/>
      <w:bookmarkEnd w:id="98"/>
      <w:r>
        <w:t>Accordance with emissions budgets</w:t>
      </w:r>
      <w:bookmarkEnd w:id="99"/>
      <w:bookmarkEnd w:id="100"/>
    </w:p>
    <w:p w14:paraId="43D122D4" w14:textId="6378E38E" w:rsidR="008A3732" w:rsidRDefault="008A3732" w:rsidP="008A3732">
      <w:pPr>
        <w:pStyle w:val="BodyText"/>
      </w:pPr>
      <w:r>
        <w:t>The Ministry for the Environment undertook internal modelling to test the accordance o</w:t>
      </w:r>
      <w:r w:rsidR="00B442AF">
        <w:t>f the different unit settings options with emissions budgets. The modelling used a</w:t>
      </w:r>
      <w:r w:rsidR="001E2FDA">
        <w:t>n updated</w:t>
      </w:r>
      <w:r w:rsidR="00B442AF">
        <w:t xml:space="preserve"> version of the ETS Market Model</w:t>
      </w:r>
      <w:r w:rsidR="00EE4571">
        <w:t>.</w:t>
      </w:r>
      <w:r w:rsidR="00EE4571">
        <w:rPr>
          <w:rStyle w:val="FootnoteReference"/>
        </w:rPr>
        <w:footnoteReference w:id="13"/>
      </w:r>
      <w:r w:rsidR="002A6D4E">
        <w:t xml:space="preserve"> </w:t>
      </w:r>
      <w:r w:rsidR="002A6D4E" w:rsidRPr="002A6D4E">
        <w:t xml:space="preserve">Emissions outside of the </w:t>
      </w:r>
      <w:r w:rsidR="00106ADA">
        <w:t>NZ</w:t>
      </w:r>
      <w:r w:rsidR="002A6D4E" w:rsidRPr="002A6D4E">
        <w:t xml:space="preserve"> ETS (mostly agriculture) </w:t>
      </w:r>
      <w:r w:rsidR="006F6B7A">
        <w:t xml:space="preserve">were </w:t>
      </w:r>
      <w:r w:rsidR="002A6D4E" w:rsidRPr="002A6D4E">
        <w:t xml:space="preserve">assumed to be </w:t>
      </w:r>
      <w:r w:rsidR="002B2957">
        <w:t xml:space="preserve">as per </w:t>
      </w:r>
      <w:r w:rsidR="002A6D4E" w:rsidRPr="002A6D4E">
        <w:t>the Commission’s settings advice</w:t>
      </w:r>
      <w:r w:rsidR="001D5DE1">
        <w:t>, which</w:t>
      </w:r>
      <w:r w:rsidR="001371A4">
        <w:t xml:space="preserve"> does not include historical revisions </w:t>
      </w:r>
      <w:r w:rsidR="00431143">
        <w:t xml:space="preserve">to </w:t>
      </w:r>
      <w:r w:rsidR="00431143">
        <w:lastRenderedPageBreak/>
        <w:t xml:space="preserve">agriculture emissions contained in the 2024 </w:t>
      </w:r>
      <w:r w:rsidR="00846CB0">
        <w:t>G</w:t>
      </w:r>
      <w:r w:rsidR="00431143">
        <w:t xml:space="preserve">reenhouse </w:t>
      </w:r>
      <w:r w:rsidR="00B47463">
        <w:t>G</w:t>
      </w:r>
      <w:r w:rsidR="00431143">
        <w:t xml:space="preserve">as </w:t>
      </w:r>
      <w:r w:rsidR="00B47463">
        <w:t>I</w:t>
      </w:r>
      <w:r w:rsidR="00431143">
        <w:t>nventory</w:t>
      </w:r>
      <w:r w:rsidR="00DC1BDD">
        <w:rPr>
          <w:rStyle w:val="FootnoteReference"/>
        </w:rPr>
        <w:footnoteReference w:id="14"/>
      </w:r>
      <w:r w:rsidR="00493D84" w:rsidRPr="00FA20E8">
        <w:rPr>
          <w:vertAlign w:val="superscript"/>
        </w:rPr>
        <w:t>,</w:t>
      </w:r>
      <w:r w:rsidR="00493D84">
        <w:rPr>
          <w:rStyle w:val="FootnoteReference"/>
        </w:rPr>
        <w:footnoteReference w:id="15"/>
      </w:r>
      <w:r w:rsidR="002A6D4E">
        <w:t>.</w:t>
      </w:r>
      <w:r w:rsidR="00DE1601">
        <w:t xml:space="preserve"> A range of scenarios were </w:t>
      </w:r>
      <w:r w:rsidR="009366D2">
        <w:t>modelled, testing different price assumptions</w:t>
      </w:r>
      <w:r w:rsidR="008964C8">
        <w:t>, afforestation responses, and stockpile levels</w:t>
      </w:r>
      <w:r w:rsidR="00DA7052">
        <w:t>.</w:t>
      </w:r>
      <w:r w:rsidR="00DC3052">
        <w:t xml:space="preserve"> As with any modelling, there is a degree of uncertainty </w:t>
      </w:r>
      <w:r w:rsidR="008F098A">
        <w:t>in the projected results</w:t>
      </w:r>
      <w:r w:rsidR="00DC3052">
        <w:t xml:space="preserve"> and that uncertainty increases </w:t>
      </w:r>
      <w:r w:rsidR="008F098A">
        <w:t>the further out the projections extend.</w:t>
      </w:r>
    </w:p>
    <w:p w14:paraId="1E9BD2D1" w14:textId="0BA1158D" w:rsidR="00FA53CE" w:rsidRDefault="00DA7052" w:rsidP="00AB3AC9">
      <w:pPr>
        <w:pStyle w:val="BodyText"/>
      </w:pPr>
      <w:r>
        <w:t xml:space="preserve">The internal modelling shows that </w:t>
      </w:r>
      <w:r w:rsidR="00AB3AC9">
        <w:t>the Commission</w:t>
      </w:r>
      <w:r w:rsidR="001566E4">
        <w:t>’</w:t>
      </w:r>
      <w:r w:rsidR="00AB3AC9">
        <w:t xml:space="preserve">s proposed settings are </w:t>
      </w:r>
      <w:r w:rsidR="009B5A77">
        <w:t>more</w:t>
      </w:r>
      <w:r w:rsidR="00AB3AC9">
        <w:t xml:space="preserve"> likely to be in strict accordance with meeting emissions budgets</w:t>
      </w:r>
      <w:r w:rsidR="00F942A6">
        <w:t xml:space="preserve"> across the scenarios tested</w:t>
      </w:r>
      <w:r w:rsidR="009B5A77">
        <w:t xml:space="preserve"> than current settings</w:t>
      </w:r>
      <w:r w:rsidR="00AB3AC9">
        <w:t>.</w:t>
      </w:r>
      <w:r w:rsidR="00BF0CD6">
        <w:rPr>
          <w:rStyle w:val="FootnoteReference"/>
        </w:rPr>
        <w:footnoteReference w:id="16"/>
      </w:r>
      <w:r w:rsidR="00AB3AC9">
        <w:t xml:space="preserve"> Using the Commission</w:t>
      </w:r>
      <w:r w:rsidR="001566E4">
        <w:t>’</w:t>
      </w:r>
      <w:r w:rsidR="00AB3AC9">
        <w:t>s projected emissions for non-</w:t>
      </w:r>
      <w:r w:rsidR="00624A92">
        <w:t xml:space="preserve">NZ </w:t>
      </w:r>
      <w:r w:rsidR="00AB3AC9">
        <w:t>ETS sectors</w:t>
      </w:r>
      <w:r w:rsidR="00AA758D">
        <w:t xml:space="preserve"> (without the latest </w:t>
      </w:r>
      <w:r w:rsidR="0FA78C4E">
        <w:t xml:space="preserve">2024 </w:t>
      </w:r>
      <w:r w:rsidR="00AA758D">
        <w:t>inventory data)</w:t>
      </w:r>
      <w:r w:rsidR="00AB3AC9">
        <w:t>, the Commission</w:t>
      </w:r>
      <w:r w:rsidR="001566E4">
        <w:t>’</w:t>
      </w:r>
      <w:r w:rsidR="00AB3AC9">
        <w:t xml:space="preserve">s proposed settings are expected to </w:t>
      </w:r>
      <w:r w:rsidR="00AA758D">
        <w:t xml:space="preserve">accord with </w:t>
      </w:r>
      <w:r w:rsidR="00AB3AC9">
        <w:t>emissions budgets one</w:t>
      </w:r>
      <w:r w:rsidR="00AD7B0D">
        <w:t xml:space="preserve"> (2022</w:t>
      </w:r>
      <w:r w:rsidR="005F1899">
        <w:t>–</w:t>
      </w:r>
      <w:r w:rsidR="00AD7B0D">
        <w:t>25)</w:t>
      </w:r>
      <w:r w:rsidR="00AB3AC9">
        <w:t xml:space="preserve"> and two </w:t>
      </w:r>
      <w:r w:rsidR="0010253D">
        <w:t>(2026</w:t>
      </w:r>
      <w:r w:rsidR="005F1899">
        <w:t>–</w:t>
      </w:r>
      <w:r w:rsidR="0010253D">
        <w:t xml:space="preserve">30) </w:t>
      </w:r>
      <w:r w:rsidR="00AB3AC9">
        <w:t>and only narrowly miss emissions budget three (</w:t>
      </w:r>
      <w:r w:rsidR="0010253D">
        <w:t>2031</w:t>
      </w:r>
      <w:r w:rsidR="005F1899">
        <w:t>–</w:t>
      </w:r>
      <w:r w:rsidR="0010253D">
        <w:t>35</w:t>
      </w:r>
      <w:r w:rsidR="00AB3AC9">
        <w:t>)</w:t>
      </w:r>
      <w:r w:rsidR="003318C9">
        <w:t xml:space="preserve">. </w:t>
      </w:r>
      <w:r w:rsidR="00961AB7">
        <w:t>However, t</w:t>
      </w:r>
      <w:r w:rsidR="00C96159">
        <w:t xml:space="preserve">here is greater uncertainty </w:t>
      </w:r>
      <w:r w:rsidR="002F2949">
        <w:t xml:space="preserve">for emissions budget three, due to </w:t>
      </w:r>
      <w:r w:rsidR="00C96159">
        <w:t>th</w:t>
      </w:r>
      <w:r w:rsidR="00A27909">
        <w:t>e</w:t>
      </w:r>
      <w:r w:rsidR="00C96159">
        <w:t xml:space="preserve"> time horizon</w:t>
      </w:r>
      <w:r w:rsidR="00FE1644">
        <w:t>.</w:t>
      </w:r>
      <w:r w:rsidR="00393CAC">
        <w:t xml:space="preserve"> </w:t>
      </w:r>
    </w:p>
    <w:p w14:paraId="0802FB54" w14:textId="1F1B837B" w:rsidR="00AB3AC9" w:rsidRDefault="00AB3AC9" w:rsidP="00AB3AC9">
      <w:pPr>
        <w:pStyle w:val="BodyText"/>
      </w:pPr>
      <w:r>
        <w:t xml:space="preserve">Furthermore, the Commission’s settings reduce the </w:t>
      </w:r>
      <w:r w:rsidR="002F2949">
        <w:t xml:space="preserve">total number of </w:t>
      </w:r>
      <w:r w:rsidR="000F06D7">
        <w:t xml:space="preserve">units banked in private accounts </w:t>
      </w:r>
      <w:r>
        <w:t xml:space="preserve">by </w:t>
      </w:r>
      <w:r w:rsidR="00017CDF">
        <w:t>a larger amount than the status quo</w:t>
      </w:r>
      <w:r>
        <w:t>, reducing the magnitude of</w:t>
      </w:r>
      <w:r w:rsidR="008950F2">
        <w:t xml:space="preserve"> the risk that the</w:t>
      </w:r>
      <w:r w:rsidR="0046172D">
        <w:t xml:space="preserve">se units </w:t>
      </w:r>
      <w:r w:rsidR="008950F2">
        <w:t>pose</w:t>
      </w:r>
      <w:r>
        <w:t xml:space="preserve"> to meeting emissions budgets.</w:t>
      </w:r>
      <w:r>
        <w:rPr>
          <w:rStyle w:val="FootnoteReference"/>
        </w:rPr>
        <w:footnoteReference w:id="17"/>
      </w:r>
      <w:r>
        <w:t xml:space="preserve"> Finally, the Commission’s proposed settings are likely to lead to higher prices relative to current settings </w:t>
      </w:r>
      <w:r w:rsidR="00B96911">
        <w:t>(</w:t>
      </w:r>
      <w:r w:rsidR="008F098A">
        <w:t>all else equal</w:t>
      </w:r>
      <w:r w:rsidR="00B96911">
        <w:t>)</w:t>
      </w:r>
      <w:r w:rsidR="008F098A">
        <w:t xml:space="preserve">, </w:t>
      </w:r>
      <w:r>
        <w:t>and therefore greater incentives for emissions reductions and removals.</w:t>
      </w:r>
    </w:p>
    <w:p w14:paraId="439801A2" w14:textId="77777777" w:rsidR="001E6BD6" w:rsidRPr="00772ABB" w:rsidRDefault="001E6BD6" w:rsidP="00772ABB">
      <w:pPr>
        <w:pStyle w:val="BodyText"/>
      </w:pPr>
      <w:r w:rsidRPr="00772ABB">
        <w:br w:type="page"/>
      </w:r>
    </w:p>
    <w:p w14:paraId="31CDC54F" w14:textId="035734FA" w:rsidR="002F1EA5" w:rsidRDefault="00E72791" w:rsidP="00315065">
      <w:pPr>
        <w:pStyle w:val="Heading1"/>
      </w:pPr>
      <w:bookmarkStart w:id="101" w:name="_Toc163048595"/>
      <w:bookmarkStart w:id="102" w:name="_Toc166162157"/>
      <w:r>
        <w:lastRenderedPageBreak/>
        <w:t>Options</w:t>
      </w:r>
      <w:r w:rsidR="002F1EA5">
        <w:t xml:space="preserve"> </w:t>
      </w:r>
      <w:r w:rsidR="0041055E">
        <w:t>for</w:t>
      </w:r>
      <w:r w:rsidR="002F1EA5">
        <w:t xml:space="preserve"> price control settings</w:t>
      </w:r>
      <w:bookmarkEnd w:id="101"/>
      <w:bookmarkEnd w:id="102"/>
    </w:p>
    <w:p w14:paraId="047AF17A" w14:textId="5F254E4B" w:rsidR="006C4292" w:rsidRDefault="00521E94" w:rsidP="006C4292">
      <w:pPr>
        <w:pStyle w:val="BodyText"/>
      </w:pPr>
      <w:r>
        <w:t>Auction price control</w:t>
      </w:r>
      <w:r w:rsidR="008B43FF">
        <w:t>s</w:t>
      </w:r>
      <w:r>
        <w:t xml:space="preserve"> </w:t>
      </w:r>
      <w:r w:rsidRPr="002D351D">
        <w:t xml:space="preserve">provide the Government with </w:t>
      </w:r>
      <w:r w:rsidR="003C662E">
        <w:t>tools</w:t>
      </w:r>
      <w:r w:rsidRPr="002D351D">
        <w:t xml:space="preserve"> to </w:t>
      </w:r>
      <w:r w:rsidR="00C32CA6">
        <w:t>manage the</w:t>
      </w:r>
      <w:r w:rsidRPr="002D351D">
        <w:t xml:space="preserve"> supply of units.</w:t>
      </w:r>
      <w:r>
        <w:t xml:space="preserve"> </w:t>
      </w:r>
      <w:r w:rsidR="00E166A1">
        <w:t xml:space="preserve">The </w:t>
      </w:r>
      <w:r w:rsidR="006C4292" w:rsidRPr="002D351D">
        <w:t xml:space="preserve">price controls are intended to </w:t>
      </w:r>
      <w:r w:rsidR="009D2AD4">
        <w:t>be used</w:t>
      </w:r>
      <w:r w:rsidR="006C4292" w:rsidRPr="002D351D">
        <w:t xml:space="preserve"> </w:t>
      </w:r>
      <w:r w:rsidR="00E53FCC">
        <w:t xml:space="preserve">very rarely </w:t>
      </w:r>
      <w:r w:rsidR="006C4292" w:rsidRPr="002D351D">
        <w:t xml:space="preserve">and are not intended to set </w:t>
      </w:r>
      <w:r w:rsidR="00E53FCC">
        <w:t xml:space="preserve">secondary market unit </w:t>
      </w:r>
      <w:r w:rsidR="006C4292" w:rsidRPr="002D351D">
        <w:t>prices.</w:t>
      </w:r>
    </w:p>
    <w:p w14:paraId="3C60501C" w14:textId="4816C876" w:rsidR="00521E94" w:rsidRDefault="006C4292" w:rsidP="00521E94">
      <w:pPr>
        <w:pStyle w:val="BodyText"/>
      </w:pPr>
      <w:r>
        <w:t>Auction price control</w:t>
      </w:r>
      <w:r w:rsidR="00AF7105">
        <w:t>s</w:t>
      </w:r>
      <w:r>
        <w:t xml:space="preserve"> include</w:t>
      </w:r>
      <w:r w:rsidR="00657227">
        <w:t xml:space="preserve"> the</w:t>
      </w:r>
      <w:r w:rsidR="00521E94">
        <w:t>:</w:t>
      </w:r>
    </w:p>
    <w:p w14:paraId="55EE1CD6" w14:textId="6E7AE23B" w:rsidR="00521E94" w:rsidRDefault="00521E94" w:rsidP="00FC2F61">
      <w:pPr>
        <w:pStyle w:val="Bullet"/>
      </w:pPr>
      <w:r>
        <w:t xml:space="preserve">auction price </w:t>
      </w:r>
      <w:r w:rsidR="00D1631C">
        <w:t>floor</w:t>
      </w:r>
      <w:r>
        <w:t xml:space="preserve"> </w:t>
      </w:r>
      <w:r w:rsidR="00FC2F61">
        <w:t xml:space="preserve">– </w:t>
      </w:r>
      <w:r>
        <w:t>the price below which the Government will not sell units at auction</w:t>
      </w:r>
      <w:r w:rsidR="00174DA1">
        <w:t xml:space="preserve"> (the lower pr</w:t>
      </w:r>
      <w:r w:rsidR="000210AB">
        <w:t xml:space="preserve">ice </w:t>
      </w:r>
      <w:r w:rsidR="00D757DD">
        <w:t>control</w:t>
      </w:r>
      <w:r w:rsidR="000210AB">
        <w:t>)</w:t>
      </w:r>
      <w:r w:rsidR="007D61CB">
        <w:t xml:space="preserve"> </w:t>
      </w:r>
    </w:p>
    <w:p w14:paraId="2AD50F57" w14:textId="51442493" w:rsidR="00521E94" w:rsidRDefault="00521E94" w:rsidP="00FC2F61">
      <w:pPr>
        <w:pStyle w:val="Bullet"/>
      </w:pPr>
      <w:r>
        <w:t xml:space="preserve">cost containment reserve (CCR) trigger price(s) – the price or prices at which additional NZUs will be released if an auction’s interim clearing price reaches or exceeds this level </w:t>
      </w:r>
      <w:r w:rsidR="000210AB">
        <w:t xml:space="preserve">(the upper price </w:t>
      </w:r>
      <w:r w:rsidR="00D757DD">
        <w:t>control</w:t>
      </w:r>
      <w:r w:rsidR="000210AB">
        <w:t>)</w:t>
      </w:r>
    </w:p>
    <w:p w14:paraId="4ABA4F07" w14:textId="03644CE4" w:rsidR="00521E94" w:rsidRDefault="00521E94" w:rsidP="00FC2F61">
      <w:pPr>
        <w:pStyle w:val="Bullet"/>
      </w:pPr>
      <w:r>
        <w:t>CCR volume(s) – the number of NZUs that will be released if the trigger price is reached</w:t>
      </w:r>
      <w:r w:rsidR="006C4292">
        <w:t>.</w:t>
      </w:r>
    </w:p>
    <w:p w14:paraId="2BC9B22F" w14:textId="76000348" w:rsidR="007D442F" w:rsidRDefault="007D442F" w:rsidP="007D442F">
      <w:pPr>
        <w:pStyle w:val="BodyText"/>
      </w:pPr>
      <w:r>
        <w:t>The auction price floor minimises the risks of the unit price at auction being inconsistent with the prices necessary to meet emissions budgets and targets. The price floor is the lower price control setting</w:t>
      </w:r>
      <w:r w:rsidDel="00320173">
        <w:t xml:space="preserve"> </w:t>
      </w:r>
      <w:r>
        <w:t>of the auction price corridor; however, it is not a ‘hard’ price floor as the secondary market price can fall below it.</w:t>
      </w:r>
    </w:p>
    <w:p w14:paraId="73C57C07" w14:textId="035AE72A" w:rsidR="007D442F" w:rsidRDefault="007D442F" w:rsidP="007D442F">
      <w:pPr>
        <w:pStyle w:val="BodyText"/>
      </w:pPr>
      <w:r>
        <w:t>The auction price floor has a different purpose to the confidential reserve price. The confidential reserve price</w:t>
      </w:r>
      <w:r w:rsidDel="005C0301">
        <w:t xml:space="preserve"> </w:t>
      </w:r>
      <w:r>
        <w:t>functions at auctions to prevent the sale of units materially below prevailing secondary market prices. While the auction price floor stays at a prescribed value for each auction in a year, the confidential reserve price</w:t>
      </w:r>
      <w:r w:rsidDel="005C0301">
        <w:t xml:space="preserve"> </w:t>
      </w:r>
      <w:r>
        <w:t xml:space="preserve">is not revealed and </w:t>
      </w:r>
      <w:r w:rsidR="00764EC5">
        <w:t>can be</w:t>
      </w:r>
      <w:r>
        <w:t xml:space="preserve"> different at each auction.</w:t>
      </w:r>
    </w:p>
    <w:p w14:paraId="7A341944" w14:textId="706484A6" w:rsidR="007D442F" w:rsidRDefault="007D442F" w:rsidP="007D442F">
      <w:pPr>
        <w:pStyle w:val="BodyText"/>
      </w:pPr>
      <w:r>
        <w:t>The CCR helps manage the risk of extremely high prices in the NZ ETS from shocks and unforeseen events. It functions by releasing reserve volume into an auction where prescribed prices have been met. In 2023, the Government adopted the Commission’s recommended two-tiered design for the CCR and trigger prices.</w:t>
      </w:r>
    </w:p>
    <w:p w14:paraId="463C2D4B" w14:textId="69A9B738" w:rsidR="00603901" w:rsidRPr="00072876" w:rsidRDefault="00521E94" w:rsidP="00CA3497">
      <w:pPr>
        <w:pStyle w:val="Heading2"/>
      </w:pPr>
      <w:bookmarkStart w:id="103" w:name="_Toc163048596"/>
      <w:bookmarkStart w:id="104" w:name="_Toc166162158"/>
      <w:r>
        <w:t xml:space="preserve">How do we </w:t>
      </w:r>
      <w:r w:rsidR="00FD0F4E">
        <w:t xml:space="preserve">approach </w:t>
      </w:r>
      <w:r>
        <w:t>price control settings?</w:t>
      </w:r>
      <w:bookmarkEnd w:id="103"/>
      <w:bookmarkEnd w:id="104"/>
    </w:p>
    <w:p w14:paraId="013DC0A1" w14:textId="442BC9B4" w:rsidR="00EF2A02" w:rsidRDefault="00390F29" w:rsidP="003B0919">
      <w:pPr>
        <w:pStyle w:val="BodyText"/>
      </w:pPr>
      <w:r>
        <w:t>W</w:t>
      </w:r>
      <w:r w:rsidR="00072876">
        <w:t xml:space="preserve">e </w:t>
      </w:r>
      <w:r>
        <w:t>have</w:t>
      </w:r>
      <w:r w:rsidR="00072876">
        <w:t xml:space="preserve"> considered the Commission</w:t>
      </w:r>
      <w:r w:rsidR="00792BA0">
        <w:t>’</w:t>
      </w:r>
      <w:r w:rsidR="00072876">
        <w:t xml:space="preserve">s </w:t>
      </w:r>
      <w:r w:rsidR="003C2C00">
        <w:t xml:space="preserve">2024 </w:t>
      </w:r>
      <w:r w:rsidR="00072876">
        <w:t>advice on price control settings</w:t>
      </w:r>
      <w:r w:rsidR="00792BA0">
        <w:t>.</w:t>
      </w:r>
      <w:r w:rsidR="00802D93">
        <w:t xml:space="preserve"> </w:t>
      </w:r>
      <w:r w:rsidR="00DA3CE9">
        <w:t xml:space="preserve">The Commission </w:t>
      </w:r>
      <w:r w:rsidR="002602B5">
        <w:t xml:space="preserve">recommended that the current </w:t>
      </w:r>
      <w:r w:rsidR="0021654F">
        <w:t xml:space="preserve">settings are </w:t>
      </w:r>
      <w:r w:rsidR="00673D25">
        <w:t xml:space="preserve">fit for purpose, with only slight adjustment for </w:t>
      </w:r>
      <w:r w:rsidR="009B321E">
        <w:t>the latest inflation forecasts</w:t>
      </w:r>
      <w:r w:rsidR="00DB3CF9">
        <w:t xml:space="preserve"> and with extension to 2029</w:t>
      </w:r>
      <w:r w:rsidR="009B321E">
        <w:t>.</w:t>
      </w:r>
      <w:r w:rsidR="00673D25">
        <w:t xml:space="preserve"> </w:t>
      </w:r>
      <w:r w:rsidR="004A33BE">
        <w:t xml:space="preserve">The current settings are based on </w:t>
      </w:r>
      <w:r w:rsidR="00792BA0">
        <w:t xml:space="preserve">the Commission’s </w:t>
      </w:r>
      <w:r w:rsidR="00DB3CF9">
        <w:t xml:space="preserve">2022 </w:t>
      </w:r>
      <w:r w:rsidR="004A33BE">
        <w:t>modelling and analysis of</w:t>
      </w:r>
      <w:r w:rsidR="00792BA0">
        <w:t xml:space="preserve"> </w:t>
      </w:r>
      <w:r w:rsidR="00DA5157">
        <w:t xml:space="preserve">the range of </w:t>
      </w:r>
      <w:r w:rsidR="004E1EF1">
        <w:t xml:space="preserve">unit prices </w:t>
      </w:r>
      <w:r w:rsidR="00DB3CF9">
        <w:t xml:space="preserve">consistent with meeting </w:t>
      </w:r>
      <w:r w:rsidR="00A171BB">
        <w:t>New Zealand’s emissions reduction targets</w:t>
      </w:r>
      <w:r w:rsidR="00DB3CF9">
        <w:t>.</w:t>
      </w:r>
    </w:p>
    <w:p w14:paraId="68C858B0" w14:textId="1FF8CB75" w:rsidR="00A417B0" w:rsidRDefault="00A417B0" w:rsidP="003B0919">
      <w:pPr>
        <w:pStyle w:val="BodyText"/>
      </w:pPr>
      <w:r>
        <w:t>The auction floor price and the cost containment reserve (CCR) trigger prices</w:t>
      </w:r>
      <w:r w:rsidR="00DC1D4D">
        <w:t xml:space="preserve"> are closely interrelated. The Commission have </w:t>
      </w:r>
      <w:r>
        <w:t>advise</w:t>
      </w:r>
      <w:r w:rsidR="00DC1D4D">
        <w:t>d</w:t>
      </w:r>
      <w:r>
        <w:t xml:space="preserve"> against making decisions on either setting in isolation.</w:t>
      </w:r>
    </w:p>
    <w:p w14:paraId="1202AF0F" w14:textId="39E66ED7" w:rsidR="0035745F" w:rsidRDefault="00230387" w:rsidP="003B0919">
      <w:pPr>
        <w:pStyle w:val="BodyText"/>
      </w:pPr>
      <w:r>
        <w:t xml:space="preserve">We have </w:t>
      </w:r>
      <w:r w:rsidR="00706321">
        <w:t>includ</w:t>
      </w:r>
      <w:r>
        <w:t xml:space="preserve">ed two </w:t>
      </w:r>
      <w:r w:rsidR="00992035">
        <w:t>option</w:t>
      </w:r>
      <w:r>
        <w:t>s for price control settings. An extension to the status quo is the first option</w:t>
      </w:r>
      <w:r w:rsidR="00992035">
        <w:t>, and this is consistent with the Commission’s recommendation. The second option is</w:t>
      </w:r>
      <w:r w:rsidR="0015637E">
        <w:t xml:space="preserve"> </w:t>
      </w:r>
      <w:r w:rsidR="00711654">
        <w:t>to l</w:t>
      </w:r>
      <w:r w:rsidR="00711654" w:rsidRPr="0028242C">
        <w:t xml:space="preserve">ower </w:t>
      </w:r>
      <w:r w:rsidR="00711654">
        <w:t>the price corridor trigger prices</w:t>
      </w:r>
      <w:r w:rsidR="00711654" w:rsidDel="00711654">
        <w:t xml:space="preserve"> </w:t>
      </w:r>
      <w:r w:rsidR="00711654">
        <w:t>(</w:t>
      </w:r>
      <w:proofErr w:type="spellStart"/>
      <w:r w:rsidR="00C9107D">
        <w:t>ie</w:t>
      </w:r>
      <w:proofErr w:type="spellEnd"/>
      <w:r w:rsidR="00C9107D">
        <w:t>,</w:t>
      </w:r>
      <w:r w:rsidR="002B693F">
        <w:t xml:space="preserve"> </w:t>
      </w:r>
      <w:r w:rsidR="0015637E">
        <w:t xml:space="preserve">lower </w:t>
      </w:r>
      <w:r w:rsidR="002B693F">
        <w:t xml:space="preserve">the </w:t>
      </w:r>
      <w:r w:rsidR="0015637E">
        <w:t>trigger price</w:t>
      </w:r>
      <w:r w:rsidR="002B693F">
        <w:t>s</w:t>
      </w:r>
      <w:r w:rsidR="0015637E">
        <w:t xml:space="preserve"> for </w:t>
      </w:r>
      <w:r w:rsidR="002B693F">
        <w:t>both</w:t>
      </w:r>
      <w:r w:rsidR="0015637E">
        <w:t xml:space="preserve"> the auction floor and the CCR</w:t>
      </w:r>
      <w:r w:rsidR="002B693F">
        <w:t>)</w:t>
      </w:r>
      <w:r w:rsidR="0015637E">
        <w:t>.</w:t>
      </w:r>
    </w:p>
    <w:p w14:paraId="5C60D5A5" w14:textId="5089C989" w:rsidR="00B23AEE" w:rsidRDefault="00B23AEE" w:rsidP="00B23AEE">
      <w:pPr>
        <w:pStyle w:val="BodyText"/>
      </w:pPr>
      <w:r>
        <w:t xml:space="preserve">We also considered options to </w:t>
      </w:r>
      <w:r w:rsidR="00300588">
        <w:t xml:space="preserve">increase </w:t>
      </w:r>
      <w:r>
        <w:t xml:space="preserve">the price control settings, and to </w:t>
      </w:r>
      <w:r w:rsidR="00300588">
        <w:t xml:space="preserve">remove </w:t>
      </w:r>
      <w:r>
        <w:t xml:space="preserve">them. </w:t>
      </w:r>
      <w:r w:rsidR="00300588">
        <w:t xml:space="preserve">Increasing the price control settings </w:t>
      </w:r>
      <w:r w:rsidR="001C3734">
        <w:t>is not an option</w:t>
      </w:r>
      <w:r w:rsidR="00677F6C">
        <w:t xml:space="preserve"> </w:t>
      </w:r>
      <w:r w:rsidR="001534E9">
        <w:t>included</w:t>
      </w:r>
      <w:r w:rsidR="001C3734">
        <w:t xml:space="preserve"> in this </w:t>
      </w:r>
      <w:r w:rsidR="00CE77E9">
        <w:t xml:space="preserve">consultation document </w:t>
      </w:r>
      <w:r w:rsidR="00AB1A60">
        <w:t>because</w:t>
      </w:r>
      <w:r w:rsidR="00192B83">
        <w:t xml:space="preserve">, given recent price trends, </w:t>
      </w:r>
      <w:r w:rsidR="0013188E">
        <w:t xml:space="preserve">the price floor would </w:t>
      </w:r>
      <w:r w:rsidR="00300588">
        <w:t xml:space="preserve">likely be above the market price for </w:t>
      </w:r>
      <w:r w:rsidR="00300588">
        <w:lastRenderedPageBreak/>
        <w:t>NZUs</w:t>
      </w:r>
      <w:r w:rsidR="00680564">
        <w:t xml:space="preserve"> and potentially for longer. </w:t>
      </w:r>
      <w:r w:rsidR="00A1060E">
        <w:t>A higher price floor</w:t>
      </w:r>
      <w:r w:rsidR="00300588">
        <w:t xml:space="preserve"> could</w:t>
      </w:r>
      <w:r w:rsidR="00300588" w:rsidDel="00523693">
        <w:t xml:space="preserve"> </w:t>
      </w:r>
      <w:r w:rsidR="00523693">
        <w:t xml:space="preserve">encourage </w:t>
      </w:r>
      <w:r w:rsidR="00300588">
        <w:t>speculation</w:t>
      </w:r>
      <w:r w:rsidR="002C6C84">
        <w:t xml:space="preserve">, </w:t>
      </w:r>
      <w:r w:rsidR="00300588">
        <w:t>increas</w:t>
      </w:r>
      <w:r w:rsidR="005C50F0">
        <w:t>ing</w:t>
      </w:r>
      <w:r w:rsidR="00300588">
        <w:t xml:space="preserve"> the risk of </w:t>
      </w:r>
      <w:r w:rsidR="00435E4A">
        <w:t>it</w:t>
      </w:r>
      <w:r w:rsidR="00300588">
        <w:t xml:space="preserve"> being triggered</w:t>
      </w:r>
      <w:r w:rsidR="00523693">
        <w:t>,</w:t>
      </w:r>
      <w:r w:rsidR="002C6C84">
        <w:t xml:space="preserve"> and </w:t>
      </w:r>
      <w:r w:rsidR="004E6BEA">
        <w:t>impact</w:t>
      </w:r>
      <w:r w:rsidR="009E4DBD">
        <w:t>ing</w:t>
      </w:r>
      <w:r w:rsidR="004E6BEA">
        <w:t xml:space="preserve"> </w:t>
      </w:r>
      <w:r w:rsidR="00321061">
        <w:t>the functioning of the NZ ETS</w:t>
      </w:r>
      <w:r w:rsidR="00134957">
        <w:t xml:space="preserve"> if </w:t>
      </w:r>
      <w:r w:rsidR="00DE3017">
        <w:t xml:space="preserve">supply </w:t>
      </w:r>
      <w:r w:rsidR="0037786B">
        <w:t xml:space="preserve">of units through auctions is </w:t>
      </w:r>
      <w:r w:rsidR="00685F1F">
        <w:t>decreased further</w:t>
      </w:r>
      <w:r w:rsidR="00300588">
        <w:t xml:space="preserve">. Similarly, </w:t>
      </w:r>
      <w:r w:rsidR="00FD2065">
        <w:t xml:space="preserve">increasing </w:t>
      </w:r>
      <w:r w:rsidR="00300588">
        <w:t xml:space="preserve">the </w:t>
      </w:r>
      <w:r w:rsidR="00FD2065">
        <w:t xml:space="preserve">trigger price for the </w:t>
      </w:r>
      <w:r w:rsidR="00300588">
        <w:t>CCR would</w:t>
      </w:r>
      <w:r w:rsidR="00FD2065">
        <w:t xml:space="preserve"> mean it is set</w:t>
      </w:r>
      <w:r w:rsidR="00300588" w:rsidDel="00FD2065">
        <w:t xml:space="preserve"> </w:t>
      </w:r>
      <w:r w:rsidR="00300588">
        <w:t>higher than the prices considered needed for meeting emissions budgets</w:t>
      </w:r>
      <w:r w:rsidR="00CA315E">
        <w:t xml:space="preserve">. </w:t>
      </w:r>
      <w:r w:rsidR="004D440B">
        <w:t xml:space="preserve">This could </w:t>
      </w:r>
      <w:r w:rsidR="00F21585">
        <w:t>place undue costs on the economy i</w:t>
      </w:r>
      <w:r w:rsidR="00333CA6">
        <w:t xml:space="preserve">f </w:t>
      </w:r>
      <w:r w:rsidR="003C3AE1">
        <w:t xml:space="preserve">there is a </w:t>
      </w:r>
      <w:r w:rsidR="004D050E">
        <w:t xml:space="preserve">shock in the market and </w:t>
      </w:r>
      <w:r w:rsidR="004D440B">
        <w:t xml:space="preserve">the </w:t>
      </w:r>
      <w:r w:rsidR="00F21585">
        <w:t>CCR is set higher than th</w:t>
      </w:r>
      <w:r w:rsidR="00162081">
        <w:t>e prices</w:t>
      </w:r>
      <w:r w:rsidR="00E3380E">
        <w:t xml:space="preserve"> considered necessary to</w:t>
      </w:r>
      <w:r w:rsidR="004F270F">
        <w:t xml:space="preserve"> support</w:t>
      </w:r>
      <w:r w:rsidR="00E3380E">
        <w:t xml:space="preserve"> meet</w:t>
      </w:r>
      <w:r w:rsidR="004F270F">
        <w:t>ing</w:t>
      </w:r>
      <w:r w:rsidR="00E3380E">
        <w:t xml:space="preserve"> emissions budgets</w:t>
      </w:r>
      <w:r w:rsidR="00F21585">
        <w:t>.</w:t>
      </w:r>
    </w:p>
    <w:p w14:paraId="5DA3C450" w14:textId="77777777" w:rsidR="007A2F32" w:rsidRDefault="00300588" w:rsidP="00B23AEE">
      <w:pPr>
        <w:pStyle w:val="BodyText"/>
      </w:pPr>
      <w:r>
        <w:t xml:space="preserve">To remove all price interventions, both the auction price floor and the CCR would need to be removed. </w:t>
      </w:r>
      <w:r w:rsidR="00B620CF">
        <w:t xml:space="preserve">Removing all price controls would likely </w:t>
      </w:r>
      <w:r w:rsidR="001605C3">
        <w:t xml:space="preserve">increase the level of </w:t>
      </w:r>
      <w:r>
        <w:t xml:space="preserve">uncertainty </w:t>
      </w:r>
      <w:r w:rsidR="001605C3">
        <w:t xml:space="preserve">about </w:t>
      </w:r>
      <w:r w:rsidR="0048465E">
        <w:t>future price expectations. W</w:t>
      </w:r>
      <w:r>
        <w:t xml:space="preserve">e do not consider this an appropriate time to remove these price control features. </w:t>
      </w:r>
    </w:p>
    <w:p w14:paraId="09F10352" w14:textId="3DC487D5" w:rsidR="00B23AEE" w:rsidRDefault="006171F9" w:rsidP="00B23AEE">
      <w:pPr>
        <w:pStyle w:val="BodyText"/>
      </w:pPr>
      <w:r>
        <w:t xml:space="preserve">There is also the possibility of </w:t>
      </w:r>
      <w:r w:rsidR="000B1674">
        <w:t>changing</w:t>
      </w:r>
      <w:r>
        <w:t xml:space="preserve"> </w:t>
      </w:r>
      <w:r w:rsidR="007D681B">
        <w:t xml:space="preserve">just one of the </w:t>
      </w:r>
      <w:r w:rsidR="000B1674">
        <w:t>price</w:t>
      </w:r>
      <w:r w:rsidR="007D681B">
        <w:t xml:space="preserve"> controls, either the floor or the ceiling. </w:t>
      </w:r>
      <w:r w:rsidR="00DB5E40">
        <w:t xml:space="preserve">The </w:t>
      </w:r>
      <w:r w:rsidR="00CA625A">
        <w:t>current approach is to consider</w:t>
      </w:r>
      <w:r w:rsidR="00FC7D0A" w:rsidDel="00CA625A">
        <w:t xml:space="preserve"> </w:t>
      </w:r>
      <w:r w:rsidR="00330C29">
        <w:t>both features together</w:t>
      </w:r>
      <w:r w:rsidR="00CA625A">
        <w:t xml:space="preserve"> as a price corridor</w:t>
      </w:r>
      <w:r w:rsidR="00330C29">
        <w:t xml:space="preserve">. </w:t>
      </w:r>
      <w:r w:rsidR="00542ADA">
        <w:t xml:space="preserve">This is because </w:t>
      </w:r>
      <w:r w:rsidR="00015DEB">
        <w:t xml:space="preserve">the </w:t>
      </w:r>
      <w:r w:rsidR="00A87E87">
        <w:t xml:space="preserve">price corridor was set in </w:t>
      </w:r>
      <w:r w:rsidR="00841E8E">
        <w:t xml:space="preserve">relation to decisions on the first emissions reduction plan and </w:t>
      </w:r>
      <w:r w:rsidR="00AD0315">
        <w:t>supporting</w:t>
      </w:r>
      <w:r w:rsidR="00841E8E">
        <w:t xml:space="preserve"> modelling</w:t>
      </w:r>
      <w:r w:rsidR="00AD0315">
        <w:t>.</w:t>
      </w:r>
      <w:r w:rsidR="00330C29">
        <w:t xml:space="preserve"> We are interested in your feedba</w:t>
      </w:r>
      <w:r w:rsidR="00E27005">
        <w:t xml:space="preserve">ck on the value of </w:t>
      </w:r>
      <w:r w:rsidR="004E486C">
        <w:t xml:space="preserve">a price corridor, </w:t>
      </w:r>
      <w:r w:rsidR="00EB5B34">
        <w:t xml:space="preserve">which </w:t>
      </w:r>
      <w:r w:rsidR="004E486C">
        <w:t>signal</w:t>
      </w:r>
      <w:r w:rsidR="00EB5B34">
        <w:t>s</w:t>
      </w:r>
      <w:r w:rsidR="004E486C">
        <w:t xml:space="preserve"> upper and lower </w:t>
      </w:r>
      <w:r w:rsidR="00491308">
        <w:t>auction price</w:t>
      </w:r>
      <w:r w:rsidR="004E486C">
        <w:t>s.</w:t>
      </w:r>
    </w:p>
    <w:p w14:paraId="3D400149" w14:textId="25E4B2A8" w:rsidR="00EF2A02" w:rsidRPr="00A10295" w:rsidRDefault="00D11BDA" w:rsidP="00CA3497">
      <w:pPr>
        <w:pStyle w:val="Heading2"/>
      </w:pPr>
      <w:bookmarkStart w:id="105" w:name="_Toc163048597"/>
      <w:bookmarkStart w:id="106" w:name="_Toc166162159"/>
      <w:r>
        <w:t>Price control trigger prices</w:t>
      </w:r>
      <w:r w:rsidR="00E84DD1">
        <w:t xml:space="preserve"> (auction price corridor)</w:t>
      </w:r>
      <w:r w:rsidR="00DE289E">
        <w:t xml:space="preserve"> options</w:t>
      </w:r>
      <w:bookmarkEnd w:id="105"/>
      <w:bookmarkEnd w:id="106"/>
    </w:p>
    <w:p w14:paraId="1DE8F271" w14:textId="45382650" w:rsidR="00964E46" w:rsidRDefault="0028242C" w:rsidP="00FF7A72">
      <w:pPr>
        <w:pStyle w:val="Heading3"/>
      </w:pPr>
      <w:r w:rsidRPr="0028242C">
        <w:t xml:space="preserve">Option 1: </w:t>
      </w:r>
      <w:r w:rsidR="00290BC7" w:rsidRPr="0028242C">
        <w:t>Status quo</w:t>
      </w:r>
      <w:r w:rsidR="00F92BD3" w:rsidRPr="0028242C">
        <w:t xml:space="preserve"> </w:t>
      </w:r>
      <w:r w:rsidR="00C93CCF" w:rsidRPr="0028242C">
        <w:t>extended (Commission’s recommendation)</w:t>
      </w:r>
    </w:p>
    <w:p w14:paraId="6C7C3550" w14:textId="4CCFB1F4" w:rsidR="002762D3" w:rsidRDefault="0028242C" w:rsidP="0028242C">
      <w:pPr>
        <w:pStyle w:val="BodyText"/>
      </w:pPr>
      <w:r>
        <w:t xml:space="preserve">Maintain the current </w:t>
      </w:r>
      <w:r w:rsidR="00D40379">
        <w:t>price control triggers for</w:t>
      </w:r>
      <w:r w:rsidR="00290BC7">
        <w:t xml:space="preserve"> </w:t>
      </w:r>
      <w:r w:rsidR="0045676B">
        <w:t>2025</w:t>
      </w:r>
      <w:r w:rsidR="00D40379">
        <w:t xml:space="preserve"> and 2026</w:t>
      </w:r>
      <w:r w:rsidR="000A227D">
        <w:t>,</w:t>
      </w:r>
      <w:r w:rsidR="00D40379">
        <w:t xml:space="preserve"> and then</w:t>
      </w:r>
      <w:r w:rsidR="000A227D">
        <w:t xml:space="preserve"> </w:t>
      </w:r>
      <w:r w:rsidR="00D40379">
        <w:t xml:space="preserve">increase </w:t>
      </w:r>
      <w:r w:rsidR="000A227D">
        <w:t>by 3</w:t>
      </w:r>
      <w:r w:rsidR="00BE263F">
        <w:t xml:space="preserve"> per cent </w:t>
      </w:r>
      <w:r w:rsidR="000A227D">
        <w:t>each year and adjusted for forecast inflation</w:t>
      </w:r>
      <w:r w:rsidR="00F65390">
        <w:t>. T</w:t>
      </w:r>
      <w:r w:rsidR="00305B1F">
        <w:t>his is shown in table 10.</w:t>
      </w:r>
    </w:p>
    <w:p w14:paraId="762680C2" w14:textId="0D12F287" w:rsidR="00964E46" w:rsidRDefault="0028242C" w:rsidP="00FF7A72">
      <w:pPr>
        <w:pStyle w:val="Heading3"/>
      </w:pPr>
      <w:r w:rsidRPr="0028242C">
        <w:t xml:space="preserve">Option 2: </w:t>
      </w:r>
      <w:r w:rsidR="00EB26A8" w:rsidRPr="0028242C">
        <w:t xml:space="preserve">Lower </w:t>
      </w:r>
      <w:r w:rsidR="001E6DB7" w:rsidRPr="0028242C">
        <w:t xml:space="preserve">price </w:t>
      </w:r>
      <w:r w:rsidR="008A300A">
        <w:t>corridor</w:t>
      </w:r>
      <w:r w:rsidR="009453A2">
        <w:t xml:space="preserve"> </w:t>
      </w:r>
      <w:r w:rsidR="008A300A">
        <w:t>trigger</w:t>
      </w:r>
      <w:r w:rsidR="002B5C4B">
        <w:t xml:space="preserve"> prices</w:t>
      </w:r>
    </w:p>
    <w:p w14:paraId="59F01B7A" w14:textId="023ACE72" w:rsidR="00C8186A" w:rsidRDefault="00B77A5B" w:rsidP="0028242C">
      <w:pPr>
        <w:pStyle w:val="BodyText"/>
      </w:pPr>
      <w:r>
        <w:t xml:space="preserve">This option would involve setting a lower </w:t>
      </w:r>
      <w:r w:rsidR="00A50B89">
        <w:t>price corridor (</w:t>
      </w:r>
      <w:proofErr w:type="spellStart"/>
      <w:r w:rsidR="00B46846">
        <w:t>ie</w:t>
      </w:r>
      <w:proofErr w:type="spellEnd"/>
      <w:r w:rsidR="00B46846">
        <w:t>,</w:t>
      </w:r>
      <w:r w:rsidR="00A50B89">
        <w:t xml:space="preserve"> a lower </w:t>
      </w:r>
      <w:r w:rsidR="0031601B">
        <w:t xml:space="preserve">trigger for the auction price floor and for the CCR). </w:t>
      </w:r>
      <w:r w:rsidR="00477C0D">
        <w:t>We</w:t>
      </w:r>
      <w:r w:rsidR="0031601B">
        <w:t xml:space="preserve"> have not </w:t>
      </w:r>
      <w:r w:rsidR="00477C0D">
        <w:t>provided values fo</w:t>
      </w:r>
      <w:r w:rsidR="00452D93">
        <w:t xml:space="preserve">r </w:t>
      </w:r>
      <w:r w:rsidR="002142DE">
        <w:t xml:space="preserve">a </w:t>
      </w:r>
      <w:r w:rsidR="00452D93">
        <w:t xml:space="preserve">lower price corridor as we are seeking feedback on </w:t>
      </w:r>
      <w:r w:rsidR="00F70681">
        <w:t xml:space="preserve">the factors that could inform </w:t>
      </w:r>
      <w:r w:rsidR="00C8186A">
        <w:t>lower settings.</w:t>
      </w:r>
    </w:p>
    <w:p w14:paraId="72FCE595" w14:textId="1108D7C6" w:rsidR="006B40EC" w:rsidRDefault="00C8186A" w:rsidP="0028242C">
      <w:pPr>
        <w:pStyle w:val="BodyText"/>
      </w:pPr>
      <w:r>
        <w:t xml:space="preserve">A lower price corridor </w:t>
      </w:r>
      <w:r w:rsidR="00046591">
        <w:t>could apply from 2</w:t>
      </w:r>
      <w:r w:rsidR="00BD71A0">
        <w:t>025</w:t>
      </w:r>
      <w:r w:rsidR="00046591">
        <w:t xml:space="preserve"> </w:t>
      </w:r>
      <w:r w:rsidR="00CC0599">
        <w:t>if there are circumstances that enable changes to be made to the first two years of settings (</w:t>
      </w:r>
      <w:r w:rsidR="004B792B">
        <w:t xml:space="preserve">see </w:t>
      </w:r>
      <w:hyperlink w:anchor="_Justification_for_consulting" w:history="1">
        <w:r w:rsidR="004D5A8A">
          <w:rPr>
            <w:rStyle w:val="Hyperlink"/>
          </w:rPr>
          <w:t>J</w:t>
        </w:r>
        <w:r w:rsidR="00747B32" w:rsidRPr="004D5A8A">
          <w:rPr>
            <w:rStyle w:val="Hyperlink"/>
          </w:rPr>
          <w:t>ustification for consulting on option 3</w:t>
        </w:r>
      </w:hyperlink>
      <w:r w:rsidR="00CC0599">
        <w:t>).</w:t>
      </w:r>
      <w:r w:rsidR="00C526B4" w:rsidRPr="00C526B4">
        <w:t xml:space="preserve"> </w:t>
      </w:r>
      <w:r w:rsidR="00612C9C">
        <w:t>The triggers</w:t>
      </w:r>
      <w:r w:rsidR="00C526B4">
        <w:t xml:space="preserve"> would increase at the same rate as status quo (3 per cent and forecast inflation)</w:t>
      </w:r>
      <w:r w:rsidR="00E901B2">
        <w:t>.</w:t>
      </w:r>
    </w:p>
    <w:p w14:paraId="281187DD" w14:textId="48B00A3C" w:rsidR="008F518F" w:rsidRPr="00B24BB8" w:rsidRDefault="008F518F" w:rsidP="008401DC">
      <w:pPr>
        <w:pStyle w:val="BodyText"/>
      </w:pPr>
      <w:r>
        <w:t xml:space="preserve">Table </w:t>
      </w:r>
      <w:r w:rsidR="00755188">
        <w:t>10</w:t>
      </w:r>
      <w:r>
        <w:t xml:space="preserve"> shows the </w:t>
      </w:r>
      <w:r w:rsidR="003410E6">
        <w:t>Commission’s recommended price control triggers for the next five years.</w:t>
      </w:r>
    </w:p>
    <w:p w14:paraId="08C6A49A" w14:textId="262854EB" w:rsidR="00D77B11" w:rsidRPr="00C0766F" w:rsidRDefault="00D77B11" w:rsidP="00E36A7A">
      <w:pPr>
        <w:pStyle w:val="Tableheading"/>
      </w:pPr>
      <w:bookmarkStart w:id="107" w:name="_Toc167714879"/>
      <w:r w:rsidRPr="00C0766F">
        <w:t xml:space="preserve">Table </w:t>
      </w:r>
      <w:r w:rsidR="00FF0BA5">
        <w:t>10</w:t>
      </w:r>
      <w:r w:rsidR="007519A5" w:rsidRPr="00C0766F">
        <w:t>:</w:t>
      </w:r>
      <w:r w:rsidR="00CB6FB5">
        <w:t xml:space="preserve"> </w:t>
      </w:r>
      <w:r w:rsidR="00C31713">
        <w:tab/>
      </w:r>
      <w:r w:rsidR="00D9137B">
        <w:t xml:space="preserve">Commission’s </w:t>
      </w:r>
      <w:r w:rsidR="00EF3154">
        <w:t>recommended price control triggers</w:t>
      </w:r>
      <w:r w:rsidR="007519A5">
        <w:t xml:space="preserve"> for the next five years</w:t>
      </w:r>
      <w:bookmarkEnd w:id="107"/>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D77B11" w:rsidRPr="00C63C98" w14:paraId="0FA87DFB" w14:textId="77777777">
        <w:trPr>
          <w:trHeight w:val="360"/>
          <w:tblHeader/>
        </w:trPr>
        <w:tc>
          <w:tcPr>
            <w:tcW w:w="1834" w:type="pct"/>
            <w:shd w:val="clear" w:color="auto" w:fill="1B556B"/>
          </w:tcPr>
          <w:p w14:paraId="47A55F64" w14:textId="77777777" w:rsidR="00D77B11" w:rsidRPr="006B77BB" w:rsidRDefault="00D77B11">
            <w:pPr>
              <w:pStyle w:val="TableTextbold"/>
              <w:rPr>
                <w:color w:val="FFFFFF" w:themeColor="background1"/>
              </w:rPr>
            </w:pPr>
          </w:p>
        </w:tc>
        <w:tc>
          <w:tcPr>
            <w:tcW w:w="633" w:type="pct"/>
            <w:shd w:val="clear" w:color="auto" w:fill="1B556B"/>
          </w:tcPr>
          <w:p w14:paraId="2E49690E" w14:textId="77777777" w:rsidR="00D77B11" w:rsidRPr="006B77BB" w:rsidRDefault="00D77B11">
            <w:pPr>
              <w:pStyle w:val="TableTextbold"/>
              <w:rPr>
                <w:color w:val="FFFFFF" w:themeColor="background1"/>
              </w:rPr>
            </w:pPr>
            <w:r>
              <w:rPr>
                <w:color w:val="FFFFFF" w:themeColor="background1"/>
              </w:rPr>
              <w:t>2025</w:t>
            </w:r>
          </w:p>
        </w:tc>
        <w:tc>
          <w:tcPr>
            <w:tcW w:w="633" w:type="pct"/>
            <w:shd w:val="clear" w:color="auto" w:fill="1B556B"/>
          </w:tcPr>
          <w:p w14:paraId="514FFCE0" w14:textId="77777777" w:rsidR="00D77B11" w:rsidRPr="006B77BB" w:rsidRDefault="00D77B11">
            <w:pPr>
              <w:pStyle w:val="TableTextbold"/>
              <w:rPr>
                <w:color w:val="FFFFFF" w:themeColor="background1"/>
              </w:rPr>
            </w:pPr>
            <w:r>
              <w:rPr>
                <w:color w:val="FFFFFF" w:themeColor="background1"/>
              </w:rPr>
              <w:t>2026</w:t>
            </w:r>
          </w:p>
        </w:tc>
        <w:tc>
          <w:tcPr>
            <w:tcW w:w="633" w:type="pct"/>
            <w:shd w:val="clear" w:color="auto" w:fill="1B556B"/>
          </w:tcPr>
          <w:p w14:paraId="04A4FF76" w14:textId="77777777" w:rsidR="00D77B11" w:rsidRPr="006B77BB" w:rsidRDefault="00D77B11">
            <w:pPr>
              <w:pStyle w:val="TableTextbold"/>
              <w:rPr>
                <w:color w:val="FFFFFF" w:themeColor="background1"/>
              </w:rPr>
            </w:pPr>
            <w:r>
              <w:rPr>
                <w:color w:val="FFFFFF" w:themeColor="background1"/>
              </w:rPr>
              <w:t>2027</w:t>
            </w:r>
          </w:p>
        </w:tc>
        <w:tc>
          <w:tcPr>
            <w:tcW w:w="633" w:type="pct"/>
            <w:shd w:val="clear" w:color="auto" w:fill="1B556B"/>
          </w:tcPr>
          <w:p w14:paraId="48E8FC6D" w14:textId="77777777" w:rsidR="00D77B11" w:rsidRPr="006B77BB" w:rsidRDefault="00D77B11">
            <w:pPr>
              <w:pStyle w:val="TableTextbold"/>
              <w:rPr>
                <w:color w:val="FFFFFF" w:themeColor="background1"/>
              </w:rPr>
            </w:pPr>
            <w:r>
              <w:rPr>
                <w:color w:val="FFFFFF" w:themeColor="background1"/>
              </w:rPr>
              <w:t>2028</w:t>
            </w:r>
          </w:p>
        </w:tc>
        <w:tc>
          <w:tcPr>
            <w:tcW w:w="634" w:type="pct"/>
            <w:shd w:val="clear" w:color="auto" w:fill="1B556B"/>
          </w:tcPr>
          <w:p w14:paraId="2D28C208" w14:textId="77777777" w:rsidR="00D77B11" w:rsidRPr="006B77BB" w:rsidRDefault="00D77B11">
            <w:pPr>
              <w:pStyle w:val="TableTextbold"/>
              <w:rPr>
                <w:color w:val="FFFFFF" w:themeColor="background1"/>
              </w:rPr>
            </w:pPr>
            <w:r>
              <w:rPr>
                <w:color w:val="FFFFFF" w:themeColor="background1"/>
              </w:rPr>
              <w:t>2029</w:t>
            </w:r>
          </w:p>
        </w:tc>
      </w:tr>
      <w:tr w:rsidR="00D77B11" w:rsidRPr="00ED3A15" w14:paraId="4CAE2412" w14:textId="77777777">
        <w:trPr>
          <w:trHeight w:val="360"/>
        </w:trPr>
        <w:tc>
          <w:tcPr>
            <w:tcW w:w="1834" w:type="pct"/>
            <w:shd w:val="clear" w:color="auto" w:fill="auto"/>
          </w:tcPr>
          <w:p w14:paraId="4DF5CE30" w14:textId="20AA3A16" w:rsidR="00D77B11" w:rsidRPr="00B72323" w:rsidRDefault="00156292">
            <w:pPr>
              <w:pStyle w:val="TableText"/>
            </w:pPr>
            <w:r w:rsidRPr="00301FC1">
              <w:rPr>
                <w:rFonts w:asciiTheme="minorHAnsi" w:hAnsiTheme="minorHAnsi" w:cstheme="minorHAnsi"/>
                <w:b/>
                <w:bCs/>
                <w:iCs/>
                <w:sz w:val="20"/>
              </w:rPr>
              <w:t>Auction floor price ($)</w:t>
            </w:r>
          </w:p>
        </w:tc>
        <w:tc>
          <w:tcPr>
            <w:tcW w:w="633" w:type="pct"/>
          </w:tcPr>
          <w:p w14:paraId="69F3F6A1" w14:textId="7D1F6560" w:rsidR="00D77B11" w:rsidRPr="00B72323" w:rsidRDefault="00D77B11">
            <w:pPr>
              <w:pStyle w:val="TableText"/>
            </w:pPr>
            <w:r w:rsidRPr="0060187B">
              <w:rPr>
                <w:rFonts w:asciiTheme="minorHAnsi" w:hAnsiTheme="minorHAnsi" w:cstheme="minorHAnsi"/>
                <w:szCs w:val="20"/>
              </w:rPr>
              <w:t>$</w:t>
            </w:r>
            <w:r>
              <w:rPr>
                <w:rFonts w:asciiTheme="minorHAnsi" w:hAnsiTheme="minorHAnsi" w:cstheme="minorHAnsi"/>
                <w:szCs w:val="20"/>
              </w:rPr>
              <w:t>68</w:t>
            </w:r>
          </w:p>
        </w:tc>
        <w:tc>
          <w:tcPr>
            <w:tcW w:w="633" w:type="pct"/>
          </w:tcPr>
          <w:p w14:paraId="4F496D9B" w14:textId="1F429DAC" w:rsidR="00D77B11" w:rsidRPr="00B72323" w:rsidRDefault="00D77B11">
            <w:pPr>
              <w:pStyle w:val="TableText"/>
            </w:pPr>
            <w:r w:rsidRPr="004E1D66">
              <w:rPr>
                <w:rFonts w:asciiTheme="minorHAnsi" w:hAnsiTheme="minorHAnsi" w:cstheme="minorHAnsi"/>
                <w:szCs w:val="20"/>
              </w:rPr>
              <w:t>$</w:t>
            </w:r>
            <w:r>
              <w:rPr>
                <w:rFonts w:asciiTheme="minorHAnsi" w:hAnsiTheme="minorHAnsi" w:cstheme="minorHAnsi"/>
                <w:szCs w:val="20"/>
              </w:rPr>
              <w:t>72</w:t>
            </w:r>
          </w:p>
        </w:tc>
        <w:tc>
          <w:tcPr>
            <w:tcW w:w="633" w:type="pct"/>
          </w:tcPr>
          <w:p w14:paraId="4EFEBB75" w14:textId="2FBFA7D2" w:rsidR="00D77B11" w:rsidRPr="00B72323" w:rsidRDefault="00D77B11">
            <w:pPr>
              <w:pStyle w:val="TableText"/>
            </w:pPr>
            <w:r>
              <w:rPr>
                <w:rFonts w:asciiTheme="minorHAnsi" w:hAnsiTheme="minorHAnsi" w:cstheme="minorHAnsi"/>
                <w:szCs w:val="20"/>
              </w:rPr>
              <w:t>$76</w:t>
            </w:r>
          </w:p>
        </w:tc>
        <w:tc>
          <w:tcPr>
            <w:tcW w:w="633" w:type="pct"/>
          </w:tcPr>
          <w:p w14:paraId="1D6A63C7" w14:textId="0501BCA3" w:rsidR="00D77B11" w:rsidRPr="00B72323" w:rsidRDefault="00D77B11">
            <w:pPr>
              <w:pStyle w:val="TableText"/>
            </w:pPr>
            <w:r>
              <w:rPr>
                <w:rFonts w:asciiTheme="minorHAnsi" w:hAnsiTheme="minorHAnsi" w:cstheme="minorHAnsi"/>
                <w:szCs w:val="20"/>
              </w:rPr>
              <w:t>$79</w:t>
            </w:r>
          </w:p>
        </w:tc>
        <w:tc>
          <w:tcPr>
            <w:tcW w:w="634" w:type="pct"/>
            <w:shd w:val="clear" w:color="auto" w:fill="auto"/>
          </w:tcPr>
          <w:p w14:paraId="15828ED4" w14:textId="347C2F19" w:rsidR="00D77B11" w:rsidRPr="00B72323" w:rsidRDefault="00D77B11">
            <w:pPr>
              <w:pStyle w:val="TableText"/>
            </w:pPr>
            <w:r>
              <w:rPr>
                <w:rFonts w:asciiTheme="minorHAnsi" w:hAnsiTheme="minorHAnsi" w:cstheme="minorHAnsi"/>
                <w:szCs w:val="20"/>
              </w:rPr>
              <w:t>$83</w:t>
            </w:r>
          </w:p>
        </w:tc>
      </w:tr>
      <w:tr w:rsidR="00AF19EA" w:rsidRPr="00ED3A15" w14:paraId="5B3E2178" w14:textId="77777777">
        <w:trPr>
          <w:trHeight w:val="360"/>
        </w:trPr>
        <w:tc>
          <w:tcPr>
            <w:tcW w:w="1834" w:type="pct"/>
            <w:shd w:val="clear" w:color="auto" w:fill="auto"/>
          </w:tcPr>
          <w:p w14:paraId="0614D8E1" w14:textId="3BB1BA93" w:rsidR="00AF19EA" w:rsidRPr="00B72323" w:rsidRDefault="00AF19EA">
            <w:pPr>
              <w:pStyle w:val="TableText"/>
            </w:pPr>
            <w:r>
              <w:rPr>
                <w:rFonts w:asciiTheme="minorHAnsi" w:hAnsiTheme="minorHAnsi" w:cstheme="minorHAnsi"/>
                <w:b/>
                <w:bCs/>
                <w:color w:val="000000"/>
                <w:sz w:val="20"/>
              </w:rPr>
              <w:t xml:space="preserve">CCR </w:t>
            </w:r>
            <w:r w:rsidR="007718DB">
              <w:rPr>
                <w:rFonts w:asciiTheme="minorHAnsi" w:hAnsiTheme="minorHAnsi" w:cstheme="minorHAnsi"/>
                <w:b/>
                <w:bCs/>
                <w:color w:val="000000"/>
                <w:sz w:val="20"/>
              </w:rPr>
              <w:t>t</w:t>
            </w:r>
            <w:r>
              <w:rPr>
                <w:rFonts w:asciiTheme="minorHAnsi" w:hAnsiTheme="minorHAnsi" w:cstheme="minorHAnsi"/>
                <w:b/>
                <w:bCs/>
                <w:color w:val="000000"/>
                <w:sz w:val="20"/>
              </w:rPr>
              <w:t>ier 1 ($)</w:t>
            </w:r>
          </w:p>
        </w:tc>
        <w:tc>
          <w:tcPr>
            <w:tcW w:w="633" w:type="pct"/>
          </w:tcPr>
          <w:p w14:paraId="68D0DB92" w14:textId="7C35D727" w:rsidR="00AF19EA" w:rsidRPr="00B72323" w:rsidRDefault="00AF19EA">
            <w:pPr>
              <w:pStyle w:val="TableText"/>
            </w:pPr>
            <w:r w:rsidRPr="0060187B">
              <w:rPr>
                <w:rFonts w:asciiTheme="minorHAnsi" w:hAnsiTheme="minorHAnsi" w:cstheme="minorHAnsi"/>
                <w:szCs w:val="20"/>
              </w:rPr>
              <w:t>$194</w:t>
            </w:r>
          </w:p>
        </w:tc>
        <w:tc>
          <w:tcPr>
            <w:tcW w:w="633" w:type="pct"/>
          </w:tcPr>
          <w:p w14:paraId="2F8453D8" w14:textId="330FF933" w:rsidR="00AF19EA" w:rsidRPr="00B72323" w:rsidRDefault="00AF19EA">
            <w:pPr>
              <w:pStyle w:val="TableText"/>
            </w:pPr>
            <w:r w:rsidRPr="004E1D66">
              <w:rPr>
                <w:rFonts w:asciiTheme="minorHAnsi" w:hAnsiTheme="minorHAnsi" w:cstheme="minorHAnsi"/>
                <w:szCs w:val="20"/>
              </w:rPr>
              <w:t>$205</w:t>
            </w:r>
          </w:p>
        </w:tc>
        <w:tc>
          <w:tcPr>
            <w:tcW w:w="633" w:type="pct"/>
          </w:tcPr>
          <w:p w14:paraId="02915D37" w14:textId="4AD32603" w:rsidR="00AF19EA" w:rsidRPr="00B72323" w:rsidRDefault="00AF19EA">
            <w:pPr>
              <w:pStyle w:val="TableText"/>
            </w:pPr>
            <w:r>
              <w:rPr>
                <w:rFonts w:asciiTheme="minorHAnsi" w:hAnsiTheme="minorHAnsi" w:cstheme="minorHAnsi"/>
                <w:szCs w:val="20"/>
              </w:rPr>
              <w:t>$216</w:t>
            </w:r>
          </w:p>
        </w:tc>
        <w:tc>
          <w:tcPr>
            <w:tcW w:w="633" w:type="pct"/>
          </w:tcPr>
          <w:p w14:paraId="1DB1AEFF" w14:textId="44773A68" w:rsidR="00AF19EA" w:rsidRPr="00B72323" w:rsidRDefault="00AF19EA">
            <w:pPr>
              <w:pStyle w:val="TableText"/>
            </w:pPr>
            <w:r>
              <w:rPr>
                <w:rFonts w:asciiTheme="minorHAnsi" w:hAnsiTheme="minorHAnsi" w:cstheme="minorHAnsi"/>
                <w:szCs w:val="20"/>
              </w:rPr>
              <w:t>$227</w:t>
            </w:r>
          </w:p>
        </w:tc>
        <w:tc>
          <w:tcPr>
            <w:tcW w:w="634" w:type="pct"/>
            <w:shd w:val="clear" w:color="auto" w:fill="auto"/>
          </w:tcPr>
          <w:p w14:paraId="44931FF7" w14:textId="0CEE4607" w:rsidR="00AF19EA" w:rsidRPr="00B72323" w:rsidRDefault="00AF19EA">
            <w:pPr>
              <w:pStyle w:val="TableText"/>
            </w:pPr>
            <w:r>
              <w:rPr>
                <w:rFonts w:asciiTheme="minorHAnsi" w:hAnsiTheme="minorHAnsi" w:cstheme="minorHAnsi"/>
                <w:szCs w:val="20"/>
              </w:rPr>
              <w:t>$238</w:t>
            </w:r>
          </w:p>
        </w:tc>
      </w:tr>
      <w:tr w:rsidR="00AF19EA" w:rsidRPr="00ED3A15" w14:paraId="271BE964" w14:textId="77777777">
        <w:trPr>
          <w:trHeight w:val="360"/>
        </w:trPr>
        <w:tc>
          <w:tcPr>
            <w:tcW w:w="1834" w:type="pct"/>
            <w:shd w:val="clear" w:color="auto" w:fill="auto"/>
          </w:tcPr>
          <w:p w14:paraId="74B173A8" w14:textId="0599D8C8" w:rsidR="00AF19EA" w:rsidRPr="00B72323" w:rsidRDefault="00AF19EA">
            <w:pPr>
              <w:pStyle w:val="TableText"/>
            </w:pPr>
            <w:r>
              <w:rPr>
                <w:rFonts w:asciiTheme="minorHAnsi" w:hAnsiTheme="minorHAnsi" w:cstheme="minorHAnsi"/>
                <w:b/>
                <w:bCs/>
                <w:color w:val="000000"/>
                <w:sz w:val="20"/>
              </w:rPr>
              <w:t xml:space="preserve">CCR </w:t>
            </w:r>
            <w:r w:rsidR="007718DB">
              <w:rPr>
                <w:rFonts w:asciiTheme="minorHAnsi" w:hAnsiTheme="minorHAnsi" w:cstheme="minorHAnsi"/>
                <w:b/>
                <w:bCs/>
                <w:color w:val="000000"/>
                <w:sz w:val="20"/>
              </w:rPr>
              <w:t>t</w:t>
            </w:r>
            <w:r w:rsidRPr="006428E4">
              <w:rPr>
                <w:rFonts w:asciiTheme="minorHAnsi" w:hAnsiTheme="minorHAnsi" w:cstheme="minorHAnsi"/>
                <w:b/>
                <w:bCs/>
                <w:color w:val="000000"/>
                <w:sz w:val="20"/>
              </w:rPr>
              <w:t>ier 2</w:t>
            </w:r>
            <w:r>
              <w:rPr>
                <w:rFonts w:asciiTheme="minorHAnsi" w:hAnsiTheme="minorHAnsi" w:cstheme="minorHAnsi"/>
                <w:b/>
                <w:bCs/>
                <w:color w:val="000000"/>
                <w:sz w:val="20"/>
              </w:rPr>
              <w:t xml:space="preserve"> ($)</w:t>
            </w:r>
          </w:p>
        </w:tc>
        <w:tc>
          <w:tcPr>
            <w:tcW w:w="633" w:type="pct"/>
          </w:tcPr>
          <w:p w14:paraId="56AEF68E" w14:textId="037538CA" w:rsidR="00AF19EA" w:rsidRPr="00B72323" w:rsidRDefault="00AF19EA">
            <w:pPr>
              <w:pStyle w:val="TableText"/>
            </w:pPr>
            <w:r>
              <w:rPr>
                <w:rFonts w:asciiTheme="minorHAnsi" w:hAnsiTheme="minorHAnsi" w:cstheme="minorHAnsi"/>
                <w:szCs w:val="20"/>
              </w:rPr>
              <w:t>$243</w:t>
            </w:r>
          </w:p>
        </w:tc>
        <w:tc>
          <w:tcPr>
            <w:tcW w:w="633" w:type="pct"/>
          </w:tcPr>
          <w:p w14:paraId="11358F9D" w14:textId="04014839" w:rsidR="00AF19EA" w:rsidRPr="00B72323" w:rsidRDefault="00AF19EA">
            <w:pPr>
              <w:pStyle w:val="TableText"/>
            </w:pPr>
            <w:r>
              <w:rPr>
                <w:rFonts w:asciiTheme="minorHAnsi" w:hAnsiTheme="minorHAnsi" w:cstheme="minorHAnsi"/>
                <w:szCs w:val="20"/>
              </w:rPr>
              <w:t>$256</w:t>
            </w:r>
          </w:p>
        </w:tc>
        <w:tc>
          <w:tcPr>
            <w:tcW w:w="633" w:type="pct"/>
          </w:tcPr>
          <w:p w14:paraId="4ED32E56" w14:textId="6385A409" w:rsidR="00AF19EA" w:rsidRPr="00B72323" w:rsidRDefault="00AF19EA">
            <w:pPr>
              <w:pStyle w:val="TableText"/>
            </w:pPr>
            <w:r>
              <w:rPr>
                <w:rFonts w:asciiTheme="minorHAnsi" w:hAnsiTheme="minorHAnsi" w:cstheme="minorHAnsi"/>
                <w:szCs w:val="20"/>
              </w:rPr>
              <w:t>$270</w:t>
            </w:r>
          </w:p>
        </w:tc>
        <w:tc>
          <w:tcPr>
            <w:tcW w:w="633" w:type="pct"/>
          </w:tcPr>
          <w:p w14:paraId="16A56AD8" w14:textId="2EFB650C" w:rsidR="00AF19EA" w:rsidRPr="00B72323" w:rsidRDefault="00AF19EA">
            <w:pPr>
              <w:pStyle w:val="TableText"/>
            </w:pPr>
            <w:r>
              <w:rPr>
                <w:rFonts w:asciiTheme="minorHAnsi" w:hAnsiTheme="minorHAnsi" w:cstheme="minorHAnsi"/>
                <w:szCs w:val="20"/>
              </w:rPr>
              <w:t>$283</w:t>
            </w:r>
          </w:p>
        </w:tc>
        <w:tc>
          <w:tcPr>
            <w:tcW w:w="634" w:type="pct"/>
            <w:shd w:val="clear" w:color="auto" w:fill="auto"/>
          </w:tcPr>
          <w:p w14:paraId="63008C86" w14:textId="172DA1DE" w:rsidR="00AF19EA" w:rsidRPr="00B72323" w:rsidRDefault="00AF19EA">
            <w:pPr>
              <w:pStyle w:val="TableText"/>
            </w:pPr>
            <w:r>
              <w:rPr>
                <w:rFonts w:asciiTheme="minorHAnsi" w:hAnsiTheme="minorHAnsi" w:cstheme="minorHAnsi"/>
                <w:szCs w:val="20"/>
              </w:rPr>
              <w:t>$298</w:t>
            </w:r>
          </w:p>
        </w:tc>
      </w:tr>
    </w:tbl>
    <w:p w14:paraId="0A26B2FD" w14:textId="537A6AE8" w:rsidR="00744021" w:rsidRDefault="0063158C" w:rsidP="0063158C">
      <w:pPr>
        <w:pStyle w:val="BodyText"/>
      </w:pPr>
      <w:r>
        <w:lastRenderedPageBreak/>
        <w:t xml:space="preserve">There are different roles that an auction floor price could </w:t>
      </w:r>
      <w:r w:rsidR="00266E29">
        <w:t>play,</w:t>
      </w:r>
      <w:r>
        <w:t xml:space="preserve"> and we are interested in your feedback on </w:t>
      </w:r>
      <w:r w:rsidR="00B72271">
        <w:t>the relative importance of these</w:t>
      </w:r>
      <w:r>
        <w:t>.</w:t>
      </w:r>
      <w:r w:rsidR="006F54FC">
        <w:rPr>
          <w:rStyle w:val="FootnoteReference"/>
        </w:rPr>
        <w:footnoteReference w:id="18"/>
      </w:r>
      <w:r w:rsidR="004E5D3B">
        <w:t xml:space="preserve"> They include </w:t>
      </w:r>
      <w:r w:rsidR="00AF5F29">
        <w:t xml:space="preserve">managing oversupply and </w:t>
      </w:r>
      <w:r w:rsidR="00195134">
        <w:t xml:space="preserve">market </w:t>
      </w:r>
      <w:r w:rsidR="005A5617">
        <w:t>and investor signalling.</w:t>
      </w:r>
    </w:p>
    <w:p w14:paraId="12FAF0FF" w14:textId="0FB1F2AC" w:rsidR="00295B62" w:rsidRPr="00C0766F" w:rsidRDefault="00295B62" w:rsidP="00295B62">
      <w:pPr>
        <w:pStyle w:val="Tableheading"/>
      </w:pPr>
      <w:bookmarkStart w:id="108" w:name="_Toc167714880"/>
      <w:r w:rsidRPr="00C0766F">
        <w:t xml:space="preserve">Table </w:t>
      </w:r>
      <w:r>
        <w:t>11</w:t>
      </w:r>
      <w:r w:rsidRPr="00C0766F">
        <w:t>:</w:t>
      </w:r>
      <w:r w:rsidR="00CB6FB5">
        <w:t xml:space="preserve"> </w:t>
      </w:r>
      <w:r w:rsidR="00C31713">
        <w:tab/>
      </w:r>
      <w:r>
        <w:t>Options comparison</w:t>
      </w:r>
      <w:r w:rsidR="003143FD">
        <w:t xml:space="preserve"> for trigger prices</w:t>
      </w:r>
      <w:bookmarkEnd w:id="108"/>
    </w:p>
    <w:tbl>
      <w:tblPr>
        <w:tblStyle w:val="TableGrid"/>
        <w:tblW w:w="4917" w:type="pct"/>
        <w:tblInd w:w="142"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693"/>
        <w:gridCol w:w="2837"/>
        <w:gridCol w:w="2834"/>
      </w:tblGrid>
      <w:tr w:rsidR="00ED06A4" w:rsidRPr="000B0C5F" w14:paraId="7DDE95F8" w14:textId="77777777" w:rsidTr="006D50F2">
        <w:trPr>
          <w:tblHeader/>
        </w:trPr>
        <w:tc>
          <w:tcPr>
            <w:tcW w:w="1610" w:type="pct"/>
            <w:shd w:val="clear" w:color="auto" w:fill="1B556B"/>
          </w:tcPr>
          <w:p w14:paraId="6F2C7B6C" w14:textId="77777777" w:rsidR="00ED06A4" w:rsidRPr="006B77BB" w:rsidRDefault="00ED06A4">
            <w:pPr>
              <w:pStyle w:val="TableTextbold"/>
              <w:rPr>
                <w:color w:val="FFFFFF" w:themeColor="background1"/>
              </w:rPr>
            </w:pPr>
          </w:p>
        </w:tc>
        <w:tc>
          <w:tcPr>
            <w:tcW w:w="1696" w:type="pct"/>
            <w:shd w:val="clear" w:color="auto" w:fill="1B556B"/>
          </w:tcPr>
          <w:p w14:paraId="1887DB98" w14:textId="77777777" w:rsidR="00ED06A4" w:rsidRPr="006B77BB" w:rsidRDefault="00ED06A4">
            <w:pPr>
              <w:pStyle w:val="TableTextbold"/>
              <w:rPr>
                <w:color w:val="FFFFFF" w:themeColor="background1"/>
              </w:rPr>
            </w:pPr>
            <w:r w:rsidRPr="000B0C5F">
              <w:rPr>
                <w:color w:val="FFFFFF" w:themeColor="background1"/>
              </w:rPr>
              <w:t>Option One – Status quo</w:t>
            </w:r>
          </w:p>
        </w:tc>
        <w:tc>
          <w:tcPr>
            <w:tcW w:w="1694" w:type="pct"/>
            <w:shd w:val="clear" w:color="auto" w:fill="1B556B"/>
          </w:tcPr>
          <w:p w14:paraId="2F00055A" w14:textId="04500D5D" w:rsidR="00ED06A4" w:rsidRPr="006B77BB" w:rsidRDefault="00ED06A4">
            <w:pPr>
              <w:pStyle w:val="TableTextbold"/>
              <w:rPr>
                <w:color w:val="FFFFFF" w:themeColor="background1"/>
              </w:rPr>
            </w:pPr>
            <w:r w:rsidRPr="000B0C5F">
              <w:rPr>
                <w:color w:val="FFFFFF" w:themeColor="background1"/>
              </w:rPr>
              <w:t xml:space="preserve">Option Two – </w:t>
            </w:r>
            <w:r w:rsidRPr="00ED06A4">
              <w:rPr>
                <w:color w:val="FFFFFF" w:themeColor="background1"/>
              </w:rPr>
              <w:t>Lower price control settings</w:t>
            </w:r>
          </w:p>
        </w:tc>
      </w:tr>
      <w:tr w:rsidR="00ED06A4" w:rsidRPr="006B77BB" w14:paraId="411290F2" w14:textId="77777777" w:rsidTr="006D50F2">
        <w:tc>
          <w:tcPr>
            <w:tcW w:w="1610" w:type="pct"/>
            <w:shd w:val="clear" w:color="auto" w:fill="auto"/>
          </w:tcPr>
          <w:p w14:paraId="5F2C5051" w14:textId="77777777" w:rsidR="00ED06A4" w:rsidRPr="00C54AEC" w:rsidRDefault="00ED06A4">
            <w:pPr>
              <w:pStyle w:val="TableText"/>
              <w:rPr>
                <w:b/>
              </w:rPr>
            </w:pPr>
            <w:r w:rsidRPr="00C54AEC">
              <w:rPr>
                <w:rFonts w:asciiTheme="minorHAnsi" w:hAnsiTheme="minorHAnsi"/>
                <w:b/>
                <w:color w:val="000000" w:themeColor="text1"/>
                <w:sz w:val="20"/>
                <w:szCs w:val="20"/>
              </w:rPr>
              <w:t>Likelihood of incentivising emissions reductions</w:t>
            </w:r>
          </w:p>
        </w:tc>
        <w:tc>
          <w:tcPr>
            <w:tcW w:w="1696" w:type="pct"/>
          </w:tcPr>
          <w:p w14:paraId="495A3DF6" w14:textId="20FFE59E" w:rsidR="00ED06A4" w:rsidRPr="002D5BEE" w:rsidRDefault="006D50F2">
            <w:pPr>
              <w:pStyle w:val="TableText"/>
              <w:keepNext/>
              <w:rPr>
                <w:rFonts w:cs="Calibri"/>
                <w:sz w:val="20"/>
                <w:szCs w:val="20"/>
              </w:rPr>
            </w:pPr>
            <w:r w:rsidRPr="002D5BEE">
              <w:rPr>
                <w:rFonts w:asciiTheme="minorHAnsi" w:hAnsiTheme="minorHAnsi" w:cstheme="minorHAnsi"/>
                <w:b/>
                <w:sz w:val="20"/>
                <w:szCs w:val="20"/>
              </w:rPr>
              <w:t>0</w:t>
            </w:r>
          </w:p>
        </w:tc>
        <w:tc>
          <w:tcPr>
            <w:tcW w:w="1694" w:type="pct"/>
          </w:tcPr>
          <w:p w14:paraId="0CA6D004" w14:textId="77777777" w:rsidR="006D50F2" w:rsidRPr="002D5BEE" w:rsidRDefault="006D50F2" w:rsidP="006D50F2">
            <w:pPr>
              <w:spacing w:before="0" w:after="0" w:line="240" w:lineRule="auto"/>
              <w:jc w:val="left"/>
              <w:textAlignment w:val="baseline"/>
              <w:rPr>
                <w:rFonts w:asciiTheme="minorHAnsi" w:hAnsiTheme="minorHAnsi" w:cstheme="minorHAnsi"/>
                <w:b/>
                <w:color w:val="FF0000"/>
                <w:sz w:val="20"/>
                <w:szCs w:val="20"/>
              </w:rPr>
            </w:pPr>
            <w:r w:rsidRPr="002D5BEE">
              <w:rPr>
                <w:rFonts w:asciiTheme="minorHAnsi" w:hAnsiTheme="minorHAnsi" w:cstheme="minorHAnsi"/>
                <w:b/>
                <w:color w:val="FF0000"/>
                <w:sz w:val="20"/>
                <w:szCs w:val="20"/>
              </w:rPr>
              <w:t>-</w:t>
            </w:r>
          </w:p>
          <w:p w14:paraId="7686D715" w14:textId="479A5EED" w:rsidR="006D50F2" w:rsidRPr="006D50F2" w:rsidRDefault="006D50F2" w:rsidP="006D50F2">
            <w:pPr>
              <w:pStyle w:val="TableText"/>
              <w:rPr>
                <w:rFonts w:asciiTheme="minorHAnsi" w:hAnsiTheme="minorHAnsi" w:cstheme="minorHAnsi"/>
                <w:szCs w:val="20"/>
              </w:rPr>
            </w:pPr>
            <w:r w:rsidRPr="006D50F2">
              <w:rPr>
                <w:rFonts w:asciiTheme="minorHAnsi" w:hAnsiTheme="minorHAnsi" w:cstheme="minorHAnsi"/>
                <w:szCs w:val="20"/>
              </w:rPr>
              <w:t xml:space="preserve">This option would reduce the ability for the </w:t>
            </w:r>
            <w:r w:rsidR="00061BD0">
              <w:rPr>
                <w:rFonts w:asciiTheme="minorHAnsi" w:hAnsiTheme="minorHAnsi" w:cstheme="minorHAnsi"/>
                <w:szCs w:val="20"/>
              </w:rPr>
              <w:t>Government</w:t>
            </w:r>
            <w:r w:rsidR="00061BD0" w:rsidRPr="006D50F2">
              <w:rPr>
                <w:rFonts w:asciiTheme="minorHAnsi" w:hAnsiTheme="minorHAnsi" w:cstheme="minorHAnsi"/>
                <w:szCs w:val="20"/>
              </w:rPr>
              <w:t xml:space="preserve"> </w:t>
            </w:r>
            <w:r w:rsidRPr="006D50F2">
              <w:rPr>
                <w:rFonts w:asciiTheme="minorHAnsi" w:hAnsiTheme="minorHAnsi" w:cstheme="minorHAnsi"/>
                <w:szCs w:val="20"/>
              </w:rPr>
              <w:t>to reduce supply if removals/reductions are cheaper than estimated when emissions budgets were set, preventing over-achieving emissions budgets to meet the NDC1.</w:t>
            </w:r>
          </w:p>
          <w:p w14:paraId="17FA59E0" w14:textId="62E737CE" w:rsidR="00ED06A4" w:rsidRPr="006D50F2" w:rsidRDefault="006D50F2" w:rsidP="006D50F2">
            <w:pPr>
              <w:pStyle w:val="TableText"/>
            </w:pPr>
            <w:r w:rsidRPr="006D50F2">
              <w:rPr>
                <w:rFonts w:asciiTheme="minorHAnsi" w:hAnsiTheme="minorHAnsi" w:cstheme="minorHAnsi"/>
                <w:szCs w:val="20"/>
              </w:rPr>
              <w:t>Risk of decreased NZU prices increasing surplus stockpile through liquidity of hedged volume.</w:t>
            </w:r>
          </w:p>
        </w:tc>
      </w:tr>
      <w:tr w:rsidR="00ED06A4" w:rsidRPr="006B77BB" w14:paraId="4662320A" w14:textId="77777777" w:rsidTr="006D50F2">
        <w:tc>
          <w:tcPr>
            <w:tcW w:w="1610" w:type="pct"/>
            <w:shd w:val="clear" w:color="auto" w:fill="auto"/>
          </w:tcPr>
          <w:p w14:paraId="004F7D44" w14:textId="77777777" w:rsidR="00ED06A4" w:rsidRPr="00C54AEC" w:rsidRDefault="00ED06A4">
            <w:pPr>
              <w:pStyle w:val="TableText"/>
              <w:rPr>
                <w:b/>
              </w:rPr>
            </w:pPr>
            <w:r w:rsidRPr="00C54AEC">
              <w:rPr>
                <w:rFonts w:asciiTheme="minorHAnsi" w:hAnsiTheme="minorHAnsi"/>
                <w:b/>
                <w:color w:val="000000" w:themeColor="text1"/>
                <w:sz w:val="20"/>
                <w:szCs w:val="20"/>
              </w:rPr>
              <w:t>Support the proper functioning of the NZ ETS</w:t>
            </w:r>
          </w:p>
        </w:tc>
        <w:tc>
          <w:tcPr>
            <w:tcW w:w="1696" w:type="pct"/>
          </w:tcPr>
          <w:p w14:paraId="0B27D5C8" w14:textId="1418A44F" w:rsidR="00ED06A4" w:rsidRPr="002D5BEE" w:rsidRDefault="006D50F2">
            <w:pPr>
              <w:pStyle w:val="TableText"/>
              <w:keepNext/>
              <w:rPr>
                <w:sz w:val="20"/>
                <w:szCs w:val="20"/>
              </w:rPr>
            </w:pPr>
            <w:r w:rsidRPr="002D5BEE">
              <w:rPr>
                <w:rFonts w:asciiTheme="minorHAnsi" w:hAnsiTheme="minorHAnsi" w:cstheme="minorHAnsi"/>
                <w:b/>
                <w:sz w:val="20"/>
                <w:szCs w:val="20"/>
              </w:rPr>
              <w:t>0</w:t>
            </w:r>
          </w:p>
        </w:tc>
        <w:tc>
          <w:tcPr>
            <w:tcW w:w="1694" w:type="pct"/>
          </w:tcPr>
          <w:p w14:paraId="652B12D5" w14:textId="5B894500" w:rsidR="00ED06A4" w:rsidRPr="002D5BEE" w:rsidRDefault="006D50F2">
            <w:pPr>
              <w:pStyle w:val="TableText"/>
              <w:rPr>
                <w:sz w:val="20"/>
                <w:szCs w:val="20"/>
              </w:rPr>
            </w:pPr>
            <w:r w:rsidRPr="002D5BEE">
              <w:rPr>
                <w:rFonts w:asciiTheme="minorHAnsi" w:hAnsiTheme="minorHAnsi" w:cstheme="minorHAnsi"/>
                <w:b/>
                <w:sz w:val="20"/>
                <w:szCs w:val="20"/>
              </w:rPr>
              <w:t>0</w:t>
            </w:r>
          </w:p>
        </w:tc>
      </w:tr>
      <w:tr w:rsidR="00ED06A4" w:rsidRPr="006B77BB" w14:paraId="1F11FB80" w14:textId="77777777" w:rsidTr="006D50F2">
        <w:tc>
          <w:tcPr>
            <w:tcW w:w="1610" w:type="pct"/>
            <w:shd w:val="clear" w:color="auto" w:fill="auto"/>
          </w:tcPr>
          <w:p w14:paraId="60C5D1B9" w14:textId="077095F7" w:rsidR="00ED06A4" w:rsidRPr="00C54AEC" w:rsidRDefault="00ED06A4">
            <w:pPr>
              <w:pStyle w:val="TableText"/>
              <w:rPr>
                <w:rFonts w:asciiTheme="minorHAnsi" w:hAnsiTheme="minorHAnsi"/>
                <w:b/>
                <w:color w:val="000000" w:themeColor="text1"/>
                <w:sz w:val="20"/>
                <w:szCs w:val="20"/>
              </w:rPr>
            </w:pPr>
            <w:r w:rsidRPr="009D02F4">
              <w:rPr>
                <w:rStyle w:val="normaltextrun"/>
                <w:rFonts w:asciiTheme="minorHAnsi" w:eastAsiaTheme="majorEastAsia" w:hAnsiTheme="minorHAnsi" w:cstheme="minorHAnsi"/>
                <w:b/>
                <w:bCs/>
                <w:sz w:val="20"/>
                <w:szCs w:val="20"/>
                <w:lang w:val="en-GB"/>
              </w:rPr>
              <w:t>Support consistency of NZU prices with the level and trajectory of international emissions prices</w:t>
            </w:r>
          </w:p>
        </w:tc>
        <w:tc>
          <w:tcPr>
            <w:tcW w:w="1696" w:type="pct"/>
          </w:tcPr>
          <w:p w14:paraId="200BA01E" w14:textId="1064303C" w:rsidR="00ED06A4" w:rsidRPr="002D5BEE" w:rsidRDefault="006D50F2">
            <w:pPr>
              <w:pStyle w:val="TableText"/>
              <w:keepNext/>
              <w:rPr>
                <w:sz w:val="20"/>
                <w:szCs w:val="20"/>
              </w:rPr>
            </w:pPr>
            <w:r w:rsidRPr="002D5BEE">
              <w:rPr>
                <w:rFonts w:asciiTheme="minorHAnsi" w:hAnsiTheme="minorHAnsi" w:cstheme="minorHAnsi"/>
                <w:b/>
                <w:sz w:val="20"/>
                <w:szCs w:val="20"/>
              </w:rPr>
              <w:t>0</w:t>
            </w:r>
          </w:p>
        </w:tc>
        <w:tc>
          <w:tcPr>
            <w:tcW w:w="1694" w:type="pct"/>
          </w:tcPr>
          <w:p w14:paraId="4CE863CA" w14:textId="77777777" w:rsidR="006D50F2" w:rsidRPr="002D5BEE" w:rsidRDefault="006D50F2" w:rsidP="006D50F2">
            <w:pPr>
              <w:spacing w:before="0" w:after="0" w:line="240" w:lineRule="auto"/>
              <w:jc w:val="left"/>
              <w:textAlignment w:val="baseline"/>
              <w:rPr>
                <w:b/>
                <w:color w:val="FF0000"/>
                <w:sz w:val="20"/>
                <w:szCs w:val="20"/>
              </w:rPr>
            </w:pPr>
            <w:r w:rsidRPr="002D5BEE">
              <w:rPr>
                <w:b/>
                <w:color w:val="FF0000"/>
                <w:sz w:val="20"/>
                <w:szCs w:val="20"/>
              </w:rPr>
              <w:t>-</w:t>
            </w:r>
          </w:p>
          <w:p w14:paraId="790A66AD" w14:textId="57E8075A" w:rsidR="00ED06A4" w:rsidRPr="00232692" w:rsidRDefault="006D50F2" w:rsidP="006D50F2">
            <w:pPr>
              <w:pStyle w:val="TableText"/>
              <w:rPr>
                <w:sz w:val="20"/>
                <w:szCs w:val="20"/>
              </w:rPr>
            </w:pPr>
            <w:r>
              <w:rPr>
                <w:sz w:val="20"/>
                <w:szCs w:val="20"/>
              </w:rPr>
              <w:t>NZU prices within this range would be in the low range of forecast international emissions prices</w:t>
            </w:r>
            <w:r w:rsidRPr="00A860A3">
              <w:rPr>
                <w:sz w:val="20"/>
                <w:szCs w:val="20"/>
              </w:rPr>
              <w:t>.</w:t>
            </w:r>
            <w:r>
              <w:rPr>
                <w:sz w:val="20"/>
                <w:szCs w:val="20"/>
              </w:rPr>
              <w:t xml:space="preserve"> </w:t>
            </w:r>
          </w:p>
        </w:tc>
      </w:tr>
      <w:tr w:rsidR="00ED06A4" w:rsidRPr="006B77BB" w14:paraId="0693E566" w14:textId="77777777" w:rsidTr="006D50F2">
        <w:tc>
          <w:tcPr>
            <w:tcW w:w="1610" w:type="pct"/>
            <w:shd w:val="clear" w:color="auto" w:fill="auto"/>
          </w:tcPr>
          <w:p w14:paraId="62F8CEA9" w14:textId="4532E059" w:rsidR="00ED06A4" w:rsidRPr="00C54AEC" w:rsidRDefault="00ED06A4">
            <w:pPr>
              <w:pStyle w:val="TableText"/>
              <w:rPr>
                <w:rFonts w:asciiTheme="minorHAnsi" w:hAnsiTheme="minorHAnsi"/>
                <w:b/>
                <w:color w:val="000000" w:themeColor="text1"/>
                <w:sz w:val="20"/>
                <w:szCs w:val="20"/>
              </w:rPr>
            </w:pPr>
            <w:r w:rsidRPr="009D02F4">
              <w:rPr>
                <w:rStyle w:val="normaltextrun"/>
                <w:rFonts w:asciiTheme="minorHAnsi" w:eastAsiaTheme="majorEastAsia" w:hAnsiTheme="minorHAnsi" w:cstheme="minorHAnsi"/>
                <w:b/>
                <w:bCs/>
                <w:sz w:val="20"/>
                <w:szCs w:val="20"/>
                <w:lang w:val="en-US"/>
              </w:rPr>
              <w:t>Manages overall costs to the economy and households</w:t>
            </w:r>
            <w:r w:rsidRPr="009D02F4">
              <w:rPr>
                <w:rStyle w:val="normaltextrun"/>
                <w:rFonts w:asciiTheme="minorHAnsi" w:eastAsiaTheme="majorEastAsia" w:hAnsiTheme="minorHAnsi" w:cstheme="minorHAnsi"/>
                <w:sz w:val="20"/>
                <w:szCs w:val="20"/>
              </w:rPr>
              <w:t> </w:t>
            </w:r>
          </w:p>
        </w:tc>
        <w:tc>
          <w:tcPr>
            <w:tcW w:w="1696" w:type="pct"/>
          </w:tcPr>
          <w:p w14:paraId="7E1D179C" w14:textId="6E9B36D9" w:rsidR="00ED06A4" w:rsidRPr="002D5BEE" w:rsidRDefault="006D50F2">
            <w:pPr>
              <w:pStyle w:val="TableText"/>
              <w:keepNext/>
              <w:rPr>
                <w:sz w:val="20"/>
                <w:szCs w:val="20"/>
              </w:rPr>
            </w:pPr>
            <w:r w:rsidRPr="002D5BEE">
              <w:rPr>
                <w:rFonts w:asciiTheme="minorHAnsi" w:hAnsiTheme="minorHAnsi" w:cstheme="minorHAnsi"/>
                <w:b/>
                <w:sz w:val="20"/>
                <w:szCs w:val="20"/>
              </w:rPr>
              <w:t>0</w:t>
            </w:r>
          </w:p>
        </w:tc>
        <w:tc>
          <w:tcPr>
            <w:tcW w:w="1694" w:type="pct"/>
          </w:tcPr>
          <w:p w14:paraId="4C5B21C7" w14:textId="77777777" w:rsidR="006D50F2" w:rsidRPr="002D5BEE" w:rsidRDefault="006D50F2" w:rsidP="006D50F2">
            <w:pPr>
              <w:spacing w:before="0" w:after="0" w:line="240" w:lineRule="auto"/>
              <w:jc w:val="left"/>
              <w:textAlignment w:val="baseline"/>
              <w:rPr>
                <w:rFonts w:asciiTheme="minorHAnsi" w:hAnsiTheme="minorHAnsi" w:cstheme="minorHAnsi"/>
                <w:b/>
                <w:color w:val="00B050"/>
                <w:sz w:val="20"/>
                <w:szCs w:val="20"/>
              </w:rPr>
            </w:pPr>
            <w:r w:rsidRPr="002D5BEE">
              <w:rPr>
                <w:rFonts w:asciiTheme="minorHAnsi" w:hAnsiTheme="minorHAnsi" w:cstheme="minorHAnsi"/>
                <w:b/>
                <w:color w:val="00B050"/>
                <w:sz w:val="20"/>
                <w:szCs w:val="20"/>
              </w:rPr>
              <w:t>+</w:t>
            </w:r>
          </w:p>
          <w:p w14:paraId="3D1FC34B" w14:textId="5F2BA22A" w:rsidR="00ED06A4" w:rsidRPr="006B77BB" w:rsidRDefault="006D50F2" w:rsidP="006D50F2">
            <w:pPr>
              <w:pStyle w:val="TableText"/>
            </w:pPr>
            <w:r>
              <w:rPr>
                <w:rFonts w:asciiTheme="minorHAnsi" w:hAnsiTheme="minorHAnsi" w:cstheme="minorHAnsi"/>
                <w:sz w:val="20"/>
                <w:szCs w:val="20"/>
              </w:rPr>
              <w:t>A lower corridor could allow lower prices, which reduces cost impact on households and the economy.</w:t>
            </w:r>
          </w:p>
        </w:tc>
      </w:tr>
      <w:tr w:rsidR="00ED06A4" w:rsidRPr="006B77BB" w14:paraId="757A7025" w14:textId="77777777" w:rsidTr="006D50F2">
        <w:tc>
          <w:tcPr>
            <w:tcW w:w="1610" w:type="pct"/>
          </w:tcPr>
          <w:p w14:paraId="402687AB" w14:textId="77777777" w:rsidR="00ED06A4" w:rsidRPr="006B77BB" w:rsidRDefault="00ED06A4">
            <w:pPr>
              <w:pStyle w:val="TableText"/>
            </w:pPr>
            <w:r w:rsidRPr="001D465F">
              <w:rPr>
                <w:rFonts w:asciiTheme="minorHAnsi" w:hAnsiTheme="minorHAnsi"/>
                <w:b/>
                <w:color w:val="000000" w:themeColor="text1"/>
                <w:sz w:val="20"/>
                <w:szCs w:val="20"/>
              </w:rPr>
              <w:t>Overall assessment</w:t>
            </w:r>
          </w:p>
        </w:tc>
        <w:tc>
          <w:tcPr>
            <w:tcW w:w="1696" w:type="pct"/>
          </w:tcPr>
          <w:p w14:paraId="212F8364" w14:textId="77777777" w:rsidR="00ED06A4" w:rsidRPr="002D5BEE" w:rsidRDefault="00ED06A4">
            <w:pPr>
              <w:pStyle w:val="TableText"/>
              <w:keepNext/>
              <w:rPr>
                <w:rFonts w:cs="Calibri"/>
                <w:b/>
                <w:sz w:val="20"/>
                <w:szCs w:val="20"/>
              </w:rPr>
            </w:pPr>
            <w:r w:rsidRPr="002D5BEE">
              <w:rPr>
                <w:rFonts w:asciiTheme="minorHAnsi" w:hAnsiTheme="minorHAnsi" w:cstheme="minorHAnsi"/>
                <w:b/>
                <w:sz w:val="20"/>
                <w:szCs w:val="20"/>
              </w:rPr>
              <w:t>0</w:t>
            </w:r>
          </w:p>
        </w:tc>
        <w:tc>
          <w:tcPr>
            <w:tcW w:w="1694" w:type="pct"/>
          </w:tcPr>
          <w:p w14:paraId="36D045C1" w14:textId="68584DC1" w:rsidR="00ED06A4" w:rsidRPr="00B47DA5" w:rsidRDefault="00B47DA5" w:rsidP="00B47DA5">
            <w:pPr>
              <w:spacing w:before="0" w:after="0" w:line="240" w:lineRule="auto"/>
              <w:jc w:val="left"/>
              <w:textAlignment w:val="baseline"/>
              <w:rPr>
                <w:b/>
                <w:color w:val="FF0000"/>
                <w:sz w:val="20"/>
                <w:szCs w:val="20"/>
              </w:rPr>
            </w:pPr>
            <w:r w:rsidRPr="002D5BEE">
              <w:rPr>
                <w:b/>
                <w:color w:val="FF0000"/>
                <w:sz w:val="20"/>
                <w:szCs w:val="20"/>
              </w:rPr>
              <w:t>-</w:t>
            </w:r>
          </w:p>
        </w:tc>
      </w:tr>
    </w:tbl>
    <w:p w14:paraId="3FF3EBBD" w14:textId="77777777" w:rsidR="006D50F2" w:rsidRPr="00293911" w:rsidRDefault="006D50F2" w:rsidP="006D50F2">
      <w:pPr>
        <w:pStyle w:val="Heading4"/>
      </w:pPr>
      <w:r w:rsidRPr="00293911">
        <w:t xml:space="preserve">Key for assessing options against the </w:t>
      </w:r>
      <w:proofErr w:type="gramStart"/>
      <w:r w:rsidRPr="00293911">
        <w:t>status quo</w:t>
      </w:r>
      <w:proofErr w:type="gramEnd"/>
    </w:p>
    <w:p w14:paraId="0BA7752D" w14:textId="77777777" w:rsidR="006D50F2" w:rsidRPr="007837CC" w:rsidRDefault="006D50F2" w:rsidP="006D50F2">
      <w:pPr>
        <w:pStyle w:val="BodyText"/>
        <w:keepNext/>
        <w:spacing w:before="60" w:after="0"/>
      </w:pPr>
      <w:r w:rsidRPr="007837CC">
        <w:rPr>
          <w:b/>
          <w:bCs/>
          <w:color w:val="00B050"/>
        </w:rPr>
        <w:t>++</w:t>
      </w:r>
      <w:r w:rsidRPr="007837CC">
        <w:t xml:space="preserve"> </w:t>
      </w:r>
      <w:r w:rsidRPr="007837CC">
        <w:tab/>
        <w:t>much better than the status quo</w:t>
      </w:r>
    </w:p>
    <w:p w14:paraId="3246E5B6" w14:textId="77777777" w:rsidR="006D50F2" w:rsidRPr="007837CC" w:rsidRDefault="006D50F2" w:rsidP="006D50F2">
      <w:pPr>
        <w:pStyle w:val="BodyText"/>
        <w:keepNext/>
        <w:spacing w:before="60" w:after="0"/>
      </w:pPr>
      <w:r w:rsidRPr="007837CC">
        <w:rPr>
          <w:b/>
          <w:bCs/>
          <w:color w:val="00B050"/>
        </w:rPr>
        <w:t>+</w:t>
      </w:r>
      <w:r w:rsidRPr="007837CC">
        <w:t xml:space="preserve"> </w:t>
      </w:r>
      <w:r w:rsidRPr="007837CC">
        <w:tab/>
        <w:t>better than the status quo</w:t>
      </w:r>
    </w:p>
    <w:p w14:paraId="64E750F4" w14:textId="77777777" w:rsidR="006D50F2" w:rsidRPr="007837CC" w:rsidRDefault="006D50F2" w:rsidP="006D50F2">
      <w:pPr>
        <w:pStyle w:val="BodyText"/>
        <w:spacing w:before="60" w:after="0"/>
      </w:pPr>
      <w:r w:rsidRPr="007837CC">
        <w:rPr>
          <w:b/>
          <w:bCs/>
        </w:rPr>
        <w:t>0</w:t>
      </w:r>
      <w:r w:rsidRPr="007837CC">
        <w:tab/>
        <w:t>about the same as the status quo</w:t>
      </w:r>
    </w:p>
    <w:p w14:paraId="191998AE" w14:textId="77777777" w:rsidR="006D50F2" w:rsidRPr="007837CC" w:rsidRDefault="006D50F2" w:rsidP="006D50F2">
      <w:pPr>
        <w:pStyle w:val="BodyText"/>
        <w:spacing w:before="60" w:after="0"/>
      </w:pPr>
      <w:r w:rsidRPr="007837CC">
        <w:rPr>
          <w:b/>
          <w:bCs/>
          <w:color w:val="FF0000"/>
        </w:rPr>
        <w:t>–</w:t>
      </w:r>
      <w:r w:rsidRPr="007837CC">
        <w:t xml:space="preserve"> </w:t>
      </w:r>
      <w:r w:rsidRPr="007837CC">
        <w:tab/>
        <w:t>worse than the status quo</w:t>
      </w:r>
    </w:p>
    <w:p w14:paraId="0602FE3E" w14:textId="77777777" w:rsidR="006D50F2" w:rsidRDefault="006D50F2" w:rsidP="006D50F2">
      <w:pPr>
        <w:pStyle w:val="BodyText"/>
        <w:spacing w:before="60"/>
      </w:pPr>
      <w:r w:rsidRPr="007837CC">
        <w:rPr>
          <w:b/>
          <w:bCs/>
          <w:color w:val="FF0000"/>
        </w:rPr>
        <w:t xml:space="preserve">– – </w:t>
      </w:r>
      <w:r w:rsidRPr="007837CC">
        <w:tab/>
        <w:t>much worse than the status quo</w:t>
      </w:r>
    </w:p>
    <w:p w14:paraId="7D7AC1C0" w14:textId="77777777" w:rsidR="00B3488D" w:rsidRDefault="00B3488D" w:rsidP="006D50F2">
      <w:pPr>
        <w:pStyle w:val="Heading3"/>
        <w:spacing w:after="240"/>
      </w:pPr>
      <w:r>
        <w:lastRenderedPageBreak/>
        <w:t>Questions</w:t>
      </w:r>
    </w:p>
    <w:tbl>
      <w:tblPr>
        <w:tblStyle w:val="TableGrid"/>
        <w:tblW w:w="8482"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482"/>
      </w:tblGrid>
      <w:tr w:rsidR="006D50F2" w:rsidRPr="00D71C4F" w14:paraId="5396E413" w14:textId="77777777" w:rsidTr="004B51A8">
        <w:tc>
          <w:tcPr>
            <w:tcW w:w="8482" w:type="dxa"/>
            <w:shd w:val="clear" w:color="auto" w:fill="1B556B" w:themeFill="text2"/>
          </w:tcPr>
          <w:p w14:paraId="6967F109" w14:textId="77777777" w:rsidR="006D50F2" w:rsidRPr="00D71C4F" w:rsidRDefault="006D50F2">
            <w:pPr>
              <w:pStyle w:val="TableText"/>
              <w:keepNext/>
              <w:rPr>
                <w:b/>
                <w:bCs/>
                <w:color w:val="FFFFFF" w:themeColor="background1"/>
                <w:sz w:val="20"/>
              </w:rPr>
            </w:pPr>
            <w:r w:rsidRPr="00D71C4F">
              <w:rPr>
                <w:b/>
                <w:bCs/>
                <w:color w:val="FFFFFF" w:themeColor="background1"/>
                <w:sz w:val="20"/>
              </w:rPr>
              <w:t>Questions</w:t>
            </w:r>
          </w:p>
        </w:tc>
      </w:tr>
      <w:tr w:rsidR="006D50F2" w:rsidRPr="00943CFD" w14:paraId="67F09A60" w14:textId="77777777" w:rsidTr="004B51A8">
        <w:tc>
          <w:tcPr>
            <w:tcW w:w="8482" w:type="dxa"/>
          </w:tcPr>
          <w:p w14:paraId="5EB885C4" w14:textId="45FF8DB9" w:rsidR="006D50F2" w:rsidRPr="00943CFD" w:rsidRDefault="00103600">
            <w:pPr>
              <w:pStyle w:val="Questions"/>
              <w:ind w:left="397" w:right="0" w:hanging="397"/>
            </w:pPr>
            <w:r>
              <w:t>What is your preferred option for the price control corridor? Is there any other option that you think we should consider? W</w:t>
            </w:r>
            <w:r w:rsidRPr="00295B62">
              <w:t>hat factors should inform the price these are set?</w:t>
            </w:r>
          </w:p>
        </w:tc>
      </w:tr>
      <w:tr w:rsidR="004B51A8" w:rsidRPr="00943CFD" w14:paraId="68AA05B1" w14:textId="77777777" w:rsidTr="004B51A8">
        <w:tc>
          <w:tcPr>
            <w:tcW w:w="8482" w:type="dxa"/>
          </w:tcPr>
          <w:p w14:paraId="2209AFCD" w14:textId="7DB4BEE1" w:rsidR="004B51A8" w:rsidRDefault="004B51A8">
            <w:pPr>
              <w:pStyle w:val="Questions"/>
              <w:ind w:left="397" w:right="0" w:hanging="397"/>
            </w:pPr>
            <w:r>
              <w:t>Do you consider a price corridor (</w:t>
            </w:r>
            <w:proofErr w:type="spellStart"/>
            <w:r>
              <w:t>ie</w:t>
            </w:r>
            <w:proofErr w:type="spellEnd"/>
            <w:r>
              <w:t>, an auction floor price and a CCR), to be important? Why or why not?</w:t>
            </w:r>
          </w:p>
        </w:tc>
      </w:tr>
    </w:tbl>
    <w:p w14:paraId="0199EC7B" w14:textId="4F031A64" w:rsidR="00023F87" w:rsidRPr="00023F87" w:rsidRDefault="00B614B3" w:rsidP="00CA3497">
      <w:pPr>
        <w:pStyle w:val="Heading2"/>
      </w:pPr>
      <w:bookmarkStart w:id="109" w:name="_Toc163048598"/>
      <w:bookmarkStart w:id="110" w:name="_Toc166162160"/>
      <w:r>
        <w:t>C</w:t>
      </w:r>
      <w:r w:rsidR="00023F87">
        <w:t>ost containment reserve volume</w:t>
      </w:r>
      <w:bookmarkEnd w:id="109"/>
      <w:bookmarkEnd w:id="110"/>
    </w:p>
    <w:p w14:paraId="54CAA407" w14:textId="667E73A4" w:rsidR="00796439" w:rsidRDefault="00796439" w:rsidP="00D312E5">
      <w:pPr>
        <w:pStyle w:val="BodyText"/>
      </w:pPr>
      <w:r w:rsidRPr="00796439">
        <w:t xml:space="preserve">The volume of the CCR needs to be </w:t>
      </w:r>
      <w:r w:rsidR="00723344">
        <w:t xml:space="preserve">large enough </w:t>
      </w:r>
      <w:r w:rsidRPr="00796439">
        <w:t>to enable it to perform its function of mitigat</w:t>
      </w:r>
      <w:r w:rsidR="007D2070">
        <w:t>ing</w:t>
      </w:r>
      <w:r w:rsidRPr="00796439">
        <w:t xml:space="preserve"> against </w:t>
      </w:r>
      <w:r w:rsidR="007D2070">
        <w:t xml:space="preserve">auction </w:t>
      </w:r>
      <w:r>
        <w:t>prices that are too high.</w:t>
      </w:r>
    </w:p>
    <w:p w14:paraId="79C4E459" w14:textId="18E2994F" w:rsidR="00B12E23" w:rsidRDefault="00796B6C" w:rsidP="00D312E5">
      <w:pPr>
        <w:pStyle w:val="BodyText"/>
      </w:pPr>
      <w:r>
        <w:t>In its 2022 and 2023 recommendations on NZ ET</w:t>
      </w:r>
      <w:r w:rsidR="00C06B12">
        <w:t>S</w:t>
      </w:r>
      <w:r>
        <w:t xml:space="preserve"> settings, t</w:t>
      </w:r>
      <w:r w:rsidR="00595231">
        <w:t xml:space="preserve">he Commission recommended </w:t>
      </w:r>
      <w:r w:rsidR="00B12E23">
        <w:t xml:space="preserve">that the CCR </w:t>
      </w:r>
      <w:r w:rsidR="00186715">
        <w:t xml:space="preserve">volume </w:t>
      </w:r>
      <w:r w:rsidR="00B12E23">
        <w:t>should be equal to the surplus stockpile reduction volume</w:t>
      </w:r>
      <w:r w:rsidR="00622CC8">
        <w:t xml:space="preserve"> for each year</w:t>
      </w:r>
      <w:r w:rsidR="00B12E23">
        <w:t xml:space="preserve">. </w:t>
      </w:r>
      <w:r w:rsidR="00BB02AE">
        <w:t>I</w:t>
      </w:r>
      <w:r w:rsidR="00993236">
        <w:t>f</w:t>
      </w:r>
      <w:r w:rsidR="00B12E23">
        <w:t xml:space="preserve"> </w:t>
      </w:r>
      <w:r w:rsidR="00ED6FDF">
        <w:t xml:space="preserve">the </w:t>
      </w:r>
      <w:r w:rsidR="00B12E23">
        <w:t xml:space="preserve">CCR </w:t>
      </w:r>
      <w:r w:rsidR="00ED6FDF">
        <w:t xml:space="preserve">was </w:t>
      </w:r>
      <w:r w:rsidR="00B12E23">
        <w:t>triggered</w:t>
      </w:r>
      <w:r w:rsidR="00EA7D96">
        <w:t xml:space="preserve"> and fully sold</w:t>
      </w:r>
      <w:r w:rsidR="00B12E23">
        <w:t>,</w:t>
      </w:r>
      <w:r w:rsidR="00ED6FDF">
        <w:t xml:space="preserve"> the</w:t>
      </w:r>
      <w:r w:rsidR="00433B7B">
        <w:t xml:space="preserve">re would be no units supplied above </w:t>
      </w:r>
      <w:r w:rsidR="00ED6FDF">
        <w:t xml:space="preserve">the </w:t>
      </w:r>
      <w:r w:rsidR="001E0EAF">
        <w:t>overall limit on units</w:t>
      </w:r>
      <w:r w:rsidR="00BB02AE">
        <w:t xml:space="preserve"> and the surplus would not change</w:t>
      </w:r>
      <w:r w:rsidR="00060161">
        <w:t>.</w:t>
      </w:r>
    </w:p>
    <w:p w14:paraId="4B7D5E61" w14:textId="1D0F4015" w:rsidR="00F560F2" w:rsidRDefault="00B12E23" w:rsidP="00D312E5">
      <w:pPr>
        <w:pStyle w:val="BodyText"/>
      </w:pPr>
      <w:r>
        <w:t xml:space="preserve">This year, the Commission recommended </w:t>
      </w:r>
      <w:r w:rsidR="00F560F2">
        <w:t>maintain</w:t>
      </w:r>
      <w:r w:rsidR="00450B43">
        <w:t>ing</w:t>
      </w:r>
      <w:r w:rsidR="00F560F2">
        <w:t xml:space="preserve"> the volume of the CCR </w:t>
      </w:r>
      <w:r w:rsidR="00EE2639">
        <w:t>for 2025</w:t>
      </w:r>
      <w:r w:rsidR="006058E3">
        <w:t>–</w:t>
      </w:r>
      <w:r w:rsidR="00EE2639">
        <w:t>28</w:t>
      </w:r>
      <w:r w:rsidR="00F560F2">
        <w:t xml:space="preserve"> as set in 2023, </w:t>
      </w:r>
      <w:r w:rsidR="008D31E9">
        <w:t xml:space="preserve">plus an extension to </w:t>
      </w:r>
      <w:r w:rsidR="00F560F2">
        <w:t>2029</w:t>
      </w:r>
      <w:r w:rsidR="00321ACC">
        <w:t xml:space="preserve">, despite the </w:t>
      </w:r>
      <w:r w:rsidR="00CC500D">
        <w:t xml:space="preserve">increase in </w:t>
      </w:r>
      <w:r w:rsidR="007B3421">
        <w:t xml:space="preserve">the Commission’s </w:t>
      </w:r>
      <w:r w:rsidR="00CC500D">
        <w:t>surplus reduction volume.</w:t>
      </w:r>
      <w:r w:rsidR="00F560F2">
        <w:t xml:space="preserve"> </w:t>
      </w:r>
      <w:r w:rsidR="00EC2C6A">
        <w:t xml:space="preserve">Decoupling CCR volume from surplus reduction represents </w:t>
      </w:r>
      <w:r w:rsidR="008D31E9">
        <w:t>a change of methodology</w:t>
      </w:r>
      <w:r w:rsidR="0025532A">
        <w:t xml:space="preserve"> to previous years where the volume in the CCR was adjusted with changes in the surplus estimate</w:t>
      </w:r>
      <w:r w:rsidR="00183E3B" w:rsidDel="0025532A">
        <w:t>.</w:t>
      </w:r>
    </w:p>
    <w:p w14:paraId="320BB779" w14:textId="07148051" w:rsidR="00323767" w:rsidRDefault="00323767" w:rsidP="00D312E5">
      <w:pPr>
        <w:pStyle w:val="BodyText"/>
      </w:pPr>
      <w:r>
        <w:t>There are two options for the cost containment reserve volume</w:t>
      </w:r>
      <w:r w:rsidR="005A2B68">
        <w:t>.</w:t>
      </w:r>
    </w:p>
    <w:p w14:paraId="3E64338B" w14:textId="77777777" w:rsidR="005A2B68" w:rsidRDefault="004D1041" w:rsidP="004C6B60">
      <w:pPr>
        <w:pStyle w:val="Heading3"/>
      </w:pPr>
      <w:r w:rsidRPr="0028242C">
        <w:t xml:space="preserve">Option </w:t>
      </w:r>
      <w:r w:rsidR="00323767">
        <w:t>1</w:t>
      </w:r>
      <w:r w:rsidR="0028242C">
        <w:t>:</w:t>
      </w:r>
      <w:r w:rsidR="00323767">
        <w:t xml:space="preserve"> </w:t>
      </w:r>
      <w:r w:rsidR="00323767" w:rsidRPr="0028242C">
        <w:t>Status quo</w:t>
      </w:r>
      <w:r w:rsidR="00586096">
        <w:t xml:space="preserve">: maintain the current </w:t>
      </w:r>
      <w:r w:rsidR="00612E8E" w:rsidRPr="0028242C">
        <w:t>CCR</w:t>
      </w:r>
      <w:r w:rsidR="007D7371" w:rsidRPr="0028242C">
        <w:t xml:space="preserve"> </w:t>
      </w:r>
      <w:proofErr w:type="gramStart"/>
      <w:r w:rsidR="00E41942" w:rsidRPr="0028242C">
        <w:t>volume</w:t>
      </w:r>
      <w:proofErr w:type="gramEnd"/>
    </w:p>
    <w:p w14:paraId="36414D51" w14:textId="6A5337ED" w:rsidR="001B6A64" w:rsidRDefault="00586096" w:rsidP="00D312E5">
      <w:pPr>
        <w:pStyle w:val="BodyText"/>
      </w:pPr>
      <w:r w:rsidRPr="00566242">
        <w:t>This option means</w:t>
      </w:r>
      <w:r w:rsidR="00EC4B94">
        <w:t xml:space="preserve"> </w:t>
      </w:r>
      <w:r>
        <w:t>m</w:t>
      </w:r>
      <w:r w:rsidR="00EC4B94">
        <w:t>aintain</w:t>
      </w:r>
      <w:r>
        <w:t>ing</w:t>
      </w:r>
      <w:r w:rsidR="00EC4B94">
        <w:t xml:space="preserve"> the current</w:t>
      </w:r>
      <w:r w:rsidR="00E41942">
        <w:t xml:space="preserve"> </w:t>
      </w:r>
      <w:r w:rsidR="00747FED">
        <w:t xml:space="preserve">volume as set in regulations </w:t>
      </w:r>
      <w:r w:rsidR="00EC4B94">
        <w:t>and extend</w:t>
      </w:r>
      <w:r>
        <w:t>ing</w:t>
      </w:r>
      <w:r w:rsidR="00EC4B94">
        <w:t xml:space="preserve"> it</w:t>
      </w:r>
      <w:r w:rsidR="00747FED" w:rsidDel="00EC4B94">
        <w:t xml:space="preserve"> </w:t>
      </w:r>
      <w:r w:rsidR="00747FED">
        <w:t>to 2029 (Commission</w:t>
      </w:r>
      <w:r>
        <w:t>’s recommendation</w:t>
      </w:r>
      <w:r w:rsidR="00747FED">
        <w:t>).</w:t>
      </w:r>
      <w:r w:rsidR="00857B40">
        <w:t xml:space="preserve"> </w:t>
      </w:r>
      <w:r w:rsidR="00612E8E">
        <w:t xml:space="preserve">This </w:t>
      </w:r>
      <w:r>
        <w:t>reflects</w:t>
      </w:r>
      <w:r w:rsidR="00612E8E">
        <w:t xml:space="preserve"> a change in methodology</w:t>
      </w:r>
      <w:r w:rsidR="00EC4B94">
        <w:t xml:space="preserve"> of how CCR was set previously (</w:t>
      </w:r>
      <w:proofErr w:type="spellStart"/>
      <w:r w:rsidR="00C54298">
        <w:t>ie</w:t>
      </w:r>
      <w:proofErr w:type="spellEnd"/>
      <w:r w:rsidR="00C54298">
        <w:t>,</w:t>
      </w:r>
      <w:r w:rsidR="00EC4B94">
        <w:t xml:space="preserve"> to </w:t>
      </w:r>
      <w:r w:rsidR="003E6AAE">
        <w:t>reflect changes to surplus reduction)</w:t>
      </w:r>
      <w:r w:rsidR="00612E8E">
        <w:t>.</w:t>
      </w:r>
    </w:p>
    <w:p w14:paraId="2EA2121F" w14:textId="77777777" w:rsidR="005A2B68" w:rsidRDefault="0028242C" w:rsidP="004C6B60">
      <w:pPr>
        <w:pStyle w:val="Heading3"/>
      </w:pPr>
      <w:r w:rsidRPr="0028242C">
        <w:t xml:space="preserve">Option </w:t>
      </w:r>
      <w:r w:rsidR="00323767" w:rsidRPr="0028242C">
        <w:t>2</w:t>
      </w:r>
      <w:r w:rsidRPr="0028242C">
        <w:t>:</w:t>
      </w:r>
      <w:r w:rsidR="00323767" w:rsidRPr="0028242C">
        <w:t xml:space="preserve"> </w:t>
      </w:r>
      <w:r w:rsidR="00586096">
        <w:t>Increase</w:t>
      </w:r>
      <w:r w:rsidR="00747FED" w:rsidRPr="0028242C">
        <w:t xml:space="preserve"> CCR volume </w:t>
      </w:r>
      <w:r w:rsidR="00586096">
        <w:t xml:space="preserve">to </w:t>
      </w:r>
      <w:r w:rsidR="00747FED" w:rsidRPr="0028242C">
        <w:t xml:space="preserve">reflect </w:t>
      </w:r>
      <w:r w:rsidR="00586096">
        <w:t>surplus</w:t>
      </w:r>
      <w:r w:rsidR="00747FED" w:rsidRPr="0028242C">
        <w:t xml:space="preserve"> reduction</w:t>
      </w:r>
      <w:r w:rsidR="00747FED">
        <w:t xml:space="preserve"> </w:t>
      </w:r>
      <w:r w:rsidR="00F63447">
        <w:t>(</w:t>
      </w:r>
      <w:r w:rsidR="00747FED">
        <w:t xml:space="preserve">step </w:t>
      </w:r>
      <w:r w:rsidR="00F63447">
        <w:t>5)</w:t>
      </w:r>
    </w:p>
    <w:p w14:paraId="1193B073" w14:textId="32571C06" w:rsidR="00323767" w:rsidRDefault="00747FED" w:rsidP="00D312E5">
      <w:pPr>
        <w:pStyle w:val="BodyText"/>
      </w:pPr>
      <w:r>
        <w:t>Only the tier 2 volume would increase</w:t>
      </w:r>
      <w:r w:rsidR="002D6788">
        <w:t xml:space="preserve">. The </w:t>
      </w:r>
      <w:r>
        <w:t xml:space="preserve">tier 1 volume </w:t>
      </w:r>
      <w:r w:rsidR="002D6788">
        <w:t xml:space="preserve">would </w:t>
      </w:r>
      <w:r w:rsidR="001B281D">
        <w:t xml:space="preserve">remain the same as it </w:t>
      </w:r>
      <w:r w:rsidR="009060A4">
        <w:t>is</w:t>
      </w:r>
      <w:r>
        <w:t xml:space="preserve"> </w:t>
      </w:r>
      <w:r w:rsidR="00266541">
        <w:t xml:space="preserve">based on an estimate of the average demand gap between the NZ ETS </w:t>
      </w:r>
      <w:r w:rsidR="00623398">
        <w:t>cap and forecast emissions for sectors covered by the NZ ETS</w:t>
      </w:r>
      <w:r w:rsidR="00EB289E">
        <w:t>. T</w:t>
      </w:r>
      <w:r w:rsidR="00270621">
        <w:t xml:space="preserve">his tier 1 volume </w:t>
      </w:r>
      <w:r w:rsidR="00E449C7">
        <w:t>should</w:t>
      </w:r>
      <w:r w:rsidR="004B0A9C">
        <w:t xml:space="preserve"> therefore</w:t>
      </w:r>
      <w:r w:rsidR="00E449C7">
        <w:t xml:space="preserve"> meet </w:t>
      </w:r>
      <w:r w:rsidR="00C55FE2">
        <w:t xml:space="preserve">required demand if NZ ETS participants </w:t>
      </w:r>
      <w:r w:rsidR="0048163E">
        <w:t>find it more difficult than expected to reduce their emissions</w:t>
      </w:r>
      <w:r w:rsidR="000A55F1">
        <w:t>.</w:t>
      </w:r>
    </w:p>
    <w:p w14:paraId="3630A64C" w14:textId="2723AB05" w:rsidR="00D312E5" w:rsidRDefault="0027652F" w:rsidP="00D312E5">
      <w:pPr>
        <w:pStyle w:val="BodyText"/>
      </w:pPr>
      <w:r>
        <w:t xml:space="preserve">The </w:t>
      </w:r>
      <w:r w:rsidR="005327F6">
        <w:t xml:space="preserve">options for </w:t>
      </w:r>
      <w:r>
        <w:t xml:space="preserve">CCR volumes are outlined in </w:t>
      </w:r>
      <w:r w:rsidRPr="00043C10">
        <w:t xml:space="preserve">table </w:t>
      </w:r>
      <w:r w:rsidR="00755188">
        <w:t>12</w:t>
      </w:r>
      <w:r w:rsidR="002B44C7">
        <w:t>.</w:t>
      </w:r>
    </w:p>
    <w:p w14:paraId="7824BFC5" w14:textId="77777777" w:rsidR="00E12113" w:rsidRDefault="00E12113">
      <w:pPr>
        <w:spacing w:before="0" w:after="0" w:line="240" w:lineRule="auto"/>
        <w:jc w:val="left"/>
        <w:rPr>
          <w:rFonts w:eastAsia="Calibri"/>
          <w:b/>
          <w:sz w:val="20"/>
        </w:rPr>
      </w:pPr>
      <w:r>
        <w:br w:type="page"/>
      </w:r>
    </w:p>
    <w:p w14:paraId="3F4D520D" w14:textId="1AFD07E6" w:rsidR="00A35F12" w:rsidRPr="00C0766F" w:rsidRDefault="00A35F12" w:rsidP="004F605D">
      <w:pPr>
        <w:pStyle w:val="Tableheading"/>
      </w:pPr>
      <w:bookmarkStart w:id="111" w:name="_Toc167714881"/>
      <w:r w:rsidRPr="00C0766F">
        <w:lastRenderedPageBreak/>
        <w:t xml:space="preserve">Table </w:t>
      </w:r>
      <w:r w:rsidR="00FF0BA5">
        <w:t>1</w:t>
      </w:r>
      <w:r w:rsidR="00755188">
        <w:t>2</w:t>
      </w:r>
      <w:r w:rsidRPr="00C0766F">
        <w:t>:</w:t>
      </w:r>
      <w:r w:rsidR="00CB6FB5">
        <w:t xml:space="preserve"> </w:t>
      </w:r>
      <w:r w:rsidR="00C31713">
        <w:tab/>
      </w:r>
      <w:r w:rsidR="00B547D7">
        <w:t>O</w:t>
      </w:r>
      <w:r>
        <w:t>ption</w:t>
      </w:r>
      <w:r w:rsidR="00B547D7">
        <w:t>s</w:t>
      </w:r>
      <w:r>
        <w:t xml:space="preserve"> for </w:t>
      </w:r>
      <w:r w:rsidR="0002577A">
        <w:t xml:space="preserve">cost containment reserve </w:t>
      </w:r>
      <w:r>
        <w:t>volume</w:t>
      </w:r>
      <w:bookmarkEnd w:id="111"/>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19"/>
        <w:gridCol w:w="1077"/>
        <w:gridCol w:w="1077"/>
        <w:gridCol w:w="1077"/>
        <w:gridCol w:w="1077"/>
        <w:gridCol w:w="1078"/>
      </w:tblGrid>
      <w:tr w:rsidR="00FE1ECA" w:rsidRPr="00C63C98" w14:paraId="61193C9E" w14:textId="77777777">
        <w:trPr>
          <w:trHeight w:val="360"/>
          <w:tblHeader/>
        </w:trPr>
        <w:tc>
          <w:tcPr>
            <w:tcW w:w="1834" w:type="pct"/>
            <w:shd w:val="clear" w:color="auto" w:fill="1B556B"/>
          </w:tcPr>
          <w:p w14:paraId="145196B7" w14:textId="77777777" w:rsidR="00FE1ECA" w:rsidRPr="006B77BB" w:rsidRDefault="00FE1ECA">
            <w:pPr>
              <w:pStyle w:val="TableTextbold"/>
              <w:rPr>
                <w:color w:val="FFFFFF" w:themeColor="background1"/>
              </w:rPr>
            </w:pPr>
          </w:p>
        </w:tc>
        <w:tc>
          <w:tcPr>
            <w:tcW w:w="633" w:type="pct"/>
            <w:shd w:val="clear" w:color="auto" w:fill="1B556B"/>
          </w:tcPr>
          <w:p w14:paraId="190FA3BA" w14:textId="77777777" w:rsidR="00FE1ECA" w:rsidRPr="00A35F12" w:rsidRDefault="00FE1ECA">
            <w:pPr>
              <w:pStyle w:val="TableTextbold"/>
              <w:rPr>
                <w:rFonts w:asciiTheme="minorHAnsi" w:hAnsiTheme="minorHAnsi" w:cstheme="minorHAnsi"/>
                <w:b w:val="0"/>
                <w:color w:val="000000"/>
                <w:szCs w:val="24"/>
              </w:rPr>
            </w:pPr>
            <w:r>
              <w:rPr>
                <w:color w:val="FFFFFF" w:themeColor="background1"/>
              </w:rPr>
              <w:t>2025</w:t>
            </w:r>
          </w:p>
        </w:tc>
        <w:tc>
          <w:tcPr>
            <w:tcW w:w="633" w:type="pct"/>
            <w:shd w:val="clear" w:color="auto" w:fill="1B556B"/>
          </w:tcPr>
          <w:p w14:paraId="0808E7B9" w14:textId="77777777" w:rsidR="00FE1ECA" w:rsidRPr="00A35F12" w:rsidRDefault="00FE1ECA">
            <w:pPr>
              <w:pStyle w:val="TableTextbold"/>
              <w:rPr>
                <w:rFonts w:asciiTheme="minorHAnsi" w:hAnsiTheme="minorHAnsi" w:cstheme="minorHAnsi"/>
                <w:b w:val="0"/>
                <w:color w:val="000000"/>
                <w:szCs w:val="24"/>
              </w:rPr>
            </w:pPr>
            <w:r>
              <w:rPr>
                <w:color w:val="FFFFFF" w:themeColor="background1"/>
              </w:rPr>
              <w:t>2026</w:t>
            </w:r>
          </w:p>
        </w:tc>
        <w:tc>
          <w:tcPr>
            <w:tcW w:w="633" w:type="pct"/>
            <w:shd w:val="clear" w:color="auto" w:fill="1B556B"/>
          </w:tcPr>
          <w:p w14:paraId="58AE4CD1" w14:textId="77777777" w:rsidR="00FE1ECA" w:rsidRPr="00A35F12" w:rsidRDefault="00FE1ECA">
            <w:pPr>
              <w:pStyle w:val="TableTextbold"/>
              <w:rPr>
                <w:rFonts w:asciiTheme="minorHAnsi" w:hAnsiTheme="minorHAnsi" w:cstheme="minorHAnsi"/>
                <w:b w:val="0"/>
                <w:color w:val="000000"/>
                <w:szCs w:val="24"/>
              </w:rPr>
            </w:pPr>
            <w:r>
              <w:rPr>
                <w:color w:val="FFFFFF" w:themeColor="background1"/>
              </w:rPr>
              <w:t>2027</w:t>
            </w:r>
          </w:p>
        </w:tc>
        <w:tc>
          <w:tcPr>
            <w:tcW w:w="633" w:type="pct"/>
            <w:shd w:val="clear" w:color="auto" w:fill="1B556B"/>
          </w:tcPr>
          <w:p w14:paraId="31C5D900" w14:textId="77777777" w:rsidR="00FE1ECA" w:rsidRPr="00A35F12" w:rsidRDefault="00FE1ECA">
            <w:pPr>
              <w:pStyle w:val="TableTextbold"/>
              <w:rPr>
                <w:rFonts w:asciiTheme="minorHAnsi" w:hAnsiTheme="minorHAnsi" w:cstheme="minorHAnsi"/>
                <w:b w:val="0"/>
                <w:color w:val="000000"/>
                <w:szCs w:val="24"/>
              </w:rPr>
            </w:pPr>
            <w:r>
              <w:rPr>
                <w:color w:val="FFFFFF" w:themeColor="background1"/>
              </w:rPr>
              <w:t>2028</w:t>
            </w:r>
          </w:p>
        </w:tc>
        <w:tc>
          <w:tcPr>
            <w:tcW w:w="634" w:type="pct"/>
            <w:shd w:val="clear" w:color="auto" w:fill="1B556B"/>
          </w:tcPr>
          <w:p w14:paraId="0E229E22" w14:textId="53D71A00" w:rsidR="00FE1ECA" w:rsidRPr="00A35F12" w:rsidRDefault="00FE1ECA">
            <w:pPr>
              <w:pStyle w:val="TableTextbold"/>
              <w:rPr>
                <w:rFonts w:asciiTheme="minorHAnsi" w:hAnsiTheme="minorHAnsi" w:cstheme="minorHAnsi"/>
                <w:b w:val="0"/>
                <w:color w:val="000000"/>
                <w:szCs w:val="24"/>
              </w:rPr>
            </w:pPr>
            <w:r>
              <w:rPr>
                <w:color w:val="FFFFFF" w:themeColor="background1"/>
              </w:rPr>
              <w:t>2029</w:t>
            </w:r>
            <w:r w:rsidRPr="00E33EFF">
              <w:rPr>
                <w:rFonts w:asciiTheme="minorHAnsi" w:hAnsiTheme="minorHAnsi" w:cstheme="minorHAnsi"/>
                <w:bCs/>
                <w:color w:val="FFFFFF" w:themeColor="background1"/>
                <w:szCs w:val="24"/>
              </w:rPr>
              <w:t xml:space="preserve"> (new)</w:t>
            </w:r>
          </w:p>
        </w:tc>
      </w:tr>
      <w:tr w:rsidR="00FE1ECA" w:rsidRPr="001D465F" w14:paraId="2E32F4BA" w14:textId="77777777">
        <w:trPr>
          <w:trHeight w:val="360"/>
        </w:trPr>
        <w:tc>
          <w:tcPr>
            <w:tcW w:w="1834" w:type="pct"/>
            <w:shd w:val="clear" w:color="auto" w:fill="auto"/>
          </w:tcPr>
          <w:p w14:paraId="20375111" w14:textId="4D4A122A" w:rsidR="00FE1ECA" w:rsidRPr="00B72323" w:rsidRDefault="00FE1ECA">
            <w:pPr>
              <w:pStyle w:val="TableText"/>
            </w:pPr>
            <w:r w:rsidRPr="001D465F">
              <w:rPr>
                <w:rFonts w:asciiTheme="minorHAnsi" w:hAnsiTheme="minorHAnsi" w:cstheme="minorHAnsi"/>
                <w:b/>
                <w:sz w:val="20"/>
              </w:rPr>
              <w:t>Tier 1 volume</w:t>
            </w:r>
            <w:r w:rsidR="00B00E45" w:rsidRPr="001D465F">
              <w:rPr>
                <w:rFonts w:asciiTheme="minorHAnsi" w:hAnsiTheme="minorHAnsi" w:cstheme="minorHAnsi"/>
                <w:b/>
                <w:sz w:val="20"/>
              </w:rPr>
              <w:t xml:space="preserve"> (same for both options)</w:t>
            </w:r>
          </w:p>
        </w:tc>
        <w:tc>
          <w:tcPr>
            <w:tcW w:w="633" w:type="pct"/>
          </w:tcPr>
          <w:p w14:paraId="052DC096" w14:textId="501424A7" w:rsidR="00FE1ECA" w:rsidRPr="00B72323" w:rsidRDefault="00FE1ECA">
            <w:pPr>
              <w:pStyle w:val="TableText"/>
            </w:pPr>
            <w:r w:rsidRPr="001D465F">
              <w:rPr>
                <w:rFonts w:asciiTheme="minorHAnsi" w:hAnsiTheme="minorHAnsi" w:cstheme="minorHAnsi"/>
                <w:sz w:val="20"/>
              </w:rPr>
              <w:t>2.6</w:t>
            </w:r>
          </w:p>
        </w:tc>
        <w:tc>
          <w:tcPr>
            <w:tcW w:w="633" w:type="pct"/>
          </w:tcPr>
          <w:p w14:paraId="4741F1F0" w14:textId="533CC34D" w:rsidR="00FE1ECA" w:rsidRPr="00B72323" w:rsidRDefault="00FE1ECA">
            <w:pPr>
              <w:pStyle w:val="TableText"/>
            </w:pPr>
            <w:r w:rsidRPr="001D465F">
              <w:rPr>
                <w:rFonts w:asciiTheme="minorHAnsi" w:hAnsiTheme="minorHAnsi" w:cstheme="minorHAnsi"/>
                <w:sz w:val="20"/>
              </w:rPr>
              <w:t>2.3</w:t>
            </w:r>
          </w:p>
        </w:tc>
        <w:tc>
          <w:tcPr>
            <w:tcW w:w="633" w:type="pct"/>
          </w:tcPr>
          <w:p w14:paraId="47EB6DE9" w14:textId="10F6AAC5" w:rsidR="00FE1ECA" w:rsidRPr="00B72323" w:rsidRDefault="00FE1ECA">
            <w:pPr>
              <w:pStyle w:val="TableText"/>
            </w:pPr>
            <w:r w:rsidRPr="001D465F">
              <w:rPr>
                <w:rFonts w:asciiTheme="minorHAnsi" w:hAnsiTheme="minorHAnsi" w:cstheme="minorHAnsi"/>
                <w:sz w:val="20"/>
              </w:rPr>
              <w:t>2.1</w:t>
            </w:r>
          </w:p>
        </w:tc>
        <w:tc>
          <w:tcPr>
            <w:tcW w:w="633" w:type="pct"/>
          </w:tcPr>
          <w:p w14:paraId="2DE468CD" w14:textId="7F2D8D59" w:rsidR="00FE1ECA" w:rsidRPr="00B72323" w:rsidRDefault="00FE1ECA">
            <w:pPr>
              <w:pStyle w:val="TableText"/>
            </w:pPr>
            <w:r w:rsidRPr="001D465F">
              <w:rPr>
                <w:rFonts w:asciiTheme="minorHAnsi" w:hAnsiTheme="minorHAnsi" w:cstheme="minorHAnsi"/>
                <w:sz w:val="20"/>
              </w:rPr>
              <w:t>1.9</w:t>
            </w:r>
          </w:p>
        </w:tc>
        <w:tc>
          <w:tcPr>
            <w:tcW w:w="634" w:type="pct"/>
            <w:shd w:val="clear" w:color="auto" w:fill="auto"/>
          </w:tcPr>
          <w:p w14:paraId="2E953C31" w14:textId="082A948F" w:rsidR="00FE1ECA" w:rsidRPr="00B72323" w:rsidRDefault="00FE1ECA">
            <w:pPr>
              <w:pStyle w:val="TableText"/>
            </w:pPr>
            <w:r w:rsidRPr="001D465F">
              <w:rPr>
                <w:rFonts w:asciiTheme="minorHAnsi" w:hAnsiTheme="minorHAnsi" w:cstheme="minorHAnsi"/>
                <w:sz w:val="20"/>
              </w:rPr>
              <w:t>1.7</w:t>
            </w:r>
          </w:p>
        </w:tc>
      </w:tr>
      <w:tr w:rsidR="008E692E" w:rsidRPr="001D465F" w14:paraId="22A934F4" w14:textId="77777777">
        <w:trPr>
          <w:trHeight w:val="360"/>
        </w:trPr>
        <w:tc>
          <w:tcPr>
            <w:tcW w:w="1834" w:type="pct"/>
            <w:shd w:val="clear" w:color="auto" w:fill="auto"/>
          </w:tcPr>
          <w:p w14:paraId="73E33DA3" w14:textId="7CD5DA98" w:rsidR="008E692E" w:rsidRPr="00B72323" w:rsidRDefault="008E692E">
            <w:pPr>
              <w:pStyle w:val="TableText"/>
            </w:pPr>
            <w:r w:rsidRPr="001D465F">
              <w:rPr>
                <w:rFonts w:asciiTheme="minorHAnsi" w:hAnsiTheme="minorHAnsi" w:cstheme="minorHAnsi"/>
                <w:b/>
                <w:bCs/>
                <w:color w:val="000000"/>
                <w:sz w:val="20"/>
              </w:rPr>
              <w:t>Tier 2 volume</w:t>
            </w:r>
            <w:r w:rsidR="001A50BF" w:rsidRPr="001D465F">
              <w:rPr>
                <w:rFonts w:asciiTheme="minorHAnsi" w:hAnsiTheme="minorHAnsi" w:cstheme="minorHAnsi"/>
                <w:b/>
                <w:bCs/>
                <w:color w:val="000000"/>
                <w:sz w:val="20"/>
              </w:rPr>
              <w:t xml:space="preserve"> status quo extended</w:t>
            </w:r>
            <w:r w:rsidR="00B00E45" w:rsidRPr="001D465F">
              <w:rPr>
                <w:rFonts w:asciiTheme="minorHAnsi" w:hAnsiTheme="minorHAnsi" w:cstheme="minorHAnsi"/>
                <w:b/>
                <w:bCs/>
                <w:color w:val="000000"/>
                <w:sz w:val="20"/>
              </w:rPr>
              <w:t xml:space="preserve"> (option 1)</w:t>
            </w:r>
          </w:p>
        </w:tc>
        <w:tc>
          <w:tcPr>
            <w:tcW w:w="633" w:type="pct"/>
          </w:tcPr>
          <w:p w14:paraId="6FC08DA6" w14:textId="19219F2C" w:rsidR="008E692E" w:rsidRPr="00A35F12" w:rsidRDefault="008E692E">
            <w:pPr>
              <w:pStyle w:val="TableText"/>
              <w:rPr>
                <w:rFonts w:asciiTheme="minorHAnsi" w:hAnsiTheme="minorHAnsi" w:cstheme="minorHAnsi"/>
                <w:sz w:val="22"/>
                <w:szCs w:val="24"/>
              </w:rPr>
            </w:pPr>
            <w:r w:rsidRPr="001D465F">
              <w:rPr>
                <w:rFonts w:asciiTheme="minorHAnsi" w:hAnsiTheme="minorHAnsi" w:cstheme="minorHAnsi"/>
              </w:rPr>
              <w:t>4.5</w:t>
            </w:r>
          </w:p>
        </w:tc>
        <w:tc>
          <w:tcPr>
            <w:tcW w:w="633" w:type="pct"/>
          </w:tcPr>
          <w:p w14:paraId="490707D3" w14:textId="02D9CA16" w:rsidR="008E692E" w:rsidRPr="00B72323" w:rsidRDefault="008E692E">
            <w:pPr>
              <w:pStyle w:val="TableText"/>
            </w:pPr>
            <w:r w:rsidRPr="001D465F">
              <w:rPr>
                <w:rFonts w:asciiTheme="minorHAnsi" w:hAnsiTheme="minorHAnsi" w:cstheme="minorHAnsi"/>
              </w:rPr>
              <w:t>4.2</w:t>
            </w:r>
          </w:p>
        </w:tc>
        <w:tc>
          <w:tcPr>
            <w:tcW w:w="633" w:type="pct"/>
          </w:tcPr>
          <w:p w14:paraId="2DC4007F" w14:textId="6B6E330B" w:rsidR="008E692E" w:rsidRPr="00B72323" w:rsidRDefault="008E692E">
            <w:pPr>
              <w:pStyle w:val="TableText"/>
            </w:pPr>
            <w:r w:rsidRPr="001D465F">
              <w:rPr>
                <w:rFonts w:asciiTheme="minorHAnsi" w:hAnsiTheme="minorHAnsi" w:cstheme="minorHAnsi"/>
              </w:rPr>
              <w:t>3.8</w:t>
            </w:r>
          </w:p>
        </w:tc>
        <w:tc>
          <w:tcPr>
            <w:tcW w:w="633" w:type="pct"/>
          </w:tcPr>
          <w:p w14:paraId="5353CF9E" w14:textId="6F1ECF06" w:rsidR="008E692E" w:rsidRPr="00B72323" w:rsidRDefault="008E692E">
            <w:pPr>
              <w:pStyle w:val="TableText"/>
            </w:pPr>
            <w:r w:rsidRPr="001D465F">
              <w:rPr>
                <w:rFonts w:asciiTheme="minorHAnsi" w:hAnsiTheme="minorHAnsi" w:cstheme="minorHAnsi"/>
              </w:rPr>
              <w:t>3.4</w:t>
            </w:r>
          </w:p>
        </w:tc>
        <w:tc>
          <w:tcPr>
            <w:tcW w:w="634" w:type="pct"/>
            <w:shd w:val="clear" w:color="auto" w:fill="auto"/>
          </w:tcPr>
          <w:p w14:paraId="5150C52D" w14:textId="08E50ED8" w:rsidR="008E692E" w:rsidRPr="00B72323" w:rsidRDefault="00FD3BEE">
            <w:pPr>
              <w:pStyle w:val="TableText"/>
            </w:pPr>
            <w:r w:rsidRPr="001D465F">
              <w:rPr>
                <w:rFonts w:asciiTheme="minorHAnsi" w:hAnsiTheme="minorHAnsi" w:cstheme="minorHAnsi"/>
              </w:rPr>
              <w:t>3.0</w:t>
            </w:r>
          </w:p>
        </w:tc>
      </w:tr>
      <w:tr w:rsidR="001B76D1" w:rsidRPr="001D465F" w14:paraId="36236B45" w14:textId="77777777">
        <w:trPr>
          <w:trHeight w:val="360"/>
        </w:trPr>
        <w:tc>
          <w:tcPr>
            <w:tcW w:w="1834" w:type="pct"/>
            <w:shd w:val="clear" w:color="auto" w:fill="auto"/>
          </w:tcPr>
          <w:p w14:paraId="506133CE" w14:textId="2F7DCAD1" w:rsidR="001B76D1" w:rsidRPr="00B72323" w:rsidRDefault="001B76D1">
            <w:pPr>
              <w:pStyle w:val="TableText"/>
            </w:pPr>
            <w:r w:rsidRPr="001D465F">
              <w:rPr>
                <w:rFonts w:asciiTheme="minorHAnsi" w:hAnsiTheme="minorHAnsi" w:cstheme="minorHAnsi"/>
                <w:b/>
                <w:bCs/>
                <w:color w:val="000000"/>
                <w:sz w:val="20"/>
              </w:rPr>
              <w:t xml:space="preserve">Tier 2 volume </w:t>
            </w:r>
            <w:r w:rsidR="00B00E45" w:rsidRPr="001D465F">
              <w:rPr>
                <w:rFonts w:asciiTheme="minorHAnsi" w:hAnsiTheme="minorHAnsi" w:cstheme="minorHAnsi"/>
                <w:b/>
                <w:bCs/>
                <w:color w:val="000000"/>
                <w:sz w:val="20"/>
              </w:rPr>
              <w:t>(option 2)</w:t>
            </w:r>
          </w:p>
        </w:tc>
        <w:tc>
          <w:tcPr>
            <w:tcW w:w="633" w:type="pct"/>
          </w:tcPr>
          <w:p w14:paraId="3C0D4465" w14:textId="07B2425D" w:rsidR="001B76D1" w:rsidRPr="00A35F12" w:rsidRDefault="000A2060">
            <w:pPr>
              <w:pStyle w:val="TableText"/>
              <w:rPr>
                <w:rFonts w:asciiTheme="minorHAnsi" w:hAnsiTheme="minorHAnsi" w:cstheme="minorHAnsi"/>
                <w:sz w:val="22"/>
                <w:szCs w:val="24"/>
              </w:rPr>
            </w:pPr>
            <w:r w:rsidRPr="001D465F">
              <w:rPr>
                <w:rFonts w:asciiTheme="minorHAnsi" w:hAnsiTheme="minorHAnsi" w:cstheme="minorHAnsi"/>
              </w:rPr>
              <w:t>10.1</w:t>
            </w:r>
          </w:p>
        </w:tc>
        <w:tc>
          <w:tcPr>
            <w:tcW w:w="633" w:type="pct"/>
          </w:tcPr>
          <w:p w14:paraId="6405B95F" w14:textId="5F5838C8" w:rsidR="001B76D1" w:rsidRPr="00B72323" w:rsidRDefault="000939F7">
            <w:pPr>
              <w:pStyle w:val="TableText"/>
            </w:pPr>
            <w:r w:rsidRPr="001D465F">
              <w:rPr>
                <w:rFonts w:asciiTheme="minorHAnsi" w:hAnsiTheme="minorHAnsi" w:cstheme="minorHAnsi"/>
              </w:rPr>
              <w:t>9.4</w:t>
            </w:r>
          </w:p>
        </w:tc>
        <w:tc>
          <w:tcPr>
            <w:tcW w:w="633" w:type="pct"/>
          </w:tcPr>
          <w:p w14:paraId="4AA553D1" w14:textId="3BCB7109" w:rsidR="001B76D1" w:rsidRPr="00B72323" w:rsidRDefault="000939F7">
            <w:pPr>
              <w:pStyle w:val="TableText"/>
            </w:pPr>
            <w:r w:rsidRPr="001D465F">
              <w:rPr>
                <w:rFonts w:asciiTheme="minorHAnsi" w:hAnsiTheme="minorHAnsi" w:cstheme="minorHAnsi"/>
              </w:rPr>
              <w:t>8.6</w:t>
            </w:r>
          </w:p>
        </w:tc>
        <w:tc>
          <w:tcPr>
            <w:tcW w:w="633" w:type="pct"/>
          </w:tcPr>
          <w:p w14:paraId="438D5EC1" w14:textId="081EB2FE" w:rsidR="001B76D1" w:rsidRPr="00B72323" w:rsidRDefault="000939F7">
            <w:pPr>
              <w:pStyle w:val="TableText"/>
            </w:pPr>
            <w:r w:rsidRPr="001D465F">
              <w:rPr>
                <w:rFonts w:asciiTheme="minorHAnsi" w:hAnsiTheme="minorHAnsi" w:cstheme="minorHAnsi"/>
              </w:rPr>
              <w:t>7.6</w:t>
            </w:r>
          </w:p>
        </w:tc>
        <w:tc>
          <w:tcPr>
            <w:tcW w:w="634" w:type="pct"/>
            <w:shd w:val="clear" w:color="auto" w:fill="auto"/>
          </w:tcPr>
          <w:p w14:paraId="2178E62F" w14:textId="4CD43C11" w:rsidR="001B76D1" w:rsidRPr="00B72323" w:rsidRDefault="00875477">
            <w:pPr>
              <w:pStyle w:val="TableText"/>
            </w:pPr>
            <w:r w:rsidRPr="001D465F">
              <w:rPr>
                <w:rFonts w:asciiTheme="minorHAnsi" w:hAnsiTheme="minorHAnsi" w:cstheme="minorHAnsi"/>
              </w:rPr>
              <w:t>6.9</w:t>
            </w:r>
          </w:p>
        </w:tc>
      </w:tr>
      <w:tr w:rsidR="008E692E" w:rsidRPr="001D465F" w14:paraId="1F97BCAE" w14:textId="77777777">
        <w:trPr>
          <w:trHeight w:val="360"/>
        </w:trPr>
        <w:tc>
          <w:tcPr>
            <w:tcW w:w="1834" w:type="pct"/>
            <w:shd w:val="clear" w:color="auto" w:fill="auto"/>
          </w:tcPr>
          <w:p w14:paraId="54F31387" w14:textId="2DAB718B" w:rsidR="008E692E" w:rsidRPr="004F605D" w:rsidRDefault="008E692E">
            <w:pPr>
              <w:pStyle w:val="TableText"/>
              <w:rPr>
                <w:b/>
              </w:rPr>
            </w:pPr>
            <w:r w:rsidRPr="004F605D">
              <w:rPr>
                <w:rFonts w:asciiTheme="minorHAnsi" w:hAnsiTheme="minorHAnsi" w:cstheme="minorHAnsi"/>
                <w:b/>
                <w:color w:val="000000"/>
                <w:sz w:val="20"/>
              </w:rPr>
              <w:t>Total CCR volume</w:t>
            </w:r>
            <w:r w:rsidR="00B00E45" w:rsidRPr="004F605D">
              <w:rPr>
                <w:rFonts w:asciiTheme="minorHAnsi" w:hAnsiTheme="minorHAnsi" w:cstheme="minorHAnsi"/>
                <w:b/>
                <w:color w:val="000000"/>
                <w:sz w:val="20"/>
              </w:rPr>
              <w:t xml:space="preserve"> (option 1)</w:t>
            </w:r>
          </w:p>
        </w:tc>
        <w:tc>
          <w:tcPr>
            <w:tcW w:w="633" w:type="pct"/>
          </w:tcPr>
          <w:p w14:paraId="0C410B8C" w14:textId="0054B22B" w:rsidR="008E692E" w:rsidRPr="00A35F12" w:rsidRDefault="008E692E">
            <w:pPr>
              <w:pStyle w:val="TableText"/>
              <w:rPr>
                <w:rFonts w:asciiTheme="minorHAnsi" w:hAnsiTheme="minorHAnsi" w:cstheme="minorHAnsi"/>
                <w:sz w:val="22"/>
                <w:szCs w:val="24"/>
              </w:rPr>
            </w:pPr>
            <w:r w:rsidRPr="001D465F">
              <w:rPr>
                <w:rFonts w:asciiTheme="minorHAnsi" w:hAnsiTheme="minorHAnsi" w:cstheme="minorHAnsi"/>
              </w:rPr>
              <w:t>7.1</w:t>
            </w:r>
          </w:p>
        </w:tc>
        <w:tc>
          <w:tcPr>
            <w:tcW w:w="633" w:type="pct"/>
          </w:tcPr>
          <w:p w14:paraId="3664A3BF" w14:textId="6A39CDD7" w:rsidR="008E692E" w:rsidRPr="00B72323" w:rsidRDefault="008E692E">
            <w:pPr>
              <w:pStyle w:val="TableText"/>
            </w:pPr>
            <w:r w:rsidRPr="001D465F">
              <w:rPr>
                <w:rFonts w:asciiTheme="minorHAnsi" w:hAnsiTheme="minorHAnsi" w:cstheme="minorHAnsi"/>
              </w:rPr>
              <w:t>6.5</w:t>
            </w:r>
          </w:p>
        </w:tc>
        <w:tc>
          <w:tcPr>
            <w:tcW w:w="633" w:type="pct"/>
          </w:tcPr>
          <w:p w14:paraId="4DEA9E78" w14:textId="09158A37" w:rsidR="008E692E" w:rsidRPr="00B72323" w:rsidRDefault="008E692E">
            <w:pPr>
              <w:pStyle w:val="TableText"/>
            </w:pPr>
            <w:r w:rsidRPr="001D465F">
              <w:rPr>
                <w:rFonts w:asciiTheme="minorHAnsi" w:hAnsiTheme="minorHAnsi" w:cstheme="minorHAnsi"/>
              </w:rPr>
              <w:t>5.9</w:t>
            </w:r>
          </w:p>
        </w:tc>
        <w:tc>
          <w:tcPr>
            <w:tcW w:w="633" w:type="pct"/>
          </w:tcPr>
          <w:p w14:paraId="3CCE3165" w14:textId="5B524056" w:rsidR="008E692E" w:rsidRPr="00B72323" w:rsidRDefault="008E692E">
            <w:pPr>
              <w:pStyle w:val="TableText"/>
            </w:pPr>
            <w:r w:rsidRPr="001D465F">
              <w:rPr>
                <w:rFonts w:asciiTheme="minorHAnsi" w:hAnsiTheme="minorHAnsi" w:cstheme="minorHAnsi"/>
              </w:rPr>
              <w:t>5.3</w:t>
            </w:r>
          </w:p>
        </w:tc>
        <w:tc>
          <w:tcPr>
            <w:tcW w:w="634" w:type="pct"/>
            <w:shd w:val="clear" w:color="auto" w:fill="auto"/>
          </w:tcPr>
          <w:p w14:paraId="4D49B453" w14:textId="24BD185D" w:rsidR="008E692E" w:rsidRPr="00B72323" w:rsidRDefault="00CF5E6C">
            <w:pPr>
              <w:pStyle w:val="TableText"/>
            </w:pPr>
            <w:r w:rsidRPr="001D465F">
              <w:rPr>
                <w:rFonts w:asciiTheme="minorHAnsi" w:hAnsiTheme="minorHAnsi" w:cstheme="minorHAnsi"/>
              </w:rPr>
              <w:t>4.7</w:t>
            </w:r>
          </w:p>
        </w:tc>
      </w:tr>
      <w:tr w:rsidR="00B00E45" w:rsidRPr="001D465F" w14:paraId="481B4E50" w14:textId="77777777">
        <w:trPr>
          <w:trHeight w:val="360"/>
        </w:trPr>
        <w:tc>
          <w:tcPr>
            <w:tcW w:w="1834" w:type="pct"/>
            <w:shd w:val="clear" w:color="auto" w:fill="auto"/>
          </w:tcPr>
          <w:p w14:paraId="755000ED" w14:textId="1FB03540" w:rsidR="00B00E45" w:rsidRPr="004F605D" w:rsidRDefault="00B00E45">
            <w:pPr>
              <w:pStyle w:val="TableText"/>
              <w:rPr>
                <w:b/>
              </w:rPr>
            </w:pPr>
            <w:r w:rsidRPr="004F605D">
              <w:rPr>
                <w:rFonts w:asciiTheme="minorHAnsi" w:hAnsiTheme="minorHAnsi" w:cstheme="minorHAnsi"/>
                <w:b/>
                <w:color w:val="000000"/>
                <w:sz w:val="20"/>
              </w:rPr>
              <w:t>Total CCR volume (option 2)</w:t>
            </w:r>
          </w:p>
        </w:tc>
        <w:tc>
          <w:tcPr>
            <w:tcW w:w="633" w:type="pct"/>
          </w:tcPr>
          <w:p w14:paraId="194076F7" w14:textId="1E1418C7" w:rsidR="00B00E45" w:rsidRPr="00A35F12" w:rsidRDefault="002F7903">
            <w:pPr>
              <w:pStyle w:val="TableText"/>
              <w:rPr>
                <w:rFonts w:asciiTheme="minorHAnsi" w:hAnsiTheme="minorHAnsi" w:cstheme="minorHAnsi"/>
                <w:sz w:val="22"/>
                <w:szCs w:val="24"/>
              </w:rPr>
            </w:pPr>
            <w:r w:rsidRPr="001D465F">
              <w:rPr>
                <w:rFonts w:asciiTheme="minorHAnsi" w:hAnsiTheme="minorHAnsi" w:cstheme="minorHAnsi"/>
              </w:rPr>
              <w:t>12.7</w:t>
            </w:r>
          </w:p>
        </w:tc>
        <w:tc>
          <w:tcPr>
            <w:tcW w:w="633" w:type="pct"/>
          </w:tcPr>
          <w:p w14:paraId="5920A6BD" w14:textId="4ED42AE9" w:rsidR="00B00E45" w:rsidRPr="00B72323" w:rsidRDefault="002F7903">
            <w:pPr>
              <w:pStyle w:val="TableText"/>
            </w:pPr>
            <w:r w:rsidRPr="001D465F">
              <w:rPr>
                <w:rFonts w:asciiTheme="minorHAnsi" w:hAnsiTheme="minorHAnsi" w:cstheme="minorHAnsi"/>
              </w:rPr>
              <w:t>11.7</w:t>
            </w:r>
          </w:p>
        </w:tc>
        <w:tc>
          <w:tcPr>
            <w:tcW w:w="633" w:type="pct"/>
          </w:tcPr>
          <w:p w14:paraId="54A985AA" w14:textId="41E175FE" w:rsidR="00B00E45" w:rsidRPr="00B72323" w:rsidRDefault="002F7903">
            <w:pPr>
              <w:pStyle w:val="TableText"/>
            </w:pPr>
            <w:r w:rsidRPr="001D465F">
              <w:rPr>
                <w:rFonts w:asciiTheme="minorHAnsi" w:hAnsiTheme="minorHAnsi" w:cstheme="minorHAnsi"/>
              </w:rPr>
              <w:t>10.7</w:t>
            </w:r>
          </w:p>
        </w:tc>
        <w:tc>
          <w:tcPr>
            <w:tcW w:w="633" w:type="pct"/>
          </w:tcPr>
          <w:p w14:paraId="06799EE8" w14:textId="5A25293D" w:rsidR="00B00E45" w:rsidRPr="00B72323" w:rsidRDefault="002F7903">
            <w:pPr>
              <w:pStyle w:val="TableText"/>
            </w:pPr>
            <w:r w:rsidRPr="001D465F">
              <w:rPr>
                <w:rFonts w:asciiTheme="minorHAnsi" w:hAnsiTheme="minorHAnsi" w:cstheme="minorHAnsi"/>
              </w:rPr>
              <w:t>9.5</w:t>
            </w:r>
          </w:p>
        </w:tc>
        <w:tc>
          <w:tcPr>
            <w:tcW w:w="634" w:type="pct"/>
            <w:shd w:val="clear" w:color="auto" w:fill="auto"/>
          </w:tcPr>
          <w:p w14:paraId="02D1DD16" w14:textId="2455285B" w:rsidR="00B00E45" w:rsidRPr="00B72323" w:rsidRDefault="002F7903">
            <w:pPr>
              <w:pStyle w:val="TableText"/>
            </w:pPr>
            <w:r w:rsidRPr="001D465F">
              <w:rPr>
                <w:rFonts w:asciiTheme="minorHAnsi" w:hAnsiTheme="minorHAnsi" w:cstheme="minorHAnsi"/>
              </w:rPr>
              <w:t>8.6</w:t>
            </w:r>
          </w:p>
        </w:tc>
      </w:tr>
    </w:tbl>
    <w:p w14:paraId="517D80D5" w14:textId="5378CDB8" w:rsidR="008D4F26" w:rsidRDefault="00295B62" w:rsidP="00227534">
      <w:pPr>
        <w:pStyle w:val="Tableheading"/>
        <w:spacing w:before="240"/>
      </w:pPr>
      <w:bookmarkStart w:id="112" w:name="_Toc167714882"/>
      <w:r w:rsidRPr="00295B62">
        <w:t>Table 1</w:t>
      </w:r>
      <w:r>
        <w:t>3</w:t>
      </w:r>
      <w:r w:rsidRPr="00295B62">
        <w:t>:</w:t>
      </w:r>
      <w:r w:rsidR="00CB6FB5">
        <w:t xml:space="preserve"> </w:t>
      </w:r>
      <w:r w:rsidR="00C31713">
        <w:tab/>
      </w:r>
      <w:r w:rsidRPr="00295B62">
        <w:t>Options comparison</w:t>
      </w:r>
      <w:r w:rsidR="00D261D1">
        <w:t xml:space="preserve"> for cost containment reserve volume</w:t>
      </w:r>
      <w:bookmarkEnd w:id="112"/>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834"/>
        <w:gridCol w:w="2837"/>
        <w:gridCol w:w="2834"/>
      </w:tblGrid>
      <w:tr w:rsidR="00AD496C" w:rsidRPr="00AD496C" w14:paraId="0BB9AB41" w14:textId="77777777" w:rsidTr="00E12113">
        <w:trPr>
          <w:tblHeader/>
        </w:trPr>
        <w:tc>
          <w:tcPr>
            <w:tcW w:w="1666" w:type="pct"/>
            <w:shd w:val="clear" w:color="auto" w:fill="1B556B"/>
          </w:tcPr>
          <w:p w14:paraId="589D4A9D" w14:textId="1981C7FD" w:rsidR="00AD496C" w:rsidRPr="006B77BB" w:rsidRDefault="00AD496C">
            <w:pPr>
              <w:pStyle w:val="TableTextbold"/>
              <w:rPr>
                <w:color w:val="FFFFFF" w:themeColor="background1"/>
              </w:rPr>
            </w:pPr>
          </w:p>
        </w:tc>
        <w:tc>
          <w:tcPr>
            <w:tcW w:w="1668" w:type="pct"/>
            <w:shd w:val="clear" w:color="auto" w:fill="1B556B"/>
          </w:tcPr>
          <w:p w14:paraId="25444546" w14:textId="5E78CF8A" w:rsidR="00AD496C" w:rsidRPr="006B77BB" w:rsidRDefault="00AD496C">
            <w:pPr>
              <w:pStyle w:val="TableTextbold"/>
              <w:rPr>
                <w:color w:val="FFFFFF" w:themeColor="background1"/>
              </w:rPr>
            </w:pPr>
            <w:r w:rsidRPr="000B0C5F">
              <w:rPr>
                <w:color w:val="FFFFFF" w:themeColor="background1"/>
              </w:rPr>
              <w:t xml:space="preserve">Option One – </w:t>
            </w:r>
            <w:r w:rsidRPr="00AD496C">
              <w:rPr>
                <w:color w:val="FFFFFF" w:themeColor="background1"/>
              </w:rPr>
              <w:t>Maintain the current CCR volume</w:t>
            </w:r>
          </w:p>
        </w:tc>
        <w:tc>
          <w:tcPr>
            <w:tcW w:w="1666" w:type="pct"/>
            <w:shd w:val="clear" w:color="auto" w:fill="1B556B"/>
          </w:tcPr>
          <w:p w14:paraId="472258E9" w14:textId="0503C144" w:rsidR="00AD496C" w:rsidRPr="006B77BB" w:rsidRDefault="00AD496C">
            <w:pPr>
              <w:pStyle w:val="TableTextbold"/>
              <w:rPr>
                <w:color w:val="FFFFFF" w:themeColor="background1"/>
              </w:rPr>
            </w:pPr>
            <w:r w:rsidRPr="000B0C5F">
              <w:rPr>
                <w:color w:val="FFFFFF" w:themeColor="background1"/>
              </w:rPr>
              <w:t xml:space="preserve">Option Two – </w:t>
            </w:r>
            <w:r w:rsidR="002C18A0">
              <w:rPr>
                <w:color w:val="FFFFFF" w:themeColor="background1"/>
              </w:rPr>
              <w:t>Increase</w:t>
            </w:r>
            <w:r w:rsidR="002C18A0" w:rsidRPr="00AD496C">
              <w:rPr>
                <w:color w:val="FFFFFF" w:themeColor="background1"/>
              </w:rPr>
              <w:t xml:space="preserve"> </w:t>
            </w:r>
            <w:r w:rsidRPr="00AD496C">
              <w:rPr>
                <w:color w:val="FFFFFF" w:themeColor="background1"/>
              </w:rPr>
              <w:t>CCR volume to reflect surplus reduction</w:t>
            </w:r>
          </w:p>
        </w:tc>
      </w:tr>
      <w:tr w:rsidR="00AD496C" w:rsidRPr="006B77BB" w14:paraId="652EDD08" w14:textId="77777777" w:rsidTr="00E12113">
        <w:tc>
          <w:tcPr>
            <w:tcW w:w="1666" w:type="pct"/>
            <w:shd w:val="clear" w:color="auto" w:fill="auto"/>
          </w:tcPr>
          <w:p w14:paraId="6CEB9076" w14:textId="77777777" w:rsidR="00AD496C" w:rsidRPr="00C54AEC" w:rsidRDefault="00AD496C">
            <w:pPr>
              <w:pStyle w:val="TableText"/>
              <w:rPr>
                <w:b/>
              </w:rPr>
            </w:pPr>
            <w:r w:rsidRPr="00C54AEC">
              <w:rPr>
                <w:rFonts w:asciiTheme="minorHAnsi" w:hAnsiTheme="minorHAnsi"/>
                <w:b/>
                <w:color w:val="000000" w:themeColor="text1"/>
                <w:sz w:val="20"/>
                <w:szCs w:val="20"/>
              </w:rPr>
              <w:t>Likelihood of incentivising emissions reductions</w:t>
            </w:r>
          </w:p>
        </w:tc>
        <w:tc>
          <w:tcPr>
            <w:tcW w:w="1668" w:type="pct"/>
          </w:tcPr>
          <w:p w14:paraId="2411F362" w14:textId="0072F72A" w:rsidR="00AD496C" w:rsidRPr="002D5BEE" w:rsidRDefault="00711EA5">
            <w:pPr>
              <w:pStyle w:val="TableText"/>
              <w:keepNext/>
              <w:rPr>
                <w:rFonts w:cs="Calibri"/>
                <w:sz w:val="20"/>
                <w:szCs w:val="20"/>
              </w:rPr>
            </w:pPr>
            <w:r w:rsidRPr="002D5BEE">
              <w:rPr>
                <w:rFonts w:asciiTheme="minorHAnsi" w:hAnsiTheme="minorHAnsi" w:cstheme="minorHAnsi"/>
                <w:b/>
                <w:sz w:val="20"/>
                <w:szCs w:val="20"/>
              </w:rPr>
              <w:t>0</w:t>
            </w:r>
          </w:p>
        </w:tc>
        <w:tc>
          <w:tcPr>
            <w:tcW w:w="1666" w:type="pct"/>
          </w:tcPr>
          <w:p w14:paraId="3C47680E" w14:textId="77777777" w:rsidR="00711EA5" w:rsidRPr="002D5BEE" w:rsidRDefault="00711EA5" w:rsidP="00711EA5">
            <w:pPr>
              <w:spacing w:before="0" w:after="0" w:line="240" w:lineRule="auto"/>
              <w:jc w:val="left"/>
              <w:textAlignment w:val="baseline"/>
              <w:rPr>
                <w:rFonts w:asciiTheme="minorHAnsi" w:hAnsiTheme="minorHAnsi" w:cstheme="minorHAnsi"/>
                <w:b/>
                <w:color w:val="FF0000"/>
                <w:sz w:val="20"/>
                <w:szCs w:val="20"/>
              </w:rPr>
            </w:pPr>
            <w:r w:rsidRPr="002D5BEE">
              <w:rPr>
                <w:rFonts w:asciiTheme="minorHAnsi" w:hAnsiTheme="minorHAnsi" w:cstheme="minorHAnsi"/>
                <w:b/>
                <w:color w:val="FF0000"/>
                <w:sz w:val="20"/>
                <w:szCs w:val="20"/>
              </w:rPr>
              <w:t>-</w:t>
            </w:r>
          </w:p>
          <w:p w14:paraId="1968D137" w14:textId="1A6FC651" w:rsidR="00AD496C" w:rsidRPr="006D50F2" w:rsidRDefault="00711EA5" w:rsidP="00711EA5">
            <w:pPr>
              <w:pStyle w:val="TableText"/>
            </w:pPr>
            <w:r w:rsidRPr="001D465F">
              <w:rPr>
                <w:rFonts w:asciiTheme="minorHAnsi" w:hAnsiTheme="minorHAnsi" w:cstheme="minorHAnsi"/>
                <w:sz w:val="20"/>
                <w:szCs w:val="20"/>
              </w:rPr>
              <w:t>If the CCR is triggered, there is increased risk that the surplus stockpile is maintained.</w:t>
            </w:r>
          </w:p>
        </w:tc>
      </w:tr>
      <w:tr w:rsidR="00AD496C" w:rsidRPr="006B77BB" w14:paraId="1A490349" w14:textId="77777777" w:rsidTr="00E12113">
        <w:tc>
          <w:tcPr>
            <w:tcW w:w="1666" w:type="pct"/>
            <w:shd w:val="clear" w:color="auto" w:fill="auto"/>
          </w:tcPr>
          <w:p w14:paraId="51E262A2" w14:textId="77777777" w:rsidR="00AD496C" w:rsidRPr="00C54AEC" w:rsidRDefault="00AD496C">
            <w:pPr>
              <w:pStyle w:val="TableText"/>
              <w:rPr>
                <w:b/>
              </w:rPr>
            </w:pPr>
            <w:r w:rsidRPr="00C54AEC">
              <w:rPr>
                <w:rFonts w:asciiTheme="minorHAnsi" w:hAnsiTheme="minorHAnsi"/>
                <w:b/>
                <w:color w:val="000000" w:themeColor="text1"/>
                <w:sz w:val="20"/>
                <w:szCs w:val="20"/>
              </w:rPr>
              <w:t>Support the proper functioning of the NZ ETS</w:t>
            </w:r>
          </w:p>
        </w:tc>
        <w:tc>
          <w:tcPr>
            <w:tcW w:w="1668" w:type="pct"/>
          </w:tcPr>
          <w:p w14:paraId="74EEBBD0" w14:textId="5580BAEE" w:rsidR="00AD496C" w:rsidRPr="002D5BEE" w:rsidRDefault="00711EA5">
            <w:pPr>
              <w:pStyle w:val="TableText"/>
              <w:keepNext/>
              <w:rPr>
                <w:sz w:val="20"/>
                <w:szCs w:val="20"/>
              </w:rPr>
            </w:pPr>
            <w:r w:rsidRPr="002D5BEE">
              <w:rPr>
                <w:rFonts w:asciiTheme="minorHAnsi" w:hAnsiTheme="minorHAnsi" w:cstheme="minorHAnsi"/>
                <w:b/>
                <w:sz w:val="20"/>
                <w:szCs w:val="20"/>
              </w:rPr>
              <w:t>0</w:t>
            </w:r>
          </w:p>
        </w:tc>
        <w:tc>
          <w:tcPr>
            <w:tcW w:w="1666" w:type="pct"/>
          </w:tcPr>
          <w:p w14:paraId="160FF0DF" w14:textId="77777777" w:rsidR="00711EA5" w:rsidRPr="002D5BEE" w:rsidRDefault="00711EA5" w:rsidP="00711EA5">
            <w:pPr>
              <w:spacing w:before="0" w:after="0" w:line="240" w:lineRule="auto"/>
              <w:jc w:val="left"/>
              <w:textAlignment w:val="baseline"/>
              <w:rPr>
                <w:rStyle w:val="normaltextrun"/>
                <w:rFonts w:asciiTheme="minorHAnsi" w:hAnsiTheme="minorHAnsi" w:cstheme="minorHAnsi"/>
                <w:b/>
                <w:color w:val="FF0000"/>
                <w:sz w:val="20"/>
                <w:szCs w:val="20"/>
              </w:rPr>
            </w:pPr>
            <w:r w:rsidRPr="002D5BEE">
              <w:rPr>
                <w:rFonts w:asciiTheme="minorHAnsi" w:hAnsiTheme="minorHAnsi" w:cstheme="minorHAnsi"/>
                <w:b/>
                <w:color w:val="FF0000"/>
                <w:sz w:val="20"/>
                <w:szCs w:val="20"/>
              </w:rPr>
              <w:t>-</w:t>
            </w:r>
          </w:p>
          <w:p w14:paraId="05A80809" w14:textId="586A747D" w:rsidR="00AD496C" w:rsidRPr="006B77BB" w:rsidRDefault="00711EA5" w:rsidP="00711EA5">
            <w:pPr>
              <w:pStyle w:val="TableText"/>
            </w:pPr>
            <w:r w:rsidRPr="001D465F">
              <w:rPr>
                <w:rStyle w:val="normaltextrun"/>
                <w:rFonts w:asciiTheme="minorHAnsi" w:hAnsiTheme="minorHAnsi" w:cstheme="minorHAnsi"/>
                <w:sz w:val="20"/>
                <w:szCs w:val="20"/>
              </w:rPr>
              <w:t>The surplus stockpile undermines the effectiveness of the NZ ETS</w:t>
            </w:r>
            <w:r w:rsidR="00DD51D3">
              <w:rPr>
                <w:rStyle w:val="normaltextrun"/>
                <w:rFonts w:asciiTheme="minorHAnsi" w:hAnsiTheme="minorHAnsi" w:cstheme="minorHAnsi"/>
                <w:sz w:val="20"/>
                <w:szCs w:val="20"/>
              </w:rPr>
              <w:t>.</w:t>
            </w:r>
          </w:p>
        </w:tc>
      </w:tr>
      <w:tr w:rsidR="00AD496C" w:rsidRPr="006B77BB" w14:paraId="6B39EB91" w14:textId="77777777" w:rsidTr="00E12113">
        <w:tc>
          <w:tcPr>
            <w:tcW w:w="1666" w:type="pct"/>
            <w:shd w:val="clear" w:color="auto" w:fill="auto"/>
          </w:tcPr>
          <w:p w14:paraId="7E0FBBF7" w14:textId="77777777" w:rsidR="00AD496C" w:rsidRPr="00C54AEC" w:rsidRDefault="00AD496C">
            <w:pPr>
              <w:pStyle w:val="TableText"/>
              <w:rPr>
                <w:rFonts w:asciiTheme="minorHAnsi" w:hAnsiTheme="minorHAnsi"/>
                <w:b/>
                <w:color w:val="000000" w:themeColor="text1"/>
                <w:sz w:val="20"/>
                <w:szCs w:val="20"/>
              </w:rPr>
            </w:pPr>
            <w:r w:rsidRPr="009D02F4">
              <w:rPr>
                <w:rStyle w:val="normaltextrun"/>
                <w:rFonts w:asciiTheme="minorHAnsi" w:eastAsiaTheme="majorEastAsia" w:hAnsiTheme="minorHAnsi" w:cstheme="minorHAnsi"/>
                <w:b/>
                <w:bCs/>
                <w:sz w:val="20"/>
                <w:szCs w:val="20"/>
                <w:lang w:val="en-GB"/>
              </w:rPr>
              <w:t>Support consistency of NZU prices with the level and trajectory of international emissions prices</w:t>
            </w:r>
          </w:p>
        </w:tc>
        <w:tc>
          <w:tcPr>
            <w:tcW w:w="1668" w:type="pct"/>
          </w:tcPr>
          <w:p w14:paraId="3CAAF8A1" w14:textId="469030E7" w:rsidR="00AD496C" w:rsidRPr="002D5BEE" w:rsidRDefault="00711EA5">
            <w:pPr>
              <w:pStyle w:val="TableText"/>
              <w:keepNext/>
              <w:rPr>
                <w:sz w:val="20"/>
                <w:szCs w:val="20"/>
              </w:rPr>
            </w:pPr>
            <w:r w:rsidRPr="002D5BEE">
              <w:rPr>
                <w:rFonts w:asciiTheme="minorHAnsi" w:hAnsiTheme="minorHAnsi" w:cstheme="minorHAnsi"/>
                <w:b/>
                <w:sz w:val="20"/>
                <w:szCs w:val="20"/>
              </w:rPr>
              <w:t>0</w:t>
            </w:r>
          </w:p>
        </w:tc>
        <w:tc>
          <w:tcPr>
            <w:tcW w:w="1666" w:type="pct"/>
          </w:tcPr>
          <w:p w14:paraId="55A30D16" w14:textId="40C9545C" w:rsidR="00AD496C" w:rsidRPr="002D5BEE" w:rsidRDefault="00711EA5">
            <w:pPr>
              <w:pStyle w:val="TableText"/>
              <w:rPr>
                <w:sz w:val="20"/>
                <w:szCs w:val="20"/>
              </w:rPr>
            </w:pPr>
            <w:r w:rsidRPr="002D5BEE">
              <w:rPr>
                <w:rFonts w:asciiTheme="minorHAnsi" w:hAnsiTheme="minorHAnsi" w:cstheme="minorHAnsi"/>
                <w:b/>
                <w:sz w:val="20"/>
                <w:szCs w:val="20"/>
              </w:rPr>
              <w:t>0</w:t>
            </w:r>
          </w:p>
        </w:tc>
      </w:tr>
      <w:tr w:rsidR="00AD496C" w:rsidRPr="006B77BB" w14:paraId="3F421A5E" w14:textId="77777777" w:rsidTr="00E12113">
        <w:tc>
          <w:tcPr>
            <w:tcW w:w="1666" w:type="pct"/>
            <w:shd w:val="clear" w:color="auto" w:fill="auto"/>
          </w:tcPr>
          <w:p w14:paraId="280F0D11" w14:textId="06B6F7F0" w:rsidR="00AD496C" w:rsidRPr="00C54AEC" w:rsidRDefault="00AD496C">
            <w:pPr>
              <w:pStyle w:val="TableText"/>
              <w:rPr>
                <w:rFonts w:asciiTheme="minorHAnsi" w:hAnsiTheme="minorHAnsi"/>
                <w:b/>
                <w:color w:val="000000" w:themeColor="text1"/>
                <w:sz w:val="20"/>
                <w:szCs w:val="20"/>
              </w:rPr>
            </w:pPr>
            <w:r w:rsidRPr="009D02F4">
              <w:rPr>
                <w:rStyle w:val="normaltextrun"/>
                <w:rFonts w:asciiTheme="minorHAnsi" w:eastAsiaTheme="majorEastAsia" w:hAnsiTheme="minorHAnsi" w:cstheme="minorHAnsi"/>
                <w:b/>
                <w:bCs/>
                <w:sz w:val="20"/>
                <w:szCs w:val="20"/>
                <w:lang w:val="en-US"/>
              </w:rPr>
              <w:t>Manage overall costs to the economy and households</w:t>
            </w:r>
            <w:r w:rsidRPr="009D02F4">
              <w:rPr>
                <w:rStyle w:val="normaltextrun"/>
                <w:rFonts w:asciiTheme="minorHAnsi" w:eastAsiaTheme="majorEastAsia" w:hAnsiTheme="minorHAnsi" w:cstheme="minorHAnsi"/>
                <w:sz w:val="20"/>
                <w:szCs w:val="20"/>
              </w:rPr>
              <w:t> </w:t>
            </w:r>
          </w:p>
        </w:tc>
        <w:tc>
          <w:tcPr>
            <w:tcW w:w="1668" w:type="pct"/>
          </w:tcPr>
          <w:p w14:paraId="64751486" w14:textId="24B0D733" w:rsidR="00AD496C" w:rsidRPr="002D5BEE" w:rsidRDefault="00711EA5">
            <w:pPr>
              <w:pStyle w:val="TableText"/>
              <w:keepNext/>
              <w:rPr>
                <w:sz w:val="20"/>
                <w:szCs w:val="20"/>
              </w:rPr>
            </w:pPr>
            <w:r w:rsidRPr="002D5BEE">
              <w:rPr>
                <w:rFonts w:asciiTheme="minorHAnsi" w:hAnsiTheme="minorHAnsi" w:cstheme="minorHAnsi"/>
                <w:b/>
                <w:sz w:val="20"/>
                <w:szCs w:val="20"/>
              </w:rPr>
              <w:t>0</w:t>
            </w:r>
          </w:p>
        </w:tc>
        <w:tc>
          <w:tcPr>
            <w:tcW w:w="1666" w:type="pct"/>
          </w:tcPr>
          <w:p w14:paraId="1254F156" w14:textId="77777777" w:rsidR="00711EA5" w:rsidRPr="002D5BEE" w:rsidRDefault="00711EA5" w:rsidP="00711EA5">
            <w:pPr>
              <w:spacing w:before="0" w:after="0" w:line="240" w:lineRule="auto"/>
              <w:jc w:val="left"/>
              <w:rPr>
                <w:rFonts w:asciiTheme="minorHAnsi" w:hAnsiTheme="minorHAnsi" w:cstheme="minorBidi"/>
                <w:b/>
                <w:color w:val="00B050"/>
                <w:sz w:val="20"/>
                <w:szCs w:val="20"/>
              </w:rPr>
            </w:pPr>
            <w:r w:rsidRPr="002D5BEE">
              <w:rPr>
                <w:rFonts w:asciiTheme="minorHAnsi" w:hAnsiTheme="minorHAnsi" w:cstheme="minorBidi"/>
                <w:b/>
                <w:color w:val="00B050"/>
                <w:sz w:val="20"/>
                <w:szCs w:val="20"/>
              </w:rPr>
              <w:t>+</w:t>
            </w:r>
          </w:p>
          <w:p w14:paraId="1729F253" w14:textId="5FBB3819" w:rsidR="00AD496C" w:rsidRPr="006B77BB" w:rsidRDefault="00711EA5" w:rsidP="00711EA5">
            <w:pPr>
              <w:pStyle w:val="TableText"/>
            </w:pPr>
            <w:r w:rsidRPr="600885D5">
              <w:rPr>
                <w:rFonts w:asciiTheme="minorHAnsi" w:hAnsiTheme="minorHAnsi"/>
                <w:sz w:val="20"/>
                <w:szCs w:val="20"/>
              </w:rPr>
              <w:t>More units in the CCR could provide increased protection against higher prices if tier 2 is triggered.</w:t>
            </w:r>
          </w:p>
        </w:tc>
      </w:tr>
      <w:tr w:rsidR="00AD496C" w:rsidRPr="006B77BB" w14:paraId="5C2C3ADE" w14:textId="77777777" w:rsidTr="00E12113">
        <w:tc>
          <w:tcPr>
            <w:tcW w:w="1666" w:type="pct"/>
          </w:tcPr>
          <w:p w14:paraId="65FA552C" w14:textId="77777777" w:rsidR="00AD496C" w:rsidRPr="006B77BB" w:rsidRDefault="00AD496C">
            <w:pPr>
              <w:pStyle w:val="TableText"/>
            </w:pPr>
            <w:r w:rsidRPr="001D465F">
              <w:rPr>
                <w:rFonts w:asciiTheme="minorHAnsi" w:hAnsiTheme="minorHAnsi"/>
                <w:b/>
                <w:color w:val="000000" w:themeColor="text1"/>
                <w:sz w:val="20"/>
                <w:szCs w:val="20"/>
              </w:rPr>
              <w:t>Overall assessment</w:t>
            </w:r>
          </w:p>
        </w:tc>
        <w:tc>
          <w:tcPr>
            <w:tcW w:w="1668" w:type="pct"/>
          </w:tcPr>
          <w:p w14:paraId="4FA26EB2" w14:textId="2F3C8BBB" w:rsidR="00AD496C" w:rsidRPr="002D5BEE" w:rsidRDefault="00711EA5">
            <w:pPr>
              <w:pStyle w:val="TableText"/>
              <w:keepNext/>
              <w:rPr>
                <w:rFonts w:cs="Calibri"/>
                <w:b/>
                <w:sz w:val="20"/>
                <w:szCs w:val="20"/>
              </w:rPr>
            </w:pPr>
            <w:r w:rsidRPr="002D5BEE">
              <w:rPr>
                <w:rFonts w:asciiTheme="minorHAnsi" w:hAnsiTheme="minorHAnsi" w:cstheme="minorHAnsi"/>
                <w:b/>
                <w:sz w:val="20"/>
                <w:szCs w:val="20"/>
              </w:rPr>
              <w:t>0</w:t>
            </w:r>
          </w:p>
        </w:tc>
        <w:tc>
          <w:tcPr>
            <w:tcW w:w="1666" w:type="pct"/>
          </w:tcPr>
          <w:p w14:paraId="257D8A38" w14:textId="578E3CF9" w:rsidR="00AD496C" w:rsidRPr="002D5BEE" w:rsidRDefault="00711EA5">
            <w:pPr>
              <w:spacing w:before="60" w:after="60" w:line="276" w:lineRule="auto"/>
              <w:jc w:val="left"/>
              <w:rPr>
                <w:rFonts w:asciiTheme="minorHAnsi" w:eastAsiaTheme="minorEastAsia" w:hAnsiTheme="minorHAnsi" w:cstheme="minorBidi"/>
                <w:b/>
                <w:sz w:val="20"/>
                <w:szCs w:val="20"/>
              </w:rPr>
            </w:pPr>
            <w:r w:rsidRPr="002D5BEE">
              <w:rPr>
                <w:rFonts w:asciiTheme="minorHAnsi" w:hAnsiTheme="minorHAnsi" w:cstheme="minorHAnsi"/>
                <w:b/>
                <w:color w:val="FF0000"/>
                <w:sz w:val="20"/>
                <w:szCs w:val="20"/>
              </w:rPr>
              <w:t>-</w:t>
            </w:r>
          </w:p>
        </w:tc>
      </w:tr>
    </w:tbl>
    <w:p w14:paraId="53784692" w14:textId="77777777" w:rsidR="00964DFD" w:rsidRPr="00293911" w:rsidRDefault="00964DFD" w:rsidP="00964DFD">
      <w:pPr>
        <w:pStyle w:val="Heading4"/>
      </w:pPr>
      <w:r w:rsidRPr="00293911">
        <w:t xml:space="preserve">Key for assessing options against the </w:t>
      </w:r>
      <w:proofErr w:type="gramStart"/>
      <w:r w:rsidRPr="00293911">
        <w:t>status quo</w:t>
      </w:r>
      <w:proofErr w:type="gramEnd"/>
    </w:p>
    <w:p w14:paraId="48383684" w14:textId="77777777" w:rsidR="00964DFD" w:rsidRPr="007837CC" w:rsidRDefault="00964DFD" w:rsidP="00964DFD">
      <w:pPr>
        <w:pStyle w:val="BodyText"/>
        <w:keepNext/>
        <w:spacing w:before="60" w:after="0"/>
      </w:pPr>
      <w:r w:rsidRPr="007837CC">
        <w:rPr>
          <w:b/>
          <w:bCs/>
          <w:color w:val="00B050"/>
        </w:rPr>
        <w:t>++</w:t>
      </w:r>
      <w:r w:rsidRPr="007837CC">
        <w:t xml:space="preserve"> </w:t>
      </w:r>
      <w:r w:rsidRPr="007837CC">
        <w:tab/>
        <w:t>much better than the status quo</w:t>
      </w:r>
    </w:p>
    <w:p w14:paraId="2F9039E0" w14:textId="77777777" w:rsidR="00964DFD" w:rsidRPr="007837CC" w:rsidRDefault="00964DFD" w:rsidP="00964DFD">
      <w:pPr>
        <w:pStyle w:val="BodyText"/>
        <w:keepNext/>
        <w:spacing w:before="60" w:after="0"/>
      </w:pPr>
      <w:r w:rsidRPr="007837CC">
        <w:rPr>
          <w:b/>
          <w:bCs/>
          <w:color w:val="00B050"/>
        </w:rPr>
        <w:t>+</w:t>
      </w:r>
      <w:r w:rsidRPr="007837CC">
        <w:t xml:space="preserve"> </w:t>
      </w:r>
      <w:r w:rsidRPr="007837CC">
        <w:tab/>
        <w:t>better than the status quo</w:t>
      </w:r>
    </w:p>
    <w:p w14:paraId="4B090AA2" w14:textId="77777777" w:rsidR="00964DFD" w:rsidRPr="007837CC" w:rsidRDefault="00964DFD" w:rsidP="00964DFD">
      <w:pPr>
        <w:pStyle w:val="BodyText"/>
        <w:spacing w:before="60" w:after="0"/>
      </w:pPr>
      <w:r w:rsidRPr="007837CC">
        <w:rPr>
          <w:b/>
          <w:bCs/>
        </w:rPr>
        <w:t>0</w:t>
      </w:r>
      <w:r w:rsidRPr="007837CC">
        <w:tab/>
        <w:t>about the same as the status quo</w:t>
      </w:r>
    </w:p>
    <w:p w14:paraId="34E9D4E6" w14:textId="77777777" w:rsidR="00964DFD" w:rsidRPr="007837CC" w:rsidRDefault="00964DFD" w:rsidP="00964DFD">
      <w:pPr>
        <w:pStyle w:val="BodyText"/>
        <w:spacing w:before="60" w:after="0"/>
      </w:pPr>
      <w:r w:rsidRPr="007837CC">
        <w:rPr>
          <w:b/>
          <w:bCs/>
          <w:color w:val="FF0000"/>
        </w:rPr>
        <w:t>–</w:t>
      </w:r>
      <w:r w:rsidRPr="007837CC">
        <w:t xml:space="preserve"> </w:t>
      </w:r>
      <w:r w:rsidRPr="007837CC">
        <w:tab/>
        <w:t>worse than the status quo</w:t>
      </w:r>
    </w:p>
    <w:p w14:paraId="0999528D" w14:textId="77777777" w:rsidR="00964DFD" w:rsidRDefault="00964DFD" w:rsidP="00964DFD">
      <w:pPr>
        <w:pStyle w:val="BodyText"/>
        <w:spacing w:before="60"/>
      </w:pPr>
      <w:r w:rsidRPr="007837CC">
        <w:rPr>
          <w:b/>
          <w:bCs/>
          <w:color w:val="FF0000"/>
        </w:rPr>
        <w:t xml:space="preserve">– – </w:t>
      </w:r>
      <w:r w:rsidRPr="007837CC">
        <w:tab/>
        <w:t>much worse than the status quo</w:t>
      </w:r>
    </w:p>
    <w:p w14:paraId="7EB91DC8" w14:textId="77777777" w:rsidR="00F059C0" w:rsidRDefault="00F059C0" w:rsidP="00964DFD">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964DFD" w:rsidRPr="00D71C4F" w14:paraId="243B8AA0" w14:textId="77777777">
        <w:tc>
          <w:tcPr>
            <w:tcW w:w="8505" w:type="dxa"/>
            <w:shd w:val="clear" w:color="auto" w:fill="1B556B" w:themeFill="text2"/>
          </w:tcPr>
          <w:p w14:paraId="1EB86D08" w14:textId="77777777" w:rsidR="00964DFD" w:rsidRPr="00D71C4F" w:rsidRDefault="00964DFD">
            <w:pPr>
              <w:pStyle w:val="TableText"/>
              <w:keepNext/>
              <w:rPr>
                <w:b/>
                <w:bCs/>
                <w:color w:val="FFFFFF" w:themeColor="background1"/>
                <w:sz w:val="20"/>
              </w:rPr>
            </w:pPr>
            <w:r w:rsidRPr="00D71C4F">
              <w:rPr>
                <w:b/>
                <w:bCs/>
                <w:color w:val="FFFFFF" w:themeColor="background1"/>
                <w:sz w:val="20"/>
              </w:rPr>
              <w:t>Questions</w:t>
            </w:r>
          </w:p>
        </w:tc>
      </w:tr>
      <w:tr w:rsidR="00964DFD" w:rsidRPr="00943CFD" w14:paraId="46F6F66B" w14:textId="77777777">
        <w:tc>
          <w:tcPr>
            <w:tcW w:w="8505" w:type="dxa"/>
          </w:tcPr>
          <w:p w14:paraId="1B41D0E1" w14:textId="7B1BC114" w:rsidR="00964DFD" w:rsidRPr="00943CFD" w:rsidRDefault="007C779E" w:rsidP="001D584E">
            <w:pPr>
              <w:pStyle w:val="Questions"/>
              <w:ind w:left="458"/>
            </w:pPr>
            <w:r>
              <w:t>What is your preferred option for the CCR volume? Is there any other option that you think we should consider?</w:t>
            </w:r>
          </w:p>
        </w:tc>
      </w:tr>
    </w:tbl>
    <w:p w14:paraId="5E35FB60" w14:textId="77777777" w:rsidR="00D312E5" w:rsidRDefault="00D312E5" w:rsidP="00F913F3">
      <w:pPr>
        <w:pStyle w:val="BodyText"/>
      </w:pPr>
    </w:p>
    <w:p w14:paraId="667C5872" w14:textId="270E7C06" w:rsidR="00F0441E" w:rsidRDefault="00F0441E" w:rsidP="00C83B69">
      <w:pPr>
        <w:pStyle w:val="Heading1"/>
      </w:pPr>
      <w:bookmarkStart w:id="113" w:name="_Toc163048599"/>
      <w:bookmarkStart w:id="114" w:name="_Toc166162161"/>
      <w:r w:rsidRPr="00F0441E">
        <w:lastRenderedPageBreak/>
        <w:t xml:space="preserve">Impacts of NZ ETS </w:t>
      </w:r>
      <w:r w:rsidR="006975B3">
        <w:t>u</w:t>
      </w:r>
      <w:r w:rsidRPr="00F0441E">
        <w:t xml:space="preserve">nit </w:t>
      </w:r>
      <w:r w:rsidR="006975B3">
        <w:t>s</w:t>
      </w:r>
      <w:r w:rsidRPr="00F0441E">
        <w:t>ettings</w:t>
      </w:r>
      <w:bookmarkEnd w:id="113"/>
      <w:bookmarkEnd w:id="114"/>
    </w:p>
    <w:p w14:paraId="6C1A7281" w14:textId="0E3FF796" w:rsidR="00D50184" w:rsidRDefault="00D50184" w:rsidP="00F913F3">
      <w:pPr>
        <w:pStyle w:val="BodyText"/>
      </w:pPr>
      <w:r>
        <w:t xml:space="preserve">NZ ETS unit and price control settings do not directly set a price path for the NZ ETS. </w:t>
      </w:r>
      <w:r w:rsidRPr="00A14D92">
        <w:t>Price controls set the boundaries within which price discovery by the market is largely expected to</w:t>
      </w:r>
      <w:r w:rsidR="008A5224">
        <w:t> </w:t>
      </w:r>
      <w:r w:rsidRPr="00A14D92">
        <w:t>occur.</w:t>
      </w:r>
    </w:p>
    <w:p w14:paraId="627A912B" w14:textId="2C2C27A4" w:rsidR="00512F7E" w:rsidRDefault="00D50184" w:rsidP="00F913F3">
      <w:pPr>
        <w:pStyle w:val="BodyText"/>
      </w:pPr>
      <w:r w:rsidRPr="00A14D92">
        <w:t>However, the secondary market could trade outside these boundaries</w:t>
      </w:r>
      <w:r w:rsidR="2188A78B">
        <w:t xml:space="preserve"> (and has done so)</w:t>
      </w:r>
      <w:r>
        <w:t xml:space="preserve">. We have analysed </w:t>
      </w:r>
      <w:r w:rsidR="00A34A9D">
        <w:t xml:space="preserve">the </w:t>
      </w:r>
      <w:r>
        <w:t xml:space="preserve">impact options </w:t>
      </w:r>
      <w:r w:rsidR="00D067B3">
        <w:t xml:space="preserve">presented in this consultation document </w:t>
      </w:r>
      <w:r w:rsidR="00AB47B7">
        <w:t>c</w:t>
      </w:r>
      <w:r>
        <w:t xml:space="preserve">ould have </w:t>
      </w:r>
      <w:r w:rsidR="00B159C0">
        <w:t xml:space="preserve">on </w:t>
      </w:r>
      <w:r w:rsidR="00512F7E">
        <w:t>different sector</w:t>
      </w:r>
      <w:r w:rsidR="2131C339">
        <w:t>s</w:t>
      </w:r>
      <w:r w:rsidR="00512F7E">
        <w:t xml:space="preserve"> in </w:t>
      </w:r>
      <w:r w:rsidR="00512F7E" w:rsidRPr="00723CAE">
        <w:t xml:space="preserve">table </w:t>
      </w:r>
      <w:r w:rsidR="00723CAE" w:rsidRPr="00723CAE">
        <w:t>1</w:t>
      </w:r>
      <w:r w:rsidR="00295B62">
        <w:t>4</w:t>
      </w:r>
      <w:r w:rsidR="00512F7E">
        <w:t xml:space="preserve">. </w:t>
      </w:r>
    </w:p>
    <w:p w14:paraId="43F9D3F4" w14:textId="2EF45B4E" w:rsidR="00512F7E" w:rsidRDefault="00675154" w:rsidP="00F913F3">
      <w:pPr>
        <w:pStyle w:val="BodyText"/>
      </w:pPr>
      <w:r>
        <w:t>N</w:t>
      </w:r>
      <w:r w:rsidR="00512F7E">
        <w:t xml:space="preserve">ote that this analysis assumes that the </w:t>
      </w:r>
      <w:r w:rsidR="00D067B3">
        <w:t xml:space="preserve">final set of </w:t>
      </w:r>
      <w:r w:rsidR="00512F7E">
        <w:t>option</w:t>
      </w:r>
      <w:r w:rsidR="00D067B3">
        <w:t>s</w:t>
      </w:r>
      <w:r w:rsidR="00512F7E">
        <w:t xml:space="preserve"> leads to NZ ETS prices that are relatively higher than the status quo option in the near term, all else equal</w:t>
      </w:r>
      <w:r w:rsidR="004F0BE5">
        <w:t xml:space="preserve"> (</w:t>
      </w:r>
      <w:proofErr w:type="spellStart"/>
      <w:r>
        <w:t>ie</w:t>
      </w:r>
      <w:proofErr w:type="spellEnd"/>
      <w:r>
        <w:t>,</w:t>
      </w:r>
      <w:r w:rsidR="00747B32">
        <w:t xml:space="preserve"> </w:t>
      </w:r>
      <w:r w:rsidR="004F0BE5">
        <w:t>no other changes occur)</w:t>
      </w:r>
      <w:r w:rsidR="00512F7E">
        <w:t>.</w:t>
      </w:r>
    </w:p>
    <w:p w14:paraId="4DE20CE7" w14:textId="423C1CBE" w:rsidR="0027460F" w:rsidRDefault="0027460F" w:rsidP="00F913F3">
      <w:pPr>
        <w:pStyle w:val="BodyText"/>
      </w:pPr>
      <w:r>
        <w:t xml:space="preserve">We are interested in your views on </w:t>
      </w:r>
      <w:r w:rsidR="009E150C">
        <w:t xml:space="preserve">our impact assessment, and </w:t>
      </w:r>
      <w:r>
        <w:t>if there</w:t>
      </w:r>
      <w:r w:rsidR="009E150C">
        <w:t xml:space="preserve"> are</w:t>
      </w:r>
      <w:r>
        <w:t xml:space="preserve"> </w:t>
      </w:r>
      <w:r w:rsidR="009E150C">
        <w:t>further</w:t>
      </w:r>
      <w:r>
        <w:t xml:space="preserve"> </w:t>
      </w:r>
      <w:proofErr w:type="gramStart"/>
      <w:r>
        <w:t>impacts</w:t>
      </w:r>
      <w:proofErr w:type="gramEnd"/>
      <w:r>
        <w:t xml:space="preserve"> </w:t>
      </w:r>
      <w:r w:rsidR="009E150C">
        <w:t>we have not captured in our analysis.</w:t>
      </w:r>
    </w:p>
    <w:p w14:paraId="132BAC7D" w14:textId="3135B570" w:rsidR="00295B62" w:rsidRDefault="00295B62" w:rsidP="00295B62">
      <w:pPr>
        <w:pStyle w:val="Tableheading"/>
      </w:pPr>
      <w:bookmarkStart w:id="115" w:name="_Toc167714883"/>
      <w:r w:rsidRPr="00295B62">
        <w:t>Table 1</w:t>
      </w:r>
      <w:r>
        <w:t>4</w:t>
      </w:r>
      <w:r w:rsidRPr="00295B62">
        <w:t>:</w:t>
      </w:r>
      <w:r w:rsidR="00CB6FB5">
        <w:t xml:space="preserve"> </w:t>
      </w:r>
      <w:r w:rsidR="00C31713">
        <w:tab/>
      </w:r>
      <w:r w:rsidRPr="0043203D">
        <w:t>Summary of impacts of NZ ETS unit settings</w:t>
      </w:r>
      <w:bookmarkEnd w:id="115"/>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127"/>
        <w:gridCol w:w="2126"/>
        <w:gridCol w:w="2126"/>
        <w:gridCol w:w="2126"/>
      </w:tblGrid>
      <w:tr w:rsidR="002A0BCD" w:rsidRPr="006B77BB" w14:paraId="2B3248AD" w14:textId="77777777" w:rsidTr="004B369A">
        <w:trPr>
          <w:tblHeader/>
        </w:trPr>
        <w:tc>
          <w:tcPr>
            <w:tcW w:w="1250" w:type="pct"/>
            <w:shd w:val="clear" w:color="auto" w:fill="1B556B"/>
          </w:tcPr>
          <w:p w14:paraId="5A2498A1" w14:textId="74335741" w:rsidR="002A0BCD" w:rsidRPr="006B77BB" w:rsidRDefault="004B369A">
            <w:pPr>
              <w:pStyle w:val="TableTextbold"/>
              <w:rPr>
                <w:color w:val="FFFFFF" w:themeColor="background1"/>
              </w:rPr>
            </w:pPr>
            <w:r>
              <w:rPr>
                <w:color w:val="FFFFFF" w:themeColor="background1"/>
              </w:rPr>
              <w:t>Affected groups</w:t>
            </w:r>
          </w:p>
        </w:tc>
        <w:tc>
          <w:tcPr>
            <w:tcW w:w="1250" w:type="pct"/>
            <w:shd w:val="clear" w:color="auto" w:fill="1B556B"/>
          </w:tcPr>
          <w:p w14:paraId="6AF4D430" w14:textId="3EA10963" w:rsidR="002A0BCD" w:rsidRPr="006B77BB" w:rsidRDefault="004B369A">
            <w:pPr>
              <w:pStyle w:val="TableTextbold"/>
              <w:rPr>
                <w:color w:val="FFFFFF" w:themeColor="background1"/>
              </w:rPr>
            </w:pPr>
            <w:r>
              <w:rPr>
                <w:color w:val="FFFFFF" w:themeColor="background1"/>
              </w:rPr>
              <w:t>Benefits</w:t>
            </w:r>
          </w:p>
        </w:tc>
        <w:tc>
          <w:tcPr>
            <w:tcW w:w="1250" w:type="pct"/>
            <w:shd w:val="clear" w:color="auto" w:fill="1B556B"/>
          </w:tcPr>
          <w:p w14:paraId="6FE95DA0" w14:textId="79405605" w:rsidR="002A0BCD" w:rsidRPr="006B77BB" w:rsidRDefault="004B369A">
            <w:pPr>
              <w:pStyle w:val="TableTextbold"/>
              <w:rPr>
                <w:color w:val="FFFFFF" w:themeColor="background1"/>
              </w:rPr>
            </w:pPr>
            <w:r>
              <w:rPr>
                <w:color w:val="FFFFFF" w:themeColor="background1"/>
              </w:rPr>
              <w:t>Costs</w:t>
            </w:r>
          </w:p>
        </w:tc>
        <w:tc>
          <w:tcPr>
            <w:tcW w:w="1250" w:type="pct"/>
            <w:shd w:val="clear" w:color="auto" w:fill="1B556B"/>
          </w:tcPr>
          <w:p w14:paraId="49004A61" w14:textId="421F4D09" w:rsidR="002A0BCD" w:rsidRPr="006B77BB" w:rsidRDefault="004B369A">
            <w:pPr>
              <w:pStyle w:val="TableTextbold"/>
              <w:rPr>
                <w:color w:val="FFFFFF" w:themeColor="background1"/>
              </w:rPr>
            </w:pPr>
            <w:r>
              <w:rPr>
                <w:color w:val="FFFFFF" w:themeColor="background1"/>
              </w:rPr>
              <w:t>Overall impact assessment</w:t>
            </w:r>
          </w:p>
        </w:tc>
      </w:tr>
      <w:tr w:rsidR="004B369A" w:rsidRPr="006B77BB" w14:paraId="71EB3EB9" w14:textId="77777777" w:rsidTr="004B369A">
        <w:tc>
          <w:tcPr>
            <w:tcW w:w="1250" w:type="pct"/>
            <w:shd w:val="clear" w:color="auto" w:fill="auto"/>
          </w:tcPr>
          <w:p w14:paraId="431ADBBB" w14:textId="7F6BFDB4" w:rsidR="004B369A" w:rsidRPr="00581C13" w:rsidRDefault="004B369A" w:rsidP="004B369A">
            <w:pPr>
              <w:pStyle w:val="TableText"/>
              <w:rPr>
                <w:szCs w:val="18"/>
              </w:rPr>
            </w:pPr>
            <w:r w:rsidRPr="00581C13">
              <w:rPr>
                <w:rFonts w:asciiTheme="minorHAnsi" w:eastAsia="Calibri" w:hAnsiTheme="minorHAnsi"/>
                <w:b/>
                <w:szCs w:val="18"/>
              </w:rPr>
              <w:t>Landowners (</w:t>
            </w:r>
            <w:proofErr w:type="spellStart"/>
            <w:r w:rsidRPr="00581C13">
              <w:rPr>
                <w:rFonts w:asciiTheme="minorHAnsi" w:eastAsia="Calibri" w:hAnsiTheme="minorHAnsi" w:cstheme="minorHAnsi"/>
                <w:b/>
                <w:bCs/>
                <w:szCs w:val="18"/>
              </w:rPr>
              <w:t>eg</w:t>
            </w:r>
            <w:proofErr w:type="spellEnd"/>
            <w:r w:rsidRPr="00581C13">
              <w:rPr>
                <w:rFonts w:asciiTheme="minorHAnsi" w:eastAsia="Calibri" w:hAnsiTheme="minorHAnsi" w:cstheme="minorHAnsi"/>
                <w:b/>
                <w:bCs/>
                <w:szCs w:val="18"/>
              </w:rPr>
              <w:t>,</w:t>
            </w:r>
            <w:r w:rsidRPr="00581C13">
              <w:rPr>
                <w:rFonts w:asciiTheme="minorHAnsi" w:eastAsia="Calibri" w:hAnsiTheme="minorHAnsi"/>
                <w:b/>
                <w:szCs w:val="18"/>
              </w:rPr>
              <w:t xml:space="preserve"> foresters and farmers)</w:t>
            </w:r>
          </w:p>
        </w:tc>
        <w:tc>
          <w:tcPr>
            <w:tcW w:w="1250" w:type="pct"/>
          </w:tcPr>
          <w:p w14:paraId="116BC426" w14:textId="761A2846" w:rsidR="004B369A" w:rsidRPr="00581C13" w:rsidRDefault="004B369A" w:rsidP="004B369A">
            <w:pPr>
              <w:pStyle w:val="TableText0"/>
              <w:keepNext/>
              <w:spacing w:before="0" w:after="0" w:line="240" w:lineRule="auto"/>
              <w:rPr>
                <w:rFonts w:asciiTheme="minorHAnsi" w:eastAsiaTheme="minorEastAsia" w:hAnsiTheme="minorHAnsi" w:cstheme="minorHAnsi"/>
                <w:sz w:val="18"/>
                <w:szCs w:val="18"/>
                <w:lang w:val="en-NZ" w:eastAsia="en-NZ"/>
              </w:rPr>
            </w:pPr>
            <w:r w:rsidRPr="00581C13">
              <w:rPr>
                <w:rFonts w:asciiTheme="minorHAnsi" w:eastAsiaTheme="minorEastAsia" w:hAnsiTheme="minorHAnsi" w:cstheme="minorHAnsi"/>
                <w:sz w:val="18"/>
                <w:szCs w:val="18"/>
                <w:lang w:val="en-NZ" w:eastAsia="en-NZ"/>
              </w:rPr>
              <w:t>Returns to foresters are closely linked to NZ ETS prices, with relatively higher prices likely to lead to higher returns.</w:t>
            </w:r>
          </w:p>
          <w:p w14:paraId="5750D81B" w14:textId="6E50A5CA" w:rsidR="004B369A" w:rsidRPr="00581C13" w:rsidRDefault="004B369A" w:rsidP="004B369A">
            <w:pPr>
              <w:pStyle w:val="TableText"/>
              <w:rPr>
                <w:rFonts w:asciiTheme="minorHAnsi" w:hAnsiTheme="minorHAnsi" w:cstheme="minorHAnsi"/>
                <w:szCs w:val="18"/>
              </w:rPr>
            </w:pPr>
            <w:r w:rsidRPr="00581C13">
              <w:rPr>
                <w:rFonts w:asciiTheme="minorHAnsi" w:hAnsiTheme="minorHAnsi" w:cstheme="minorHAnsi"/>
                <w:szCs w:val="18"/>
              </w:rPr>
              <w:t>Higher returns on forestry land also increases the option value of farming and other land that is suitable for forestry use (regardless of whether this option is exercised).</w:t>
            </w:r>
          </w:p>
        </w:tc>
        <w:tc>
          <w:tcPr>
            <w:tcW w:w="1250" w:type="pct"/>
          </w:tcPr>
          <w:p w14:paraId="17F3036C" w14:textId="5058939D" w:rsidR="004B369A" w:rsidRPr="00581C13" w:rsidRDefault="004B369A" w:rsidP="004B369A">
            <w:pPr>
              <w:pStyle w:val="TableText0"/>
              <w:keepNext/>
              <w:spacing w:before="0" w:after="0" w:line="240" w:lineRule="auto"/>
              <w:rPr>
                <w:rFonts w:asciiTheme="minorHAnsi" w:eastAsiaTheme="minorEastAsia" w:hAnsiTheme="minorHAnsi" w:cstheme="minorHAnsi"/>
                <w:sz w:val="18"/>
                <w:szCs w:val="18"/>
                <w:lang w:val="en-NZ" w:eastAsia="en-NZ"/>
              </w:rPr>
            </w:pPr>
            <w:r w:rsidRPr="00581C13">
              <w:rPr>
                <w:rFonts w:asciiTheme="minorHAnsi" w:eastAsiaTheme="minorEastAsia" w:hAnsiTheme="minorHAnsi" w:cstheme="minorHAnsi"/>
                <w:sz w:val="18"/>
                <w:szCs w:val="18"/>
                <w:lang w:val="en-NZ" w:eastAsia="en-NZ"/>
              </w:rPr>
              <w:t>Increase in land use for exotic carbon forestry has the potential for unintended impacts on the environment, rural communities, and regional economies.</w:t>
            </w:r>
          </w:p>
          <w:p w14:paraId="4A354A3C" w14:textId="60D703D3" w:rsidR="004B369A" w:rsidRPr="00581C13" w:rsidRDefault="004B369A" w:rsidP="004B369A">
            <w:pPr>
              <w:pStyle w:val="TableText"/>
              <w:rPr>
                <w:rFonts w:asciiTheme="minorHAnsi" w:hAnsiTheme="minorHAnsi" w:cstheme="minorHAnsi"/>
                <w:szCs w:val="18"/>
              </w:rPr>
            </w:pPr>
            <w:r w:rsidRPr="00581C13">
              <w:rPr>
                <w:rFonts w:asciiTheme="minorHAnsi" w:hAnsiTheme="minorHAnsi" w:cstheme="minorHAnsi"/>
                <w:szCs w:val="18"/>
              </w:rPr>
              <w:t>Increased cost to landowners of deforestation due to increased price.</w:t>
            </w:r>
          </w:p>
        </w:tc>
        <w:tc>
          <w:tcPr>
            <w:tcW w:w="1250" w:type="pct"/>
            <w:shd w:val="clear" w:color="auto" w:fill="auto"/>
          </w:tcPr>
          <w:p w14:paraId="39F0664A" w14:textId="53B81026" w:rsidR="004B369A" w:rsidRPr="00581C13" w:rsidRDefault="004B369A" w:rsidP="004B369A">
            <w:pPr>
              <w:pStyle w:val="TableText0"/>
              <w:keepNext/>
              <w:spacing w:before="0" w:after="0" w:line="240" w:lineRule="auto"/>
              <w:rPr>
                <w:rFonts w:asciiTheme="minorHAnsi" w:eastAsiaTheme="minorEastAsia" w:hAnsiTheme="minorHAnsi" w:cstheme="minorHAnsi"/>
                <w:sz w:val="18"/>
                <w:szCs w:val="18"/>
                <w:lang w:val="en-NZ" w:eastAsia="en-NZ"/>
              </w:rPr>
            </w:pPr>
            <w:r w:rsidRPr="00581C13">
              <w:rPr>
                <w:rFonts w:asciiTheme="minorHAnsi" w:eastAsiaTheme="minorEastAsia" w:hAnsiTheme="minorHAnsi" w:cstheme="minorHAnsi"/>
                <w:sz w:val="18"/>
                <w:szCs w:val="18"/>
                <w:lang w:val="en-NZ" w:eastAsia="en-NZ"/>
              </w:rPr>
              <w:t>In the short term, gradually reducing unit limits is likely to marginally increase the rate of afforestation and farm conversions, subject to existing capacity constraints (</w:t>
            </w:r>
            <w:proofErr w:type="spellStart"/>
            <w:r w:rsidR="00AF2EDB" w:rsidRPr="00581C13">
              <w:rPr>
                <w:rFonts w:asciiTheme="minorHAnsi" w:eastAsiaTheme="minorEastAsia" w:hAnsiTheme="minorHAnsi" w:cstheme="minorHAnsi"/>
                <w:sz w:val="18"/>
                <w:szCs w:val="18"/>
                <w:lang w:val="en-NZ" w:eastAsia="en-NZ"/>
              </w:rPr>
              <w:t>eg</w:t>
            </w:r>
            <w:proofErr w:type="spellEnd"/>
            <w:r w:rsidR="00AF2EDB" w:rsidRPr="00581C13">
              <w:rPr>
                <w:rFonts w:asciiTheme="minorHAnsi" w:eastAsiaTheme="minorEastAsia" w:hAnsiTheme="minorHAnsi" w:cstheme="minorHAnsi"/>
                <w:sz w:val="18"/>
                <w:szCs w:val="18"/>
                <w:lang w:val="en-NZ" w:eastAsia="en-NZ"/>
              </w:rPr>
              <w:t>,</w:t>
            </w:r>
            <w:r w:rsidRPr="00581C13">
              <w:rPr>
                <w:rFonts w:asciiTheme="minorHAnsi" w:eastAsiaTheme="minorEastAsia" w:hAnsiTheme="minorHAnsi" w:cstheme="minorHAnsi"/>
                <w:sz w:val="18"/>
                <w:szCs w:val="18"/>
                <w:lang w:val="en-NZ" w:eastAsia="en-NZ"/>
              </w:rPr>
              <w:t xml:space="preserve"> labour, seedling supplies). Likely to lower net emissions from increased removals, although these will not be realised for several years.</w:t>
            </w:r>
          </w:p>
          <w:p w14:paraId="786C6853" w14:textId="6818A46C" w:rsidR="004B369A" w:rsidRPr="00581C13" w:rsidRDefault="004B369A" w:rsidP="004B369A">
            <w:pPr>
              <w:pStyle w:val="TableText"/>
              <w:rPr>
                <w:rFonts w:asciiTheme="minorHAnsi" w:hAnsiTheme="minorHAnsi" w:cstheme="minorHAnsi"/>
                <w:szCs w:val="18"/>
              </w:rPr>
            </w:pPr>
            <w:r w:rsidRPr="00581C13">
              <w:rPr>
                <w:rFonts w:asciiTheme="minorHAnsi" w:hAnsiTheme="minorHAnsi" w:cstheme="minorHAnsi"/>
                <w:szCs w:val="18"/>
              </w:rPr>
              <w:t>Increased afforestation now may lead to greater downward pressure on prices in the 2030s when these forestry units enter the market in material volumes.</w:t>
            </w:r>
          </w:p>
        </w:tc>
      </w:tr>
      <w:tr w:rsidR="004B369A" w:rsidRPr="006B77BB" w14:paraId="2326EE7C" w14:textId="77777777" w:rsidTr="004B369A">
        <w:tc>
          <w:tcPr>
            <w:tcW w:w="1250" w:type="pct"/>
            <w:shd w:val="clear" w:color="auto" w:fill="auto"/>
          </w:tcPr>
          <w:p w14:paraId="68D221BC" w14:textId="55978800" w:rsidR="004B369A" w:rsidRPr="00581C13" w:rsidRDefault="00683FA2" w:rsidP="00683FA2">
            <w:pPr>
              <w:pStyle w:val="TableText0"/>
              <w:keepNext/>
              <w:spacing w:before="0" w:after="0" w:line="240" w:lineRule="auto"/>
              <w:rPr>
                <w:rFonts w:asciiTheme="minorHAnsi" w:eastAsia="Calibri" w:hAnsiTheme="minorHAnsi" w:cstheme="minorHAnsi"/>
                <w:b/>
                <w:bCs/>
                <w:color w:val="000000"/>
                <w:sz w:val="18"/>
                <w:szCs w:val="18"/>
                <w:lang w:val="en-NZ"/>
              </w:rPr>
            </w:pPr>
            <w:r w:rsidRPr="00581C13">
              <w:rPr>
                <w:rFonts w:asciiTheme="minorHAnsi" w:eastAsia="Calibri" w:hAnsiTheme="minorHAnsi" w:cstheme="minorHAnsi"/>
                <w:b/>
                <w:bCs/>
                <w:color w:val="000000"/>
                <w:sz w:val="18"/>
                <w:szCs w:val="18"/>
                <w:lang w:val="en-NZ"/>
              </w:rPr>
              <w:t>Emitting firms subject to NZ ETS obligations</w:t>
            </w:r>
          </w:p>
        </w:tc>
        <w:tc>
          <w:tcPr>
            <w:tcW w:w="1250" w:type="pct"/>
          </w:tcPr>
          <w:p w14:paraId="0C896321" w14:textId="665DB983" w:rsidR="004B369A" w:rsidRPr="00581C13" w:rsidRDefault="00683FA2" w:rsidP="004B369A">
            <w:pPr>
              <w:pStyle w:val="TableText"/>
              <w:rPr>
                <w:szCs w:val="18"/>
              </w:rPr>
            </w:pPr>
            <w:r w:rsidRPr="00581C13">
              <w:rPr>
                <w:rFonts w:asciiTheme="minorHAnsi" w:eastAsia="Calibri" w:hAnsiTheme="minorHAnsi" w:cstheme="minorHAnsi"/>
                <w:szCs w:val="18"/>
              </w:rPr>
              <w:t>Increased</w:t>
            </w:r>
            <w:r w:rsidRPr="00581C13">
              <w:rPr>
                <w:rFonts w:asciiTheme="minorHAnsi" w:eastAsia="Calibri" w:hAnsiTheme="minorHAnsi"/>
                <w:szCs w:val="18"/>
              </w:rPr>
              <w:t xml:space="preserve"> certainty on the direction of future emissions prices</w:t>
            </w:r>
            <w:r w:rsidRPr="00581C13">
              <w:rPr>
                <w:rFonts w:asciiTheme="minorHAnsi" w:eastAsia="Calibri" w:hAnsiTheme="minorHAnsi" w:cstheme="minorHAnsi"/>
                <w:szCs w:val="18"/>
              </w:rPr>
              <w:t xml:space="preserve"> for investment decisions</w:t>
            </w:r>
            <w:r w:rsidRPr="00581C13">
              <w:rPr>
                <w:rFonts w:asciiTheme="minorHAnsi" w:eastAsia="Calibri" w:hAnsiTheme="minorHAnsi"/>
                <w:szCs w:val="18"/>
              </w:rPr>
              <w:t>.</w:t>
            </w:r>
          </w:p>
        </w:tc>
        <w:tc>
          <w:tcPr>
            <w:tcW w:w="1250" w:type="pct"/>
          </w:tcPr>
          <w:p w14:paraId="6CECC1DD" w14:textId="34E70360" w:rsidR="004B369A" w:rsidRPr="00581C13" w:rsidRDefault="00683FA2" w:rsidP="004B369A">
            <w:pPr>
              <w:pStyle w:val="TableText"/>
              <w:rPr>
                <w:szCs w:val="18"/>
              </w:rPr>
            </w:pPr>
            <w:r w:rsidRPr="00581C13">
              <w:rPr>
                <w:rFonts w:asciiTheme="minorHAnsi" w:eastAsia="Calibri" w:hAnsiTheme="minorHAnsi"/>
                <w:szCs w:val="18"/>
              </w:rPr>
              <w:t>Higher costs for firms to meet surrender obligations. This may be mitigated by the extent to which firms have hedged their forward obligations, and by the extent to which these additional costs can be passed on to households (see household row below).</w:t>
            </w:r>
          </w:p>
        </w:tc>
        <w:tc>
          <w:tcPr>
            <w:tcW w:w="1250" w:type="pct"/>
            <w:shd w:val="clear" w:color="auto" w:fill="auto"/>
          </w:tcPr>
          <w:p w14:paraId="786BC1E0" w14:textId="77777777" w:rsidR="00683FA2" w:rsidRPr="00581C13" w:rsidRDefault="00683FA2" w:rsidP="00683FA2">
            <w:pPr>
              <w:pStyle w:val="TableText0"/>
              <w:rPr>
                <w:rStyle w:val="normaltextrun"/>
                <w:rFonts w:asciiTheme="minorHAnsi" w:hAnsiTheme="minorHAnsi" w:cstheme="minorHAnsi"/>
                <w:color w:val="000000"/>
                <w:sz w:val="18"/>
                <w:szCs w:val="18"/>
                <w:shd w:val="clear" w:color="auto" w:fill="FFFFFF"/>
              </w:rPr>
            </w:pPr>
            <w:r w:rsidRPr="003F4758">
              <w:rPr>
                <w:rFonts w:asciiTheme="minorHAnsi" w:eastAsia="Calibri" w:hAnsiTheme="minorHAnsi" w:cstheme="minorHAnsi"/>
                <w:sz w:val="18"/>
                <w:szCs w:val="18"/>
                <w:lang w:val="en-NZ"/>
              </w:rPr>
              <w:t>T</w:t>
            </w:r>
            <w:r w:rsidRPr="003F4758">
              <w:rPr>
                <w:rStyle w:val="normaltextrun"/>
                <w:rFonts w:asciiTheme="minorHAnsi" w:eastAsia="Calibri" w:hAnsiTheme="minorHAnsi" w:cstheme="minorHAnsi"/>
                <w:color w:val="000000"/>
                <w:sz w:val="18"/>
                <w:szCs w:val="18"/>
                <w:shd w:val="clear" w:color="auto" w:fill="FFFFFF"/>
              </w:rPr>
              <w:t xml:space="preserve">he short-term response to relatively higher NZU prices is likely to be </w:t>
            </w:r>
            <w:proofErr w:type="gramStart"/>
            <w:r w:rsidRPr="003F4758">
              <w:rPr>
                <w:rStyle w:val="normaltextrun"/>
                <w:rFonts w:asciiTheme="minorHAnsi" w:eastAsia="Calibri" w:hAnsiTheme="minorHAnsi" w:cstheme="minorHAnsi"/>
                <w:color w:val="000000"/>
                <w:sz w:val="18"/>
                <w:szCs w:val="18"/>
                <w:shd w:val="clear" w:color="auto" w:fill="FFFFFF"/>
              </w:rPr>
              <w:t xml:space="preserve">fairly </w:t>
            </w:r>
            <w:r w:rsidRPr="00581C13">
              <w:rPr>
                <w:rStyle w:val="normaltextrun"/>
                <w:rFonts w:asciiTheme="minorHAnsi" w:hAnsiTheme="minorHAnsi" w:cstheme="minorHAnsi"/>
                <w:color w:val="000000"/>
                <w:sz w:val="18"/>
                <w:szCs w:val="18"/>
                <w:shd w:val="clear" w:color="auto" w:fill="FFFFFF"/>
              </w:rPr>
              <w:t>inelastic</w:t>
            </w:r>
            <w:proofErr w:type="gramEnd"/>
            <w:r w:rsidRPr="00581C13">
              <w:rPr>
                <w:rStyle w:val="normaltextrun"/>
                <w:rFonts w:asciiTheme="minorHAnsi" w:hAnsiTheme="minorHAnsi" w:cstheme="minorHAnsi"/>
                <w:color w:val="000000"/>
                <w:sz w:val="18"/>
                <w:szCs w:val="18"/>
                <w:shd w:val="clear" w:color="auto" w:fill="FFFFFF"/>
              </w:rPr>
              <w:t xml:space="preserve"> and result in limited additional emission reductions relative to the status quo.</w:t>
            </w:r>
          </w:p>
          <w:p w14:paraId="6065241A" w14:textId="77777777" w:rsidR="004B369A" w:rsidRPr="00581C13" w:rsidRDefault="00683FA2" w:rsidP="00683FA2">
            <w:pPr>
              <w:pStyle w:val="TableText0"/>
              <w:rPr>
                <w:sz w:val="18"/>
                <w:szCs w:val="18"/>
              </w:rPr>
            </w:pPr>
            <w:r w:rsidRPr="00581C13">
              <w:rPr>
                <w:rStyle w:val="normaltextrun"/>
                <w:rFonts w:asciiTheme="minorHAnsi" w:hAnsiTheme="minorHAnsi" w:cstheme="minorHAnsi"/>
                <w:color w:val="000000"/>
                <w:sz w:val="18"/>
                <w:szCs w:val="18"/>
                <w:shd w:val="clear" w:color="auto" w:fill="FFFFFF"/>
              </w:rPr>
              <w:t>Over longer timeframes, relatively higher NZ ETS prices would increase the incentive for firms to invest in emissions reduction actions.</w:t>
            </w:r>
          </w:p>
        </w:tc>
      </w:tr>
      <w:tr w:rsidR="004B369A" w:rsidRPr="006B77BB" w14:paraId="77CFFCDC" w14:textId="77777777" w:rsidTr="004B369A">
        <w:tc>
          <w:tcPr>
            <w:tcW w:w="1250" w:type="pct"/>
            <w:shd w:val="clear" w:color="auto" w:fill="auto"/>
          </w:tcPr>
          <w:p w14:paraId="667F5D1D" w14:textId="7984FE34" w:rsidR="004B369A" w:rsidRPr="00581C13" w:rsidRDefault="00683FA2" w:rsidP="004B369A">
            <w:pPr>
              <w:pStyle w:val="TableText"/>
              <w:rPr>
                <w:szCs w:val="18"/>
              </w:rPr>
            </w:pPr>
            <w:r w:rsidRPr="00581C13">
              <w:rPr>
                <w:rFonts w:asciiTheme="minorHAnsi" w:eastAsia="Calibri" w:hAnsiTheme="minorHAnsi" w:cstheme="minorHAnsi"/>
                <w:b/>
                <w:bCs/>
                <w:szCs w:val="18"/>
              </w:rPr>
              <w:t xml:space="preserve">Firms that receive industrial allocation of </w:t>
            </w:r>
            <w:r w:rsidRPr="00581C13">
              <w:rPr>
                <w:rFonts w:asciiTheme="minorHAnsi" w:eastAsia="Calibri" w:hAnsiTheme="minorHAnsi" w:cstheme="minorHAnsi"/>
                <w:b/>
                <w:bCs/>
                <w:szCs w:val="18"/>
              </w:rPr>
              <w:lastRenderedPageBreak/>
              <w:t>NZUs (additional to firm impacts above)</w:t>
            </w:r>
          </w:p>
        </w:tc>
        <w:tc>
          <w:tcPr>
            <w:tcW w:w="1250" w:type="pct"/>
          </w:tcPr>
          <w:p w14:paraId="3F241620" w14:textId="77777777" w:rsidR="004B369A" w:rsidRPr="00581C13" w:rsidRDefault="004B369A" w:rsidP="004B369A">
            <w:pPr>
              <w:pStyle w:val="TableText"/>
              <w:rPr>
                <w:szCs w:val="18"/>
              </w:rPr>
            </w:pPr>
          </w:p>
        </w:tc>
        <w:tc>
          <w:tcPr>
            <w:tcW w:w="1250" w:type="pct"/>
          </w:tcPr>
          <w:p w14:paraId="66719560" w14:textId="77777777" w:rsidR="004B369A" w:rsidRPr="00581C13" w:rsidRDefault="004B369A" w:rsidP="004B369A">
            <w:pPr>
              <w:pStyle w:val="TableText"/>
              <w:rPr>
                <w:szCs w:val="18"/>
              </w:rPr>
            </w:pPr>
          </w:p>
        </w:tc>
        <w:tc>
          <w:tcPr>
            <w:tcW w:w="1250" w:type="pct"/>
            <w:shd w:val="clear" w:color="auto" w:fill="auto"/>
          </w:tcPr>
          <w:p w14:paraId="2E7C7638" w14:textId="7995AE92" w:rsidR="004B369A" w:rsidRPr="00581C13" w:rsidRDefault="00683FA2" w:rsidP="00683FA2">
            <w:pPr>
              <w:pStyle w:val="TableText"/>
              <w:rPr>
                <w:szCs w:val="18"/>
              </w:rPr>
            </w:pPr>
            <w:r w:rsidRPr="00581C13">
              <w:rPr>
                <w:szCs w:val="18"/>
              </w:rPr>
              <w:t xml:space="preserve">At emissions prices over $100 there is increased </w:t>
            </w:r>
            <w:r w:rsidRPr="00581C13">
              <w:rPr>
                <w:szCs w:val="18"/>
              </w:rPr>
              <w:lastRenderedPageBreak/>
              <w:t>risk that industrial allocation is no longer effective in preventing emissions leakage for some activities. A rising NZU price increases the likelihood of this occurring.</w:t>
            </w:r>
          </w:p>
        </w:tc>
      </w:tr>
      <w:tr w:rsidR="004B369A" w:rsidRPr="006B77BB" w14:paraId="23E9CB02" w14:textId="77777777" w:rsidTr="004B369A">
        <w:tc>
          <w:tcPr>
            <w:tcW w:w="1250" w:type="pct"/>
            <w:shd w:val="clear" w:color="auto" w:fill="auto"/>
          </w:tcPr>
          <w:p w14:paraId="688CE4E6" w14:textId="3BAB726F" w:rsidR="004B369A" w:rsidRPr="00581C13" w:rsidRDefault="00683FA2" w:rsidP="004B369A">
            <w:pPr>
              <w:pStyle w:val="TableText"/>
              <w:rPr>
                <w:szCs w:val="18"/>
              </w:rPr>
            </w:pPr>
            <w:r w:rsidRPr="00581C13">
              <w:rPr>
                <w:rFonts w:asciiTheme="minorHAnsi" w:eastAsia="Calibri" w:hAnsiTheme="minorHAnsi" w:cstheme="minorHAnsi"/>
                <w:b/>
                <w:bCs/>
                <w:color w:val="000000"/>
                <w:szCs w:val="18"/>
              </w:rPr>
              <w:lastRenderedPageBreak/>
              <w:t>Other NZ ETS participants</w:t>
            </w:r>
          </w:p>
        </w:tc>
        <w:tc>
          <w:tcPr>
            <w:tcW w:w="1250" w:type="pct"/>
          </w:tcPr>
          <w:p w14:paraId="00363C53" w14:textId="4A748F3B" w:rsidR="004B369A" w:rsidRPr="00581C13" w:rsidRDefault="00683FA2" w:rsidP="004B369A">
            <w:pPr>
              <w:pStyle w:val="TableText"/>
              <w:rPr>
                <w:szCs w:val="18"/>
              </w:rPr>
            </w:pPr>
            <w:r w:rsidRPr="00581C13">
              <w:rPr>
                <w:rFonts w:asciiTheme="minorHAnsi" w:hAnsiTheme="minorHAnsi" w:cstheme="minorHAnsi"/>
                <w:szCs w:val="18"/>
              </w:rPr>
              <w:t>Relatively higher prices would increase the financial value of stockpiled units, both those held for hedging purposes and the liquid stockpile.</w:t>
            </w:r>
          </w:p>
        </w:tc>
        <w:tc>
          <w:tcPr>
            <w:tcW w:w="1250" w:type="pct"/>
          </w:tcPr>
          <w:p w14:paraId="3BB4FDCA" w14:textId="77777777" w:rsidR="004B369A" w:rsidRPr="00581C13" w:rsidRDefault="004B369A" w:rsidP="004B369A">
            <w:pPr>
              <w:pStyle w:val="TableText"/>
              <w:rPr>
                <w:szCs w:val="18"/>
              </w:rPr>
            </w:pPr>
          </w:p>
        </w:tc>
        <w:tc>
          <w:tcPr>
            <w:tcW w:w="1250" w:type="pct"/>
            <w:shd w:val="clear" w:color="auto" w:fill="auto"/>
          </w:tcPr>
          <w:p w14:paraId="29790CB8" w14:textId="77777777" w:rsidR="004B369A" w:rsidRPr="00581C13" w:rsidRDefault="004B369A" w:rsidP="004B369A">
            <w:pPr>
              <w:pStyle w:val="TableText"/>
              <w:rPr>
                <w:szCs w:val="18"/>
              </w:rPr>
            </w:pPr>
          </w:p>
        </w:tc>
      </w:tr>
      <w:tr w:rsidR="00683FA2" w:rsidRPr="006B77BB" w14:paraId="19611DA2" w14:textId="77777777" w:rsidTr="004B369A">
        <w:tc>
          <w:tcPr>
            <w:tcW w:w="1250" w:type="pct"/>
          </w:tcPr>
          <w:p w14:paraId="2797DA3F" w14:textId="5D1BDFBD" w:rsidR="00683FA2" w:rsidRPr="00581C13" w:rsidRDefault="00683FA2" w:rsidP="00683FA2">
            <w:pPr>
              <w:pStyle w:val="TableText"/>
              <w:rPr>
                <w:szCs w:val="18"/>
              </w:rPr>
            </w:pPr>
            <w:r w:rsidRPr="00581C13">
              <w:rPr>
                <w:rFonts w:asciiTheme="minorHAnsi" w:eastAsia="Calibri" w:hAnsiTheme="minorHAnsi" w:cstheme="minorHAnsi"/>
                <w:b/>
                <w:bCs/>
                <w:color w:val="000000"/>
                <w:szCs w:val="18"/>
              </w:rPr>
              <w:t>Households</w:t>
            </w:r>
          </w:p>
        </w:tc>
        <w:tc>
          <w:tcPr>
            <w:tcW w:w="1250" w:type="pct"/>
          </w:tcPr>
          <w:p w14:paraId="7F097A96" w14:textId="0D84E37A" w:rsidR="00683FA2" w:rsidRPr="00581C13" w:rsidRDefault="00683FA2" w:rsidP="00683FA2">
            <w:pPr>
              <w:pStyle w:val="TableText"/>
              <w:rPr>
                <w:szCs w:val="18"/>
              </w:rPr>
            </w:pPr>
            <w:r w:rsidRPr="00581C13">
              <w:rPr>
                <w:rFonts w:asciiTheme="minorHAnsi" w:eastAsia="Calibri" w:hAnsiTheme="minorHAnsi" w:cstheme="minorHAnsi"/>
                <w:szCs w:val="18"/>
              </w:rPr>
              <w:t>Benefits</w:t>
            </w:r>
            <w:r w:rsidRPr="00581C13">
              <w:rPr>
                <w:rFonts w:asciiTheme="minorHAnsi" w:eastAsia="Calibri" w:hAnsiTheme="minorHAnsi"/>
                <w:szCs w:val="18"/>
              </w:rPr>
              <w:t xml:space="preserve"> associated with emissions reductions and achieving emissions budgets, the NDC</w:t>
            </w:r>
            <w:r w:rsidRPr="00581C13">
              <w:rPr>
                <w:rFonts w:asciiTheme="minorHAnsi" w:eastAsia="Calibri" w:hAnsiTheme="minorHAnsi" w:cstheme="minorHAnsi"/>
                <w:szCs w:val="18"/>
              </w:rPr>
              <w:t>,</w:t>
            </w:r>
            <w:r w:rsidRPr="00581C13">
              <w:rPr>
                <w:rFonts w:asciiTheme="minorHAnsi" w:eastAsia="Calibri" w:hAnsiTheme="minorHAnsi"/>
                <w:szCs w:val="18"/>
              </w:rPr>
              <w:t xml:space="preserve"> and the 2050 target</w:t>
            </w:r>
            <w:r w:rsidRPr="00581C13" w:rsidDel="0012316C">
              <w:rPr>
                <w:rFonts w:asciiTheme="minorHAnsi" w:eastAsia="Calibri" w:hAnsiTheme="minorHAnsi"/>
                <w:szCs w:val="18"/>
              </w:rPr>
              <w:t>.</w:t>
            </w:r>
          </w:p>
        </w:tc>
        <w:tc>
          <w:tcPr>
            <w:tcW w:w="1250" w:type="pct"/>
          </w:tcPr>
          <w:p w14:paraId="6219BAFC" w14:textId="39CF8C5A" w:rsidR="00683FA2" w:rsidRPr="00581C13" w:rsidRDefault="00683FA2" w:rsidP="00683FA2">
            <w:pPr>
              <w:pStyle w:val="TableText"/>
              <w:rPr>
                <w:szCs w:val="18"/>
              </w:rPr>
            </w:pPr>
            <w:r w:rsidRPr="00581C13">
              <w:rPr>
                <w:rFonts w:asciiTheme="minorHAnsi" w:hAnsiTheme="minorHAnsi"/>
                <w:color w:val="000000"/>
                <w:szCs w:val="18"/>
                <w:shd w:val="clear" w:color="auto" w:fill="FFFFFF"/>
              </w:rPr>
              <w:t>The impacts of emission prices on households are regressive, and relatively higher NZ ETS prices will likely increase these impacts. The mitigating factors will be the extent to which businesses pass on additional costs, and the extent to which households are able to change their consumption patterns in response.</w:t>
            </w:r>
          </w:p>
        </w:tc>
        <w:tc>
          <w:tcPr>
            <w:tcW w:w="1250" w:type="pct"/>
          </w:tcPr>
          <w:p w14:paraId="079C7C81" w14:textId="486A7687" w:rsidR="00683FA2" w:rsidRPr="00581C13" w:rsidRDefault="00683FA2" w:rsidP="00683FA2">
            <w:pPr>
              <w:pStyle w:val="TableText"/>
              <w:rPr>
                <w:szCs w:val="18"/>
              </w:rPr>
            </w:pPr>
            <w:r w:rsidRPr="00581C13">
              <w:rPr>
                <w:rStyle w:val="normaltextrun"/>
                <w:rFonts w:asciiTheme="minorHAnsi" w:hAnsiTheme="minorHAnsi"/>
                <w:color w:val="000000"/>
                <w:szCs w:val="18"/>
                <w:shd w:val="clear" w:color="auto" w:fill="FFFFFF"/>
              </w:rPr>
              <w:t>A $10 increase in NZU prices is estimated to increase annual household expenditure on emissions costs by about $87 for the average household ($1.67 per week).</w:t>
            </w:r>
            <w:r w:rsidRPr="00581C13">
              <w:rPr>
                <w:rStyle w:val="FootnoteReference"/>
                <w:rFonts w:asciiTheme="minorHAnsi" w:hAnsiTheme="minorHAnsi"/>
                <w:sz w:val="18"/>
                <w:szCs w:val="18"/>
                <w:shd w:val="clear" w:color="auto" w:fill="FFFFFF"/>
              </w:rPr>
              <w:footnoteReference w:id="19"/>
            </w:r>
            <w:r w:rsidRPr="00581C13">
              <w:rPr>
                <w:rStyle w:val="normaltextrun"/>
                <w:rFonts w:asciiTheme="minorHAnsi" w:hAnsiTheme="minorHAnsi"/>
                <w:color w:val="000000"/>
                <w:szCs w:val="18"/>
                <w:shd w:val="clear" w:color="auto" w:fill="FFFFFF"/>
              </w:rPr>
              <w:t xml:space="preserve"> For lower income households, the increase is estimated at $46</w:t>
            </w:r>
            <w:r w:rsidR="00C43E69">
              <w:rPr>
                <w:rStyle w:val="normaltextrun"/>
                <w:rFonts w:asciiTheme="minorHAnsi" w:hAnsiTheme="minorHAnsi"/>
                <w:color w:val="000000"/>
                <w:szCs w:val="18"/>
                <w:shd w:val="clear" w:color="auto" w:fill="FFFFFF"/>
              </w:rPr>
              <w:t>–</w:t>
            </w:r>
            <w:r w:rsidRPr="00581C13">
              <w:rPr>
                <w:rStyle w:val="normaltextrun"/>
                <w:rFonts w:asciiTheme="minorHAnsi" w:hAnsiTheme="minorHAnsi"/>
                <w:color w:val="000000"/>
                <w:szCs w:val="18"/>
                <w:shd w:val="clear" w:color="auto" w:fill="FFFFFF"/>
              </w:rPr>
              <w:t>49 per annum, while for higher income households it is estimated at $125</w:t>
            </w:r>
            <w:r w:rsidR="00B90A4D">
              <w:rPr>
                <w:rStyle w:val="normaltextrun"/>
                <w:rFonts w:asciiTheme="minorHAnsi" w:hAnsiTheme="minorHAnsi"/>
                <w:color w:val="000000"/>
                <w:szCs w:val="18"/>
                <w:shd w:val="clear" w:color="auto" w:fill="FFFFFF"/>
              </w:rPr>
              <w:t>–</w:t>
            </w:r>
            <w:r w:rsidRPr="00581C13">
              <w:rPr>
                <w:rStyle w:val="normaltextrun"/>
                <w:rFonts w:asciiTheme="minorHAnsi" w:hAnsiTheme="minorHAnsi"/>
                <w:color w:val="000000"/>
                <w:szCs w:val="18"/>
                <w:shd w:val="clear" w:color="auto" w:fill="FFFFFF"/>
              </w:rPr>
              <w:t>145.</w:t>
            </w:r>
          </w:p>
        </w:tc>
      </w:tr>
      <w:tr w:rsidR="00683FA2" w:rsidRPr="00581C13" w14:paraId="5F2A5CD0" w14:textId="77777777" w:rsidTr="004B369A">
        <w:tc>
          <w:tcPr>
            <w:tcW w:w="1250" w:type="pct"/>
          </w:tcPr>
          <w:p w14:paraId="2B13C74D" w14:textId="3C89F38D" w:rsidR="00683FA2" w:rsidRPr="00581C13" w:rsidRDefault="00683FA2" w:rsidP="00683FA2">
            <w:pPr>
              <w:pStyle w:val="TableText"/>
              <w:rPr>
                <w:rFonts w:asciiTheme="minorHAnsi" w:eastAsia="Calibri" w:hAnsiTheme="minorHAnsi" w:cstheme="minorHAnsi"/>
                <w:b/>
                <w:bCs/>
                <w:color w:val="000000"/>
                <w:szCs w:val="18"/>
              </w:rPr>
            </w:pPr>
            <w:r w:rsidRPr="00581C13">
              <w:rPr>
                <w:rFonts w:asciiTheme="minorHAnsi" w:eastAsia="Calibri" w:hAnsiTheme="minorHAnsi" w:cstheme="minorHAnsi"/>
                <w:b/>
                <w:bCs/>
                <w:color w:val="000000"/>
                <w:szCs w:val="18"/>
              </w:rPr>
              <w:t>Wider economy</w:t>
            </w:r>
          </w:p>
        </w:tc>
        <w:tc>
          <w:tcPr>
            <w:tcW w:w="1250" w:type="pct"/>
          </w:tcPr>
          <w:p w14:paraId="30D1AB84" w14:textId="6B427DCA" w:rsidR="00683FA2" w:rsidRPr="00581C13" w:rsidRDefault="00683FA2" w:rsidP="00683FA2">
            <w:pPr>
              <w:pStyle w:val="TableText"/>
              <w:rPr>
                <w:szCs w:val="18"/>
              </w:rPr>
            </w:pPr>
            <w:r w:rsidRPr="00581C13">
              <w:rPr>
                <w:rFonts w:asciiTheme="minorHAnsi" w:hAnsiTheme="minorHAnsi" w:cstheme="minorHAnsi"/>
                <w:szCs w:val="18"/>
              </w:rPr>
              <w:t>Relatively higher prices are likely to induce greater emissions reductions and removals, although in both cases these are likely to take time to materialise.</w:t>
            </w:r>
          </w:p>
        </w:tc>
        <w:tc>
          <w:tcPr>
            <w:tcW w:w="1250" w:type="pct"/>
          </w:tcPr>
          <w:p w14:paraId="76ADB8EC" w14:textId="6DD93555" w:rsidR="00683FA2" w:rsidRPr="00581C13" w:rsidRDefault="00683FA2" w:rsidP="00581C13">
            <w:pPr>
              <w:pStyle w:val="TableText"/>
              <w:rPr>
                <w:szCs w:val="18"/>
              </w:rPr>
            </w:pPr>
            <w:r w:rsidRPr="00581C13">
              <w:rPr>
                <w:rStyle w:val="normaltextrun"/>
                <w:szCs w:val="18"/>
              </w:rPr>
              <w:t>Relatively higher NZ ETS prices are likely to marginally increase inflationary pressures, in an already overheated economy, although we judge this highly unlikely to influence the trajectory of monetary policy.</w:t>
            </w:r>
          </w:p>
        </w:tc>
        <w:tc>
          <w:tcPr>
            <w:tcW w:w="1250" w:type="pct"/>
          </w:tcPr>
          <w:p w14:paraId="019C2B00" w14:textId="375203F7" w:rsidR="00683FA2" w:rsidRPr="00581C13" w:rsidRDefault="00683FA2" w:rsidP="00683FA2">
            <w:pPr>
              <w:pStyle w:val="TableText"/>
              <w:rPr>
                <w:szCs w:val="18"/>
              </w:rPr>
            </w:pPr>
            <w:r w:rsidRPr="00581C13">
              <w:rPr>
                <w:szCs w:val="18"/>
              </w:rPr>
              <w:t>A $10 increase in NZU prices is estimated to contribute to a 0.1% increase in inflation as measured by the Consumer Price Index, largely due to higher fuel and electricity prices.</w:t>
            </w:r>
            <w:r w:rsidRPr="00581C13">
              <w:rPr>
                <w:rStyle w:val="FootnoteReference"/>
                <w:rFonts w:asciiTheme="minorHAnsi" w:hAnsiTheme="minorHAnsi"/>
                <w:sz w:val="18"/>
                <w:szCs w:val="18"/>
                <w:shd w:val="clear" w:color="auto" w:fill="FFFFFF"/>
              </w:rPr>
              <w:footnoteReference w:id="20"/>
            </w:r>
          </w:p>
        </w:tc>
      </w:tr>
    </w:tbl>
    <w:p w14:paraId="4FE95833" w14:textId="77777777" w:rsidR="009E150C" w:rsidRDefault="009E150C" w:rsidP="00E81636">
      <w:pPr>
        <w:pStyle w:val="Heading3"/>
        <w:spacing w:after="240"/>
      </w:pPr>
      <w:r>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E81636" w:rsidRPr="00D71C4F" w14:paraId="27F32B62" w14:textId="77777777">
        <w:tc>
          <w:tcPr>
            <w:tcW w:w="8505" w:type="dxa"/>
            <w:shd w:val="clear" w:color="auto" w:fill="1B556B" w:themeFill="text2"/>
          </w:tcPr>
          <w:p w14:paraId="45E97325" w14:textId="77777777" w:rsidR="00E81636" w:rsidRPr="00D71C4F" w:rsidRDefault="00E81636">
            <w:pPr>
              <w:pStyle w:val="TableText"/>
              <w:keepNext/>
              <w:rPr>
                <w:b/>
                <w:bCs/>
                <w:color w:val="FFFFFF" w:themeColor="background1"/>
                <w:sz w:val="20"/>
              </w:rPr>
            </w:pPr>
            <w:r w:rsidRPr="00D71C4F">
              <w:rPr>
                <w:b/>
                <w:bCs/>
                <w:color w:val="FFFFFF" w:themeColor="background1"/>
                <w:sz w:val="20"/>
              </w:rPr>
              <w:t>Questions</w:t>
            </w:r>
          </w:p>
        </w:tc>
      </w:tr>
      <w:tr w:rsidR="00E81636" w:rsidRPr="00943CFD" w14:paraId="01DE82B9" w14:textId="77777777">
        <w:tc>
          <w:tcPr>
            <w:tcW w:w="8505" w:type="dxa"/>
          </w:tcPr>
          <w:p w14:paraId="36D41962" w14:textId="310D1C9E" w:rsidR="00E81636" w:rsidRPr="00943CFD" w:rsidRDefault="00E81636" w:rsidP="001D584E">
            <w:pPr>
              <w:pStyle w:val="Questions"/>
              <w:ind w:left="458"/>
            </w:pPr>
            <w:r w:rsidRPr="00B72323">
              <w:t xml:space="preserve">Do you </w:t>
            </w:r>
            <w:r w:rsidRPr="00E81636">
              <w:t>agree with our impact analysis? Are there any further impacts that should be considered, which we have not captured in our analysis?</w:t>
            </w:r>
          </w:p>
        </w:tc>
      </w:tr>
    </w:tbl>
    <w:p w14:paraId="50499693" w14:textId="77777777" w:rsidR="00E81636" w:rsidRDefault="00E81636" w:rsidP="00E81636">
      <w:pPr>
        <w:pStyle w:val="BodyText"/>
      </w:pPr>
    </w:p>
    <w:p w14:paraId="0EE7B2D4" w14:textId="04919F63" w:rsidR="006315E0" w:rsidRDefault="006315E0" w:rsidP="006315E0">
      <w:pPr>
        <w:pStyle w:val="Heading1"/>
      </w:pPr>
      <w:bookmarkStart w:id="116" w:name="_Toc160029009"/>
      <w:bookmarkStart w:id="117" w:name="_Toc163048600"/>
      <w:bookmarkStart w:id="118" w:name="_Toc166162162"/>
      <w:bookmarkEnd w:id="3"/>
      <w:r>
        <w:lastRenderedPageBreak/>
        <w:t xml:space="preserve">Consultation questions and providing </w:t>
      </w:r>
      <w:proofErr w:type="gramStart"/>
      <w:r>
        <w:t>feedback</w:t>
      </w:r>
      <w:bookmarkEnd w:id="116"/>
      <w:bookmarkEnd w:id="117"/>
      <w:bookmarkEnd w:id="118"/>
      <w:proofErr w:type="gramEnd"/>
    </w:p>
    <w:p w14:paraId="69C427F5" w14:textId="5F52DDB1" w:rsidR="006315E0" w:rsidRDefault="006315E0" w:rsidP="00CA3497">
      <w:pPr>
        <w:pStyle w:val="Heading2"/>
      </w:pPr>
      <w:bookmarkStart w:id="119" w:name="_Consultation_questions"/>
      <w:bookmarkStart w:id="120" w:name="_Toc160029010"/>
      <w:bookmarkStart w:id="121" w:name="_Toc163048601"/>
      <w:bookmarkStart w:id="122" w:name="_Toc166162163"/>
      <w:bookmarkEnd w:id="119"/>
      <w:r>
        <w:t>Consultation questions</w:t>
      </w:r>
      <w:bookmarkEnd w:id="120"/>
      <w:bookmarkEnd w:id="121"/>
      <w:bookmarkEnd w:id="122"/>
    </w:p>
    <w:p w14:paraId="253DE402" w14:textId="4B879263" w:rsidR="006315E0" w:rsidRDefault="006315E0" w:rsidP="006315E0">
      <w:pPr>
        <w:pStyle w:val="BodyText"/>
      </w:pPr>
      <w:r w:rsidRPr="00315065">
        <w:t xml:space="preserve">The questions below are also included under the relevant </w:t>
      </w:r>
      <w:r w:rsidR="00CF306D">
        <w:t>sections</w:t>
      </w:r>
      <w:r w:rsidR="00CF306D" w:rsidRPr="00315065">
        <w:t xml:space="preserve"> </w:t>
      </w:r>
      <w:r w:rsidRPr="00315065">
        <w:t>throughout the document</w:t>
      </w:r>
      <w:r w:rsidR="00CF306D">
        <w:t>.</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E81636" w:rsidRPr="00D71C4F" w14:paraId="00664AA4" w14:textId="77777777">
        <w:tc>
          <w:tcPr>
            <w:tcW w:w="8505" w:type="dxa"/>
            <w:shd w:val="clear" w:color="auto" w:fill="1B556B" w:themeFill="text2"/>
          </w:tcPr>
          <w:p w14:paraId="38A72C96" w14:textId="77777777" w:rsidR="00E81636" w:rsidRPr="00D71C4F" w:rsidRDefault="00E81636">
            <w:pPr>
              <w:pStyle w:val="TableText"/>
              <w:keepNext/>
              <w:rPr>
                <w:b/>
                <w:bCs/>
                <w:color w:val="FFFFFF" w:themeColor="background1"/>
                <w:sz w:val="20"/>
              </w:rPr>
            </w:pPr>
            <w:r w:rsidRPr="00D71C4F">
              <w:rPr>
                <w:b/>
                <w:bCs/>
                <w:color w:val="FFFFFF" w:themeColor="background1"/>
                <w:sz w:val="20"/>
              </w:rPr>
              <w:t>Questions</w:t>
            </w:r>
          </w:p>
        </w:tc>
      </w:tr>
      <w:tr w:rsidR="00E81636" w:rsidRPr="00943CFD" w14:paraId="0AFBF0ED" w14:textId="77777777">
        <w:tc>
          <w:tcPr>
            <w:tcW w:w="8505" w:type="dxa"/>
          </w:tcPr>
          <w:p w14:paraId="6F4A2860" w14:textId="17A8DC77" w:rsidR="00E81636" w:rsidRPr="00295B62" w:rsidRDefault="00E81636" w:rsidP="00F42563">
            <w:pPr>
              <w:pStyle w:val="Questions"/>
              <w:numPr>
                <w:ilvl w:val="0"/>
                <w:numId w:val="72"/>
              </w:numPr>
              <w:ind w:left="458" w:right="0"/>
            </w:pPr>
            <w:r w:rsidRPr="00295B62">
              <w:t xml:space="preserve">What do you think of each of the options presented </w:t>
            </w:r>
            <w:r w:rsidR="00831AB3">
              <w:t>for step 1</w:t>
            </w:r>
            <w:r w:rsidRPr="00BB53D6">
              <w:t>?</w:t>
            </w:r>
            <w:r w:rsidRPr="00295B62">
              <w:t xml:space="preserve"> What is your preferred option? Is there any other option that you think we should consider?</w:t>
            </w:r>
          </w:p>
        </w:tc>
      </w:tr>
      <w:tr w:rsidR="00E81636" w:rsidRPr="00943CFD" w14:paraId="55B8EE16" w14:textId="77777777">
        <w:tc>
          <w:tcPr>
            <w:tcW w:w="8505" w:type="dxa"/>
          </w:tcPr>
          <w:p w14:paraId="7E56744F" w14:textId="239BA210" w:rsidR="00E81636" w:rsidRPr="00295B62" w:rsidRDefault="00E81636" w:rsidP="00F42563">
            <w:pPr>
              <w:pStyle w:val="Questions"/>
              <w:numPr>
                <w:ilvl w:val="0"/>
                <w:numId w:val="72"/>
              </w:numPr>
              <w:ind w:left="458" w:right="0"/>
            </w:pPr>
            <w:r w:rsidRPr="00295B62">
              <w:t xml:space="preserve">If option 3 </w:t>
            </w:r>
            <w:r w:rsidR="00C721B8" w:rsidRPr="00295B62">
              <w:t xml:space="preserve">for step 1 </w:t>
            </w:r>
            <w:r w:rsidR="002C17EB">
              <w:t>was</w:t>
            </w:r>
            <w:r w:rsidR="002C17EB" w:rsidRPr="00BB53D6">
              <w:t xml:space="preserve"> </w:t>
            </w:r>
            <w:r w:rsidRPr="00295B62">
              <w:t>proposed, what criteria could be used to identify eligible reductions and removals?</w:t>
            </w:r>
          </w:p>
        </w:tc>
      </w:tr>
      <w:tr w:rsidR="00C721B8" w:rsidRPr="00943CFD" w14:paraId="6F85FD1D" w14:textId="77777777">
        <w:tc>
          <w:tcPr>
            <w:tcW w:w="8505" w:type="dxa"/>
          </w:tcPr>
          <w:p w14:paraId="6254EFF2" w14:textId="38D10EC6" w:rsidR="00C721B8" w:rsidRPr="00295B62" w:rsidRDefault="004D2168" w:rsidP="00F42563">
            <w:pPr>
              <w:pStyle w:val="Questions"/>
              <w:numPr>
                <w:ilvl w:val="0"/>
                <w:numId w:val="72"/>
              </w:numPr>
              <w:ind w:left="458" w:right="0"/>
            </w:pPr>
            <w:r w:rsidRPr="00295B62">
              <w:t xml:space="preserve">Do you agree with the calculation for step 2? If not, </w:t>
            </w:r>
            <w:r w:rsidR="00FB6791">
              <w:t>why not? D</w:t>
            </w:r>
            <w:r w:rsidRPr="00295B62">
              <w:t xml:space="preserve">o you have any evidence or information to suggest a different share of the </w:t>
            </w:r>
            <w:r w:rsidRPr="004D2168">
              <w:t>emission</w:t>
            </w:r>
            <w:r w:rsidR="001A28DF">
              <w:t>s</w:t>
            </w:r>
            <w:r w:rsidRPr="00295B62">
              <w:t xml:space="preserve"> budget?</w:t>
            </w:r>
          </w:p>
        </w:tc>
      </w:tr>
      <w:tr w:rsidR="00C721B8" w:rsidRPr="00943CFD" w14:paraId="4E483F4D" w14:textId="77777777">
        <w:tc>
          <w:tcPr>
            <w:tcW w:w="8505" w:type="dxa"/>
          </w:tcPr>
          <w:p w14:paraId="319222A7" w14:textId="4730952D" w:rsidR="00C721B8" w:rsidRPr="00295B62" w:rsidRDefault="004D2168" w:rsidP="00F42563">
            <w:pPr>
              <w:pStyle w:val="Questions"/>
              <w:numPr>
                <w:ilvl w:val="0"/>
                <w:numId w:val="72"/>
              </w:numPr>
              <w:ind w:left="458" w:right="0"/>
            </w:pPr>
            <w:r w:rsidRPr="00295B62">
              <w:t xml:space="preserve">Do you agree with the calculation for step 3? If not, </w:t>
            </w:r>
            <w:r w:rsidR="00FB6791">
              <w:t>why not? D</w:t>
            </w:r>
            <w:r w:rsidRPr="00295B62">
              <w:t>o you have any evidence or information to support a different option?</w:t>
            </w:r>
          </w:p>
        </w:tc>
      </w:tr>
      <w:tr w:rsidR="004D2168" w:rsidRPr="00943CFD" w14:paraId="0035A328" w14:textId="77777777">
        <w:tc>
          <w:tcPr>
            <w:tcW w:w="8505" w:type="dxa"/>
          </w:tcPr>
          <w:p w14:paraId="40866DF8" w14:textId="2DD7B19F" w:rsidR="004D2168" w:rsidRPr="00295B62" w:rsidRDefault="004D2168" w:rsidP="00F42563">
            <w:pPr>
              <w:pStyle w:val="Questions"/>
              <w:numPr>
                <w:ilvl w:val="0"/>
                <w:numId w:val="72"/>
              </w:numPr>
              <w:ind w:left="458" w:right="0"/>
            </w:pPr>
            <w:r w:rsidRPr="00295B62">
              <w:t xml:space="preserve">Do you agree with the calculation for step 4? If not, </w:t>
            </w:r>
            <w:r w:rsidR="00FB6791">
              <w:t>why not? D</w:t>
            </w:r>
            <w:r w:rsidRPr="00295B62">
              <w:t>o you have any evidence or information to support a different option?</w:t>
            </w:r>
          </w:p>
        </w:tc>
      </w:tr>
      <w:tr w:rsidR="00C721B8" w:rsidRPr="00943CFD" w14:paraId="670F4334" w14:textId="77777777">
        <w:tc>
          <w:tcPr>
            <w:tcW w:w="8505" w:type="dxa"/>
          </w:tcPr>
          <w:p w14:paraId="3D685846" w14:textId="75A6DE81" w:rsidR="00C721B8" w:rsidRPr="00295B62" w:rsidRDefault="004D2168" w:rsidP="00F42563">
            <w:pPr>
              <w:pStyle w:val="Questions"/>
              <w:numPr>
                <w:ilvl w:val="0"/>
                <w:numId w:val="72"/>
              </w:numPr>
              <w:ind w:left="458" w:right="0"/>
            </w:pPr>
            <w:r w:rsidRPr="00295B62">
              <w:t>Do you agree with the Commission’s surplus methodology and estimate? If not, why not?</w:t>
            </w:r>
          </w:p>
        </w:tc>
      </w:tr>
      <w:tr w:rsidR="00C721B8" w:rsidRPr="00943CFD" w14:paraId="7139E981" w14:textId="77777777">
        <w:tc>
          <w:tcPr>
            <w:tcW w:w="8505" w:type="dxa"/>
          </w:tcPr>
          <w:p w14:paraId="6D5BAE48" w14:textId="4508F5F8" w:rsidR="00C721B8" w:rsidRPr="00295B62" w:rsidRDefault="004D2168" w:rsidP="00F42563">
            <w:pPr>
              <w:pStyle w:val="Questions"/>
              <w:numPr>
                <w:ilvl w:val="0"/>
                <w:numId w:val="72"/>
              </w:numPr>
              <w:ind w:left="458" w:right="0"/>
            </w:pPr>
            <w:r w:rsidRPr="00295B62">
              <w:t>What is your preferred option for step 5? Is there any other option that you think we should consider?</w:t>
            </w:r>
          </w:p>
        </w:tc>
      </w:tr>
      <w:tr w:rsidR="00C721B8" w:rsidRPr="00943CFD" w14:paraId="66EFB485" w14:textId="77777777">
        <w:tc>
          <w:tcPr>
            <w:tcW w:w="8505" w:type="dxa"/>
          </w:tcPr>
          <w:p w14:paraId="011A3F01" w14:textId="63A7318B" w:rsidR="00C721B8" w:rsidRPr="00295B62" w:rsidRDefault="004D2168" w:rsidP="00F42563">
            <w:pPr>
              <w:pStyle w:val="Questions"/>
              <w:numPr>
                <w:ilvl w:val="0"/>
                <w:numId w:val="72"/>
              </w:numPr>
              <w:ind w:left="458" w:right="0"/>
            </w:pPr>
            <w:r w:rsidRPr="00295B62">
              <w:t>We are interested in your views on the Commission’s interpretation of increased transfers of pre-1990 units. Do you think the sale of pre-1990 units have increased? If so, what factors are influencing this?</w:t>
            </w:r>
          </w:p>
        </w:tc>
      </w:tr>
      <w:tr w:rsidR="00C721B8" w:rsidRPr="00943CFD" w14:paraId="5C830172" w14:textId="77777777">
        <w:tc>
          <w:tcPr>
            <w:tcW w:w="8505" w:type="dxa"/>
          </w:tcPr>
          <w:p w14:paraId="3BEBB4C7" w14:textId="749EFA4D" w:rsidR="00C721B8" w:rsidRPr="00295B62" w:rsidRDefault="00554A87" w:rsidP="00F42563">
            <w:pPr>
              <w:pStyle w:val="Questions"/>
              <w:numPr>
                <w:ilvl w:val="0"/>
                <w:numId w:val="72"/>
              </w:numPr>
              <w:ind w:left="458" w:right="0"/>
            </w:pPr>
            <w:r>
              <w:t xml:space="preserve">What is your preferred option for </w:t>
            </w:r>
            <w:r w:rsidR="0083589E">
              <w:t xml:space="preserve">the price control corridor? </w:t>
            </w:r>
            <w:r w:rsidR="00D479D8">
              <w:t xml:space="preserve">Is there any other option that you think we should consider? </w:t>
            </w:r>
            <w:r w:rsidR="00B3631E">
              <w:t>W</w:t>
            </w:r>
            <w:r w:rsidR="004D2168" w:rsidRPr="00295B62">
              <w:t>hat factors should inform the price these are set?</w:t>
            </w:r>
          </w:p>
        </w:tc>
      </w:tr>
      <w:tr w:rsidR="00656BC5" w:rsidRPr="00943CFD" w14:paraId="24FA88D0" w14:textId="77777777">
        <w:tc>
          <w:tcPr>
            <w:tcW w:w="8505" w:type="dxa"/>
          </w:tcPr>
          <w:p w14:paraId="5A3E5973" w14:textId="54DA40AE" w:rsidR="00656BC5" w:rsidRDefault="00265C7E" w:rsidP="00F42563">
            <w:pPr>
              <w:pStyle w:val="Questions"/>
              <w:numPr>
                <w:ilvl w:val="0"/>
                <w:numId w:val="72"/>
              </w:numPr>
              <w:ind w:left="458" w:right="0"/>
            </w:pPr>
            <w:r>
              <w:t>Do you consider a price corridor (</w:t>
            </w:r>
            <w:proofErr w:type="spellStart"/>
            <w:r w:rsidR="003B3EB9">
              <w:t>ie</w:t>
            </w:r>
            <w:proofErr w:type="spellEnd"/>
            <w:r w:rsidR="003B3EB9">
              <w:t>,</w:t>
            </w:r>
            <w:r>
              <w:t xml:space="preserve"> an auction floor price and a CCR), to be important? Why or why not?</w:t>
            </w:r>
          </w:p>
        </w:tc>
      </w:tr>
      <w:tr w:rsidR="00C721B8" w:rsidRPr="00943CFD" w14:paraId="37DB9AC9" w14:textId="77777777">
        <w:tc>
          <w:tcPr>
            <w:tcW w:w="8505" w:type="dxa"/>
          </w:tcPr>
          <w:p w14:paraId="515B5513" w14:textId="1771EB48" w:rsidR="00C721B8" w:rsidRPr="00295B62" w:rsidRDefault="00CC0D5A" w:rsidP="00F42563">
            <w:pPr>
              <w:pStyle w:val="Questions"/>
              <w:numPr>
                <w:ilvl w:val="0"/>
                <w:numId w:val="72"/>
              </w:numPr>
              <w:ind w:left="458" w:right="0"/>
            </w:pPr>
            <w:r>
              <w:t>What is your preferred option for the CCR volume</w:t>
            </w:r>
            <w:r w:rsidR="00EB533A">
              <w:t xml:space="preserve">? </w:t>
            </w:r>
            <w:r w:rsidR="00D42197">
              <w:t>Is there any other option that you think we should consider</w:t>
            </w:r>
            <w:r w:rsidR="00656BC5">
              <w:t xml:space="preserve">? </w:t>
            </w:r>
          </w:p>
        </w:tc>
      </w:tr>
      <w:tr w:rsidR="00C721B8" w:rsidRPr="00943CFD" w14:paraId="56463C1B" w14:textId="77777777">
        <w:tc>
          <w:tcPr>
            <w:tcW w:w="8505" w:type="dxa"/>
          </w:tcPr>
          <w:p w14:paraId="784A525A" w14:textId="442E4C0F" w:rsidR="00C721B8" w:rsidRPr="00295B62" w:rsidRDefault="004D2168" w:rsidP="00F42563">
            <w:pPr>
              <w:pStyle w:val="Questions"/>
              <w:numPr>
                <w:ilvl w:val="0"/>
                <w:numId w:val="72"/>
              </w:numPr>
              <w:ind w:left="458" w:right="0"/>
            </w:pPr>
            <w:r w:rsidRPr="00295B62">
              <w:t>Do you agree with our impact analysis? Are there any further impacts that should be considered, which we have not captured in our analysis?</w:t>
            </w:r>
          </w:p>
        </w:tc>
      </w:tr>
    </w:tbl>
    <w:p w14:paraId="79E93A61" w14:textId="77777777" w:rsidR="00CF306D" w:rsidRPr="00CF306D" w:rsidRDefault="00CF306D" w:rsidP="00CF306D">
      <w:pPr>
        <w:pStyle w:val="BodyText"/>
      </w:pPr>
      <w:bookmarkStart w:id="123" w:name="_Toc160029011"/>
    </w:p>
    <w:p w14:paraId="35379453" w14:textId="77777777" w:rsidR="00CF306D" w:rsidRPr="00CF306D" w:rsidRDefault="00CF306D" w:rsidP="00CF306D">
      <w:pPr>
        <w:pStyle w:val="BodyText"/>
      </w:pPr>
      <w:r w:rsidRPr="00CF306D">
        <w:br w:type="page"/>
      </w:r>
    </w:p>
    <w:p w14:paraId="69482310" w14:textId="1B0C6628" w:rsidR="002973AA" w:rsidRDefault="002973AA" w:rsidP="00CA3497">
      <w:pPr>
        <w:pStyle w:val="Heading2"/>
      </w:pPr>
      <w:bookmarkStart w:id="124" w:name="_Toc163048602"/>
      <w:bookmarkStart w:id="125" w:name="_Toc166162164"/>
      <w:r>
        <w:lastRenderedPageBreak/>
        <w:t>We are specifically seeking feedback on</w:t>
      </w:r>
      <w:r w:rsidRPr="005B7AD0">
        <w:t xml:space="preserve"> </w:t>
      </w:r>
      <w:r w:rsidR="00CF306D">
        <w:t xml:space="preserve">the </w:t>
      </w:r>
      <w:r w:rsidRPr="005B7AD0">
        <w:t xml:space="preserve">impact </w:t>
      </w:r>
      <w:r w:rsidR="003F0B4C">
        <w:t>these options have</w:t>
      </w:r>
      <w:r w:rsidRPr="005B7AD0">
        <w:t xml:space="preserve"> on </w:t>
      </w:r>
      <w:proofErr w:type="gramStart"/>
      <w:r w:rsidRPr="005B7AD0">
        <w:t>Māori</w:t>
      </w:r>
      <w:bookmarkEnd w:id="124"/>
      <w:bookmarkEnd w:id="125"/>
      <w:proofErr w:type="gramEnd"/>
    </w:p>
    <w:p w14:paraId="0F760976" w14:textId="58E259B3" w:rsidR="002973AA" w:rsidRDefault="002973AA" w:rsidP="002973AA">
      <w:pPr>
        <w:pStyle w:val="BodyText"/>
      </w:pPr>
      <w:r w:rsidRPr="5F00C0AC">
        <w:t xml:space="preserve">We recognise </w:t>
      </w:r>
      <w:r>
        <w:t xml:space="preserve">that, as </w:t>
      </w:r>
      <w:proofErr w:type="spellStart"/>
      <w:r>
        <w:t>rangatira</w:t>
      </w:r>
      <w:proofErr w:type="spellEnd"/>
      <w:r>
        <w:t>, kaitiaki, land and forest owners, rural communities, workers, business owner</w:t>
      </w:r>
      <w:r w:rsidR="009D5D40">
        <w:t>s</w:t>
      </w:r>
      <w:r>
        <w:t xml:space="preserve">, and whānau, </w:t>
      </w:r>
      <w:r w:rsidRPr="5F00C0AC">
        <w:t>Māori have a significant interest in climate change action and the NZ ETS.</w:t>
      </w:r>
    </w:p>
    <w:p w14:paraId="3E55B5E1" w14:textId="77777777" w:rsidR="002973AA" w:rsidRDefault="002973AA" w:rsidP="002973AA">
      <w:pPr>
        <w:pStyle w:val="BodyText"/>
      </w:pPr>
      <w:r>
        <w:t xml:space="preserve">The multiple interests in the NZ ETS mean that options could have positive, </w:t>
      </w:r>
      <w:proofErr w:type="gramStart"/>
      <w:r>
        <w:t>negative</w:t>
      </w:r>
      <w:proofErr w:type="gramEnd"/>
      <w:r>
        <w:t xml:space="preserve"> and neutral impacts simultaneously.</w:t>
      </w:r>
    </w:p>
    <w:p w14:paraId="792F538C" w14:textId="386F2DBE" w:rsidR="002973AA" w:rsidRDefault="002973AA" w:rsidP="002973AA">
      <w:pPr>
        <w:pStyle w:val="BodyText"/>
      </w:pPr>
      <w:r>
        <w:t>For example, an increase in New Zealand Unit (NZU) price could benefit Māori forest owners or owners of land suitable for afforestation, due to the possibility of increased returns from carbon. This would provide particular benefit to those entered in the post-1989 permanent forest category, as well as to participants registered under averaging accounting (as they no longer face surrender obligations when they harvest).</w:t>
      </w:r>
    </w:p>
    <w:p w14:paraId="27A527C2" w14:textId="16F16673" w:rsidR="002973AA" w:rsidRDefault="002973AA" w:rsidP="002973AA">
      <w:pPr>
        <w:pStyle w:val="BodyText"/>
      </w:pPr>
      <w:r>
        <w:t>However, increased emissions costs will also have implications across the economy, with flow-on effects for households and communities. Whānau Māori are disproportionately represented in lower-income groups with the most limited ability to absorb cost increases.</w:t>
      </w:r>
    </w:p>
    <w:p w14:paraId="05F307BC" w14:textId="7985D5A3" w:rsidR="002973AA" w:rsidRDefault="002973AA" w:rsidP="002973AA">
      <w:pPr>
        <w:pStyle w:val="BodyText"/>
      </w:pPr>
      <w:r>
        <w:t xml:space="preserve">We have analysed the impact of the options presented in the consultation document on different affected groups, </w:t>
      </w:r>
      <w:r w:rsidRPr="003F2D81">
        <w:t xml:space="preserve">detailed in table </w:t>
      </w:r>
      <w:r>
        <w:t>13</w:t>
      </w:r>
      <w:r w:rsidRPr="003F2D81">
        <w:t xml:space="preserve">. However, we acknowledge </w:t>
      </w:r>
      <w:r>
        <w:t>the</w:t>
      </w:r>
      <w:r w:rsidRPr="003F2D81">
        <w:t xml:space="preserve"> possibility of gaps in our analysis, including on</w:t>
      </w:r>
      <w:r>
        <w:t xml:space="preserve"> impacts specific to Māori.</w:t>
      </w:r>
    </w:p>
    <w:p w14:paraId="577C6AFF" w14:textId="73E06D4E" w:rsidR="002973AA" w:rsidRDefault="002973AA" w:rsidP="002973AA">
      <w:pPr>
        <w:pStyle w:val="BodyText"/>
      </w:pPr>
      <w:r>
        <w:t>Therefore, as part of this consultation, in addition to the questions on each issue</w:t>
      </w:r>
      <w:r w:rsidRPr="5F00C0AC">
        <w:t xml:space="preserve"> we are specifically requesting </w:t>
      </w:r>
      <w:r w:rsidR="00FE7459">
        <w:t xml:space="preserve">views from Māori on </w:t>
      </w:r>
      <w:r w:rsidR="00460AB4">
        <w:t xml:space="preserve">impact </w:t>
      </w:r>
      <w:r w:rsidR="00FE7459">
        <w:t xml:space="preserve">these </w:t>
      </w:r>
      <w:r w:rsidR="00F56FD1">
        <w:t>issues</w:t>
      </w:r>
      <w:r w:rsidR="00460AB4">
        <w:t xml:space="preserve"> have on them</w:t>
      </w:r>
      <w:r w:rsidDel="00FE7459">
        <w:t>.</w:t>
      </w:r>
      <w:r>
        <w:t xml:space="preserve"> We will include this feedback in our analysis to inform the Government’s final decision-making following this consultation.</w:t>
      </w:r>
    </w:p>
    <w:p w14:paraId="598467EF" w14:textId="0B688E27" w:rsidR="006315E0" w:rsidRDefault="006315E0" w:rsidP="00CA3497">
      <w:pPr>
        <w:pStyle w:val="Heading2"/>
      </w:pPr>
      <w:bookmarkStart w:id="126" w:name="_How_to_have"/>
      <w:bookmarkStart w:id="127" w:name="_Toc163048603"/>
      <w:bookmarkStart w:id="128" w:name="_Toc166162165"/>
      <w:bookmarkEnd w:id="126"/>
      <w:r>
        <w:t>How to have your say</w:t>
      </w:r>
      <w:bookmarkEnd w:id="123"/>
      <w:bookmarkEnd w:id="127"/>
      <w:bookmarkEnd w:id="128"/>
    </w:p>
    <w:p w14:paraId="4794307D" w14:textId="674EF31C" w:rsidR="006315E0" w:rsidRPr="005B7AD0" w:rsidRDefault="006315E0" w:rsidP="006315E0">
      <w:pPr>
        <w:pStyle w:val="BodyText"/>
      </w:pPr>
      <w:r w:rsidRPr="005B7AD0">
        <w:t xml:space="preserve">The Government welcomes your feedback on the issues described in this consultation document. The questions throughout the document and summarised here are </w:t>
      </w:r>
      <w:r>
        <w:t>intended as a useful</w:t>
      </w:r>
      <w:r w:rsidRPr="005B7AD0">
        <w:t xml:space="preserve"> guide. You do not have to answer them all and any additional comments are welcome.</w:t>
      </w:r>
    </w:p>
    <w:p w14:paraId="1B14FE22" w14:textId="77777777" w:rsidR="006315E0" w:rsidRDefault="006315E0" w:rsidP="006315E0">
      <w:pPr>
        <w:pStyle w:val="BodyText"/>
      </w:pPr>
      <w:r w:rsidRPr="005B7AD0">
        <w:t xml:space="preserve">To ensure </w:t>
      </w:r>
      <w:r>
        <w:t xml:space="preserve">that those reading and analysing submissions </w:t>
      </w:r>
      <w:r w:rsidRPr="005B7AD0">
        <w:t>clearly understand your point of view, you should explain the reasons for your views and give any supporting evidence.</w:t>
      </w:r>
    </w:p>
    <w:p w14:paraId="0F662636" w14:textId="6F37FED0" w:rsidR="006315E0" w:rsidRPr="005B7AD0" w:rsidRDefault="006315E0" w:rsidP="006315E0">
      <w:pPr>
        <w:pStyle w:val="BodyText"/>
      </w:pPr>
      <w:r>
        <w:t xml:space="preserve">You are welcome to submit on both the </w:t>
      </w:r>
      <w:r w:rsidR="008C3946">
        <w:t>issues and options</w:t>
      </w:r>
      <w:r>
        <w:t xml:space="preserve"> presented in this document and those </w:t>
      </w:r>
      <w:r w:rsidR="50497DC6">
        <w:t xml:space="preserve">in the consultation on the </w:t>
      </w:r>
      <w:hyperlink r:id="rId24" w:history="1">
        <w:r w:rsidRPr="00BE6F22">
          <w:rPr>
            <w:rStyle w:val="Hyperlink"/>
          </w:rPr>
          <w:t xml:space="preserve">NZ ETS </w:t>
        </w:r>
        <w:r w:rsidR="00571107" w:rsidRPr="00BE6F22">
          <w:rPr>
            <w:rStyle w:val="Hyperlink"/>
          </w:rPr>
          <w:t>r</w:t>
        </w:r>
        <w:r w:rsidR="00AE4A62" w:rsidRPr="00BE6F22">
          <w:rPr>
            <w:rStyle w:val="Hyperlink"/>
          </w:rPr>
          <w:t xml:space="preserve">egulatory </w:t>
        </w:r>
        <w:r w:rsidR="00571107" w:rsidRPr="00BE6F22">
          <w:rPr>
            <w:rStyle w:val="Hyperlink"/>
          </w:rPr>
          <w:t>u</w:t>
        </w:r>
        <w:r w:rsidR="00AE4A62" w:rsidRPr="00BE6F22">
          <w:rPr>
            <w:rStyle w:val="Hyperlink"/>
          </w:rPr>
          <w:t>pdates</w:t>
        </w:r>
      </w:hyperlink>
      <w:r w:rsidR="00AE4A62">
        <w:t xml:space="preserve"> </w:t>
      </w:r>
      <w:r>
        <w:t>in the same submission. A</w:t>
      </w:r>
      <w:r w:rsidR="769D8039">
        <w:t>s part of the respective analyses, we will consider a</w:t>
      </w:r>
      <w:r>
        <w:t xml:space="preserve">ny feedback that you provide relating to either set of </w:t>
      </w:r>
      <w:r w:rsidR="00AE4A62">
        <w:t>issues</w:t>
      </w:r>
      <w:r>
        <w:t>.</w:t>
      </w:r>
    </w:p>
    <w:p w14:paraId="5CD4A082" w14:textId="77777777" w:rsidR="006315E0" w:rsidRDefault="006315E0" w:rsidP="00CA3497">
      <w:pPr>
        <w:pStyle w:val="Heading2"/>
      </w:pPr>
      <w:bookmarkStart w:id="129" w:name="_Toc160029012"/>
      <w:bookmarkStart w:id="130" w:name="_Toc163048604"/>
      <w:bookmarkStart w:id="131" w:name="_Toc166162166"/>
      <w:r>
        <w:t>Timeframes</w:t>
      </w:r>
      <w:bookmarkEnd w:id="129"/>
      <w:bookmarkEnd w:id="130"/>
      <w:bookmarkEnd w:id="131"/>
    </w:p>
    <w:p w14:paraId="641E9296" w14:textId="45C36E00" w:rsidR="006315E0" w:rsidRDefault="006315E0" w:rsidP="006315E0">
      <w:pPr>
        <w:pStyle w:val="BodyText"/>
        <w:rPr>
          <w:rFonts w:eastAsia="Calibri" w:cs="Calibri"/>
          <w:color w:val="000000" w:themeColor="text1"/>
        </w:rPr>
      </w:pPr>
      <w:r w:rsidRPr="005B7AD0">
        <w:rPr>
          <w:rFonts w:eastAsia="Calibri" w:cs="Calibri"/>
          <w:color w:val="000000" w:themeColor="text1"/>
        </w:rPr>
        <w:t xml:space="preserve">This consultation starts on </w:t>
      </w:r>
      <w:r w:rsidR="006B024F">
        <w:rPr>
          <w:rFonts w:eastAsia="Calibri" w:cs="Calibri"/>
          <w:color w:val="000000" w:themeColor="text1"/>
        </w:rPr>
        <w:t>15</w:t>
      </w:r>
      <w:r>
        <w:rPr>
          <w:rFonts w:eastAsia="Calibri" w:cs="Calibri"/>
          <w:color w:val="000000" w:themeColor="text1"/>
        </w:rPr>
        <w:t xml:space="preserve"> </w:t>
      </w:r>
      <w:r w:rsidR="00163EBA">
        <w:rPr>
          <w:rFonts w:eastAsia="Calibri" w:cs="Calibri"/>
          <w:color w:val="000000" w:themeColor="text1"/>
        </w:rPr>
        <w:t>May</w:t>
      </w:r>
      <w:r w:rsidRPr="005B7AD0">
        <w:rPr>
          <w:rFonts w:eastAsia="Calibri" w:cs="Calibri"/>
          <w:color w:val="000000" w:themeColor="text1"/>
        </w:rPr>
        <w:t xml:space="preserve"> 202</w:t>
      </w:r>
      <w:r>
        <w:rPr>
          <w:rFonts w:eastAsia="Calibri" w:cs="Calibri"/>
          <w:color w:val="000000" w:themeColor="text1"/>
        </w:rPr>
        <w:t>4</w:t>
      </w:r>
      <w:r w:rsidRPr="005B7AD0">
        <w:rPr>
          <w:rFonts w:eastAsia="Calibri" w:cs="Calibri"/>
          <w:color w:val="000000" w:themeColor="text1"/>
        </w:rPr>
        <w:t xml:space="preserve"> and ends on </w:t>
      </w:r>
      <w:r w:rsidR="00BF6312" w:rsidRPr="006B024F">
        <w:rPr>
          <w:rFonts w:eastAsia="Calibri" w:cs="Calibri"/>
          <w:color w:val="000000" w:themeColor="text1"/>
        </w:rPr>
        <w:t>14 June</w:t>
      </w:r>
      <w:r w:rsidRPr="005B7AD0">
        <w:rPr>
          <w:rFonts w:eastAsia="Calibri" w:cs="Calibri"/>
          <w:color w:val="000000" w:themeColor="text1"/>
        </w:rPr>
        <w:t xml:space="preserve"> 202</w:t>
      </w:r>
      <w:r>
        <w:rPr>
          <w:rFonts w:eastAsia="Calibri" w:cs="Calibri"/>
          <w:color w:val="000000" w:themeColor="text1"/>
        </w:rPr>
        <w:t>4</w:t>
      </w:r>
      <w:r w:rsidRPr="005B7AD0">
        <w:rPr>
          <w:rFonts w:eastAsia="Calibri" w:cs="Calibri"/>
          <w:color w:val="000000" w:themeColor="text1"/>
        </w:rPr>
        <w:t>.</w:t>
      </w:r>
      <w:r>
        <w:rPr>
          <w:rFonts w:eastAsia="Calibri" w:cs="Calibri"/>
          <w:color w:val="000000" w:themeColor="text1"/>
        </w:rPr>
        <w:t xml:space="preserve"> Submissions should be made by no later than this date, to ensure that your views are considered in our analysis.</w:t>
      </w:r>
    </w:p>
    <w:p w14:paraId="03EA6BE6" w14:textId="2D3371DC" w:rsidR="006315E0" w:rsidRPr="005B7AD0" w:rsidRDefault="006315E0" w:rsidP="006315E0">
      <w:pPr>
        <w:pStyle w:val="BodyText"/>
        <w:rPr>
          <w:rFonts w:eastAsia="Calibri" w:cs="Calibri"/>
          <w:color w:val="000000" w:themeColor="text1"/>
        </w:rPr>
      </w:pPr>
      <w:r>
        <w:rPr>
          <w:rFonts w:eastAsia="Calibri" w:cs="Calibri"/>
          <w:color w:val="000000" w:themeColor="text1"/>
        </w:rPr>
        <w:t xml:space="preserve">Submissions made after this date will be received and noted, but </w:t>
      </w:r>
      <w:r w:rsidR="776CFC7E" w:rsidRPr="61699788">
        <w:rPr>
          <w:rFonts w:eastAsia="Calibri" w:cs="Calibri"/>
          <w:color w:val="000000" w:themeColor="text1"/>
        </w:rPr>
        <w:t>we</w:t>
      </w:r>
      <w:r w:rsidRPr="61699788" w:rsidDel="006315E0">
        <w:rPr>
          <w:rFonts w:eastAsia="Calibri" w:cs="Calibri"/>
          <w:color w:val="000000" w:themeColor="text1"/>
        </w:rPr>
        <w:t xml:space="preserve"> </w:t>
      </w:r>
      <w:r>
        <w:rPr>
          <w:rFonts w:eastAsia="Calibri" w:cs="Calibri"/>
          <w:color w:val="000000" w:themeColor="text1"/>
        </w:rPr>
        <w:t xml:space="preserve">may not be the </w:t>
      </w:r>
      <w:r w:rsidR="54F7AC1C" w:rsidRPr="61699788">
        <w:rPr>
          <w:rFonts w:eastAsia="Calibri" w:cs="Calibri"/>
          <w:color w:val="000000" w:themeColor="text1"/>
        </w:rPr>
        <w:t>able</w:t>
      </w:r>
      <w:r>
        <w:rPr>
          <w:rFonts w:eastAsia="Calibri" w:cs="Calibri"/>
          <w:color w:val="000000" w:themeColor="text1"/>
        </w:rPr>
        <w:t xml:space="preserve"> to reflect the views presented in late submissions in our analysis and decisions.</w:t>
      </w:r>
    </w:p>
    <w:p w14:paraId="5339FD24" w14:textId="3E8F87AD"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lastRenderedPageBreak/>
        <w:t>When the consultation period has ended, we will develop recommendations on changes to</w:t>
      </w:r>
      <w:r w:rsidR="00AF6A2E">
        <w:rPr>
          <w:rFonts w:eastAsia="Calibri" w:cs="Calibri"/>
          <w:color w:val="000000" w:themeColor="text1"/>
        </w:rPr>
        <w:t> </w:t>
      </w:r>
      <w:r w:rsidRPr="005B7AD0">
        <w:rPr>
          <w:rFonts w:eastAsia="Calibri" w:cs="Calibri"/>
          <w:color w:val="000000" w:themeColor="text1"/>
        </w:rPr>
        <w:t>regulations.</w:t>
      </w:r>
    </w:p>
    <w:p w14:paraId="72B13CD2" w14:textId="77777777" w:rsidR="006315E0" w:rsidRDefault="006315E0" w:rsidP="00CA3497">
      <w:pPr>
        <w:pStyle w:val="Heading2"/>
      </w:pPr>
      <w:bookmarkStart w:id="132" w:name="_Toc160029013"/>
      <w:bookmarkStart w:id="133" w:name="_Toc163048605"/>
      <w:bookmarkStart w:id="134" w:name="_Toc166162167"/>
      <w:r>
        <w:t>How to make a submission</w:t>
      </w:r>
      <w:bookmarkEnd w:id="132"/>
      <w:bookmarkEnd w:id="133"/>
      <w:bookmarkEnd w:id="134"/>
    </w:p>
    <w:p w14:paraId="14772FF7" w14:textId="77777777"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t>There are two ways you can make a submission</w:t>
      </w:r>
      <w:r>
        <w:rPr>
          <w:rFonts w:eastAsia="Calibri" w:cs="Calibri"/>
          <w:color w:val="000000" w:themeColor="text1"/>
        </w:rPr>
        <w:t>:</w:t>
      </w:r>
    </w:p>
    <w:p w14:paraId="3B77CAF5" w14:textId="22D3C057" w:rsidR="006315E0" w:rsidRPr="00F42563" w:rsidRDefault="00F36D73" w:rsidP="00F42563">
      <w:pPr>
        <w:pStyle w:val="Bullet"/>
      </w:pPr>
      <w:r w:rsidRPr="00F42563">
        <w:t>V</w:t>
      </w:r>
      <w:r w:rsidR="006315E0" w:rsidRPr="00F42563">
        <w:t xml:space="preserve">ia </w:t>
      </w:r>
      <w:hyperlink r:id="rId25" w:history="1">
        <w:r w:rsidR="006315E0" w:rsidRPr="00567581">
          <w:rPr>
            <w:rStyle w:val="Hyperlink"/>
          </w:rPr>
          <w:t>Citizen Space</w:t>
        </w:r>
      </w:hyperlink>
      <w:r w:rsidR="006315E0" w:rsidRPr="00F42563">
        <w:t>, our consultation hub</w:t>
      </w:r>
      <w:r w:rsidR="009B2F72" w:rsidRPr="00F42563">
        <w:rPr>
          <w:rStyle w:val="Hyperlink"/>
          <w:color w:val="auto"/>
        </w:rPr>
        <w:t>.</w:t>
      </w:r>
      <w:r w:rsidR="009B2F72" w:rsidRPr="00F42563">
        <w:t xml:space="preserve"> You can also</w:t>
      </w:r>
      <w:r w:rsidR="006315E0" w:rsidRPr="00F42563">
        <w:t xml:space="preserve"> provide feedback on NZ ETS </w:t>
      </w:r>
      <w:r w:rsidR="00F1687E" w:rsidRPr="00F42563">
        <w:t xml:space="preserve">regulations </w:t>
      </w:r>
      <w:r w:rsidR="00E935C6" w:rsidRPr="00F42563">
        <w:t>consultation</w:t>
      </w:r>
      <w:r w:rsidR="009B2F72" w:rsidRPr="00F42563">
        <w:t xml:space="preserve"> at the same time</w:t>
      </w:r>
      <w:r w:rsidR="006315E0" w:rsidRPr="00F42563">
        <w:t xml:space="preserve"> if this is of interest to you.</w:t>
      </w:r>
    </w:p>
    <w:p w14:paraId="2C769465" w14:textId="0BEBB05F" w:rsidR="006315E0" w:rsidRPr="00F42563" w:rsidRDefault="00F36D73" w:rsidP="00F42563">
      <w:pPr>
        <w:pStyle w:val="Bullet"/>
      </w:pPr>
      <w:r w:rsidRPr="00F42563">
        <w:t>W</w:t>
      </w:r>
      <w:r w:rsidR="006315E0" w:rsidRPr="00F42563">
        <w:t xml:space="preserve">rite your own submission. </w:t>
      </w:r>
    </w:p>
    <w:p w14:paraId="7AE70086" w14:textId="62BDB6CC" w:rsidR="006315E0" w:rsidRPr="005B7AD0" w:rsidRDefault="00F36D73" w:rsidP="006315E0">
      <w:pPr>
        <w:pStyle w:val="BodyText"/>
        <w:rPr>
          <w:rFonts w:eastAsia="Calibri" w:cs="Calibri"/>
          <w:color w:val="000000" w:themeColor="text1"/>
        </w:rPr>
      </w:pPr>
      <w:r w:rsidRPr="008456B3">
        <w:t xml:space="preserve">If </w:t>
      </w:r>
      <w:r w:rsidRPr="006C3FCD">
        <w:t>you</w:t>
      </w:r>
      <w:r w:rsidRPr="008456B3">
        <w:t xml:space="preserve"> want to provide your own written submission, you can include this as an uploaded file in Citizen Space.</w:t>
      </w:r>
      <w:r>
        <w:t xml:space="preserve"> </w:t>
      </w:r>
      <w:r w:rsidR="006315E0" w:rsidRPr="005B7AD0">
        <w:rPr>
          <w:rFonts w:eastAsia="Calibri" w:cs="Calibri"/>
          <w:color w:val="000000" w:themeColor="text1"/>
        </w:rPr>
        <w:t xml:space="preserve">We prefer that you don’t email or post submissions as this makes analysis more difficult. However, if you need to please send written submissions to </w:t>
      </w:r>
      <w:r w:rsidR="006315E0">
        <w:rPr>
          <w:rFonts w:eastAsia="Calibri" w:cs="Calibri"/>
          <w:color w:val="000000" w:themeColor="text1"/>
        </w:rPr>
        <w:t xml:space="preserve">NZ </w:t>
      </w:r>
      <w:r w:rsidR="006315E0" w:rsidRPr="005B7AD0">
        <w:rPr>
          <w:rFonts w:eastAsia="Calibri" w:cs="Calibri"/>
          <w:color w:val="000000" w:themeColor="text1"/>
        </w:rPr>
        <w:t xml:space="preserve">ETS </w:t>
      </w:r>
      <w:r>
        <w:rPr>
          <w:rFonts w:eastAsia="Calibri" w:cs="Calibri"/>
          <w:color w:val="000000" w:themeColor="text1"/>
        </w:rPr>
        <w:t>settings</w:t>
      </w:r>
      <w:r w:rsidRPr="005B7AD0">
        <w:rPr>
          <w:rFonts w:eastAsia="Calibri" w:cs="Calibri"/>
          <w:color w:val="000000" w:themeColor="text1"/>
        </w:rPr>
        <w:t xml:space="preserve"> </w:t>
      </w:r>
      <w:r w:rsidR="00CA5039">
        <w:rPr>
          <w:rFonts w:eastAsia="Calibri" w:cs="Calibri"/>
          <w:color w:val="000000" w:themeColor="text1"/>
        </w:rPr>
        <w:t>consultation</w:t>
      </w:r>
      <w:r w:rsidR="006315E0" w:rsidRPr="005B7AD0">
        <w:rPr>
          <w:rFonts w:eastAsia="Calibri" w:cs="Calibri"/>
          <w:color w:val="000000" w:themeColor="text1"/>
        </w:rPr>
        <w:t>, Ministry for the Environment, PO Box 10362, Wellington 6143 and include:</w:t>
      </w:r>
    </w:p>
    <w:p w14:paraId="0B0C1B08" w14:textId="77777777" w:rsidR="006315E0" w:rsidRPr="00F42563" w:rsidRDefault="006315E0" w:rsidP="00F42563">
      <w:pPr>
        <w:pStyle w:val="Bullet"/>
      </w:pPr>
      <w:r w:rsidRPr="00F42563">
        <w:t>the title of the consultation</w:t>
      </w:r>
    </w:p>
    <w:p w14:paraId="6A75A93E" w14:textId="77777777" w:rsidR="006315E0" w:rsidRPr="00F42563" w:rsidRDefault="006315E0" w:rsidP="00F42563">
      <w:pPr>
        <w:pStyle w:val="Bullet"/>
      </w:pPr>
      <w:r w:rsidRPr="00F42563">
        <w:t>your name or organisation</w:t>
      </w:r>
    </w:p>
    <w:p w14:paraId="3EEA9739" w14:textId="77777777" w:rsidR="006315E0" w:rsidRPr="00F42563" w:rsidRDefault="006315E0" w:rsidP="00F42563">
      <w:pPr>
        <w:pStyle w:val="Bullet"/>
      </w:pPr>
      <w:r w:rsidRPr="00F42563">
        <w:t>your postal address</w:t>
      </w:r>
    </w:p>
    <w:p w14:paraId="48B84E88" w14:textId="77777777" w:rsidR="006315E0" w:rsidRPr="00F42563" w:rsidRDefault="006315E0" w:rsidP="00F42563">
      <w:pPr>
        <w:pStyle w:val="Bullet"/>
      </w:pPr>
      <w:r w:rsidRPr="00F42563">
        <w:t xml:space="preserve">your telephone </w:t>
      </w:r>
      <w:proofErr w:type="gramStart"/>
      <w:r w:rsidRPr="00F42563">
        <w:t>number</w:t>
      </w:r>
      <w:proofErr w:type="gramEnd"/>
    </w:p>
    <w:p w14:paraId="61A995AA" w14:textId="4C18DBA4" w:rsidR="006315E0" w:rsidRPr="00F42563" w:rsidRDefault="006315E0" w:rsidP="00F42563">
      <w:pPr>
        <w:pStyle w:val="Bullet"/>
      </w:pPr>
      <w:r w:rsidRPr="00F42563">
        <w:t>your email address</w:t>
      </w:r>
      <w:r w:rsidR="00F42563">
        <w:t>.</w:t>
      </w:r>
    </w:p>
    <w:p w14:paraId="41DF87EE" w14:textId="77777777" w:rsidR="006315E0" w:rsidRPr="005B7AD0" w:rsidRDefault="006315E0" w:rsidP="006315E0">
      <w:pPr>
        <w:pStyle w:val="BodyText"/>
        <w:keepNext/>
        <w:spacing w:before="240"/>
        <w:rPr>
          <w:rFonts w:eastAsia="Calibri" w:cs="Calibri"/>
          <w:color w:val="000000" w:themeColor="text1"/>
        </w:rPr>
      </w:pPr>
      <w:r w:rsidRPr="005B7AD0">
        <w:rPr>
          <w:rFonts w:eastAsia="Calibri" w:cs="Calibri"/>
          <w:color w:val="000000" w:themeColor="text1"/>
        </w:rPr>
        <w:t xml:space="preserve">If you are emailing your submission, send it to </w:t>
      </w:r>
      <w:hyperlink r:id="rId26" w:history="1">
        <w:r w:rsidRPr="00BC74FE">
          <w:rPr>
            <w:rStyle w:val="Hyperlink"/>
            <w:rFonts w:eastAsia="Calibri" w:cs="Calibri"/>
          </w:rPr>
          <w:t>etsconsultation@mfe.govt.nz</w:t>
        </w:r>
      </w:hyperlink>
      <w:r w:rsidRPr="005B7AD0">
        <w:rPr>
          <w:rFonts w:eastAsia="Calibri" w:cs="Calibri"/>
          <w:color w:val="000000" w:themeColor="text1"/>
        </w:rPr>
        <w:t xml:space="preserve"> as a:</w:t>
      </w:r>
    </w:p>
    <w:p w14:paraId="376E81E3" w14:textId="77777777" w:rsidR="006315E0" w:rsidRPr="00F42563" w:rsidRDefault="006315E0" w:rsidP="00F42563">
      <w:pPr>
        <w:pStyle w:val="Bullet"/>
      </w:pPr>
      <w:r w:rsidRPr="00F42563">
        <w:t>PDF</w:t>
      </w:r>
    </w:p>
    <w:p w14:paraId="2579C5CC" w14:textId="4763E05A" w:rsidR="006315E0" w:rsidRPr="00F42563" w:rsidRDefault="006315E0" w:rsidP="00F42563">
      <w:pPr>
        <w:pStyle w:val="Bullet"/>
      </w:pPr>
      <w:r w:rsidRPr="00F42563">
        <w:t>Microsoft Word document (2003 or later version)</w:t>
      </w:r>
      <w:r w:rsidR="00F42563">
        <w:t>.</w:t>
      </w:r>
    </w:p>
    <w:p w14:paraId="4BA5DEE7" w14:textId="5350117B" w:rsidR="006315E0" w:rsidRPr="005B7AD0" w:rsidRDefault="006315E0" w:rsidP="006315E0">
      <w:pPr>
        <w:pStyle w:val="BodyText"/>
        <w:spacing w:before="240" w:after="240"/>
        <w:rPr>
          <w:rFonts w:eastAsia="Calibri" w:cs="Calibri"/>
          <w:color w:val="000000" w:themeColor="text1"/>
        </w:rPr>
      </w:pPr>
      <w:r w:rsidRPr="005B7AD0">
        <w:rPr>
          <w:rFonts w:eastAsia="Calibri" w:cs="Calibri"/>
          <w:b/>
          <w:bCs/>
          <w:color w:val="000000" w:themeColor="text1"/>
        </w:rPr>
        <w:t xml:space="preserve">Submissions close </w:t>
      </w:r>
      <w:r w:rsidR="006B024F">
        <w:rPr>
          <w:rFonts w:eastAsia="Calibri" w:cs="Calibri"/>
          <w:b/>
          <w:bCs/>
          <w:color w:val="000000" w:themeColor="text1"/>
        </w:rPr>
        <w:t xml:space="preserve">at 5:00 pm </w:t>
      </w:r>
      <w:r w:rsidRPr="005B7AD0">
        <w:rPr>
          <w:rFonts w:eastAsia="Calibri" w:cs="Calibri"/>
          <w:b/>
          <w:bCs/>
          <w:color w:val="000000" w:themeColor="text1"/>
        </w:rPr>
        <w:t xml:space="preserve">on </w:t>
      </w:r>
      <w:r w:rsidR="006B024F">
        <w:rPr>
          <w:rFonts w:eastAsia="Calibri" w:cs="Calibri"/>
          <w:b/>
          <w:color w:val="000000" w:themeColor="text1"/>
        </w:rPr>
        <w:t>14 June</w:t>
      </w:r>
      <w:r w:rsidRPr="005B7AD0">
        <w:rPr>
          <w:rFonts w:eastAsia="Calibri" w:cs="Calibri"/>
          <w:b/>
          <w:bCs/>
          <w:color w:val="000000" w:themeColor="text1"/>
        </w:rPr>
        <w:t xml:space="preserve"> 202</w:t>
      </w:r>
      <w:r>
        <w:rPr>
          <w:rFonts w:eastAsia="Calibri" w:cs="Calibri"/>
          <w:b/>
          <w:bCs/>
          <w:color w:val="000000" w:themeColor="text1"/>
        </w:rPr>
        <w:t>4</w:t>
      </w:r>
      <w:r w:rsidRPr="005B7AD0">
        <w:rPr>
          <w:rFonts w:eastAsia="Calibri" w:cs="Calibri"/>
          <w:b/>
          <w:bCs/>
          <w:color w:val="000000" w:themeColor="text1"/>
        </w:rPr>
        <w:t>.</w:t>
      </w:r>
    </w:p>
    <w:p w14:paraId="35651BCF" w14:textId="77777777" w:rsidR="006315E0" w:rsidRDefault="006315E0" w:rsidP="00CA3497">
      <w:pPr>
        <w:pStyle w:val="Heading2"/>
      </w:pPr>
      <w:bookmarkStart w:id="135" w:name="_Toc160029014"/>
      <w:bookmarkStart w:id="136" w:name="_Toc163048606"/>
      <w:bookmarkStart w:id="137" w:name="_Toc166162168"/>
      <w:r>
        <w:t>For more information</w:t>
      </w:r>
      <w:bookmarkEnd w:id="135"/>
      <w:bookmarkEnd w:id="136"/>
      <w:bookmarkEnd w:id="137"/>
    </w:p>
    <w:p w14:paraId="02E8B084" w14:textId="77777777"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t>Please direct any queries to:</w:t>
      </w:r>
    </w:p>
    <w:p w14:paraId="33C8630A" w14:textId="77777777" w:rsidR="006315E0" w:rsidRPr="005B7AD0" w:rsidRDefault="006315E0" w:rsidP="006315E0">
      <w:pPr>
        <w:pStyle w:val="BodyText"/>
        <w:tabs>
          <w:tab w:val="left" w:pos="851"/>
        </w:tabs>
        <w:spacing w:before="0" w:after="0"/>
        <w:rPr>
          <w:rFonts w:eastAsia="Calibri" w:cs="Calibri"/>
          <w:color w:val="000000" w:themeColor="text1"/>
        </w:rPr>
      </w:pPr>
      <w:r w:rsidRPr="005B7AD0">
        <w:rPr>
          <w:rFonts w:eastAsia="Calibri" w:cs="Calibri"/>
          <w:color w:val="000000" w:themeColor="text1"/>
        </w:rPr>
        <w:t xml:space="preserve">Email: </w:t>
      </w:r>
      <w:r w:rsidRPr="005B7AD0">
        <w:tab/>
      </w:r>
      <w:hyperlink r:id="rId27" w:history="1">
        <w:r w:rsidRPr="00BC74FE">
          <w:rPr>
            <w:rStyle w:val="Hyperlink"/>
            <w:rFonts w:eastAsia="Calibri" w:cs="Calibri"/>
          </w:rPr>
          <w:t>etsconsultation@mfe.govt.nz</w:t>
        </w:r>
      </w:hyperlink>
    </w:p>
    <w:p w14:paraId="298C3B1F" w14:textId="16491306" w:rsidR="006315E0" w:rsidRPr="005B7AD0" w:rsidRDefault="006315E0" w:rsidP="004E0807">
      <w:pPr>
        <w:pStyle w:val="BodyText"/>
        <w:spacing w:after="240"/>
        <w:ind w:left="851" w:hanging="851"/>
        <w:rPr>
          <w:rFonts w:eastAsia="Calibri" w:cs="Calibri"/>
          <w:color w:val="000000" w:themeColor="text1"/>
        </w:rPr>
      </w:pPr>
      <w:r w:rsidRPr="005B7AD0">
        <w:rPr>
          <w:rFonts w:eastAsia="Calibri" w:cs="Calibri"/>
          <w:color w:val="000000" w:themeColor="text1"/>
        </w:rPr>
        <w:t xml:space="preserve">Postal: </w:t>
      </w:r>
      <w:r w:rsidRPr="005B7AD0">
        <w:tab/>
      </w:r>
      <w:r>
        <w:t xml:space="preserve">NZ </w:t>
      </w:r>
      <w:r w:rsidRPr="005B7AD0">
        <w:rPr>
          <w:rFonts w:eastAsia="Calibri" w:cs="Calibri"/>
          <w:color w:val="000000" w:themeColor="text1"/>
        </w:rPr>
        <w:t xml:space="preserve">ETS </w:t>
      </w:r>
      <w:r w:rsidR="00E935C6">
        <w:rPr>
          <w:rFonts w:eastAsia="Calibri" w:cs="Calibri"/>
          <w:color w:val="000000" w:themeColor="text1"/>
        </w:rPr>
        <w:t>annual settings</w:t>
      </w:r>
      <w:r w:rsidDel="00E935C6">
        <w:rPr>
          <w:rFonts w:eastAsia="Calibri" w:cs="Calibri"/>
          <w:color w:val="000000" w:themeColor="text1"/>
        </w:rPr>
        <w:t xml:space="preserve"> </w:t>
      </w:r>
      <w:r w:rsidR="00E42A1A">
        <w:rPr>
          <w:rFonts w:eastAsia="Calibri" w:cs="Calibri"/>
          <w:color w:val="000000" w:themeColor="text1"/>
        </w:rPr>
        <w:t>u</w:t>
      </w:r>
      <w:r w:rsidRPr="005B7AD0">
        <w:rPr>
          <w:rFonts w:eastAsia="Calibri" w:cs="Calibri"/>
          <w:color w:val="000000" w:themeColor="text1"/>
        </w:rPr>
        <w:t xml:space="preserve">pdates, Ministry for the Environment, </w:t>
      </w:r>
      <w:r w:rsidRPr="005B7AD0">
        <w:rPr>
          <w:rFonts w:eastAsia="Calibri" w:cs="Calibri"/>
          <w:color w:val="000000" w:themeColor="text1"/>
        </w:rPr>
        <w:br/>
        <w:t>PO Box 10362, Wellington 6143</w:t>
      </w:r>
    </w:p>
    <w:p w14:paraId="03C4DF7E" w14:textId="6AB990F2" w:rsidR="006315E0" w:rsidRDefault="006315E0" w:rsidP="00CA3497">
      <w:pPr>
        <w:pStyle w:val="Heading2"/>
      </w:pPr>
      <w:bookmarkStart w:id="138" w:name="_Toc160029015"/>
      <w:bookmarkStart w:id="139" w:name="_Toc163048607"/>
      <w:bookmarkStart w:id="140" w:name="_Toc166162169"/>
      <w:r>
        <w:t xml:space="preserve">Publishing and releasing </w:t>
      </w:r>
      <w:proofErr w:type="gramStart"/>
      <w:r>
        <w:t>submissions</w:t>
      </w:r>
      <w:bookmarkEnd w:id="138"/>
      <w:bookmarkEnd w:id="139"/>
      <w:bookmarkEnd w:id="140"/>
      <w:proofErr w:type="gramEnd"/>
    </w:p>
    <w:p w14:paraId="32BEA656" w14:textId="77777777"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t xml:space="preserve">All or part of any written comments (including names of submitters), may be published on the Ministry for the Environment’s website, </w:t>
      </w:r>
      <w:hyperlink r:id="rId28" w:history="1">
        <w:r w:rsidRPr="005B7AD0">
          <w:rPr>
            <w:rStyle w:val="Hyperlink"/>
            <w:rFonts w:eastAsia="Calibri" w:cs="Calibri"/>
          </w:rPr>
          <w:t>environment.govt.nz</w:t>
        </w:r>
      </w:hyperlink>
      <w:r w:rsidRPr="005B7AD0">
        <w:rPr>
          <w:rFonts w:eastAsia="Calibri" w:cs="Calibri"/>
          <w:color w:val="000000" w:themeColor="text1"/>
        </w:rPr>
        <w:t>. Unless you clearly specify otherwise in your submission, the Ministry will consider that you have consented to website posting of both your submission and your name.</w:t>
      </w:r>
    </w:p>
    <w:p w14:paraId="5700089C" w14:textId="77777777"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t xml:space="preserve">Contents of submissions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rsidRPr="005B7AD0">
        <w:rPr>
          <w:rFonts w:eastAsia="Calibri" w:cs="Calibri"/>
          <w:color w:val="000000" w:themeColor="text1"/>
        </w:rPr>
        <w:t>in particular, which</w:t>
      </w:r>
      <w:proofErr w:type="gramEnd"/>
      <w:r w:rsidRPr="005B7AD0">
        <w:rPr>
          <w:rFonts w:eastAsia="Calibri" w:cs="Calibri"/>
          <w:color w:val="000000" w:themeColor="text1"/>
        </w:rPr>
        <w:t xml:space="preserve"> part(s) you consider should be withheld, together with the reason(s) for withholding the information. We will </w:t>
      </w:r>
      <w:proofErr w:type="gramStart"/>
      <w:r w:rsidRPr="005B7AD0">
        <w:rPr>
          <w:rFonts w:eastAsia="Calibri" w:cs="Calibri"/>
          <w:color w:val="000000" w:themeColor="text1"/>
        </w:rPr>
        <w:t>take into account</w:t>
      </w:r>
      <w:proofErr w:type="gramEnd"/>
      <w:r w:rsidRPr="005B7AD0">
        <w:rPr>
          <w:rFonts w:eastAsia="Calibri" w:cs="Calibri"/>
          <w:color w:val="000000" w:themeColor="text1"/>
        </w:rPr>
        <w:t xml:space="preserve"> all such objections when responding </w:t>
      </w:r>
      <w:r w:rsidRPr="005B7AD0">
        <w:rPr>
          <w:rFonts w:eastAsia="Calibri" w:cs="Calibri"/>
          <w:color w:val="000000" w:themeColor="text1"/>
        </w:rPr>
        <w:lastRenderedPageBreak/>
        <w:t>to requests for copies of, and information on, submissions to this document under the Official Information Act.</w:t>
      </w:r>
    </w:p>
    <w:p w14:paraId="37571A92" w14:textId="77777777" w:rsidR="006315E0" w:rsidRPr="005B7AD0" w:rsidRDefault="006315E0" w:rsidP="006315E0">
      <w:pPr>
        <w:pStyle w:val="BodyText"/>
        <w:rPr>
          <w:rFonts w:eastAsia="Calibri" w:cs="Calibri"/>
          <w:color w:val="000000" w:themeColor="text1"/>
        </w:rPr>
      </w:pPr>
      <w:r w:rsidRPr="005B7AD0">
        <w:rPr>
          <w:rFonts w:eastAsia="Calibri" w:cs="Calibri"/>
          <w:color w:val="000000" w:themeColor="text1"/>
        </w:rPr>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w:t>
      </w:r>
      <w:proofErr w:type="gramStart"/>
      <w:r w:rsidRPr="005B7AD0">
        <w:rPr>
          <w:rFonts w:eastAsia="Calibri" w:cs="Calibri"/>
          <w:color w:val="000000" w:themeColor="text1"/>
        </w:rPr>
        <w:t>in the course of</w:t>
      </w:r>
      <w:proofErr w:type="gramEnd"/>
      <w:r w:rsidRPr="005B7AD0">
        <w:rPr>
          <w:rFonts w:eastAsia="Calibri" w:cs="Calibri"/>
          <w:color w:val="000000" w:themeColor="text1"/>
        </w:rPr>
        <w:t xml:space="preserve"> making a submission will be used by the Ministry only in relation to the matters covered by this document. Please clearly indicate in your submission if you do not wish your name to be included in any summary of submissions that the Ministry may publish.</w:t>
      </w:r>
    </w:p>
    <w:p w14:paraId="76CEFD70" w14:textId="77777777" w:rsidR="00BD1526" w:rsidRPr="00BD1526" w:rsidRDefault="006315E0" w:rsidP="003F0B4C">
      <w:pPr>
        <w:pStyle w:val="BodyText"/>
        <w:rPr>
          <w:rStyle w:val="Hyperlink"/>
          <w:rFonts w:eastAsia="Calibri" w:cs="Calibri"/>
          <w:color w:val="auto"/>
        </w:rPr>
      </w:pPr>
      <w:r w:rsidRPr="005B7AD0">
        <w:rPr>
          <w:rFonts w:eastAsia="Calibri" w:cs="Calibri"/>
          <w:color w:val="000000" w:themeColor="text1"/>
        </w:rPr>
        <w:t xml:space="preserve">If you have any questions or want more information about the submission process, please email </w:t>
      </w:r>
      <w:hyperlink r:id="rId29" w:history="1">
        <w:r w:rsidRPr="00CB4357">
          <w:rPr>
            <w:rStyle w:val="Hyperlink"/>
            <w:rFonts w:eastAsia="Calibri" w:cs="Calibri"/>
          </w:rPr>
          <w:t>etsconsultation@mfe.govt.nz</w:t>
        </w:r>
      </w:hyperlink>
      <w:r w:rsidRPr="00CB4357">
        <w:rPr>
          <w:rStyle w:val="Hyperlink"/>
          <w:rFonts w:eastAsia="Calibri" w:cs="Calibri"/>
          <w:color w:val="auto"/>
        </w:rPr>
        <w:t>.</w:t>
      </w:r>
    </w:p>
    <w:p w14:paraId="434E8452" w14:textId="76675FB1" w:rsidR="006315E0" w:rsidRPr="00BD1526" w:rsidRDefault="006315E0" w:rsidP="003F0B4C">
      <w:pPr>
        <w:pStyle w:val="BodyText"/>
      </w:pPr>
      <w:r>
        <w:br w:type="page"/>
      </w:r>
    </w:p>
    <w:p w14:paraId="05746161" w14:textId="1E930CAB" w:rsidR="001D1BAF" w:rsidRDefault="0012316C" w:rsidP="0012316C">
      <w:pPr>
        <w:pStyle w:val="Heading1"/>
        <w:rPr>
          <w:rStyle w:val="Hyperlink"/>
          <w:color w:val="1B556B"/>
        </w:rPr>
      </w:pPr>
      <w:bookmarkStart w:id="141" w:name="_Toc163048608"/>
      <w:bookmarkStart w:id="142" w:name="_Toc166162170"/>
      <w:r w:rsidRPr="003711FE">
        <w:rPr>
          <w:rStyle w:val="Hyperlink"/>
          <w:color w:val="1B556B"/>
        </w:rPr>
        <w:lastRenderedPageBreak/>
        <w:t xml:space="preserve">Appendix </w:t>
      </w:r>
      <w:r w:rsidR="025ABBDB" w:rsidRPr="003711FE">
        <w:rPr>
          <w:rStyle w:val="Hyperlink"/>
          <w:color w:val="1B556B"/>
        </w:rPr>
        <w:t>1</w:t>
      </w:r>
      <w:r w:rsidR="1CC738AD" w:rsidRPr="003711FE">
        <w:rPr>
          <w:rStyle w:val="Hyperlink"/>
          <w:color w:val="1B556B"/>
        </w:rPr>
        <w:t xml:space="preserve">: </w:t>
      </w:r>
      <w:r w:rsidR="666D16B4" w:rsidRPr="003711FE">
        <w:rPr>
          <w:rStyle w:val="Hyperlink"/>
          <w:color w:val="1B556B"/>
        </w:rPr>
        <w:t>A</w:t>
      </w:r>
      <w:r w:rsidR="1BDF16AE" w:rsidRPr="003711FE">
        <w:rPr>
          <w:rStyle w:val="Hyperlink"/>
          <w:color w:val="1B556B"/>
        </w:rPr>
        <w:t xml:space="preserve">lignment </w:t>
      </w:r>
      <w:r w:rsidR="47E8A0CF" w:rsidRPr="003711FE">
        <w:rPr>
          <w:rStyle w:val="Hyperlink"/>
          <w:color w:val="1B556B"/>
        </w:rPr>
        <w:t>of criteria</w:t>
      </w:r>
      <w:r w:rsidR="00E47983" w:rsidRPr="003711FE">
        <w:rPr>
          <w:rStyle w:val="Hyperlink"/>
          <w:color w:val="1B556B"/>
        </w:rPr>
        <w:t xml:space="preserve"> with mandatory consideration for updating settings</w:t>
      </w:r>
      <w:bookmarkEnd w:id="141"/>
      <w:bookmarkEnd w:id="142"/>
    </w:p>
    <w:p w14:paraId="1F57B613" w14:textId="1F38F30E" w:rsidR="003E218E" w:rsidRPr="0003023E" w:rsidRDefault="003E218E" w:rsidP="003711FE">
      <w:pPr>
        <w:pStyle w:val="BodyText"/>
      </w:pPr>
      <w:r w:rsidRPr="6212D3E6">
        <w:rPr>
          <w:rStyle w:val="normaltextrun"/>
          <w:rFonts w:asciiTheme="minorHAnsi" w:hAnsiTheme="minorHAnsi"/>
        </w:rPr>
        <w:t xml:space="preserve">The </w:t>
      </w:r>
      <w:r w:rsidR="361ADECD" w:rsidRPr="6212D3E6">
        <w:rPr>
          <w:rStyle w:val="normaltextrun"/>
          <w:rFonts w:asciiTheme="minorHAnsi" w:hAnsiTheme="minorHAnsi"/>
        </w:rPr>
        <w:t xml:space="preserve">Climate Change Response </w:t>
      </w:r>
      <w:r w:rsidR="382B0F2C" w:rsidRPr="6212D3E6">
        <w:rPr>
          <w:rStyle w:val="normaltextrun"/>
          <w:rFonts w:asciiTheme="minorHAnsi" w:hAnsiTheme="minorHAnsi"/>
        </w:rPr>
        <w:t>Act</w:t>
      </w:r>
      <w:r w:rsidR="17D7F6D9" w:rsidRPr="6212D3E6">
        <w:rPr>
          <w:rStyle w:val="normaltextrun"/>
          <w:rFonts w:asciiTheme="minorHAnsi" w:hAnsiTheme="minorHAnsi"/>
        </w:rPr>
        <w:t xml:space="preserve"> </w:t>
      </w:r>
      <w:r w:rsidR="1C0AEF74" w:rsidRPr="6212D3E6">
        <w:rPr>
          <w:rStyle w:val="normaltextrun"/>
          <w:rFonts w:asciiTheme="minorHAnsi" w:hAnsiTheme="minorHAnsi"/>
        </w:rPr>
        <w:t>2002</w:t>
      </w:r>
      <w:r w:rsidRPr="6212D3E6">
        <w:rPr>
          <w:rStyle w:val="normaltextrun"/>
          <w:rFonts w:asciiTheme="minorHAnsi" w:hAnsiTheme="minorHAnsi"/>
        </w:rPr>
        <w:t xml:space="preserve"> prescribes mandatory factors the Minister of Climate Change must consider when determining settings. These relevant factors can also justify settings that do not strictly accord with these emissions targets.</w:t>
      </w:r>
    </w:p>
    <w:p w14:paraId="02F0CA87" w14:textId="09C8BAE7" w:rsidR="003E218E" w:rsidRDefault="003E218E" w:rsidP="003711FE">
      <w:pPr>
        <w:pStyle w:val="BodyText"/>
      </w:pPr>
      <w:r w:rsidRPr="6212D3E6">
        <w:rPr>
          <w:rStyle w:val="normaltextrun"/>
          <w:rFonts w:asciiTheme="minorHAnsi" w:hAnsiTheme="minorHAnsi"/>
        </w:rPr>
        <w:t xml:space="preserve">These mandatory considerations are outlined in table </w:t>
      </w:r>
      <w:r w:rsidR="006D7075">
        <w:rPr>
          <w:rStyle w:val="normaltextrun"/>
          <w:rFonts w:asciiTheme="minorHAnsi" w:hAnsiTheme="minorHAnsi"/>
        </w:rPr>
        <w:t>14</w:t>
      </w:r>
      <w:r w:rsidR="4C9C6ED0" w:rsidRPr="6212D3E6">
        <w:rPr>
          <w:rStyle w:val="normaltextrun"/>
          <w:rFonts w:asciiTheme="minorHAnsi" w:hAnsiTheme="minorHAnsi"/>
        </w:rPr>
        <w:t>, along with explanations of</w:t>
      </w:r>
      <w:r w:rsidR="17D7F6D9" w:rsidRPr="6212D3E6">
        <w:rPr>
          <w:rStyle w:val="normaltextrun"/>
          <w:rFonts w:asciiTheme="minorHAnsi" w:hAnsiTheme="minorHAnsi"/>
        </w:rPr>
        <w:t xml:space="preserve"> </w:t>
      </w:r>
      <w:r w:rsidRPr="6212D3E6">
        <w:rPr>
          <w:rStyle w:val="normaltextrun"/>
          <w:rFonts w:asciiTheme="minorHAnsi" w:hAnsiTheme="minorHAnsi"/>
        </w:rPr>
        <w:t xml:space="preserve">how </w:t>
      </w:r>
      <w:r w:rsidR="3D4EEA2E" w:rsidRPr="6212D3E6">
        <w:rPr>
          <w:rStyle w:val="normaltextrun"/>
          <w:rFonts w:asciiTheme="minorHAnsi" w:hAnsiTheme="minorHAnsi"/>
        </w:rPr>
        <w:t>we</w:t>
      </w:r>
      <w:r w:rsidRPr="6212D3E6">
        <w:rPr>
          <w:rStyle w:val="normaltextrun"/>
          <w:rFonts w:asciiTheme="minorHAnsi" w:hAnsiTheme="minorHAnsi"/>
        </w:rPr>
        <w:t xml:space="preserve"> have considered </w:t>
      </w:r>
      <w:r w:rsidR="17D7F6D9" w:rsidRPr="6212D3E6">
        <w:rPr>
          <w:rStyle w:val="normaltextrun"/>
          <w:rFonts w:asciiTheme="minorHAnsi" w:hAnsiTheme="minorHAnsi"/>
        </w:rPr>
        <w:t>the</w:t>
      </w:r>
      <w:r w:rsidR="0A5296EA" w:rsidRPr="6212D3E6">
        <w:rPr>
          <w:rStyle w:val="normaltextrun"/>
          <w:rFonts w:asciiTheme="minorHAnsi" w:hAnsiTheme="minorHAnsi"/>
        </w:rPr>
        <w:t xml:space="preserve"> relevant</w:t>
      </w:r>
      <w:r w:rsidR="17D7F6D9" w:rsidRPr="6212D3E6">
        <w:rPr>
          <w:rStyle w:val="normaltextrun"/>
          <w:rFonts w:asciiTheme="minorHAnsi" w:hAnsiTheme="minorHAnsi"/>
        </w:rPr>
        <w:t xml:space="preserve"> factors</w:t>
      </w:r>
      <w:r w:rsidR="374E8692" w:rsidRPr="6212D3E6">
        <w:rPr>
          <w:rStyle w:val="normaltextrun"/>
          <w:rFonts w:asciiTheme="minorHAnsi" w:hAnsiTheme="minorHAnsi"/>
        </w:rPr>
        <w:t xml:space="preserve"> in</w:t>
      </w:r>
      <w:r w:rsidR="17D7F6D9" w:rsidRPr="6212D3E6">
        <w:rPr>
          <w:rStyle w:val="normaltextrun"/>
          <w:rFonts w:asciiTheme="minorHAnsi" w:hAnsiTheme="minorHAnsi"/>
        </w:rPr>
        <w:t xml:space="preserve"> </w:t>
      </w:r>
      <w:r w:rsidRPr="6212D3E6">
        <w:rPr>
          <w:rStyle w:val="normaltextrun"/>
          <w:rFonts w:asciiTheme="minorHAnsi" w:hAnsiTheme="minorHAnsi"/>
        </w:rPr>
        <w:t xml:space="preserve">our analysis. Some of </w:t>
      </w:r>
      <w:r w:rsidR="17D7F6D9" w:rsidRPr="6212D3E6">
        <w:rPr>
          <w:rStyle w:val="normaltextrun"/>
          <w:rFonts w:asciiTheme="minorHAnsi" w:hAnsiTheme="minorHAnsi"/>
        </w:rPr>
        <w:t>the</w:t>
      </w:r>
      <w:r w:rsidR="656E01A8" w:rsidRPr="6212D3E6">
        <w:rPr>
          <w:rStyle w:val="normaltextrun"/>
          <w:rFonts w:asciiTheme="minorHAnsi" w:hAnsiTheme="minorHAnsi"/>
        </w:rPr>
        <w:t>se</w:t>
      </w:r>
      <w:r w:rsidRPr="6212D3E6">
        <w:rPr>
          <w:rStyle w:val="normaltextrun"/>
          <w:rFonts w:asciiTheme="minorHAnsi" w:hAnsiTheme="minorHAnsi"/>
        </w:rPr>
        <w:t xml:space="preserve"> factors have been used to derive criteria to</w:t>
      </w:r>
      <w:r w:rsidRPr="6212D3E6">
        <w:t xml:space="preserve"> evaluate how these options compare with the status quo</w:t>
      </w:r>
      <w:r w:rsidR="10907938" w:rsidRPr="6212D3E6">
        <w:t>, as</w:t>
      </w:r>
      <w:r w:rsidRPr="6212D3E6">
        <w:t xml:space="preserve"> provided </w:t>
      </w:r>
      <w:r w:rsidR="10907938" w:rsidRPr="6212D3E6">
        <w:t>in table</w:t>
      </w:r>
      <w:r w:rsidR="00C06C68">
        <w:t> </w:t>
      </w:r>
      <w:r w:rsidR="10907938" w:rsidRPr="6212D3E6">
        <w:t>1</w:t>
      </w:r>
      <w:r w:rsidR="00A60787" w:rsidRPr="6212D3E6">
        <w:t>.</w:t>
      </w:r>
    </w:p>
    <w:p w14:paraId="7CAE09FE" w14:textId="69963D28" w:rsidR="00992166" w:rsidRDefault="00960D9D" w:rsidP="00960D9D">
      <w:pPr>
        <w:pStyle w:val="Tableheading"/>
      </w:pPr>
      <w:bookmarkStart w:id="143" w:name="_Toc167714884"/>
      <w:r w:rsidRPr="00295B62">
        <w:t>Table 1</w:t>
      </w:r>
      <w:r>
        <w:t>5</w:t>
      </w:r>
      <w:r w:rsidRPr="00295B62">
        <w:t>:</w:t>
      </w:r>
      <w:r w:rsidR="00DB2436">
        <w:t xml:space="preserve"> </w:t>
      </w:r>
      <w:r w:rsidR="00C31713">
        <w:tab/>
      </w:r>
      <w:r w:rsidRPr="003711FE">
        <w:t xml:space="preserve">Considerations for determining unit limits and price control </w:t>
      </w:r>
      <w:proofErr w:type="gramStart"/>
      <w:r w:rsidRPr="003711FE">
        <w:t>settings</w:t>
      </w:r>
      <w:bookmarkEnd w:id="143"/>
      <w:proofErr w:type="gramEnd"/>
    </w:p>
    <w:tbl>
      <w:tblPr>
        <w:tblStyle w:val="LightList-Accent11"/>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tblBorders>
        <w:tblLook w:val="04A0" w:firstRow="1" w:lastRow="0" w:firstColumn="1" w:lastColumn="0" w:noHBand="0" w:noVBand="1"/>
      </w:tblPr>
      <w:tblGrid>
        <w:gridCol w:w="4252"/>
        <w:gridCol w:w="4253"/>
      </w:tblGrid>
      <w:tr w:rsidR="00992166" w:rsidRPr="00992166" w14:paraId="6747FF55" w14:textId="77777777" w:rsidTr="00BD4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single" w:sz="4" w:space="0" w:color="1B556B" w:themeColor="text2"/>
              <w:bottom w:val="single" w:sz="8" w:space="0" w:color="1C556C"/>
              <w:right w:val="single" w:sz="4" w:space="0" w:color="1B556B" w:themeColor="text2"/>
            </w:tcBorders>
            <w:shd w:val="clear" w:color="auto" w:fill="1B556B" w:themeFill="text2"/>
            <w:vAlign w:val="center"/>
          </w:tcPr>
          <w:p w14:paraId="3C3D2E66" w14:textId="3EFB0ACD" w:rsidR="00992166" w:rsidRPr="00992166" w:rsidRDefault="00992166">
            <w:pPr>
              <w:pStyle w:val="TableText"/>
              <w:rPr>
                <w:rFonts w:asciiTheme="minorHAnsi" w:hAnsiTheme="minorHAnsi"/>
                <w:sz w:val="20"/>
                <w:szCs w:val="20"/>
              </w:rPr>
            </w:pPr>
            <w:r w:rsidRPr="00142D0B">
              <w:rPr>
                <w:rFonts w:asciiTheme="minorHAnsi" w:hAnsiTheme="minorHAnsi"/>
                <w:sz w:val="20"/>
                <w:szCs w:val="20"/>
              </w:rPr>
              <w:t>Relevant matters in section 30GC of the Climate Change Response Act 2002</w:t>
            </w:r>
          </w:p>
        </w:tc>
        <w:tc>
          <w:tcPr>
            <w:tcW w:w="4253" w:type="dxa"/>
            <w:tcBorders>
              <w:left w:val="single" w:sz="4" w:space="0" w:color="1B556B" w:themeColor="text2"/>
              <w:bottom w:val="single" w:sz="8" w:space="0" w:color="1C556C"/>
              <w:right w:val="single" w:sz="4" w:space="0" w:color="1B556B" w:themeColor="text2"/>
            </w:tcBorders>
            <w:shd w:val="clear" w:color="auto" w:fill="1B556B" w:themeFill="text2"/>
          </w:tcPr>
          <w:p w14:paraId="1229C3C4" w14:textId="12B0D562" w:rsidR="00992166" w:rsidRPr="00992166" w:rsidRDefault="00992166">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92166">
              <w:rPr>
                <w:rFonts w:asciiTheme="minorHAnsi" w:hAnsiTheme="minorHAnsi"/>
                <w:sz w:val="20"/>
                <w:szCs w:val="20"/>
              </w:rPr>
              <w:t>Criteria that reflect this matter</w:t>
            </w:r>
          </w:p>
        </w:tc>
      </w:tr>
      <w:tr w:rsidR="00992166" w:rsidRPr="00ED1C7E" w14:paraId="08409B0E" w14:textId="77777777" w:rsidTr="00BD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vAlign w:val="center"/>
          </w:tcPr>
          <w:p w14:paraId="03EEB40A" w14:textId="77777777" w:rsidR="00BD4ED0" w:rsidRPr="00BD4ED0" w:rsidRDefault="00BD4ED0" w:rsidP="00BD4ED0">
            <w:pPr>
              <w:pStyle w:val="TableText"/>
              <w:rPr>
                <w:b w:val="0"/>
                <w:bCs w:val="0"/>
                <w:sz w:val="20"/>
                <w:szCs w:val="20"/>
              </w:rPr>
            </w:pPr>
            <w:r w:rsidRPr="00BD4ED0">
              <w:rPr>
                <w:b w:val="0"/>
                <w:bCs w:val="0"/>
                <w:sz w:val="20"/>
                <w:szCs w:val="20"/>
              </w:rPr>
              <w:t>The Minister must be satisfied that the limits and price control settings are in accordance with:</w:t>
            </w:r>
          </w:p>
          <w:p w14:paraId="777D90F6" w14:textId="77777777" w:rsidR="00BD4ED0" w:rsidRPr="00BD4ED0" w:rsidRDefault="00BD4ED0" w:rsidP="00BD4ED0">
            <w:pPr>
              <w:pStyle w:val="TableText"/>
              <w:ind w:left="326"/>
              <w:rPr>
                <w:b w:val="0"/>
                <w:bCs w:val="0"/>
                <w:sz w:val="20"/>
                <w:szCs w:val="20"/>
              </w:rPr>
            </w:pPr>
            <w:r w:rsidRPr="00BD4ED0">
              <w:rPr>
                <w:b w:val="0"/>
                <w:bCs w:val="0"/>
                <w:sz w:val="20"/>
                <w:szCs w:val="20"/>
              </w:rPr>
              <w:t xml:space="preserve">(a) the emissions budget and the nationally determined contribution </w:t>
            </w:r>
          </w:p>
          <w:p w14:paraId="04B5469A" w14:textId="0C3DABC8" w:rsidR="00992166" w:rsidRPr="00BD4ED0" w:rsidRDefault="00BD4ED0" w:rsidP="00BD4ED0">
            <w:pPr>
              <w:pStyle w:val="TableText"/>
              <w:ind w:left="326"/>
              <w:rPr>
                <w:sz w:val="20"/>
                <w:szCs w:val="20"/>
              </w:rPr>
            </w:pPr>
            <w:r w:rsidRPr="00BD4ED0">
              <w:rPr>
                <w:b w:val="0"/>
                <w:bCs w:val="0"/>
                <w:sz w:val="20"/>
                <w:szCs w:val="20"/>
              </w:rPr>
              <w:t>(b) the 2050 target</w:t>
            </w:r>
            <w:r w:rsidR="002C037D">
              <w:rPr>
                <w:b w:val="0"/>
                <w:bCs w:val="0"/>
                <w:sz w:val="20"/>
                <w:szCs w:val="20"/>
              </w:rPr>
              <w:t>.</w:t>
            </w:r>
          </w:p>
        </w:tc>
        <w:tc>
          <w:tcPr>
            <w:tcW w:w="4253" w:type="dxa"/>
            <w:tcBorders>
              <w:left w:val="single" w:sz="8" w:space="0" w:color="1C556C"/>
              <w:right w:val="nil"/>
            </w:tcBorders>
          </w:tcPr>
          <w:p w14:paraId="39623965" w14:textId="49D17E43" w:rsidR="00992166" w:rsidRPr="00ED1C7E" w:rsidRDefault="00BD4ED0">
            <w:pPr>
              <w:pStyle w:val="TableText"/>
              <w:cnfStyle w:val="000000100000" w:firstRow="0" w:lastRow="0" w:firstColumn="0" w:lastColumn="0" w:oddVBand="0" w:evenVBand="0" w:oddHBand="1" w:evenHBand="0" w:firstRowFirstColumn="0" w:firstRowLastColumn="0" w:lastRowFirstColumn="0" w:lastRowLastColumn="0"/>
            </w:pPr>
            <w:r w:rsidRPr="00142D0B">
              <w:rPr>
                <w:rFonts w:asciiTheme="minorHAnsi" w:hAnsiTheme="minorHAnsi"/>
                <w:sz w:val="20"/>
                <w:szCs w:val="20"/>
              </w:rPr>
              <w:t xml:space="preserve">The criterion </w:t>
            </w:r>
            <w:r w:rsidR="002C037D">
              <w:rPr>
                <w:rFonts w:asciiTheme="minorHAnsi" w:hAnsiTheme="minorHAnsi"/>
                <w:sz w:val="20"/>
                <w:szCs w:val="20"/>
              </w:rPr>
              <w:t>‘</w:t>
            </w:r>
            <w:r w:rsidRPr="002C037D">
              <w:rPr>
                <w:rFonts w:asciiTheme="minorHAnsi" w:hAnsiTheme="minorHAnsi"/>
                <w:i/>
                <w:sz w:val="20"/>
                <w:szCs w:val="20"/>
              </w:rPr>
              <w:t>l</w:t>
            </w:r>
            <w:r w:rsidRPr="00142D0B">
              <w:rPr>
                <w:rFonts w:asciiTheme="minorHAnsi" w:hAnsiTheme="minorHAnsi"/>
                <w:i/>
                <w:iCs/>
                <w:sz w:val="20"/>
                <w:szCs w:val="20"/>
              </w:rPr>
              <w:t xml:space="preserve">ikelihood </w:t>
            </w:r>
            <w:r w:rsidRPr="00142D0B">
              <w:rPr>
                <w:rFonts w:asciiTheme="minorHAnsi" w:hAnsiTheme="minorHAnsi"/>
                <w:i/>
                <w:sz w:val="20"/>
                <w:szCs w:val="20"/>
              </w:rPr>
              <w:t xml:space="preserve">of </w:t>
            </w:r>
            <w:r w:rsidRPr="00142D0B">
              <w:rPr>
                <w:rFonts w:asciiTheme="minorHAnsi" w:hAnsiTheme="minorHAnsi"/>
                <w:i/>
                <w:iCs/>
                <w:sz w:val="20"/>
                <w:szCs w:val="20"/>
              </w:rPr>
              <w:t>incentivising (net)</w:t>
            </w:r>
            <w:r w:rsidRPr="00142D0B">
              <w:rPr>
                <w:rFonts w:asciiTheme="minorHAnsi" w:hAnsiTheme="minorHAnsi"/>
                <w:i/>
                <w:sz w:val="20"/>
                <w:szCs w:val="20"/>
              </w:rPr>
              <w:t xml:space="preserve"> emissions </w:t>
            </w:r>
            <w:r w:rsidRPr="00142D0B">
              <w:rPr>
                <w:rFonts w:asciiTheme="minorHAnsi" w:hAnsiTheme="minorHAnsi"/>
                <w:i/>
                <w:iCs/>
                <w:sz w:val="20"/>
                <w:szCs w:val="20"/>
              </w:rPr>
              <w:t>reductions</w:t>
            </w:r>
            <w:r w:rsidR="002C037D">
              <w:rPr>
                <w:rFonts w:asciiTheme="minorHAnsi" w:hAnsiTheme="minorHAnsi"/>
                <w:i/>
                <w:iCs/>
                <w:sz w:val="20"/>
                <w:szCs w:val="20"/>
              </w:rPr>
              <w:t>’</w:t>
            </w:r>
            <w:r w:rsidRPr="00142D0B">
              <w:rPr>
                <w:rFonts w:asciiTheme="minorHAnsi" w:hAnsiTheme="minorHAnsi"/>
                <w:sz w:val="20"/>
                <w:szCs w:val="20"/>
              </w:rPr>
              <w:t xml:space="preserve"> described in table 1 is used to assess whether the option increases or decreases the likelihood that emissions budgets will be met.</w:t>
            </w:r>
            <w:r w:rsidR="002C037D">
              <w:rPr>
                <w:rFonts w:asciiTheme="minorHAnsi" w:hAnsiTheme="minorHAnsi"/>
                <w:sz w:val="20"/>
                <w:szCs w:val="20"/>
              </w:rPr>
              <w:t xml:space="preserve"> </w:t>
            </w:r>
            <w:r w:rsidRPr="00142D0B">
              <w:rPr>
                <w:rFonts w:asciiTheme="minorHAnsi" w:hAnsiTheme="minorHAnsi"/>
                <w:sz w:val="20"/>
                <w:szCs w:val="20"/>
              </w:rPr>
              <w:t xml:space="preserve">This recognises a potential range of options that might </w:t>
            </w:r>
            <w:r w:rsidR="00E935C6">
              <w:rPr>
                <w:rFonts w:asciiTheme="minorHAnsi" w:hAnsiTheme="minorHAnsi"/>
                <w:sz w:val="20"/>
                <w:szCs w:val="20"/>
              </w:rPr>
              <w:t>align</w:t>
            </w:r>
            <w:r w:rsidR="00E935C6" w:rsidRPr="00142D0B">
              <w:rPr>
                <w:rFonts w:asciiTheme="minorHAnsi" w:hAnsiTheme="minorHAnsi"/>
                <w:sz w:val="20"/>
                <w:szCs w:val="20"/>
              </w:rPr>
              <w:t xml:space="preserve"> </w:t>
            </w:r>
            <w:r w:rsidRPr="00142D0B">
              <w:rPr>
                <w:rFonts w:asciiTheme="minorHAnsi" w:hAnsiTheme="minorHAnsi"/>
                <w:sz w:val="20"/>
                <w:szCs w:val="20"/>
              </w:rPr>
              <w:t>with emissions budgets, but which have different risk levels.</w:t>
            </w:r>
          </w:p>
        </w:tc>
      </w:tr>
      <w:tr w:rsidR="00992166" w:rsidRPr="00BD4ED0" w14:paraId="15DE0FF8" w14:textId="77777777" w:rsidTr="00BD4ED0">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8" w:space="0" w:color="1C556C"/>
            </w:tcBorders>
            <w:shd w:val="clear" w:color="auto" w:fill="D2DDE1" w:themeFill="background2"/>
            <w:vAlign w:val="center"/>
          </w:tcPr>
          <w:p w14:paraId="5B242CF8" w14:textId="7814A2CE" w:rsidR="00992166" w:rsidRPr="00BD4ED0" w:rsidRDefault="00BD4ED0">
            <w:pPr>
              <w:pStyle w:val="TableText"/>
              <w:rPr>
                <w:sz w:val="20"/>
                <w:szCs w:val="20"/>
              </w:rPr>
            </w:pPr>
            <w:r w:rsidRPr="00BD4ED0">
              <w:rPr>
                <w:sz w:val="20"/>
                <w:szCs w:val="20"/>
              </w:rPr>
              <w:t>Matters the Minister must consider</w:t>
            </w:r>
          </w:p>
        </w:tc>
      </w:tr>
      <w:tr w:rsidR="00992166" w:rsidRPr="00BD4ED0" w14:paraId="76D8182B" w14:textId="77777777" w:rsidTr="00BD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vAlign w:val="center"/>
          </w:tcPr>
          <w:p w14:paraId="5D6AC2E8" w14:textId="0D09A12B" w:rsidR="00992166" w:rsidRPr="00BD4ED0" w:rsidRDefault="00BD4ED0">
            <w:pPr>
              <w:pStyle w:val="TableText"/>
              <w:rPr>
                <w:b w:val="0"/>
                <w:sz w:val="20"/>
                <w:szCs w:val="20"/>
              </w:rPr>
            </w:pPr>
            <w:r w:rsidRPr="00BD4ED0">
              <w:rPr>
                <w:b w:val="0"/>
                <w:bCs w:val="0"/>
                <w:sz w:val="20"/>
                <w:szCs w:val="20"/>
              </w:rPr>
              <w:t>Projected trends in greenhouse gas emissions, including both emissions covered by the NZ ETS and those that are not covered</w:t>
            </w:r>
            <w:r w:rsidR="00427FD1">
              <w:rPr>
                <w:b w:val="0"/>
                <w:bCs w:val="0"/>
                <w:sz w:val="20"/>
                <w:szCs w:val="20"/>
              </w:rPr>
              <w:t>.</w:t>
            </w:r>
          </w:p>
        </w:tc>
        <w:tc>
          <w:tcPr>
            <w:tcW w:w="4253" w:type="dxa"/>
            <w:tcBorders>
              <w:left w:val="single" w:sz="8" w:space="0" w:color="1C556C"/>
              <w:right w:val="nil"/>
            </w:tcBorders>
            <w:vAlign w:val="center"/>
          </w:tcPr>
          <w:p w14:paraId="63C4254E" w14:textId="3ADB7D95" w:rsidR="00992166" w:rsidRPr="00BD4ED0" w:rsidRDefault="00BD4ED0">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42D0B">
              <w:rPr>
                <w:rFonts w:asciiTheme="minorHAnsi" w:hAnsiTheme="minorHAnsi"/>
                <w:sz w:val="20"/>
                <w:szCs w:val="20"/>
              </w:rPr>
              <w:t>This is considered when determining the unit limits as an input to emissions inside and outside the NZ ETS.</w:t>
            </w:r>
          </w:p>
        </w:tc>
      </w:tr>
      <w:tr w:rsidR="00992166" w:rsidRPr="00ED1C7E" w14:paraId="2A8C9791" w14:textId="77777777" w:rsidTr="00BD4ED0">
        <w:tc>
          <w:tcPr>
            <w:cnfStyle w:val="001000000000" w:firstRow="0" w:lastRow="0" w:firstColumn="1" w:lastColumn="0" w:oddVBand="0" w:evenVBand="0" w:oddHBand="0" w:evenHBand="0" w:firstRowFirstColumn="0" w:firstRowLastColumn="0" w:lastRowFirstColumn="0" w:lastRowLastColumn="0"/>
            <w:tcW w:w="4252" w:type="dxa"/>
            <w:tcBorders>
              <w:top w:val="single" w:sz="8" w:space="0" w:color="1C556C"/>
              <w:left w:val="nil"/>
              <w:bottom w:val="single" w:sz="8" w:space="0" w:color="1C556C"/>
              <w:right w:val="single" w:sz="8" w:space="0" w:color="1C556C"/>
            </w:tcBorders>
            <w:vAlign w:val="center"/>
          </w:tcPr>
          <w:p w14:paraId="61A79EF5" w14:textId="78612759" w:rsidR="00992166" w:rsidRPr="00BD4ED0" w:rsidRDefault="00BD4ED0">
            <w:pPr>
              <w:pStyle w:val="TableText"/>
              <w:rPr>
                <w:b w:val="0"/>
                <w:sz w:val="20"/>
                <w:szCs w:val="20"/>
              </w:rPr>
            </w:pPr>
            <w:r w:rsidRPr="00BD4ED0">
              <w:rPr>
                <w:b w:val="0"/>
                <w:bCs w:val="0"/>
                <w:sz w:val="20"/>
                <w:szCs w:val="20"/>
              </w:rPr>
              <w:t>The proper functioning of the NZ ETS</w:t>
            </w:r>
            <w:r w:rsidR="00427FD1">
              <w:rPr>
                <w:b w:val="0"/>
                <w:bCs w:val="0"/>
                <w:sz w:val="20"/>
                <w:szCs w:val="20"/>
              </w:rPr>
              <w:t>.</w:t>
            </w:r>
          </w:p>
        </w:tc>
        <w:tc>
          <w:tcPr>
            <w:tcW w:w="4253" w:type="dxa"/>
            <w:tcBorders>
              <w:top w:val="single" w:sz="8" w:space="0" w:color="1C556C"/>
              <w:left w:val="single" w:sz="8" w:space="0" w:color="1C556C"/>
              <w:bottom w:val="single" w:sz="8" w:space="0" w:color="1C556C"/>
              <w:right w:val="nil"/>
            </w:tcBorders>
            <w:vAlign w:val="center"/>
          </w:tcPr>
          <w:p w14:paraId="768A1676" w14:textId="6BCFF396" w:rsidR="00992166" w:rsidRPr="00ED1C7E" w:rsidRDefault="00BD4ED0">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olor w:val="000000" w:themeColor="text1"/>
                <w:sz w:val="20"/>
                <w:szCs w:val="20"/>
              </w:rPr>
              <w:t>T</w:t>
            </w:r>
            <w:r w:rsidRPr="00142D0B">
              <w:rPr>
                <w:rFonts w:asciiTheme="minorHAnsi" w:hAnsiTheme="minorHAnsi"/>
                <w:color w:val="000000" w:themeColor="text1"/>
                <w:sz w:val="20"/>
                <w:szCs w:val="20"/>
              </w:rPr>
              <w:t>his is considered as a criterion, as described in table 1.</w:t>
            </w:r>
          </w:p>
        </w:tc>
      </w:tr>
      <w:tr w:rsidR="00BD4ED0" w:rsidRPr="00ED1C7E" w14:paraId="08226329" w14:textId="77777777" w:rsidTr="00BD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vAlign w:val="center"/>
          </w:tcPr>
          <w:p w14:paraId="77EBB3F3" w14:textId="771EAE54" w:rsidR="00BD4ED0" w:rsidRPr="00BD4ED0" w:rsidRDefault="00BD4ED0">
            <w:pPr>
              <w:pStyle w:val="TableText"/>
              <w:rPr>
                <w:b w:val="0"/>
                <w:bCs w:val="0"/>
                <w:sz w:val="20"/>
                <w:szCs w:val="20"/>
              </w:rPr>
            </w:pPr>
            <w:r w:rsidRPr="00BD4ED0">
              <w:rPr>
                <w:b w:val="0"/>
                <w:bCs w:val="0"/>
                <w:sz w:val="20"/>
                <w:szCs w:val="20"/>
              </w:rPr>
              <w:t>International climate change obligations and contracts New Zealand may have for accessing offshore mitigation from other carbon markets</w:t>
            </w:r>
            <w:r w:rsidR="00427FD1">
              <w:rPr>
                <w:b w:val="0"/>
                <w:bCs w:val="0"/>
                <w:sz w:val="20"/>
                <w:szCs w:val="20"/>
              </w:rPr>
              <w:t>.</w:t>
            </w:r>
          </w:p>
        </w:tc>
        <w:tc>
          <w:tcPr>
            <w:tcW w:w="4253" w:type="dxa"/>
            <w:tcBorders>
              <w:left w:val="single" w:sz="8" w:space="0" w:color="1C556C"/>
              <w:right w:val="nil"/>
            </w:tcBorders>
            <w:vAlign w:val="center"/>
          </w:tcPr>
          <w:p w14:paraId="286364E5" w14:textId="62DAEBEF" w:rsidR="00BD4ED0" w:rsidRDefault="00BD4ED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142D0B">
              <w:rPr>
                <w:rFonts w:asciiTheme="minorHAnsi" w:hAnsiTheme="minorHAnsi" w:cstheme="minorHAnsi"/>
                <w:color w:val="000000"/>
                <w:sz w:val="20"/>
                <w:szCs w:val="20"/>
              </w:rPr>
              <w:t>New Zealand has no current instruments or contracts with other jurisdictions to access emissions reductions in their carbon markets.</w:t>
            </w:r>
          </w:p>
        </w:tc>
      </w:tr>
      <w:tr w:rsidR="00BD4ED0" w:rsidRPr="00BD4ED0" w14:paraId="73F5E8D2" w14:textId="77777777" w:rsidTr="00BD4ED0">
        <w:tc>
          <w:tcPr>
            <w:cnfStyle w:val="001000000000" w:firstRow="0" w:lastRow="0" w:firstColumn="1" w:lastColumn="0" w:oddVBand="0" w:evenVBand="0" w:oddHBand="0" w:evenHBand="0" w:firstRowFirstColumn="0" w:firstRowLastColumn="0" w:lastRowFirstColumn="0" w:lastRowLastColumn="0"/>
            <w:tcW w:w="4252" w:type="dxa"/>
            <w:tcBorders>
              <w:top w:val="single" w:sz="8" w:space="0" w:color="1C556C"/>
              <w:left w:val="nil"/>
              <w:bottom w:val="single" w:sz="8" w:space="0" w:color="1C556C"/>
              <w:right w:val="single" w:sz="8" w:space="0" w:color="1C556C"/>
            </w:tcBorders>
            <w:vAlign w:val="center"/>
          </w:tcPr>
          <w:p w14:paraId="09EF2F08" w14:textId="73C1AD12" w:rsidR="00BD4ED0" w:rsidRPr="00BD4ED0" w:rsidRDefault="00BD4ED0">
            <w:pPr>
              <w:pStyle w:val="TableText"/>
              <w:rPr>
                <w:b w:val="0"/>
                <w:bCs w:val="0"/>
                <w:sz w:val="20"/>
                <w:szCs w:val="20"/>
              </w:rPr>
            </w:pPr>
            <w:r w:rsidRPr="00BD4ED0">
              <w:rPr>
                <w:rFonts w:asciiTheme="minorHAnsi" w:hAnsiTheme="minorHAnsi" w:cstheme="minorHAnsi"/>
                <w:b w:val="0"/>
                <w:bCs w:val="0"/>
                <w:sz w:val="20"/>
                <w:szCs w:val="20"/>
              </w:rPr>
              <w:t>The forecast availability and costs of ways to reduce greenhouse gas emissions that may be needed for New Zealand to meet its emissions reduction targets</w:t>
            </w:r>
            <w:r w:rsidR="008C6E08">
              <w:rPr>
                <w:rFonts w:asciiTheme="minorHAnsi" w:hAnsiTheme="minorHAnsi" w:cstheme="minorHAnsi"/>
                <w:b w:val="0"/>
                <w:bCs w:val="0"/>
                <w:sz w:val="20"/>
                <w:szCs w:val="20"/>
              </w:rPr>
              <w:t>.</w:t>
            </w:r>
          </w:p>
        </w:tc>
        <w:tc>
          <w:tcPr>
            <w:tcW w:w="4253" w:type="dxa"/>
            <w:tcBorders>
              <w:top w:val="single" w:sz="8" w:space="0" w:color="1C556C"/>
              <w:left w:val="single" w:sz="8" w:space="0" w:color="1C556C"/>
              <w:bottom w:val="single" w:sz="8" w:space="0" w:color="1C556C"/>
              <w:right w:val="nil"/>
            </w:tcBorders>
            <w:vAlign w:val="center"/>
          </w:tcPr>
          <w:p w14:paraId="37EC012D" w14:textId="21DBA7FF" w:rsidR="00BD4ED0" w:rsidRPr="00BD4ED0" w:rsidRDefault="00BD4ED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BD4ED0">
              <w:rPr>
                <w:rFonts w:asciiTheme="minorHAnsi" w:hAnsiTheme="minorHAnsi" w:cstheme="minorHAnsi"/>
                <w:sz w:val="20"/>
                <w:szCs w:val="20"/>
              </w:rPr>
              <w:t>This is derived from the policies and measures in the emissions reduction plan and is considered when the unit limits are calculated in step 1 and step 2.</w:t>
            </w:r>
          </w:p>
        </w:tc>
      </w:tr>
      <w:tr w:rsidR="00BD4ED0" w:rsidRPr="00BD4ED0" w14:paraId="42D35CB7" w14:textId="77777777" w:rsidTr="00BD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vAlign w:val="center"/>
          </w:tcPr>
          <w:p w14:paraId="1DC39770" w14:textId="2E3B6DA5" w:rsidR="00BD4ED0" w:rsidRPr="00BD4ED0" w:rsidRDefault="00BD4ED0">
            <w:pPr>
              <w:pStyle w:val="TableText"/>
              <w:rPr>
                <w:b w:val="0"/>
                <w:bCs w:val="0"/>
                <w:sz w:val="20"/>
                <w:szCs w:val="20"/>
              </w:rPr>
            </w:pPr>
            <w:r w:rsidRPr="00BD4ED0">
              <w:rPr>
                <w:rFonts w:asciiTheme="minorHAnsi" w:hAnsiTheme="minorHAnsi"/>
                <w:b w:val="0"/>
                <w:bCs w:val="0"/>
                <w:sz w:val="20"/>
                <w:szCs w:val="20"/>
              </w:rPr>
              <w:t>The recommendations made by the Climate Change Commission (the Commission) under section 5ZOA</w:t>
            </w:r>
            <w:r w:rsidR="008C6E08">
              <w:rPr>
                <w:rFonts w:asciiTheme="minorHAnsi" w:hAnsiTheme="minorHAnsi"/>
                <w:b w:val="0"/>
                <w:bCs w:val="0"/>
                <w:sz w:val="20"/>
                <w:szCs w:val="20"/>
              </w:rPr>
              <w:t xml:space="preserve"> </w:t>
            </w:r>
            <w:r w:rsidRPr="00BD4ED0">
              <w:rPr>
                <w:rFonts w:asciiTheme="minorHAnsi" w:hAnsiTheme="minorHAnsi"/>
                <w:b w:val="0"/>
                <w:bCs w:val="0"/>
                <w:sz w:val="20"/>
                <w:szCs w:val="20"/>
              </w:rPr>
              <w:t>of the Act</w:t>
            </w:r>
            <w:r w:rsidR="008C6E08">
              <w:rPr>
                <w:rFonts w:asciiTheme="minorHAnsi" w:hAnsiTheme="minorHAnsi"/>
                <w:b w:val="0"/>
                <w:bCs w:val="0"/>
                <w:sz w:val="20"/>
                <w:szCs w:val="20"/>
              </w:rPr>
              <w:t>.</w:t>
            </w:r>
          </w:p>
        </w:tc>
        <w:tc>
          <w:tcPr>
            <w:tcW w:w="4253" w:type="dxa"/>
            <w:tcBorders>
              <w:left w:val="single" w:sz="8" w:space="0" w:color="1C556C"/>
              <w:right w:val="nil"/>
            </w:tcBorders>
            <w:vAlign w:val="center"/>
          </w:tcPr>
          <w:p w14:paraId="73955463" w14:textId="34914B56" w:rsidR="00BD4ED0" w:rsidRPr="00BD4ED0" w:rsidRDefault="00BD4ED0">
            <w:pPr>
              <w:pStyle w:val="TableText"/>
              <w:cnfStyle w:val="000000100000" w:firstRow="0" w:lastRow="0" w:firstColumn="0" w:lastColumn="0" w:oddVBand="0" w:evenVBand="0" w:oddHBand="1" w:evenHBand="0" w:firstRowFirstColumn="0" w:firstRowLastColumn="0" w:lastRowFirstColumn="0" w:lastRowLastColumn="0"/>
            </w:pPr>
            <w:r w:rsidRPr="00BD4ED0">
              <w:rPr>
                <w:rFonts w:asciiTheme="minorHAnsi" w:hAnsiTheme="minorHAnsi"/>
                <w:sz w:val="20"/>
                <w:szCs w:val="20"/>
              </w:rPr>
              <w:t>The Commission’s recommendations are included among the options considered for all NZ</w:t>
            </w:r>
            <w:r w:rsidR="008C6E08">
              <w:rPr>
                <w:rFonts w:asciiTheme="minorHAnsi" w:hAnsiTheme="minorHAnsi"/>
                <w:sz w:val="20"/>
                <w:szCs w:val="20"/>
              </w:rPr>
              <w:t> </w:t>
            </w:r>
            <w:r w:rsidRPr="00BD4ED0">
              <w:rPr>
                <w:rFonts w:asciiTheme="minorHAnsi" w:hAnsiTheme="minorHAnsi"/>
                <w:sz w:val="20"/>
                <w:szCs w:val="20"/>
              </w:rPr>
              <w:t>ETS unit settings decisions.</w:t>
            </w:r>
          </w:p>
        </w:tc>
      </w:tr>
      <w:tr w:rsidR="00BD4ED0" w:rsidRPr="00ED1C7E" w14:paraId="56534320" w14:textId="77777777" w:rsidTr="00BD4ED0">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8" w:space="0" w:color="1C556C"/>
            </w:tcBorders>
            <w:shd w:val="clear" w:color="auto" w:fill="D2DDE1" w:themeFill="background2"/>
            <w:vAlign w:val="center"/>
          </w:tcPr>
          <w:p w14:paraId="293E4E6C" w14:textId="32FA584C" w:rsidR="00BD4ED0" w:rsidRPr="00ED1C7E" w:rsidRDefault="00BD4ED0">
            <w:pPr>
              <w:pStyle w:val="TableText"/>
            </w:pPr>
            <w:r w:rsidRPr="00142D0B">
              <w:rPr>
                <w:rFonts w:asciiTheme="minorHAnsi" w:hAnsiTheme="minorHAnsi" w:cstheme="minorHAnsi"/>
                <w:color w:val="000000"/>
                <w:sz w:val="20"/>
                <w:szCs w:val="20"/>
              </w:rPr>
              <w:t>Additional matters the Minister must consider in analysing price control settings</w:t>
            </w:r>
          </w:p>
        </w:tc>
      </w:tr>
      <w:tr w:rsidR="00BD4ED0" w:rsidRPr="00BD4ED0" w14:paraId="49ADBD27" w14:textId="77777777" w:rsidTr="00BD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tcPr>
          <w:p w14:paraId="7699A739" w14:textId="3FB3DCD0" w:rsidR="00BD4ED0" w:rsidRPr="00BD4ED0" w:rsidRDefault="00BD4ED0">
            <w:pPr>
              <w:pStyle w:val="TableText"/>
              <w:rPr>
                <w:b w:val="0"/>
                <w:bCs w:val="0"/>
              </w:rPr>
            </w:pPr>
            <w:r w:rsidRPr="00BD4ED0">
              <w:rPr>
                <w:rFonts w:asciiTheme="minorHAnsi" w:hAnsiTheme="minorHAnsi" w:cstheme="minorHAnsi"/>
                <w:b w:val="0"/>
                <w:bCs w:val="0"/>
                <w:color w:val="000000"/>
                <w:sz w:val="20"/>
                <w:szCs w:val="20"/>
              </w:rPr>
              <w:t>The impact of emissions prices on households and the economy</w:t>
            </w:r>
            <w:r w:rsidR="008C6E08">
              <w:rPr>
                <w:rFonts w:asciiTheme="minorHAnsi" w:hAnsiTheme="minorHAnsi" w:cstheme="minorHAnsi"/>
                <w:b w:val="0"/>
                <w:bCs w:val="0"/>
                <w:color w:val="000000"/>
                <w:sz w:val="20"/>
                <w:szCs w:val="20"/>
              </w:rPr>
              <w:t>.</w:t>
            </w:r>
          </w:p>
        </w:tc>
        <w:tc>
          <w:tcPr>
            <w:tcW w:w="4253" w:type="dxa"/>
            <w:tcBorders>
              <w:left w:val="single" w:sz="8" w:space="0" w:color="1C556C"/>
              <w:right w:val="nil"/>
            </w:tcBorders>
            <w:vAlign w:val="center"/>
          </w:tcPr>
          <w:p w14:paraId="7FB1238C" w14:textId="79AF55B9" w:rsidR="00BD4ED0" w:rsidRPr="00BD4ED0" w:rsidRDefault="00BD4ED0">
            <w:pPr>
              <w:pStyle w:val="TableText"/>
              <w:cnfStyle w:val="000000100000" w:firstRow="0" w:lastRow="0" w:firstColumn="0" w:lastColumn="0" w:oddVBand="0" w:evenVBand="0" w:oddHBand="1" w:evenHBand="0" w:firstRowFirstColumn="0" w:firstRowLastColumn="0" w:lastRowFirstColumn="0" w:lastRowLastColumn="0"/>
            </w:pPr>
            <w:r w:rsidRPr="00BD4ED0">
              <w:rPr>
                <w:rFonts w:asciiTheme="minorHAnsi" w:hAnsiTheme="minorHAnsi"/>
                <w:color w:val="000000" w:themeColor="text1"/>
                <w:sz w:val="20"/>
                <w:szCs w:val="20"/>
              </w:rPr>
              <w:t xml:space="preserve">This is considered within the criterion </w:t>
            </w:r>
            <w:r w:rsidR="008C6E08">
              <w:rPr>
                <w:rFonts w:asciiTheme="minorHAnsi" w:hAnsiTheme="minorHAnsi"/>
                <w:color w:val="000000" w:themeColor="text1"/>
                <w:sz w:val="20"/>
                <w:szCs w:val="20"/>
              </w:rPr>
              <w:t>‘</w:t>
            </w:r>
            <w:r w:rsidRPr="00BD4ED0">
              <w:rPr>
                <w:rFonts w:asciiTheme="minorHAnsi" w:hAnsiTheme="minorHAnsi"/>
                <w:color w:val="000000" w:themeColor="text1"/>
                <w:sz w:val="20"/>
                <w:szCs w:val="20"/>
              </w:rPr>
              <w:t>Management of overall costs to the economy</w:t>
            </w:r>
            <w:r w:rsidR="008C6E08">
              <w:rPr>
                <w:rFonts w:asciiTheme="minorHAnsi" w:hAnsiTheme="minorHAnsi"/>
                <w:color w:val="000000" w:themeColor="text1"/>
                <w:sz w:val="20"/>
                <w:szCs w:val="20"/>
              </w:rPr>
              <w:t xml:space="preserve"> </w:t>
            </w:r>
            <w:r w:rsidRPr="00BD4ED0">
              <w:rPr>
                <w:rFonts w:asciiTheme="minorHAnsi" w:hAnsiTheme="minorHAnsi"/>
                <w:color w:val="000000" w:themeColor="text1"/>
                <w:sz w:val="20"/>
                <w:szCs w:val="20"/>
              </w:rPr>
              <w:t>and households</w:t>
            </w:r>
            <w:r w:rsidR="008C6E08">
              <w:rPr>
                <w:rFonts w:asciiTheme="minorHAnsi" w:hAnsiTheme="minorHAnsi"/>
                <w:color w:val="000000" w:themeColor="text1"/>
                <w:sz w:val="20"/>
                <w:szCs w:val="20"/>
              </w:rPr>
              <w:t>’</w:t>
            </w:r>
            <w:r w:rsidRPr="00BD4ED0">
              <w:rPr>
                <w:rFonts w:asciiTheme="minorHAnsi" w:hAnsiTheme="minorHAnsi"/>
                <w:color w:val="000000" w:themeColor="text1"/>
                <w:sz w:val="20"/>
                <w:szCs w:val="20"/>
              </w:rPr>
              <w:t>, as described in table 1.</w:t>
            </w:r>
          </w:p>
        </w:tc>
      </w:tr>
      <w:tr w:rsidR="00BD4ED0" w:rsidRPr="00BD4ED0" w14:paraId="1641031C" w14:textId="77777777" w:rsidTr="00427E39">
        <w:tc>
          <w:tcPr>
            <w:cnfStyle w:val="001000000000" w:firstRow="0" w:lastRow="0" w:firstColumn="1" w:lastColumn="0" w:oddVBand="0" w:evenVBand="0" w:oddHBand="0" w:evenHBand="0" w:firstRowFirstColumn="0" w:firstRowLastColumn="0" w:lastRowFirstColumn="0" w:lastRowLastColumn="0"/>
            <w:tcW w:w="4252" w:type="dxa"/>
            <w:tcBorders>
              <w:top w:val="single" w:sz="8" w:space="0" w:color="1C556C"/>
              <w:left w:val="nil"/>
              <w:bottom w:val="single" w:sz="8" w:space="0" w:color="1C556C"/>
              <w:right w:val="single" w:sz="8" w:space="0" w:color="1C556C"/>
            </w:tcBorders>
          </w:tcPr>
          <w:p w14:paraId="14868CAC" w14:textId="2FBCA089" w:rsidR="00BD4ED0" w:rsidRPr="00BD4ED0" w:rsidRDefault="00BD4ED0">
            <w:pPr>
              <w:pStyle w:val="TableText"/>
              <w:rPr>
                <w:b w:val="0"/>
                <w:bCs w:val="0"/>
              </w:rPr>
            </w:pPr>
            <w:r w:rsidRPr="00BD4ED0">
              <w:rPr>
                <w:rFonts w:asciiTheme="minorHAnsi" w:hAnsiTheme="minorHAnsi" w:cstheme="minorHAnsi"/>
                <w:b w:val="0"/>
                <w:bCs w:val="0"/>
                <w:color w:val="000000"/>
                <w:sz w:val="20"/>
                <w:szCs w:val="20"/>
              </w:rPr>
              <w:t>The level and trajectory of international emissions prices (including price controls in linked markets)</w:t>
            </w:r>
            <w:r w:rsidR="00427E39">
              <w:rPr>
                <w:rFonts w:asciiTheme="minorHAnsi" w:hAnsiTheme="minorHAnsi" w:cstheme="minorHAnsi"/>
                <w:b w:val="0"/>
                <w:bCs w:val="0"/>
                <w:color w:val="000000"/>
                <w:sz w:val="20"/>
                <w:szCs w:val="20"/>
              </w:rPr>
              <w:t>.</w:t>
            </w:r>
          </w:p>
        </w:tc>
        <w:tc>
          <w:tcPr>
            <w:tcW w:w="4253" w:type="dxa"/>
            <w:tcBorders>
              <w:top w:val="single" w:sz="8" w:space="0" w:color="1C556C"/>
              <w:left w:val="single" w:sz="8" w:space="0" w:color="1C556C"/>
              <w:bottom w:val="single" w:sz="8" w:space="0" w:color="1C556C"/>
              <w:right w:val="nil"/>
            </w:tcBorders>
            <w:vAlign w:val="center"/>
          </w:tcPr>
          <w:p w14:paraId="08CF5D75" w14:textId="573B2B43" w:rsidR="00BD4ED0" w:rsidRPr="00BD4ED0" w:rsidRDefault="00BD4ED0">
            <w:pPr>
              <w:pStyle w:val="TableText"/>
              <w:cnfStyle w:val="000000000000" w:firstRow="0" w:lastRow="0" w:firstColumn="0" w:lastColumn="0" w:oddVBand="0" w:evenVBand="0" w:oddHBand="0" w:evenHBand="0" w:firstRowFirstColumn="0" w:firstRowLastColumn="0" w:lastRowFirstColumn="0" w:lastRowLastColumn="0"/>
            </w:pPr>
            <w:r w:rsidRPr="00BD4ED0">
              <w:rPr>
                <w:rFonts w:asciiTheme="minorHAnsi" w:hAnsiTheme="minorHAnsi"/>
                <w:color w:val="000000"/>
                <w:sz w:val="20"/>
                <w:szCs w:val="20"/>
              </w:rPr>
              <w:t xml:space="preserve">This is considered in the criterion </w:t>
            </w:r>
            <w:r w:rsidR="00427E39">
              <w:rPr>
                <w:rFonts w:asciiTheme="minorHAnsi" w:hAnsiTheme="minorHAnsi"/>
                <w:color w:val="000000"/>
                <w:sz w:val="20"/>
                <w:szCs w:val="20"/>
              </w:rPr>
              <w:t>‘</w:t>
            </w:r>
            <w:r w:rsidRPr="00BD4ED0">
              <w:rPr>
                <w:rFonts w:asciiTheme="minorHAnsi" w:hAnsiTheme="minorHAnsi"/>
                <w:kern w:val="24"/>
                <w:sz w:val="20"/>
                <w:szCs w:val="20"/>
              </w:rPr>
              <w:t>Support for consistency of NZU prices with the level and trajectory of international emissions prices</w:t>
            </w:r>
            <w:r w:rsidR="00427E39">
              <w:rPr>
                <w:rFonts w:asciiTheme="minorHAnsi" w:hAnsiTheme="minorHAnsi"/>
                <w:kern w:val="24"/>
                <w:sz w:val="20"/>
                <w:szCs w:val="20"/>
              </w:rPr>
              <w:t>’</w:t>
            </w:r>
            <w:r w:rsidRPr="00BD4ED0">
              <w:rPr>
                <w:rFonts w:asciiTheme="minorHAnsi" w:hAnsiTheme="minorHAnsi"/>
                <w:kern w:val="24"/>
                <w:sz w:val="20"/>
                <w:szCs w:val="20"/>
              </w:rPr>
              <w:t>, as described in table 1.</w:t>
            </w:r>
          </w:p>
        </w:tc>
      </w:tr>
      <w:tr w:rsidR="00427E39" w:rsidRPr="00427E39" w14:paraId="1FF1B7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single" w:sz="4" w:space="0" w:color="1B556B" w:themeColor="text2"/>
              <w:right w:val="single" w:sz="4" w:space="0" w:color="1B556B" w:themeColor="text2"/>
            </w:tcBorders>
            <w:shd w:val="clear" w:color="auto" w:fill="1B556B" w:themeFill="text2"/>
            <w:vAlign w:val="center"/>
          </w:tcPr>
          <w:p w14:paraId="59AD504D" w14:textId="77777777" w:rsidR="00427E39" w:rsidRPr="00427E39" w:rsidRDefault="00427E39">
            <w:pPr>
              <w:pStyle w:val="TableText"/>
              <w:rPr>
                <w:rFonts w:asciiTheme="minorHAnsi" w:hAnsiTheme="minorHAnsi"/>
                <w:color w:val="FFFFFF" w:themeColor="background1"/>
                <w:sz w:val="20"/>
                <w:szCs w:val="20"/>
              </w:rPr>
            </w:pPr>
            <w:r w:rsidRPr="00427E39">
              <w:rPr>
                <w:rFonts w:asciiTheme="minorHAnsi" w:hAnsiTheme="minorHAnsi"/>
                <w:color w:val="FFFFFF" w:themeColor="background1"/>
                <w:sz w:val="20"/>
                <w:szCs w:val="20"/>
              </w:rPr>
              <w:lastRenderedPageBreak/>
              <w:t>Relevant matters in section 30GC of the Climate Change Response Act 2002</w:t>
            </w:r>
          </w:p>
        </w:tc>
        <w:tc>
          <w:tcPr>
            <w:tcW w:w="4253" w:type="dxa"/>
            <w:tcBorders>
              <w:left w:val="single" w:sz="4" w:space="0" w:color="1B556B" w:themeColor="text2"/>
              <w:right w:val="single" w:sz="4" w:space="0" w:color="1B556B" w:themeColor="text2"/>
            </w:tcBorders>
            <w:shd w:val="clear" w:color="auto" w:fill="1B556B" w:themeFill="text2"/>
          </w:tcPr>
          <w:p w14:paraId="68EE7B01" w14:textId="77777777" w:rsidR="00427E39" w:rsidRPr="00427E39" w:rsidRDefault="00427E3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0"/>
                <w:szCs w:val="20"/>
              </w:rPr>
            </w:pPr>
            <w:r w:rsidRPr="00427E39">
              <w:rPr>
                <w:rFonts w:asciiTheme="minorHAnsi" w:hAnsiTheme="minorHAnsi"/>
                <w:b/>
                <w:bCs/>
                <w:color w:val="FFFFFF" w:themeColor="background1"/>
                <w:sz w:val="20"/>
                <w:szCs w:val="20"/>
              </w:rPr>
              <w:t>Criteria that reflect this matter</w:t>
            </w:r>
          </w:p>
        </w:tc>
      </w:tr>
      <w:tr w:rsidR="00BD4ED0" w:rsidRPr="00BD4ED0" w14:paraId="460F9F70" w14:textId="77777777" w:rsidTr="00427E39">
        <w:tc>
          <w:tcPr>
            <w:cnfStyle w:val="001000000000" w:firstRow="0" w:lastRow="0" w:firstColumn="1" w:lastColumn="0" w:oddVBand="0" w:evenVBand="0" w:oddHBand="0" w:evenHBand="0" w:firstRowFirstColumn="0" w:firstRowLastColumn="0" w:lastRowFirstColumn="0" w:lastRowLastColumn="0"/>
            <w:tcW w:w="4252" w:type="dxa"/>
            <w:tcBorders>
              <w:left w:val="nil"/>
              <w:right w:val="single" w:sz="8" w:space="0" w:color="1C556C"/>
            </w:tcBorders>
          </w:tcPr>
          <w:p w14:paraId="761B51A0" w14:textId="2CB869BB" w:rsidR="00BD4ED0" w:rsidRPr="00BD4ED0" w:rsidRDefault="00BD4ED0">
            <w:pPr>
              <w:pStyle w:val="TableText"/>
              <w:rPr>
                <w:b w:val="0"/>
                <w:bCs w:val="0"/>
              </w:rPr>
            </w:pPr>
            <w:r w:rsidRPr="00BD4ED0">
              <w:rPr>
                <w:rFonts w:asciiTheme="minorHAnsi" w:hAnsiTheme="minorHAnsi"/>
                <w:b w:val="0"/>
                <w:bCs w:val="0"/>
                <w:color w:val="000000" w:themeColor="text1"/>
                <w:sz w:val="20"/>
                <w:szCs w:val="20"/>
              </w:rPr>
              <w:t>Inflation</w:t>
            </w:r>
            <w:r w:rsidR="00427E39">
              <w:rPr>
                <w:rFonts w:asciiTheme="minorHAnsi" w:hAnsiTheme="minorHAnsi"/>
                <w:b w:val="0"/>
                <w:bCs w:val="0"/>
                <w:color w:val="000000" w:themeColor="text1"/>
                <w:sz w:val="20"/>
                <w:szCs w:val="20"/>
              </w:rPr>
              <w:t>.</w:t>
            </w:r>
          </w:p>
        </w:tc>
        <w:tc>
          <w:tcPr>
            <w:tcW w:w="4253" w:type="dxa"/>
            <w:tcBorders>
              <w:left w:val="single" w:sz="8" w:space="0" w:color="1C556C"/>
              <w:right w:val="nil"/>
            </w:tcBorders>
            <w:vAlign w:val="center"/>
          </w:tcPr>
          <w:p w14:paraId="02E8D186" w14:textId="77777777" w:rsidR="00BD4ED0" w:rsidRPr="00BD4ED0" w:rsidRDefault="00BD4ED0" w:rsidP="00BD4ED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BD4ED0">
              <w:rPr>
                <w:rFonts w:asciiTheme="minorHAnsi" w:hAnsiTheme="minorHAnsi"/>
                <w:color w:val="000000" w:themeColor="text1"/>
                <w:sz w:val="20"/>
                <w:szCs w:val="20"/>
              </w:rPr>
              <w:t>All price control options have been adjusted for forecast inflation.</w:t>
            </w:r>
          </w:p>
          <w:p w14:paraId="11174DC8" w14:textId="39ADA84C" w:rsidR="00BD4ED0" w:rsidRPr="00BD4ED0" w:rsidRDefault="00BD4ED0" w:rsidP="00BD4ED0">
            <w:pPr>
              <w:pStyle w:val="TableText"/>
              <w:cnfStyle w:val="000000000000" w:firstRow="0" w:lastRow="0" w:firstColumn="0" w:lastColumn="0" w:oddVBand="0" w:evenVBand="0" w:oddHBand="0" w:evenHBand="0" w:firstRowFirstColumn="0" w:firstRowLastColumn="0" w:lastRowFirstColumn="0" w:lastRowLastColumn="0"/>
            </w:pPr>
            <w:r w:rsidRPr="00BD4ED0">
              <w:rPr>
                <w:rFonts w:asciiTheme="minorHAnsi" w:hAnsiTheme="minorHAnsi"/>
                <w:color w:val="000000" w:themeColor="text1"/>
                <w:sz w:val="20"/>
                <w:szCs w:val="20"/>
              </w:rPr>
              <w:t xml:space="preserve">Inflationary impacts of the NZU price are considered in the criterion </w:t>
            </w:r>
            <w:r w:rsidR="00427E39">
              <w:rPr>
                <w:rFonts w:asciiTheme="minorHAnsi" w:hAnsiTheme="minorHAnsi"/>
                <w:color w:val="000000" w:themeColor="text1"/>
                <w:sz w:val="20"/>
                <w:szCs w:val="20"/>
              </w:rPr>
              <w:t>‘</w:t>
            </w:r>
            <w:r w:rsidRPr="00BD4ED0">
              <w:rPr>
                <w:rFonts w:asciiTheme="minorHAnsi" w:hAnsiTheme="minorHAnsi"/>
                <w:color w:val="000000" w:themeColor="text1"/>
                <w:sz w:val="20"/>
                <w:szCs w:val="20"/>
              </w:rPr>
              <w:t>Management of overall costs to the economy and households</w:t>
            </w:r>
            <w:r w:rsidR="00427E39">
              <w:rPr>
                <w:rFonts w:asciiTheme="minorHAnsi" w:hAnsiTheme="minorHAnsi"/>
                <w:color w:val="000000" w:themeColor="text1"/>
                <w:sz w:val="20"/>
                <w:szCs w:val="20"/>
              </w:rPr>
              <w:t>’</w:t>
            </w:r>
            <w:r w:rsidRPr="00BD4ED0">
              <w:rPr>
                <w:rFonts w:asciiTheme="minorHAnsi" w:hAnsiTheme="minorHAnsi"/>
                <w:color w:val="000000" w:themeColor="text1"/>
                <w:sz w:val="20"/>
                <w:szCs w:val="20"/>
              </w:rPr>
              <w:t>, as described in table 1.</w:t>
            </w:r>
          </w:p>
        </w:tc>
      </w:tr>
    </w:tbl>
    <w:p w14:paraId="29058A3B" w14:textId="77777777" w:rsidR="00992166" w:rsidRDefault="00992166" w:rsidP="003711FE">
      <w:pPr>
        <w:pStyle w:val="BodyText"/>
      </w:pPr>
    </w:p>
    <w:p w14:paraId="0C828D78" w14:textId="77777777" w:rsidR="0003023E" w:rsidRDefault="0003023E">
      <w:pPr>
        <w:spacing w:before="0" w:after="0" w:line="240" w:lineRule="auto"/>
        <w:jc w:val="left"/>
        <w:rPr>
          <w:rFonts w:eastAsiaTheme="minorEastAsia" w:cstheme="minorBidi"/>
        </w:rPr>
      </w:pPr>
      <w:r>
        <w:br w:type="page"/>
      </w:r>
    </w:p>
    <w:p w14:paraId="227375FB" w14:textId="7222FE5F" w:rsidR="00E47983" w:rsidRDefault="0003023E" w:rsidP="00BC5D0F">
      <w:pPr>
        <w:pStyle w:val="Heading1"/>
      </w:pPr>
      <w:bookmarkStart w:id="144" w:name="_Toc163048609"/>
      <w:bookmarkStart w:id="145" w:name="_Toc166162171"/>
      <w:r>
        <w:lastRenderedPageBreak/>
        <w:t xml:space="preserve">Appendix </w:t>
      </w:r>
      <w:r w:rsidR="005138C6">
        <w:t>2</w:t>
      </w:r>
      <w:r>
        <w:t xml:space="preserve">: </w:t>
      </w:r>
      <w:r w:rsidR="00F335DB">
        <w:t xml:space="preserve">Methodology for estimating </w:t>
      </w:r>
      <w:proofErr w:type="gramStart"/>
      <w:r w:rsidR="00F335DB">
        <w:t>surplus</w:t>
      </w:r>
      <w:bookmarkEnd w:id="144"/>
      <w:bookmarkEnd w:id="145"/>
      <w:proofErr w:type="gramEnd"/>
    </w:p>
    <w:p w14:paraId="02D996AD" w14:textId="7ABD98AA" w:rsidR="00F335DB" w:rsidRDefault="40370F1E" w:rsidP="00F335DB">
      <w:pPr>
        <w:pStyle w:val="BodyText"/>
      </w:pPr>
      <w:r>
        <w:t>Below is a summary of</w:t>
      </w:r>
      <w:r w:rsidR="00F335DB">
        <w:t xml:space="preserve"> the methodology the Commission uses for estimating surplus</w:t>
      </w:r>
      <w:r w:rsidR="574055A1">
        <w:t>, which</w:t>
      </w:r>
      <w:r w:rsidR="0050003D">
        <w:t xml:space="preserve"> has been the same since the Commission first estimated surplus in 2022.</w:t>
      </w:r>
    </w:p>
    <w:p w14:paraId="0BC8D7E3" w14:textId="1594A7B2" w:rsidR="0050003D" w:rsidRDefault="30F699D4" w:rsidP="00F335DB">
      <w:pPr>
        <w:pStyle w:val="BodyText"/>
      </w:pPr>
      <w:r>
        <w:t>T</w:t>
      </w:r>
      <w:r w:rsidR="37F700A1">
        <w:t>he</w:t>
      </w:r>
      <w:r w:rsidR="00EC2D8B">
        <w:t xml:space="preserve"> Commission estimates the volumes of three types of units that are unlikely to be available to the market and </w:t>
      </w:r>
      <w:r w:rsidR="37F700A1">
        <w:t>subtract</w:t>
      </w:r>
      <w:r w:rsidR="005B5426">
        <w:t>s</w:t>
      </w:r>
      <w:r w:rsidR="00EC2D8B">
        <w:t xml:space="preserve"> that amount from total stockpile. </w:t>
      </w:r>
      <w:r w:rsidR="5CB958D4">
        <w:t xml:space="preserve">The </w:t>
      </w:r>
      <w:proofErr w:type="gramStart"/>
      <w:r w:rsidR="5CB958D4">
        <w:t>three unit</w:t>
      </w:r>
      <w:proofErr w:type="gramEnd"/>
      <w:r w:rsidR="5CB958D4">
        <w:t xml:space="preserve"> types are outlined below.</w:t>
      </w:r>
    </w:p>
    <w:p w14:paraId="73FB331B" w14:textId="428440D6" w:rsidR="00E0658B" w:rsidRDefault="00840262" w:rsidP="106C20E2">
      <w:pPr>
        <w:pStyle w:val="Bullet"/>
        <w:numPr>
          <w:ilvl w:val="0"/>
          <w:numId w:val="0"/>
        </w:numPr>
      </w:pPr>
      <w:r w:rsidRPr="00E0658B">
        <w:rPr>
          <w:b/>
          <w:bCs/>
        </w:rPr>
        <w:t>Units held for post-1989 forest harvest liabilities</w:t>
      </w:r>
      <w:r w:rsidR="0CA55DF4" w:rsidRPr="1BE9B7C4">
        <w:rPr>
          <w:b/>
          <w:bCs/>
        </w:rPr>
        <w:t>.</w:t>
      </w:r>
      <w:r w:rsidR="00E0658B">
        <w:t xml:space="preserve"> Owners of forests planted after 1989 receive NZUs for the carbon stored in their forests. However, when the forest is harvested, they must surrender a large proportion of these units back to the Government. This means that forestry participants need to hold </w:t>
      </w:r>
      <w:proofErr w:type="gramStart"/>
      <w:r w:rsidR="00E0658B">
        <w:t>a large number of</w:t>
      </w:r>
      <w:proofErr w:type="gramEnd"/>
      <w:r w:rsidR="00E0658B">
        <w:t xml:space="preserve"> units in advance of harvesting their forests.</w:t>
      </w:r>
    </w:p>
    <w:p w14:paraId="44BDDA5C" w14:textId="39E9A10A" w:rsidR="00840262" w:rsidRDefault="00840262" w:rsidP="106C20E2">
      <w:pPr>
        <w:pStyle w:val="Bullet"/>
        <w:numPr>
          <w:ilvl w:val="0"/>
          <w:numId w:val="0"/>
        </w:numPr>
      </w:pPr>
      <w:r w:rsidRPr="00E0658B">
        <w:rPr>
          <w:b/>
          <w:bCs/>
        </w:rPr>
        <w:t>Units held for hedging by market participants</w:t>
      </w:r>
      <w:r w:rsidR="7650DA34" w:rsidRPr="1BE9B7C4">
        <w:rPr>
          <w:b/>
          <w:bCs/>
        </w:rPr>
        <w:t>.</w:t>
      </w:r>
      <w:r w:rsidR="00E0658B">
        <w:t xml:space="preserve"> It is common practice for NZ ETS participants to hold NZUs to cover a proportion of their compliance obligation over a certain period in advance to manage their exposure to NZU price risk. This is a legitimate form of market risk management known as hedging, and </w:t>
      </w:r>
      <w:r w:rsidR="3D5FE77D">
        <w:t>it</w:t>
      </w:r>
      <w:r w:rsidR="65A87663">
        <w:t xml:space="preserve"> </w:t>
      </w:r>
      <w:r w:rsidR="00E0658B">
        <w:t>is important for the stable operation of the market.</w:t>
      </w:r>
    </w:p>
    <w:p w14:paraId="54010B93" w14:textId="4742E36D" w:rsidR="00FF2E77" w:rsidRPr="00205C75" w:rsidRDefault="00840262" w:rsidP="0040532D">
      <w:pPr>
        <w:pStyle w:val="Bullet"/>
        <w:numPr>
          <w:ilvl w:val="0"/>
          <w:numId w:val="0"/>
        </w:numPr>
      </w:pPr>
      <w:r w:rsidRPr="00E0658B">
        <w:rPr>
          <w:b/>
          <w:bCs/>
        </w:rPr>
        <w:t>Pre-1990 forest allocations held long term</w:t>
      </w:r>
      <w:r w:rsidR="31D33610" w:rsidRPr="1BE9B7C4">
        <w:rPr>
          <w:b/>
          <w:bCs/>
        </w:rPr>
        <w:t>.</w:t>
      </w:r>
      <w:r w:rsidR="00E0658B">
        <w:t xml:space="preserve"> Pre-1990 units were originally allocated to owners of forests planted before 1990 as partial compensation for the restriction the NZ</w:t>
      </w:r>
      <w:r w:rsidR="000A7AD6">
        <w:t> </w:t>
      </w:r>
      <w:r w:rsidR="00E0658B">
        <w:t>ETS put on their ability to change land</w:t>
      </w:r>
      <w:r w:rsidR="7F31516A">
        <w:t>-</w:t>
      </w:r>
      <w:r w:rsidR="00E0658B">
        <w:t xml:space="preserve">use </w:t>
      </w:r>
      <w:r w:rsidR="1A5C3650">
        <w:t>u</w:t>
      </w:r>
      <w:r w:rsidR="66054FF3">
        <w:t>nits</w:t>
      </w:r>
      <w:r>
        <w:t xml:space="preserve"> held for post-1989 forest harvest liabilities</w:t>
      </w:r>
      <w:r w:rsidR="00E0658B">
        <w:t>.</w:t>
      </w:r>
    </w:p>
    <w:sectPr w:rsidR="00FF2E77" w:rsidRPr="00205C75" w:rsidSect="00613507">
      <w:headerReference w:type="even" r:id="rId30"/>
      <w:headerReference w:type="default" r:id="rId31"/>
      <w:footerReference w:type="even" r:id="rId32"/>
      <w:footerReference w:type="default" r:id="rId33"/>
      <w:headerReference w:type="first" r:id="rId34"/>
      <w:footerReference w:type="first" r:id="rId35"/>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E681" w14:textId="77777777" w:rsidR="00613507" w:rsidRDefault="00613507" w:rsidP="0080531E">
      <w:pPr>
        <w:spacing w:before="0" w:after="0" w:line="240" w:lineRule="auto"/>
      </w:pPr>
      <w:r>
        <w:separator/>
      </w:r>
    </w:p>
    <w:p w14:paraId="2062D1E9" w14:textId="77777777" w:rsidR="00613507" w:rsidRDefault="00613507"/>
  </w:endnote>
  <w:endnote w:type="continuationSeparator" w:id="0">
    <w:p w14:paraId="5ECEA942" w14:textId="77777777" w:rsidR="00613507" w:rsidRDefault="00613507" w:rsidP="0080531E">
      <w:pPr>
        <w:spacing w:before="0" w:after="0" w:line="240" w:lineRule="auto"/>
      </w:pPr>
      <w:r>
        <w:continuationSeparator/>
      </w:r>
    </w:p>
    <w:p w14:paraId="39403480" w14:textId="77777777" w:rsidR="00613507" w:rsidRDefault="00613507"/>
  </w:endnote>
  <w:endnote w:type="continuationNotice" w:id="1">
    <w:p w14:paraId="5ABCCE2B" w14:textId="77777777" w:rsidR="00613507" w:rsidRDefault="006135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Sans">
    <w:altName w:val="Calibri"/>
    <w:panose1 w:val="00000000000000000000"/>
    <w:charset w:val="00"/>
    <w:family w:val="roman"/>
    <w:notTrueType/>
    <w:pitch w:val="default"/>
  </w:font>
  <w:font w:name="Ebony Xb">
    <w:altName w:val="Calibri"/>
    <w:panose1 w:val="00000000000000000000"/>
    <w:charset w:val="00"/>
    <w:family w:val="swiss"/>
    <w:notTrueType/>
    <w:pitch w:val="default"/>
    <w:sig w:usb0="00000003" w:usb1="00000000" w:usb2="00000000" w:usb3="00000000" w:csb0="00000001" w:csb1="00000000"/>
  </w:font>
  <w:font w:name="Ebony">
    <w:altName w:val="Calibri"/>
    <w:panose1 w:val="00000000000000000000"/>
    <w:charset w:val="4D"/>
    <w:family w:val="auto"/>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DB5" w14:textId="77777777" w:rsidR="00B8732C" w:rsidRDefault="00B8732C">
    <w:pPr>
      <w:spacing w:before="0"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26D0" w14:textId="77777777" w:rsidR="00E5210B" w:rsidRDefault="00B8732C" w:rsidP="00E65427">
    <w:pPr>
      <w:spacing w:before="240" w:after="0" w:line="240" w:lineRule="auto"/>
    </w:pPr>
    <w:r>
      <w:rPr>
        <w:noProof/>
      </w:rPr>
      <mc:AlternateContent>
        <mc:Choice Requires="wps">
          <w:drawing>
            <wp:anchor distT="0" distB="0" distL="0" distR="0" simplePos="0" relativeHeight="251658248" behindDoc="0" locked="0" layoutInCell="1" allowOverlap="1" wp14:anchorId="4EB0445D" wp14:editId="5B3B74A2">
              <wp:simplePos x="1080770" y="10010775"/>
              <wp:positionH relativeFrom="page">
                <wp:align>center</wp:align>
              </wp:positionH>
              <wp:positionV relativeFrom="page">
                <wp:align>bottom</wp:align>
              </wp:positionV>
              <wp:extent cx="443865" cy="443865"/>
              <wp:effectExtent l="0" t="0" r="2540" b="0"/>
              <wp:wrapNone/>
              <wp:docPr id="1779695528" name="Text Box 14"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0CF66" w14:textId="37FCC6E5" w:rsidR="00B8732C" w:rsidRPr="0017179D" w:rsidRDefault="00B8732C" w:rsidP="0017179D">
                          <w:pPr>
                            <w:spacing w:after="0"/>
                            <w:rPr>
                              <w:rFonts w:eastAsia="Calibri" w:cs="Calibri"/>
                              <w:noProof/>
                              <w:color w:val="000000"/>
                              <w:sz w:val="18"/>
                              <w:szCs w:val="1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0445D" id="_x0000_t202" coordsize="21600,21600" o:spt="202" path="m,l,21600r21600,l21600,xe">
              <v:stroke joinstyle="miter"/>
              <v:path gradientshapeok="t" o:connecttype="rect"/>
            </v:shapetype>
            <v:shape id="Text Box 14" o:spid="_x0000_s1026" type="#_x0000_t202" alt="[IN-CONFIDENCE]"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90CF66" w14:textId="37FCC6E5" w:rsidR="00B8732C" w:rsidRPr="0017179D" w:rsidRDefault="00B8732C" w:rsidP="0017179D">
                    <w:pPr>
                      <w:spacing w:after="0"/>
                      <w:rPr>
                        <w:rFonts w:eastAsia="Calibri" w:cs="Calibri"/>
                        <w:noProof/>
                        <w:color w:val="000000"/>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2B82" w14:textId="73870FF9" w:rsidR="00E5210B" w:rsidRDefault="00E521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E577" w14:textId="77777777" w:rsidR="0017179D" w:rsidRDefault="00B8732C">
    <w:pPr>
      <w:pStyle w:val="Footer"/>
    </w:pPr>
    <w:r>
      <w:rPr>
        <w:noProof/>
      </w:rPr>
      <mc:AlternateContent>
        <mc:Choice Requires="wps">
          <w:drawing>
            <wp:anchor distT="0" distB="0" distL="0" distR="0" simplePos="0" relativeHeight="251658247" behindDoc="0" locked="0" layoutInCell="1" allowOverlap="1" wp14:anchorId="72428C7F" wp14:editId="7E14E23D">
              <wp:simplePos x="635" y="635"/>
              <wp:positionH relativeFrom="page">
                <wp:align>center</wp:align>
              </wp:positionH>
              <wp:positionV relativeFrom="page">
                <wp:align>bottom</wp:align>
              </wp:positionV>
              <wp:extent cx="443865" cy="443865"/>
              <wp:effectExtent l="0" t="0" r="2540" b="0"/>
              <wp:wrapNone/>
              <wp:docPr id="617142628" name="Text Box 13"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BDD00" w14:textId="77777777" w:rsidR="00B8732C" w:rsidRPr="0017179D" w:rsidRDefault="00B8732C"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428C7F" id="_x0000_t202" coordsize="21600,21600" o:spt="202" path="m,l,21600r21600,l21600,xe">
              <v:stroke joinstyle="miter"/>
              <v:path gradientshapeok="t" o:connecttype="rect"/>
            </v:shapetype>
            <v:shape id="Text Box 13" o:spid="_x0000_s1029" type="#_x0000_t202" alt="[IN-CONFIDENCE]" style="position:absolute;left:0;text-align:left;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EDBDD00" w14:textId="77777777" w:rsidR="00B8732C" w:rsidRPr="0017179D" w:rsidRDefault="00B8732C"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17A" w14:textId="21B3E6AB" w:rsidR="00E453AB" w:rsidRDefault="0017179D" w:rsidP="00D52347">
    <w:pPr>
      <w:pStyle w:val="Footereven"/>
      <w:tabs>
        <w:tab w:val="clear" w:pos="567"/>
      </w:tabs>
      <w:jc w:val="left"/>
    </w:pPr>
    <w:r>
      <w:rPr>
        <w:noProof/>
      </w:rPr>
      <mc:AlternateContent>
        <mc:Choice Requires="wps">
          <w:drawing>
            <wp:anchor distT="0" distB="0" distL="0" distR="0" simplePos="0" relativeHeight="251658242" behindDoc="0" locked="0" layoutInCell="1" allowOverlap="1" wp14:anchorId="08B9DF7B" wp14:editId="4F2CDB74">
              <wp:simplePos x="1080770" y="10003790"/>
              <wp:positionH relativeFrom="page">
                <wp:align>center</wp:align>
              </wp:positionH>
              <wp:positionV relativeFrom="page">
                <wp:align>bottom</wp:align>
              </wp:positionV>
              <wp:extent cx="443865" cy="443865"/>
              <wp:effectExtent l="0" t="0" r="2540" b="0"/>
              <wp:wrapNone/>
              <wp:docPr id="2116589587" name="Text Box 17"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A4C283" w14:textId="1C962172" w:rsidR="0017179D" w:rsidRPr="0017179D" w:rsidRDefault="0017179D" w:rsidP="0017179D">
                          <w:pPr>
                            <w:spacing w:after="0"/>
                            <w:rPr>
                              <w:rFonts w:eastAsia="Calibri" w:cs="Calibri"/>
                              <w:noProof/>
                              <w:color w:val="000000"/>
                              <w:sz w:val="18"/>
                              <w:szCs w:val="1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B9DF7B" id="_x0000_t202" coordsize="21600,21600" o:spt="202" path="m,l,21600r21600,l21600,xe">
              <v:stroke joinstyle="miter"/>
              <v:path gradientshapeok="t" o:connecttype="rect"/>
            </v:shapetype>
            <v:shape id="Text Box 17" o:spid="_x0000_s1032" type="#_x0000_t202" alt="[IN-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1A4C283" w14:textId="1C962172" w:rsidR="0017179D" w:rsidRPr="0017179D" w:rsidRDefault="0017179D" w:rsidP="0017179D">
                    <w:pPr>
                      <w:spacing w:after="0"/>
                      <w:rPr>
                        <w:rFonts w:eastAsia="Calibri" w:cs="Calibri"/>
                        <w:noProof/>
                        <w:color w:val="000000"/>
                        <w:sz w:val="18"/>
                        <w:szCs w:val="18"/>
                      </w:rPr>
                    </w:pPr>
                  </w:p>
                </w:txbxContent>
              </v:textbox>
              <w10:wrap anchorx="page" anchory="page"/>
            </v:shape>
          </w:pict>
        </mc:Fallback>
      </mc:AlternateContent>
    </w:r>
    <w:r w:rsidR="006B0B8F">
      <w:fldChar w:fldCharType="begin"/>
    </w:r>
    <w:r w:rsidR="006B0B8F">
      <w:instrText xml:space="preserve"> PAGE   \* MERGEFORMAT </w:instrText>
    </w:r>
    <w:r w:rsidR="006B0B8F">
      <w:fldChar w:fldCharType="separate"/>
    </w:r>
    <w:r w:rsidR="006B0B8F">
      <w:rPr>
        <w:noProof/>
      </w:rPr>
      <w:t>1</w:t>
    </w:r>
    <w:r w:rsidR="006B0B8F">
      <w:rPr>
        <w:noProof/>
      </w:rPr>
      <w:fldChar w:fldCharType="end"/>
    </w:r>
    <w:r w:rsidR="00E5210B">
      <w:tab/>
    </w:r>
    <w:r w:rsidR="001E063C">
      <w:t>A</w:t>
    </w:r>
    <w:r w:rsidR="00D13DF3">
      <w:t>nnual updates</w:t>
    </w:r>
    <w:r w:rsidR="006B0B8F" w:rsidRPr="006B0B8F">
      <w:t xml:space="preserve"> to New Zealand Emissions Trading Scheme limit</w:t>
    </w:r>
    <w:r w:rsidR="00BE5457">
      <w:t>s</w:t>
    </w:r>
    <w:r w:rsidR="006B0B8F" w:rsidRPr="006B0B8F">
      <w:t xml:space="preserve"> and price control settings for units </w:t>
    </w:r>
    <w:r w:rsidR="006B0B8F" w:rsidRPr="00A73F5A">
      <w:t>202</w:t>
    </w:r>
    <w:r w:rsidR="00023F87">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5D6" w14:textId="0E54286D" w:rsidR="00E453AB" w:rsidRPr="006B0B8F" w:rsidRDefault="00380790" w:rsidP="006E3D41">
    <w:pPr>
      <w:pStyle w:val="Footereven"/>
      <w:tabs>
        <w:tab w:val="clear" w:pos="567"/>
      </w:tabs>
      <w:jc w:val="left"/>
    </w:pPr>
    <w:r>
      <w:rPr>
        <w:noProof/>
      </w:rPr>
      <mc:AlternateContent>
        <mc:Choice Requires="wps">
          <w:drawing>
            <wp:anchor distT="0" distB="0" distL="0" distR="0" simplePos="0" relativeHeight="251658250" behindDoc="0" locked="0" layoutInCell="1" allowOverlap="1" wp14:anchorId="5953B153" wp14:editId="7AC6B1F6">
              <wp:simplePos x="1080770" y="10003790"/>
              <wp:positionH relativeFrom="page">
                <wp:align>center</wp:align>
              </wp:positionH>
              <wp:positionV relativeFrom="page">
                <wp:align>bottom</wp:align>
              </wp:positionV>
              <wp:extent cx="443865" cy="443865"/>
              <wp:effectExtent l="0" t="0" r="2540" b="0"/>
              <wp:wrapNone/>
              <wp:docPr id="461289311" name="Text Box 17"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74549" w14:textId="77777777" w:rsidR="00380790" w:rsidRPr="0017179D" w:rsidRDefault="00380790" w:rsidP="00380790">
                          <w:pPr>
                            <w:spacing w:after="0"/>
                            <w:rPr>
                              <w:rFonts w:eastAsia="Calibri" w:cs="Calibri"/>
                              <w:noProof/>
                              <w:color w:val="000000"/>
                              <w:sz w:val="18"/>
                              <w:szCs w:val="1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53B153" id="_x0000_t202" coordsize="21600,21600" o:spt="202" path="m,l,21600r21600,l21600,xe">
              <v:stroke joinstyle="miter"/>
              <v:path gradientshapeok="t" o:connecttype="rect"/>
            </v:shapetype>
            <v:shape id="_x0000_s1033" type="#_x0000_t202" alt="[IN-CONFIDENCE]"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1974549" w14:textId="77777777" w:rsidR="00380790" w:rsidRPr="0017179D" w:rsidRDefault="00380790" w:rsidP="00380790">
                    <w:pPr>
                      <w:spacing w:after="0"/>
                      <w:rPr>
                        <w:rFonts w:eastAsia="Calibri" w:cs="Calibri"/>
                        <w:noProof/>
                        <w:color w:val="000000"/>
                        <w:sz w:val="18"/>
                        <w:szCs w:val="18"/>
                      </w:rPr>
                    </w:pPr>
                  </w:p>
                </w:txbxContent>
              </v:textbox>
              <w10:wrap anchorx="page" anchory="page"/>
            </v:shape>
          </w:pict>
        </mc:Fallback>
      </mc:AlternateContent>
    </w:r>
    <w:r>
      <w:fldChar w:fldCharType="begin"/>
    </w:r>
    <w:r>
      <w:instrText xml:space="preserve"> PAGE   \* MERGEFORMAT </w:instrText>
    </w:r>
    <w:r>
      <w:fldChar w:fldCharType="separate"/>
    </w:r>
    <w:r>
      <w:t>4</w:t>
    </w:r>
    <w:r>
      <w:rPr>
        <w:noProof/>
      </w:rPr>
      <w:fldChar w:fldCharType="end"/>
    </w:r>
    <w:r>
      <w:tab/>
      <w:t>Annual updates</w:t>
    </w:r>
    <w:r w:rsidRPr="006B0B8F">
      <w:t xml:space="preserve"> to New Zealand Emissions Trading Scheme limit</w:t>
    </w:r>
    <w:r>
      <w:t>s</w:t>
    </w:r>
    <w:r w:rsidRPr="006B0B8F">
      <w:t xml:space="preserve"> and price control settings for units </w:t>
    </w:r>
    <w:r w:rsidRPr="00A73F5A">
      <w:t>202</w:t>
    </w:r>
    <w: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67C" w14:textId="2C8B09E1" w:rsidR="0017179D" w:rsidRDefault="0017179D">
    <w:pPr>
      <w:pStyle w:val="Footer"/>
    </w:pPr>
    <w:r>
      <w:rPr>
        <w:noProof/>
      </w:rPr>
      <mc:AlternateContent>
        <mc:Choice Requires="wps">
          <w:drawing>
            <wp:anchor distT="0" distB="0" distL="0" distR="0" simplePos="0" relativeHeight="251658245" behindDoc="0" locked="0" layoutInCell="1" allowOverlap="1" wp14:anchorId="6D06BB4D" wp14:editId="39B706E7">
              <wp:simplePos x="635" y="635"/>
              <wp:positionH relativeFrom="page">
                <wp:align>center</wp:align>
              </wp:positionH>
              <wp:positionV relativeFrom="page">
                <wp:align>bottom</wp:align>
              </wp:positionV>
              <wp:extent cx="443865" cy="443865"/>
              <wp:effectExtent l="0" t="0" r="2540" b="0"/>
              <wp:wrapNone/>
              <wp:docPr id="1003828976" name="Text Box 16"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72C26C" w14:textId="4F99A2FE" w:rsidR="0017179D" w:rsidRPr="0017179D" w:rsidRDefault="0017179D"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06BB4D" id="_x0000_t202" coordsize="21600,21600" o:spt="202" path="m,l,21600r21600,l21600,xe">
              <v:stroke joinstyle="miter"/>
              <v:path gradientshapeok="t" o:connecttype="rect"/>
            </v:shapetype>
            <v:shape id="Text Box 16" o:spid="_x0000_s1036" type="#_x0000_t202" alt="[IN-CONFIDENCE]"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6A72C26C" w14:textId="4F99A2FE" w:rsidR="0017179D" w:rsidRPr="0017179D" w:rsidRDefault="0017179D"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3B99" w14:textId="77777777" w:rsidR="00613507" w:rsidRDefault="00613507" w:rsidP="00CB5C5F">
      <w:pPr>
        <w:spacing w:before="0" w:after="80" w:line="240" w:lineRule="auto"/>
      </w:pPr>
      <w:r>
        <w:separator/>
      </w:r>
    </w:p>
  </w:footnote>
  <w:footnote w:type="continuationSeparator" w:id="0">
    <w:p w14:paraId="412F29E2" w14:textId="77777777" w:rsidR="00613507" w:rsidRDefault="00613507" w:rsidP="0080531E">
      <w:pPr>
        <w:spacing w:before="0" w:after="0" w:line="240" w:lineRule="auto"/>
      </w:pPr>
      <w:r>
        <w:continuationSeparator/>
      </w:r>
    </w:p>
    <w:p w14:paraId="49669AD8" w14:textId="77777777" w:rsidR="00613507" w:rsidRDefault="00613507"/>
  </w:footnote>
  <w:footnote w:type="continuationNotice" w:id="1">
    <w:p w14:paraId="765F1E28" w14:textId="77777777" w:rsidR="00613507" w:rsidRDefault="00613507">
      <w:pPr>
        <w:spacing w:before="0" w:after="0" w:line="240" w:lineRule="auto"/>
      </w:pPr>
    </w:p>
  </w:footnote>
  <w:footnote w:id="2">
    <w:p w14:paraId="1C81DD21" w14:textId="3C15A88E" w:rsidR="3C52EFD3" w:rsidRDefault="3C52EFD3" w:rsidP="00D52347">
      <w:pPr>
        <w:pStyle w:val="FootnoteText"/>
        <w:tabs>
          <w:tab w:val="left" w:pos="284"/>
        </w:tabs>
      </w:pPr>
      <w:r w:rsidRPr="3C52EFD3">
        <w:rPr>
          <w:rStyle w:val="FootnoteReference"/>
        </w:rPr>
        <w:footnoteRef/>
      </w:r>
      <w:r>
        <w:t xml:space="preserve"> </w:t>
      </w:r>
      <w:r w:rsidR="00D52347">
        <w:tab/>
      </w:r>
      <w:r>
        <w:t>For clarity, we are following a net-based approach for this consultation document.</w:t>
      </w:r>
    </w:p>
  </w:footnote>
  <w:footnote w:id="3">
    <w:p w14:paraId="0ADB5BBA" w14:textId="12D96E94" w:rsidR="00314EAD" w:rsidRDefault="00314EAD" w:rsidP="004E0BE3">
      <w:pPr>
        <w:pStyle w:val="FootnoteText"/>
        <w:tabs>
          <w:tab w:val="left" w:pos="284"/>
        </w:tabs>
      </w:pPr>
      <w:r>
        <w:rPr>
          <w:rStyle w:val="FootnoteReference"/>
        </w:rPr>
        <w:footnoteRef/>
      </w:r>
      <w:r>
        <w:t xml:space="preserve"> </w:t>
      </w:r>
      <w:r w:rsidR="0049349E">
        <w:tab/>
      </w:r>
      <w:r w:rsidR="004F54A1">
        <w:t xml:space="preserve">See section </w:t>
      </w:r>
      <w:hyperlink r:id="rId1" w:history="1">
        <w:r w:rsidR="004F54A1" w:rsidRPr="003F5CC5" w:rsidDel="00712AFC">
          <w:rPr>
            <w:rStyle w:val="Hyperlink"/>
          </w:rPr>
          <w:t xml:space="preserve">30GC of the </w:t>
        </w:r>
        <w:r w:rsidR="00712AFC">
          <w:rPr>
            <w:rStyle w:val="Hyperlink"/>
          </w:rPr>
          <w:t>Climate</w:t>
        </w:r>
      </w:hyperlink>
      <w:r w:rsidR="00712AFC">
        <w:t xml:space="preserve"> Change Response Act 2002</w:t>
      </w:r>
      <w:r w:rsidR="0049349E">
        <w:t>.</w:t>
      </w:r>
    </w:p>
  </w:footnote>
  <w:footnote w:id="4">
    <w:p w14:paraId="4E0AC40F" w14:textId="53E161FE" w:rsidR="00314EAD" w:rsidRDefault="00314EAD" w:rsidP="00712AFC">
      <w:pPr>
        <w:pStyle w:val="FootnoteText"/>
        <w:tabs>
          <w:tab w:val="left" w:pos="284"/>
        </w:tabs>
      </w:pPr>
      <w:r>
        <w:rPr>
          <w:rStyle w:val="FootnoteReference"/>
        </w:rPr>
        <w:footnoteRef/>
      </w:r>
      <w:r>
        <w:t xml:space="preserve"> </w:t>
      </w:r>
      <w:r w:rsidR="00772ABB">
        <w:tab/>
      </w:r>
      <w:r>
        <w:t>See</w:t>
      </w:r>
      <w:r w:rsidDel="00712AFC">
        <w:t xml:space="preserve"> </w:t>
      </w:r>
      <w:hyperlink r:id="rId2" w:history="1">
        <w:r w:rsidR="00712AFC" w:rsidRPr="003F5CC5">
          <w:rPr>
            <w:rStyle w:val="Hyperlink"/>
          </w:rPr>
          <w:t>section 30GB(5) of the C</w:t>
        </w:r>
        <w:r w:rsidR="00712AFC">
          <w:rPr>
            <w:rStyle w:val="Hyperlink"/>
          </w:rPr>
          <w:t>limate</w:t>
        </w:r>
      </w:hyperlink>
      <w:r w:rsidR="00712AFC">
        <w:t xml:space="preserve"> Change Response Act 2002 </w:t>
      </w:r>
      <w:r>
        <w:t xml:space="preserve">which includes “(b) </w:t>
      </w:r>
      <w:r w:rsidRPr="007A6CB4">
        <w:rPr>
          <w:i/>
          <w:iCs/>
        </w:rPr>
        <w:t xml:space="preserve">the Minister is satisfied </w:t>
      </w:r>
      <w:r w:rsidR="00C53EF4">
        <w:rPr>
          <w:i/>
          <w:iCs/>
        </w:rPr>
        <w:tab/>
      </w:r>
      <w:r w:rsidRPr="007A6CB4">
        <w:rPr>
          <w:i/>
          <w:iCs/>
        </w:rPr>
        <w:t xml:space="preserve">that the amendment is justified by … (i) a change that has significantly affected any matter that the </w:t>
      </w:r>
      <w:r w:rsidR="00C53EF4">
        <w:rPr>
          <w:i/>
          <w:iCs/>
        </w:rPr>
        <w:tab/>
      </w:r>
      <w:r w:rsidRPr="007A6CB4">
        <w:rPr>
          <w:i/>
          <w:iCs/>
        </w:rPr>
        <w:t xml:space="preserve">Minister was required to consider under section 30GC when recommending the limits and price control </w:t>
      </w:r>
      <w:r w:rsidR="00C53EF4">
        <w:rPr>
          <w:i/>
          <w:iCs/>
        </w:rPr>
        <w:tab/>
      </w:r>
      <w:r w:rsidRPr="007A6CB4">
        <w:rPr>
          <w:i/>
          <w:iCs/>
        </w:rPr>
        <w:t>settings that are to be amended</w:t>
      </w:r>
      <w:r>
        <w:rPr>
          <w:i/>
          <w:iCs/>
        </w:rPr>
        <w:t>.</w:t>
      </w:r>
      <w:r>
        <w:t>”</w:t>
      </w:r>
    </w:p>
  </w:footnote>
  <w:footnote w:id="5">
    <w:p w14:paraId="035AFA38" w14:textId="19EF9356" w:rsidR="76DDBF20" w:rsidRDefault="76DDBF20" w:rsidP="00D52347">
      <w:pPr>
        <w:pStyle w:val="FootnoteText"/>
        <w:tabs>
          <w:tab w:val="left" w:pos="284"/>
        </w:tabs>
      </w:pPr>
      <w:r w:rsidRPr="76DDBF20">
        <w:rPr>
          <w:rStyle w:val="FootnoteReference"/>
        </w:rPr>
        <w:footnoteRef/>
      </w:r>
      <w:r w:rsidR="1C4C124A">
        <w:t xml:space="preserve"> </w:t>
      </w:r>
      <w:r w:rsidR="00D52347">
        <w:tab/>
      </w:r>
      <w:r w:rsidR="1C4C124A" w:rsidRPr="004C20FC">
        <w:rPr>
          <w:rFonts w:eastAsia="Calibri" w:cs="Calibri"/>
          <w:szCs w:val="19"/>
        </w:rPr>
        <w:t xml:space="preserve">He Pou a Rangi | Climate Change Commission. </w:t>
      </w:r>
      <w:hyperlink r:id="rId3" w:history="1">
        <w:hyperlink r:id="rId4" w:history="1">
          <w:r w:rsidR="7994F321" w:rsidRPr="004C20FC">
            <w:rPr>
              <w:rStyle w:val="Hyperlink"/>
              <w:rFonts w:eastAsia="Calibri" w:cs="Calibri"/>
              <w:i/>
              <w:iCs/>
              <w:szCs w:val="19"/>
            </w:rPr>
            <w:t>NZ ETS unit limits and price control settings for 2024</w:t>
          </w:r>
          <w:r w:rsidR="00E92EAF">
            <w:rPr>
              <w:rStyle w:val="Hyperlink"/>
              <w:rFonts w:eastAsia="Calibri" w:cs="Calibri"/>
              <w:i/>
              <w:iCs/>
              <w:szCs w:val="19"/>
            </w:rPr>
            <w:t>–</w:t>
          </w:r>
          <w:r w:rsidR="00D52347">
            <w:rPr>
              <w:rStyle w:val="Hyperlink"/>
              <w:rFonts w:eastAsia="Calibri" w:cs="Calibri"/>
              <w:i/>
              <w:iCs/>
              <w:szCs w:val="19"/>
            </w:rPr>
            <w:tab/>
          </w:r>
          <w:r w:rsidR="7994F321" w:rsidRPr="004C20FC">
            <w:rPr>
              <w:rStyle w:val="Hyperlink"/>
              <w:rFonts w:eastAsia="Calibri" w:cs="Calibri"/>
              <w:i/>
              <w:iCs/>
              <w:szCs w:val="19"/>
            </w:rPr>
            <w:t>2028</w:t>
          </w:r>
        </w:hyperlink>
      </w:hyperlink>
      <w:r w:rsidR="1C4C124A" w:rsidRPr="004C20FC">
        <w:rPr>
          <w:rFonts w:eastAsia="Calibri" w:cs="Calibri"/>
          <w:szCs w:val="19"/>
        </w:rPr>
        <w:t>. Retrieved 18 March 2024.</w:t>
      </w:r>
    </w:p>
  </w:footnote>
  <w:footnote w:id="6">
    <w:p w14:paraId="227CFB9E" w14:textId="55E5900D" w:rsidR="001A7C31" w:rsidRPr="00430B4A" w:rsidRDefault="001A7C31" w:rsidP="00AA11AB">
      <w:pPr>
        <w:pStyle w:val="FootnoteText"/>
        <w:tabs>
          <w:tab w:val="left" w:pos="284"/>
        </w:tabs>
      </w:pPr>
      <w:r>
        <w:rPr>
          <w:rStyle w:val="FootnoteReference"/>
        </w:rPr>
        <w:footnoteRef/>
      </w:r>
      <w:r>
        <w:t xml:space="preserve"> </w:t>
      </w:r>
      <w:r w:rsidR="0021242D">
        <w:tab/>
      </w:r>
      <w:r w:rsidR="006E6C0C" w:rsidRPr="006E6C0C">
        <w:t>This project was part funded in 2023 by the Government Investment in Decarbonising Industry Fund.</w:t>
      </w:r>
      <w:r w:rsidR="00086064">
        <w:tab/>
      </w:r>
      <w:r w:rsidRPr="00430B4A">
        <w:t xml:space="preserve">NZ Steel expects to have the </w:t>
      </w:r>
      <w:r>
        <w:t xml:space="preserve">Electric Arc Furnace </w:t>
      </w:r>
      <w:r w:rsidRPr="00430B4A">
        <w:t>running by 202</w:t>
      </w:r>
      <w:r>
        <w:t>6</w:t>
      </w:r>
      <w:r w:rsidRPr="00430B4A">
        <w:t xml:space="preserve">, reducing the company’s emissions by </w:t>
      </w:r>
      <w:r w:rsidR="0021242D">
        <w:tab/>
      </w:r>
      <w:r w:rsidRPr="00430B4A">
        <w:t>800,000 tonnes of CO</w:t>
      </w:r>
      <w:r w:rsidRPr="00DA7BC3">
        <w:rPr>
          <w:vertAlign w:val="superscript"/>
        </w:rPr>
        <w:t>2</w:t>
      </w:r>
      <w:r w:rsidRPr="00430B4A">
        <w:t>-e per annum, which will be a permanent reduction to its demand for NZUs.</w:t>
      </w:r>
      <w:r w:rsidR="00196FAF">
        <w:t xml:space="preserve"> Some </w:t>
      </w:r>
      <w:r w:rsidR="00BE6B63">
        <w:tab/>
      </w:r>
      <w:r w:rsidR="00196FAF">
        <w:t>of that deman</w:t>
      </w:r>
      <w:r w:rsidR="005C43A3">
        <w:t>d</w:t>
      </w:r>
      <w:r w:rsidR="00196FAF">
        <w:t xml:space="preserve"> would have been met through industrial allocation. </w:t>
      </w:r>
    </w:p>
  </w:footnote>
  <w:footnote w:id="7">
    <w:p w14:paraId="49697CC4" w14:textId="77777777" w:rsidR="00D419B6" w:rsidRDefault="00D419B6" w:rsidP="00C06C68">
      <w:pPr>
        <w:pStyle w:val="FootnoteText"/>
        <w:tabs>
          <w:tab w:val="left" w:pos="284"/>
        </w:tabs>
      </w:pPr>
      <w:r w:rsidRPr="4BE344E1">
        <w:rPr>
          <w:rStyle w:val="FootnoteReference"/>
        </w:rPr>
        <w:footnoteRef/>
      </w:r>
      <w:r>
        <w:t xml:space="preserve"> </w:t>
      </w:r>
      <w:r>
        <w:tab/>
      </w:r>
      <w:r w:rsidRPr="4BE344E1">
        <w:rPr>
          <w:rFonts w:eastAsia="Calibri" w:cs="Calibri"/>
        </w:rPr>
        <w:t>He Pou a Rangi | Climate Change Commission.</w:t>
      </w:r>
      <w:r w:rsidRPr="4BE344E1">
        <w:rPr>
          <w:rFonts w:eastAsia="Calibri" w:cs="Calibri"/>
          <w:i/>
          <w:iCs/>
        </w:rPr>
        <w:t xml:space="preserve"> </w:t>
      </w:r>
      <w:hyperlink r:id="rId5">
        <w:r w:rsidRPr="4BE344E1">
          <w:rPr>
            <w:rStyle w:val="Hyperlink"/>
            <w:rFonts w:eastAsia="Calibri" w:cs="Calibri"/>
            <w:i/>
            <w:iCs/>
          </w:rPr>
          <w:t>Ināia tonu nei: a low emissions future for Aotearoa</w:t>
        </w:r>
      </w:hyperlink>
      <w:r w:rsidRPr="4BE344E1">
        <w:rPr>
          <w:rFonts w:eastAsia="Calibri" w:cs="Calibri"/>
        </w:rPr>
        <w:t xml:space="preserve">. </w:t>
      </w:r>
    </w:p>
  </w:footnote>
  <w:footnote w:id="8">
    <w:p w14:paraId="4C4CEDB2" w14:textId="71A7BB96" w:rsidR="00332F6B" w:rsidRDefault="00332F6B" w:rsidP="00C06C68">
      <w:pPr>
        <w:pStyle w:val="FootnoteText"/>
        <w:tabs>
          <w:tab w:val="left" w:pos="284"/>
        </w:tabs>
      </w:pPr>
      <w:r>
        <w:rPr>
          <w:rStyle w:val="FootnoteReference"/>
        </w:rPr>
        <w:footnoteRef/>
      </w:r>
      <w:r>
        <w:t xml:space="preserve"> </w:t>
      </w:r>
      <w:r w:rsidR="001955B0">
        <w:tab/>
      </w:r>
      <w:r>
        <w:t xml:space="preserve">For further information, please refer to the </w:t>
      </w:r>
      <w:r w:rsidR="00940A20">
        <w:t xml:space="preserve">Commission’s </w:t>
      </w:r>
      <w:hyperlink r:id="rId6" w:history="1">
        <w:r w:rsidR="00AF0A37" w:rsidRPr="00CC1232">
          <w:rPr>
            <w:rStyle w:val="Hyperlink"/>
          </w:rPr>
          <w:t>T</w:t>
        </w:r>
        <w:r w:rsidR="00940A20" w:rsidRPr="00CC1232">
          <w:rPr>
            <w:rStyle w:val="Hyperlink"/>
          </w:rPr>
          <w:t xml:space="preserve">echnical </w:t>
        </w:r>
        <w:r w:rsidR="00AF0A37" w:rsidRPr="00CC1232">
          <w:rPr>
            <w:rStyle w:val="Hyperlink"/>
          </w:rPr>
          <w:t>A</w:t>
        </w:r>
        <w:r w:rsidR="00940A20" w:rsidRPr="00CC1232">
          <w:rPr>
            <w:rStyle w:val="Hyperlink"/>
          </w:rPr>
          <w:t>nnex 1</w:t>
        </w:r>
        <w:r w:rsidR="00AF0A37" w:rsidRPr="00CC1232">
          <w:rPr>
            <w:rStyle w:val="Hyperlink"/>
          </w:rPr>
          <w:t>, from step 2 on page 4</w:t>
        </w:r>
      </w:hyperlink>
      <w:r w:rsidR="001955B0">
        <w:t>.</w:t>
      </w:r>
    </w:p>
  </w:footnote>
  <w:footnote w:id="9">
    <w:p w14:paraId="79C4E9FF" w14:textId="5E965B51" w:rsidR="00AF0A37" w:rsidRDefault="00AF0A37" w:rsidP="00C06C68">
      <w:pPr>
        <w:pStyle w:val="FootnoteText"/>
        <w:tabs>
          <w:tab w:val="left" w:pos="284"/>
        </w:tabs>
      </w:pPr>
      <w:r>
        <w:rPr>
          <w:rStyle w:val="FootnoteReference"/>
        </w:rPr>
        <w:footnoteRef/>
      </w:r>
      <w:r>
        <w:t xml:space="preserve"> </w:t>
      </w:r>
      <w:r w:rsidR="00871DAF">
        <w:tab/>
      </w:r>
      <w:r>
        <w:t xml:space="preserve">For further information, see the Commission’s </w:t>
      </w:r>
      <w:hyperlink r:id="rId7" w:history="1">
        <w:r w:rsidRPr="00CC1232">
          <w:rPr>
            <w:rStyle w:val="Hyperlink"/>
          </w:rPr>
          <w:t xml:space="preserve">Technical Annex 1, </w:t>
        </w:r>
        <w:r w:rsidR="00971792" w:rsidRPr="00CC1232">
          <w:rPr>
            <w:rStyle w:val="Hyperlink"/>
          </w:rPr>
          <w:t xml:space="preserve">from page </w:t>
        </w:r>
        <w:r w:rsidR="005D1789" w:rsidRPr="00CC1232">
          <w:rPr>
            <w:rStyle w:val="Hyperlink"/>
          </w:rPr>
          <w:t>6</w:t>
        </w:r>
      </w:hyperlink>
      <w:r w:rsidR="00871DAF">
        <w:t>.</w:t>
      </w:r>
    </w:p>
  </w:footnote>
  <w:footnote w:id="10">
    <w:p w14:paraId="0B65471C" w14:textId="1F026226" w:rsidR="005D1789" w:rsidRDefault="005D1789" w:rsidP="00B92DA7">
      <w:pPr>
        <w:pStyle w:val="FootnoteText"/>
        <w:tabs>
          <w:tab w:val="left" w:pos="284"/>
        </w:tabs>
      </w:pPr>
      <w:r>
        <w:rPr>
          <w:rStyle w:val="FootnoteReference"/>
        </w:rPr>
        <w:footnoteRef/>
      </w:r>
      <w:r>
        <w:t xml:space="preserve"> </w:t>
      </w:r>
      <w:r w:rsidR="00FA10E5">
        <w:tab/>
      </w:r>
      <w:r>
        <w:t xml:space="preserve">For further information, see the Commission’s </w:t>
      </w:r>
      <w:hyperlink r:id="rId8" w:history="1">
        <w:r w:rsidRPr="009E7448">
          <w:rPr>
            <w:rStyle w:val="Hyperlink"/>
          </w:rPr>
          <w:t xml:space="preserve">Technical Annex 1, from page </w:t>
        </w:r>
        <w:r w:rsidR="00A5257A" w:rsidRPr="009E7448">
          <w:rPr>
            <w:rStyle w:val="Hyperlink"/>
          </w:rPr>
          <w:t>12</w:t>
        </w:r>
      </w:hyperlink>
      <w:r w:rsidR="00FA10E5">
        <w:t>.</w:t>
      </w:r>
    </w:p>
  </w:footnote>
  <w:footnote w:id="11">
    <w:p w14:paraId="7F067429" w14:textId="1B1F859B" w:rsidR="001A7C31" w:rsidRPr="00DA7BC3" w:rsidRDefault="001A7C31" w:rsidP="00D52347">
      <w:pPr>
        <w:pStyle w:val="FootnoteText"/>
        <w:tabs>
          <w:tab w:val="left" w:pos="284"/>
        </w:tabs>
        <w:rPr>
          <w:rFonts w:eastAsia="Calibri" w:cs="Calibri"/>
        </w:rPr>
      </w:pPr>
      <w:r>
        <w:rPr>
          <w:rStyle w:val="FootnoteReference"/>
        </w:rPr>
        <w:footnoteRef/>
      </w:r>
      <w:r>
        <w:t xml:space="preserve"> </w:t>
      </w:r>
      <w:r w:rsidR="00087D99">
        <w:tab/>
      </w:r>
      <w:r w:rsidRPr="00DA7BC3">
        <w:rPr>
          <w:szCs w:val="19"/>
        </w:rPr>
        <w:t>He Pou a Rangi | Climate Change Commission. 2022</w:t>
      </w:r>
      <w:r w:rsidRPr="00DA7BC3">
        <w:rPr>
          <w:i/>
          <w:szCs w:val="19"/>
        </w:rPr>
        <w:t xml:space="preserve">. </w:t>
      </w:r>
      <w:hyperlink r:id="rId9" w:history="1">
        <w:r w:rsidRPr="001D465F">
          <w:rPr>
            <w:rStyle w:val="Hyperlink"/>
            <w:rFonts w:eastAsia="Calibri" w:cs="Calibri"/>
            <w:i/>
            <w:iCs/>
            <w:szCs w:val="19"/>
          </w:rPr>
          <w:t xml:space="preserve">Advice on NZ ETS unit limits and price control </w:t>
        </w:r>
        <w:r w:rsidR="00087D99">
          <w:rPr>
            <w:rStyle w:val="Hyperlink"/>
            <w:rFonts w:eastAsia="Calibri" w:cs="Calibri"/>
            <w:i/>
            <w:iCs/>
            <w:szCs w:val="19"/>
          </w:rPr>
          <w:tab/>
        </w:r>
        <w:r w:rsidRPr="001D465F">
          <w:rPr>
            <w:rStyle w:val="Hyperlink"/>
            <w:rFonts w:eastAsia="Calibri" w:cs="Calibri"/>
            <w:i/>
            <w:iCs/>
            <w:szCs w:val="19"/>
          </w:rPr>
          <w:t>settings for 2023–2027</w:t>
        </w:r>
      </w:hyperlink>
      <w:r w:rsidRPr="00DA7BC3">
        <w:rPr>
          <w:i/>
          <w:szCs w:val="19"/>
        </w:rPr>
        <w:t xml:space="preserve">. </w:t>
      </w:r>
      <w:r w:rsidRPr="00DA7BC3">
        <w:rPr>
          <w:szCs w:val="19"/>
        </w:rPr>
        <w:t>Wellington: Climate Change Commission. Section 3.8.2</w:t>
      </w:r>
      <w:r w:rsidR="00087D99" w:rsidRPr="00DA7BC3">
        <w:rPr>
          <w:szCs w:val="19"/>
        </w:rPr>
        <w:t>.</w:t>
      </w:r>
    </w:p>
  </w:footnote>
  <w:footnote w:id="12">
    <w:p w14:paraId="2A530153" w14:textId="6CBCB883" w:rsidR="00315C8E" w:rsidRDefault="00315C8E" w:rsidP="00273EAF">
      <w:pPr>
        <w:pStyle w:val="FootnoteText"/>
        <w:tabs>
          <w:tab w:val="left" w:pos="284"/>
        </w:tabs>
      </w:pPr>
      <w:r>
        <w:rPr>
          <w:rStyle w:val="FootnoteReference"/>
        </w:rPr>
        <w:footnoteRef/>
      </w:r>
      <w:r w:rsidR="00273EAF">
        <w:tab/>
      </w:r>
      <w:r w:rsidR="00772ABB">
        <w:t xml:space="preserve">See </w:t>
      </w:r>
      <w:r w:rsidR="00772ABB" w:rsidRPr="00B92DA7">
        <w:t xml:space="preserve">section 30GB(5) of the </w:t>
      </w:r>
      <w:r w:rsidR="00712AFC" w:rsidRPr="00B92DA7">
        <w:t>C</w:t>
      </w:r>
      <w:r w:rsidR="00712AFC">
        <w:t>late Change Response Act 2002</w:t>
      </w:r>
      <w:r w:rsidR="00772ABB">
        <w:t xml:space="preserve"> which includes “(b) </w:t>
      </w:r>
      <w:r w:rsidR="00772ABB" w:rsidRPr="007A6CB4">
        <w:rPr>
          <w:i/>
          <w:iCs/>
        </w:rPr>
        <w:t xml:space="preserve">the Minister is satisfied </w:t>
      </w:r>
      <w:r w:rsidR="00273EAF">
        <w:rPr>
          <w:i/>
          <w:iCs/>
        </w:rPr>
        <w:tab/>
      </w:r>
      <w:r w:rsidR="00772ABB" w:rsidRPr="007A6CB4">
        <w:rPr>
          <w:i/>
          <w:iCs/>
        </w:rPr>
        <w:t>that the amendment is</w:t>
      </w:r>
      <w:r w:rsidR="00772ABB">
        <w:rPr>
          <w:i/>
          <w:iCs/>
        </w:rPr>
        <w:t xml:space="preserve"> </w:t>
      </w:r>
      <w:r w:rsidR="00772ABB" w:rsidRPr="007A6CB4">
        <w:rPr>
          <w:i/>
          <w:iCs/>
        </w:rPr>
        <w:t xml:space="preserve">justified by … (i) a change that has significantly affected any matter that the </w:t>
      </w:r>
      <w:r w:rsidR="00273EAF">
        <w:rPr>
          <w:i/>
          <w:iCs/>
        </w:rPr>
        <w:tab/>
      </w:r>
      <w:r w:rsidR="00772ABB" w:rsidRPr="007A6CB4">
        <w:rPr>
          <w:i/>
          <w:iCs/>
        </w:rPr>
        <w:t xml:space="preserve">Minister was required to consider under section 30GC when recommending the limits and price control </w:t>
      </w:r>
      <w:r w:rsidR="00273EAF">
        <w:rPr>
          <w:i/>
          <w:iCs/>
        </w:rPr>
        <w:tab/>
      </w:r>
      <w:r w:rsidR="00772ABB" w:rsidRPr="007A6CB4">
        <w:rPr>
          <w:i/>
          <w:iCs/>
        </w:rPr>
        <w:t>settings that are to be amended</w:t>
      </w:r>
      <w:r w:rsidR="00772ABB">
        <w:rPr>
          <w:i/>
          <w:iCs/>
        </w:rPr>
        <w:t>.</w:t>
      </w:r>
      <w:r w:rsidR="00772ABB">
        <w:t>”</w:t>
      </w:r>
    </w:p>
  </w:footnote>
  <w:footnote w:id="13">
    <w:p w14:paraId="64764594" w14:textId="2DA7DD68" w:rsidR="00EE4571" w:rsidRDefault="00EE4571" w:rsidP="005A154E">
      <w:pPr>
        <w:pStyle w:val="BodyText"/>
        <w:tabs>
          <w:tab w:val="left" w:pos="284"/>
        </w:tabs>
      </w:pPr>
      <w:r>
        <w:rPr>
          <w:rStyle w:val="FootnoteReference"/>
        </w:rPr>
        <w:footnoteRef/>
      </w:r>
      <w:r>
        <w:t xml:space="preserve"> </w:t>
      </w:r>
      <w:r w:rsidR="005A154E">
        <w:tab/>
      </w:r>
      <w:r w:rsidRPr="005A154E">
        <w:rPr>
          <w:sz w:val="19"/>
          <w:szCs w:val="19"/>
        </w:rPr>
        <w:t xml:space="preserve">A full description of the model and the model itself is available on the </w:t>
      </w:r>
      <w:hyperlink r:id="rId10" w:history="1">
        <w:r w:rsidRPr="005A154E">
          <w:rPr>
            <w:rStyle w:val="Hyperlink"/>
            <w:sz w:val="19"/>
            <w:szCs w:val="19"/>
          </w:rPr>
          <w:t xml:space="preserve">Ministry for the Environment </w:t>
        </w:r>
        <w:r w:rsidR="005A154E">
          <w:rPr>
            <w:rStyle w:val="Hyperlink"/>
            <w:sz w:val="19"/>
            <w:szCs w:val="19"/>
          </w:rPr>
          <w:tab/>
        </w:r>
        <w:r w:rsidRPr="005A154E">
          <w:rPr>
            <w:rStyle w:val="Hyperlink"/>
            <w:sz w:val="19"/>
            <w:szCs w:val="19"/>
          </w:rPr>
          <w:t>website</w:t>
        </w:r>
      </w:hyperlink>
      <w:r w:rsidRPr="005A154E">
        <w:rPr>
          <w:sz w:val="19"/>
          <w:szCs w:val="19"/>
        </w:rPr>
        <w:t>.</w:t>
      </w:r>
    </w:p>
  </w:footnote>
  <w:footnote w:id="14">
    <w:p w14:paraId="15A57592" w14:textId="76D8453A" w:rsidR="00DC1BDD" w:rsidRDefault="00DC1BDD" w:rsidP="003918C5">
      <w:pPr>
        <w:pStyle w:val="FootnoteText"/>
        <w:tabs>
          <w:tab w:val="left" w:pos="284"/>
        </w:tabs>
      </w:pPr>
      <w:r>
        <w:rPr>
          <w:rStyle w:val="FootnoteReference"/>
        </w:rPr>
        <w:footnoteRef/>
      </w:r>
      <w:r>
        <w:t xml:space="preserve"> </w:t>
      </w:r>
      <w:r w:rsidR="005F1899">
        <w:tab/>
      </w:r>
      <w:r>
        <w:t xml:space="preserve">See </w:t>
      </w:r>
      <w:r w:rsidR="00CA6260">
        <w:t>t</w:t>
      </w:r>
      <w:r>
        <w:t>able 1</w:t>
      </w:r>
      <w:r w:rsidR="00033970">
        <w:t xml:space="preserve"> of </w:t>
      </w:r>
      <w:r w:rsidR="007902FD">
        <w:fldChar w:fldCharType="begin"/>
      </w:r>
      <w:r w:rsidR="007902FD">
        <w:fldChar w:fldCharType="separate"/>
      </w:r>
      <w:r w:rsidR="00DE2B6D">
        <w:rPr>
          <w:rStyle w:val="Hyperlink"/>
        </w:rPr>
        <w:t>He</w:t>
      </w:r>
      <w:r w:rsidR="007902FD">
        <w:rPr>
          <w:rStyle w:val="Hyperlink"/>
        </w:rPr>
        <w:fldChar w:fldCharType="end"/>
      </w:r>
      <w:r w:rsidR="00DE2B6D">
        <w:t xml:space="preserve"> Pou a </w:t>
      </w:r>
      <w:r w:rsidR="003E2AEA">
        <w:tab/>
      </w:r>
      <w:r w:rsidR="00DE2B6D">
        <w:t xml:space="preserve">Rangi Climate Change Commission’s </w:t>
      </w:r>
      <w:hyperlink r:id="rId11" w:history="1">
        <w:r w:rsidR="00DE2B6D" w:rsidRPr="003E2AEA">
          <w:rPr>
            <w:rStyle w:val="Hyperlink"/>
          </w:rPr>
          <w:t xml:space="preserve">Advice on NZETS unit limits and price control </w:t>
        </w:r>
        <w:r w:rsidR="00DE38EF">
          <w:rPr>
            <w:rStyle w:val="Hyperlink"/>
          </w:rPr>
          <w:tab/>
        </w:r>
        <w:r w:rsidR="00DE2B6D" w:rsidRPr="003E2AEA">
          <w:rPr>
            <w:rStyle w:val="Hyperlink"/>
          </w:rPr>
          <w:t>settings for2025-2029 Technical Annex 1: Unit limit setting</w:t>
        </w:r>
      </w:hyperlink>
      <w:r w:rsidR="00DE2B6D">
        <w:t>.</w:t>
      </w:r>
    </w:p>
  </w:footnote>
  <w:footnote w:id="15">
    <w:p w14:paraId="5E03641A" w14:textId="2814BCE6" w:rsidR="00493D84" w:rsidRDefault="00493D84" w:rsidP="008D686E">
      <w:pPr>
        <w:pStyle w:val="FootnoteText"/>
        <w:tabs>
          <w:tab w:val="left" w:pos="284"/>
        </w:tabs>
      </w:pPr>
      <w:r>
        <w:rPr>
          <w:rStyle w:val="FootnoteReference"/>
        </w:rPr>
        <w:footnoteRef/>
      </w:r>
      <w:r>
        <w:t xml:space="preserve"> </w:t>
      </w:r>
      <w:r w:rsidR="008A10AC">
        <w:tab/>
      </w:r>
      <w:r w:rsidR="00B07357">
        <w:t>The Commission’s data does not include the latest Greenhouse Gas Inventory data</w:t>
      </w:r>
      <w:r w:rsidR="00BA3F64">
        <w:t>,</w:t>
      </w:r>
      <w:r w:rsidR="00B07357">
        <w:t xml:space="preserve"> which was </w:t>
      </w:r>
      <w:r w:rsidR="00B07357">
        <w:tab/>
        <w:t xml:space="preserve">released on 18 April 2024, after the Commission’s advice. Due to methodological changes, emissions from </w:t>
      </w:r>
      <w:r w:rsidR="00CB79F0">
        <w:tab/>
      </w:r>
      <w:r w:rsidR="00B07357">
        <w:t>the agricultural sector were revised upwards by about 1.8Mt in 2021.</w:t>
      </w:r>
    </w:p>
  </w:footnote>
  <w:footnote w:id="16">
    <w:p w14:paraId="30176D90" w14:textId="3F854065" w:rsidR="00BF0CD6" w:rsidRDefault="00BF0CD6" w:rsidP="005F1899">
      <w:pPr>
        <w:pStyle w:val="FootnoteText"/>
        <w:tabs>
          <w:tab w:val="left" w:pos="284"/>
        </w:tabs>
      </w:pPr>
      <w:r>
        <w:rPr>
          <w:rStyle w:val="FootnoteReference"/>
        </w:rPr>
        <w:footnoteRef/>
      </w:r>
      <w:r>
        <w:t xml:space="preserve"> </w:t>
      </w:r>
      <w:r w:rsidR="005F1899">
        <w:tab/>
      </w:r>
      <w:r w:rsidR="00113260">
        <w:t>Emissions budgets set the total quantity of net emissions</w:t>
      </w:r>
      <w:r w:rsidR="00204587">
        <w:t xml:space="preserve"> that is allowed to be released </w:t>
      </w:r>
      <w:r w:rsidR="009F6ABB">
        <w:t xml:space="preserve">during an </w:t>
      </w:r>
      <w:r w:rsidR="005F1899">
        <w:tab/>
      </w:r>
      <w:r w:rsidR="009F6ABB">
        <w:t>emissions budget period.</w:t>
      </w:r>
      <w:r w:rsidR="001E7B7F">
        <w:t xml:space="preserve"> Emissions budgets will act as stepping stones to reaching the 2050 emissions </w:t>
      </w:r>
      <w:r w:rsidR="005F1899">
        <w:tab/>
      </w:r>
      <w:r w:rsidR="001E7B7F">
        <w:t>reductions targets. See</w:t>
      </w:r>
      <w:r w:rsidR="004C3CDF">
        <w:t xml:space="preserve"> </w:t>
      </w:r>
      <w:r w:rsidR="00A04EF5">
        <w:t xml:space="preserve">the </w:t>
      </w:r>
      <w:hyperlink r:id="rId12" w:history="1">
        <w:r w:rsidR="00A04EF5" w:rsidRPr="00A04EF5">
          <w:rPr>
            <w:rStyle w:val="Hyperlink"/>
          </w:rPr>
          <w:t>Ministry for the Environment website</w:t>
        </w:r>
      </w:hyperlink>
      <w:r w:rsidR="004C3CDF">
        <w:t xml:space="preserve"> for further information.</w:t>
      </w:r>
    </w:p>
  </w:footnote>
  <w:footnote w:id="17">
    <w:p w14:paraId="3DC307D8" w14:textId="78267618" w:rsidR="00AB3AC9" w:rsidRPr="000E74CC" w:rsidRDefault="00AB3AC9" w:rsidP="5B83D33B">
      <w:pPr>
        <w:pStyle w:val="FootnoteText"/>
        <w:tabs>
          <w:tab w:val="left" w:pos="284"/>
        </w:tabs>
        <w:ind w:left="142" w:hanging="142"/>
      </w:pPr>
      <w:r>
        <w:rPr>
          <w:rStyle w:val="FootnoteReference"/>
        </w:rPr>
        <w:footnoteRef/>
      </w:r>
      <w:r>
        <w:t xml:space="preserve"> </w:t>
      </w:r>
      <w:r w:rsidR="005A154E">
        <w:tab/>
      </w:r>
      <w:r>
        <w:t>The</w:t>
      </w:r>
      <w:r w:rsidR="00FD6503">
        <w:t xml:space="preserve"> surplus</w:t>
      </w:r>
      <w:r w:rsidDel="00B15B3F">
        <w:t xml:space="preserve"> </w:t>
      </w:r>
      <w:r>
        <w:t xml:space="preserve">of NZUs poses a risk to the achievement of emissions budgets because emitters could choose </w:t>
      </w:r>
      <w:r w:rsidR="00650872">
        <w:tab/>
      </w:r>
      <w:r>
        <w:t xml:space="preserve">to use these units to meet surrender obligations rather than reduce emissions at source. This is a risk to </w:t>
      </w:r>
      <w:r w:rsidR="00650872">
        <w:tab/>
      </w:r>
      <w:r>
        <w:t xml:space="preserve">the budgets as </w:t>
      </w:r>
      <w:r w:rsidR="00B15B3F">
        <w:t xml:space="preserve">the use of these units </w:t>
      </w:r>
      <w:r>
        <w:t xml:space="preserve">can shift the timing of emissions reductions </w:t>
      </w:r>
      <w:r w:rsidR="0285D76A">
        <w:t xml:space="preserve">from one period to </w:t>
      </w:r>
      <w:r w:rsidR="00650872">
        <w:tab/>
      </w:r>
      <w:r w:rsidR="0285D76A">
        <w:t>another</w:t>
      </w:r>
      <w:r w:rsidR="27182F37">
        <w:t>.</w:t>
      </w:r>
    </w:p>
  </w:footnote>
  <w:footnote w:id="18">
    <w:p w14:paraId="1E630271" w14:textId="7162C765" w:rsidR="006F54FC" w:rsidRDefault="006F54FC" w:rsidP="00E901B2">
      <w:pPr>
        <w:pStyle w:val="FootnoteText"/>
        <w:tabs>
          <w:tab w:val="left" w:pos="284"/>
        </w:tabs>
      </w:pPr>
      <w:r>
        <w:rPr>
          <w:rStyle w:val="FootnoteReference"/>
        </w:rPr>
        <w:footnoteRef/>
      </w:r>
      <w:r>
        <w:t xml:space="preserve"> </w:t>
      </w:r>
      <w:r w:rsidR="00E901B2">
        <w:tab/>
      </w:r>
      <w:r>
        <w:t xml:space="preserve">The roles are explained by the Commission from page </w:t>
      </w:r>
      <w:r w:rsidR="008D5AFC">
        <w:t>61</w:t>
      </w:r>
      <w:r>
        <w:t xml:space="preserve"> of their report </w:t>
      </w:r>
      <w:hyperlink r:id="rId13" w:history="1">
        <w:r w:rsidR="00824D70" w:rsidRPr="004E5D3B">
          <w:rPr>
            <w:rStyle w:val="Hyperlink"/>
            <w:i/>
            <w:iCs/>
          </w:rPr>
          <w:t xml:space="preserve">Advice on NZ ETS unit limits and </w:t>
        </w:r>
        <w:r w:rsidR="00E901B2">
          <w:rPr>
            <w:rStyle w:val="Hyperlink"/>
            <w:i/>
            <w:iCs/>
          </w:rPr>
          <w:tab/>
        </w:r>
        <w:r w:rsidR="00824D70" w:rsidRPr="004E5D3B">
          <w:rPr>
            <w:rStyle w:val="Hyperlink"/>
            <w:i/>
            <w:iCs/>
          </w:rPr>
          <w:t>price control settings for 2023-2027 (July 2022)</w:t>
        </w:r>
      </w:hyperlink>
      <w:r w:rsidR="00E901B2" w:rsidRPr="00E901B2">
        <w:t>.</w:t>
      </w:r>
    </w:p>
  </w:footnote>
  <w:footnote w:id="19">
    <w:p w14:paraId="4F59B987" w14:textId="698AE1DA" w:rsidR="00683FA2" w:rsidRPr="000578D4" w:rsidRDefault="00683FA2" w:rsidP="00D52347">
      <w:pPr>
        <w:pStyle w:val="FootnoteText"/>
        <w:tabs>
          <w:tab w:val="left" w:pos="284"/>
        </w:tabs>
      </w:pPr>
      <w:r w:rsidRPr="000578D4">
        <w:rPr>
          <w:rStyle w:val="FootnoteReference"/>
          <w:sz w:val="18"/>
          <w:szCs w:val="18"/>
        </w:rPr>
        <w:footnoteRef/>
      </w:r>
      <w:r w:rsidRPr="230F25F2">
        <w:t xml:space="preserve"> </w:t>
      </w:r>
      <w:r w:rsidR="00B71F8A">
        <w:tab/>
      </w:r>
      <w:r w:rsidRPr="230F25F2">
        <w:t>This assumes 100 per cent and instantaneous pass</w:t>
      </w:r>
      <w:r>
        <w:t xml:space="preserve"> </w:t>
      </w:r>
      <w:r w:rsidRPr="230F25F2">
        <w:t xml:space="preserve">through of </w:t>
      </w:r>
      <w:r w:rsidR="001A1BD8">
        <w:t xml:space="preserve">NZ </w:t>
      </w:r>
      <w:r w:rsidRPr="230F25F2">
        <w:t xml:space="preserve">ETS costs to households and does not </w:t>
      </w:r>
      <w:r w:rsidR="00B71F8A">
        <w:tab/>
      </w:r>
      <w:r w:rsidRPr="230F25F2">
        <w:t>account for behaviour change. Therefore, this is an upper</w:t>
      </w:r>
      <w:r>
        <w:t xml:space="preserve"> </w:t>
      </w:r>
      <w:r w:rsidRPr="230F25F2">
        <w:t>bound estimate of the impact.</w:t>
      </w:r>
    </w:p>
  </w:footnote>
  <w:footnote w:id="20">
    <w:p w14:paraId="6BA1EE6B" w14:textId="635D701A" w:rsidR="00683FA2" w:rsidRPr="008E6CCD" w:rsidRDefault="00683FA2" w:rsidP="00D52347">
      <w:pPr>
        <w:pStyle w:val="FootnoteText"/>
        <w:tabs>
          <w:tab w:val="left" w:pos="284"/>
        </w:tabs>
      </w:pPr>
      <w:r w:rsidRPr="000578D4">
        <w:rPr>
          <w:rStyle w:val="FootnoteReference"/>
          <w:sz w:val="18"/>
          <w:szCs w:val="18"/>
        </w:rPr>
        <w:footnoteRef/>
      </w:r>
      <w:r>
        <w:t xml:space="preserve"> </w:t>
      </w:r>
      <w:r w:rsidR="00D52347">
        <w:tab/>
      </w:r>
      <w:r>
        <w:t xml:space="preserve">This assumes 100 per cent instantaneous pass through of ETS costs to households, and no resulting </w:t>
      </w:r>
      <w:r w:rsidR="00D52347">
        <w:tab/>
      </w:r>
      <w:r>
        <w:t>change in household consumption. Therefore, this is an upper bound estimate of the impact on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816C" w14:textId="77777777" w:rsidR="00B8732C" w:rsidRPr="00DE7BF8" w:rsidRDefault="00B8732C">
    <w:pPr>
      <w:pStyle w:val="Header"/>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D96" w14:textId="7E44A5D1" w:rsidR="00E5210B" w:rsidRDefault="00E5210B"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D729" w14:textId="1F7CCAEE" w:rsidR="00E5210B" w:rsidRDefault="00E5210B" w:rsidP="00CE7C4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1192" w14:textId="35AB4366" w:rsidR="0017179D" w:rsidRDefault="0089601A">
    <w:pPr>
      <w:pStyle w:val="Header"/>
    </w:pPr>
    <w:r>
      <w:rPr>
        <w:noProof/>
      </w:rPr>
      <mc:AlternateContent>
        <mc:Choice Requires="wps">
          <w:drawing>
            <wp:anchor distT="0" distB="0" distL="114300" distR="114300" simplePos="0" relativeHeight="251658249" behindDoc="1" locked="0" layoutInCell="0" allowOverlap="1" wp14:anchorId="0A7370F5" wp14:editId="61153675">
              <wp:simplePos x="0" y="0"/>
              <wp:positionH relativeFrom="margin">
                <wp:align>center</wp:align>
              </wp:positionH>
              <wp:positionV relativeFrom="margin">
                <wp:align>center</wp:align>
              </wp:positionV>
              <wp:extent cx="4758690" cy="2854960"/>
              <wp:effectExtent l="0" t="0" r="0" b="0"/>
              <wp:wrapNone/>
              <wp:docPr id="4" name="PowerPlusWaterMarkObject95220153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767676" w14:textId="77777777" w:rsidR="0089601A" w:rsidRDefault="0089601A" w:rsidP="0089601A">
                          <w:pPr>
                            <w:jc w:val="center"/>
                            <w:rPr>
                              <w:rFonts w:cs="Calibri"/>
                              <w:color w:val="C0C0C0"/>
                              <w:sz w:val="16"/>
                              <w:szCs w:val="16"/>
                              <w14:textFill>
                                <w14:solidFill>
                                  <w14:srgbClr w14:val="C0C0C0">
                                    <w14:alpha w14:val="50000"/>
                                  </w14:srgbClr>
                                </w14:solidFill>
                              </w14:textFill>
                            </w:rPr>
                          </w:pPr>
                          <w:r>
                            <w:rPr>
                              <w:rFonts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7370F5" id="_x0000_t202" coordsize="21600,21600" o:spt="202" path="m,l,21600r21600,l21600,xe">
              <v:stroke joinstyle="miter"/>
              <v:path gradientshapeok="t" o:connecttype="rect"/>
            </v:shapetype>
            <v:shape id="PowerPlusWaterMarkObject952201531" o:spid="_x0000_s1027" type="#_x0000_t202" style="position:absolute;left:0;text-align:left;margin-left:0;margin-top:0;width:374.7pt;height:224.8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1THQ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" o:allowincell="f" filled="f" stroked="f">
              <v:stroke joinstyle="round"/>
              <o:lock v:ext="edit" rotation="t" aspectratio="t" verticies="t" adjusthandles="t" grouping="t" shapetype="t"/>
              <v:textbox>
                <w:txbxContent>
                  <w:p w14:paraId="4D767676" w14:textId="77777777" w:rsidR="0089601A" w:rsidRDefault="0089601A" w:rsidP="0089601A">
                    <w:pPr>
                      <w:jc w:val="center"/>
                      <w:rPr>
                        <w:rFonts w:cs="Calibri"/>
                        <w:color w:val="C0C0C0"/>
                        <w:sz w:val="16"/>
                        <w:szCs w:val="16"/>
                        <w14:textFill>
                          <w14:solidFill>
                            <w14:srgbClr w14:val="C0C0C0">
                              <w14:alpha w14:val="50000"/>
                            </w14:srgbClr>
                          </w14:solidFill>
                        </w14:textFill>
                      </w:rPr>
                    </w:pPr>
                    <w:r>
                      <w:rPr>
                        <w:rFonts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B8732C">
      <w:rPr>
        <w:noProof/>
      </w:rPr>
      <mc:AlternateContent>
        <mc:Choice Requires="wps">
          <w:drawing>
            <wp:anchor distT="0" distB="0" distL="0" distR="0" simplePos="0" relativeHeight="251658246" behindDoc="0" locked="0" layoutInCell="1" allowOverlap="1" wp14:anchorId="1681655C" wp14:editId="7D1A3A7B">
              <wp:simplePos x="635" y="635"/>
              <wp:positionH relativeFrom="page">
                <wp:align>center</wp:align>
              </wp:positionH>
              <wp:positionV relativeFrom="page">
                <wp:align>top</wp:align>
              </wp:positionV>
              <wp:extent cx="443865" cy="443865"/>
              <wp:effectExtent l="0" t="0" r="2540" b="12700"/>
              <wp:wrapNone/>
              <wp:docPr id="1508392336"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50442" w14:textId="77777777" w:rsidR="00B8732C" w:rsidRPr="0017179D" w:rsidRDefault="00B8732C"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1681655C" id="Text Box 4" o:spid="_x0000_s1028" type="#_x0000_t202" alt="[IN-CONFIDENCE]"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4050442" w14:textId="77777777" w:rsidR="00B8732C" w:rsidRPr="0017179D" w:rsidRDefault="00B8732C"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A59" w14:textId="79C73DC5" w:rsidR="0017179D" w:rsidRDefault="0089601A" w:rsidP="00CB4357">
    <w:pPr>
      <w:pStyle w:val="Header"/>
      <w:jc w:val="both"/>
    </w:pPr>
    <w:r>
      <w:rPr>
        <w:noProof/>
      </w:rPr>
      <mc:AlternateContent>
        <mc:Choice Requires="wps">
          <w:drawing>
            <wp:anchor distT="0" distB="0" distL="114300" distR="114300" simplePos="0" relativeHeight="251658240" behindDoc="1" locked="0" layoutInCell="0" allowOverlap="1" wp14:anchorId="7AC0AB77" wp14:editId="05D70ECF">
              <wp:simplePos x="0" y="0"/>
              <wp:positionH relativeFrom="margin">
                <wp:align>center</wp:align>
              </wp:positionH>
              <wp:positionV relativeFrom="margin">
                <wp:align>center</wp:align>
              </wp:positionV>
              <wp:extent cx="4758690" cy="2854960"/>
              <wp:effectExtent l="0" t="0" r="0" b="0"/>
              <wp:wrapNone/>
              <wp:docPr id="3" name="PowerPlusWaterMarkObject95220153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DB83" w14:textId="6C40C035" w:rsidR="0089601A" w:rsidRDefault="0089601A" w:rsidP="0089601A">
                          <w:pPr>
                            <w:jc w:val="center"/>
                            <w:rPr>
                              <w:rFonts w:cs="Calibri"/>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C0AB77" id="_x0000_t202" coordsize="21600,21600" o:spt="202" path="m,l,21600r21600,l21600,xe">
              <v:stroke joinstyle="miter"/>
              <v:path gradientshapeok="t" o:connecttype="rect"/>
            </v:shapetype>
            <v:shape id="PowerPlusWaterMarkObject952201535" o:spid="_x0000_s1030" type="#_x0000_t202" style="position:absolute;left:0;text-align:left;margin-left:0;margin-top:0;width:374.7pt;height:22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H4OqKg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5A38DB83" w14:textId="6C40C035" w:rsidR="0089601A" w:rsidRDefault="0089601A" w:rsidP="0089601A">
                    <w:pPr>
                      <w:jc w:val="center"/>
                      <w:rPr>
                        <w:rFonts w:cs="Calibri"/>
                        <w:color w:val="C0C0C0"/>
                        <w:sz w:val="16"/>
                        <w:szCs w:val="16"/>
                        <w14:textFill>
                          <w14:solidFill>
                            <w14:srgbClr w14:val="C0C0C0">
                              <w14:alpha w14:val="50000"/>
                            </w14:srgbClr>
                          </w14:solidFill>
                        </w14:textFill>
                      </w:rPr>
                    </w:pPr>
                  </w:p>
                </w:txbxContent>
              </v:textbox>
              <w10:wrap anchorx="margin" anchory="margin"/>
            </v:shape>
          </w:pict>
        </mc:Fallback>
      </mc:AlternateContent>
    </w:r>
    <w:r w:rsidR="0017179D">
      <w:rPr>
        <w:noProof/>
      </w:rPr>
      <mc:AlternateContent>
        <mc:Choice Requires="wps">
          <w:drawing>
            <wp:anchor distT="0" distB="0" distL="0" distR="0" simplePos="0" relativeHeight="251658241" behindDoc="0" locked="0" layoutInCell="1" allowOverlap="1" wp14:anchorId="43F1264E" wp14:editId="6B0F44A6">
              <wp:simplePos x="1080770" y="360680"/>
              <wp:positionH relativeFrom="page">
                <wp:align>center</wp:align>
              </wp:positionH>
              <wp:positionV relativeFrom="page">
                <wp:align>top</wp:align>
              </wp:positionV>
              <wp:extent cx="443865" cy="443865"/>
              <wp:effectExtent l="0" t="0" r="2540" b="12700"/>
              <wp:wrapNone/>
              <wp:docPr id="2011329792"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450A92" w14:textId="63C2E290" w:rsidR="0017179D" w:rsidRPr="0017179D" w:rsidRDefault="0017179D" w:rsidP="0017179D">
                          <w:pPr>
                            <w:spacing w:after="0"/>
                            <w:rPr>
                              <w:rFonts w:eastAsia="Calibri" w:cs="Calibri"/>
                              <w:noProof/>
                              <w:color w:val="000000"/>
                              <w:sz w:val="18"/>
                              <w:szCs w:val="18"/>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43F1264E" id="Text Box 8" o:spid="_x0000_s1031" type="#_x0000_t202" alt="[IN-CONFIDENCE]"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4E450A92" w14:textId="63C2E290" w:rsidR="0017179D" w:rsidRPr="0017179D" w:rsidRDefault="0017179D" w:rsidP="0017179D">
                    <w:pPr>
                      <w:spacing w:after="0"/>
                      <w:rPr>
                        <w:rFonts w:eastAsia="Calibri" w:cs="Calibri"/>
                        <w:noProof/>
                        <w:color w:val="000000"/>
                        <w:sz w:val="18"/>
                        <w:szCs w:val="18"/>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9580" w14:textId="6734E6CC" w:rsidR="0017179D" w:rsidRDefault="001717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F973" w14:textId="76536E9C" w:rsidR="0017179D" w:rsidRDefault="0089601A">
    <w:pPr>
      <w:pStyle w:val="Header"/>
    </w:pPr>
    <w:r>
      <w:rPr>
        <w:noProof/>
      </w:rPr>
      <mc:AlternateContent>
        <mc:Choice Requires="wps">
          <w:drawing>
            <wp:anchor distT="0" distB="0" distL="114300" distR="114300" simplePos="0" relativeHeight="251658243" behindDoc="1" locked="0" layoutInCell="0" allowOverlap="1" wp14:anchorId="31328098" wp14:editId="43A29EDE">
              <wp:simplePos x="0" y="0"/>
              <wp:positionH relativeFrom="margin">
                <wp:align>center</wp:align>
              </wp:positionH>
              <wp:positionV relativeFrom="margin">
                <wp:align>center</wp:align>
              </wp:positionV>
              <wp:extent cx="4758690" cy="2854960"/>
              <wp:effectExtent l="0" t="0" r="0" b="0"/>
              <wp:wrapNone/>
              <wp:docPr id="1" name="PowerPlusWaterMarkObject95220153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9CBE40" w14:textId="77777777" w:rsidR="0089601A" w:rsidRDefault="0089601A" w:rsidP="0089601A">
                          <w:pPr>
                            <w:jc w:val="center"/>
                            <w:rPr>
                              <w:rFonts w:cs="Calibri"/>
                              <w:color w:val="C0C0C0"/>
                              <w:sz w:val="16"/>
                              <w:szCs w:val="16"/>
                              <w14:textFill>
                                <w14:solidFill>
                                  <w14:srgbClr w14:val="C0C0C0">
                                    <w14:alpha w14:val="50000"/>
                                  </w14:srgbClr>
                                </w14:solidFill>
                              </w14:textFill>
                            </w:rPr>
                          </w:pPr>
                          <w:r>
                            <w:rPr>
                              <w:rFonts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328098" id="_x0000_t202" coordsize="21600,21600" o:spt="202" path="m,l,21600r21600,l21600,xe">
              <v:stroke joinstyle="miter"/>
              <v:path gradientshapeok="t" o:connecttype="rect"/>
            </v:shapetype>
            <v:shape id="PowerPlusWaterMarkObject952201534" o:spid="_x0000_s1034" type="#_x0000_t202" style="position:absolute;left:0;text-align:left;margin-left:0;margin-top:0;width:374.7pt;height:224.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WfHw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YVnSYdifkGxAG5t5jAioYfO+Ylur0zt4CBRfeUB/OEEV/6rP5EYN09Me96ChHZr5pTAjOP&#10;HEVBLDPJEPGMQKbBYO9ZQ8bZiSPT/nDP+Yia7lpYootKZ0EXnr0gzGLW2f83Key/vudTl7978RM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AyURZ8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2C9CBE40" w14:textId="77777777" w:rsidR="0089601A" w:rsidRDefault="0089601A" w:rsidP="0089601A">
                    <w:pPr>
                      <w:jc w:val="center"/>
                      <w:rPr>
                        <w:rFonts w:cs="Calibri"/>
                        <w:color w:val="C0C0C0"/>
                        <w:sz w:val="16"/>
                        <w:szCs w:val="16"/>
                        <w14:textFill>
                          <w14:solidFill>
                            <w14:srgbClr w14:val="C0C0C0">
                              <w14:alpha w14:val="50000"/>
                            </w14:srgbClr>
                          </w14:solidFill>
                        </w14:textFill>
                      </w:rPr>
                    </w:pPr>
                    <w:r>
                      <w:rPr>
                        <w:rFonts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17179D">
      <w:rPr>
        <w:noProof/>
      </w:rPr>
      <mc:AlternateContent>
        <mc:Choice Requires="wps">
          <w:drawing>
            <wp:anchor distT="0" distB="0" distL="0" distR="0" simplePos="0" relativeHeight="251658244" behindDoc="0" locked="0" layoutInCell="1" allowOverlap="1" wp14:anchorId="0DE37F3D" wp14:editId="4D89CFCE">
              <wp:simplePos x="635" y="635"/>
              <wp:positionH relativeFrom="page">
                <wp:align>center</wp:align>
              </wp:positionH>
              <wp:positionV relativeFrom="page">
                <wp:align>top</wp:align>
              </wp:positionV>
              <wp:extent cx="443865" cy="443865"/>
              <wp:effectExtent l="0" t="0" r="2540" b="12700"/>
              <wp:wrapNone/>
              <wp:docPr id="199149752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848196" w14:textId="686C05CC" w:rsidR="0017179D" w:rsidRPr="0017179D" w:rsidRDefault="0017179D"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0DE37F3D" id="Text Box 7" o:spid="_x0000_s1035" type="#_x0000_t202" alt="[IN-CONFIDENCE]"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1A848196" w14:textId="686C05CC" w:rsidR="0017179D" w:rsidRPr="0017179D" w:rsidRDefault="0017179D" w:rsidP="0017179D">
                    <w:pPr>
                      <w:spacing w:after="0"/>
                      <w:rPr>
                        <w:rFonts w:eastAsia="Calibri" w:cs="Calibri"/>
                        <w:noProof/>
                        <w:color w:val="000000"/>
                        <w:sz w:val="18"/>
                        <w:szCs w:val="18"/>
                      </w:rPr>
                    </w:pPr>
                    <w:r w:rsidRPr="0017179D">
                      <w:rPr>
                        <w:rFonts w:eastAsia="Calibri" w:cs="Calibri"/>
                        <w:noProof/>
                        <w:color w:val="000000"/>
                        <w:sz w:val="18"/>
                        <w:szCs w:val="1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6CF5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75ED8D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83AAC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178F9"/>
    <w:multiLevelType w:val="multilevel"/>
    <w:tmpl w:val="07103628"/>
    <w:lvl w:ilvl="0">
      <w:start w:val="1"/>
      <w:numFmt w:val="bullet"/>
      <w:lvlText w:val="-"/>
      <w:lvlJc w:val="left"/>
      <w:pPr>
        <w:ind w:left="794" w:hanging="397"/>
      </w:pPr>
      <w:rPr>
        <w:rFonts w:ascii="Courier New" w:hAnsi="Courier New"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D8001C"/>
    <w:multiLevelType w:val="hybridMultilevel"/>
    <w:tmpl w:val="D5687C14"/>
    <w:lvl w:ilvl="0" w:tplc="CB40E5CC">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2018F3"/>
    <w:multiLevelType w:val="multilevel"/>
    <w:tmpl w:val="CE6A3BEE"/>
    <w:lvl w:ilvl="0">
      <w:start w:val="1"/>
      <w:numFmt w:val="bullet"/>
      <w:lvlText w:val="-"/>
      <w:lvlJc w:val="left"/>
      <w:pPr>
        <w:ind w:left="794" w:hanging="397"/>
      </w:pPr>
      <w:rPr>
        <w:rFonts w:ascii="Courier New" w:hAnsi="Courier New"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3D53C61"/>
    <w:multiLevelType w:val="hybridMultilevel"/>
    <w:tmpl w:val="2C3C54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55A7D60"/>
    <w:multiLevelType w:val="hybridMultilevel"/>
    <w:tmpl w:val="577ED258"/>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abstractNum w:abstractNumId="8" w15:restartNumberingAfterBreak="0">
    <w:nsid w:val="06C60AC1"/>
    <w:multiLevelType w:val="multilevel"/>
    <w:tmpl w:val="4BAEE06C"/>
    <w:lvl w:ilvl="0">
      <w:start w:val="1"/>
      <w:numFmt w:val="decimal"/>
      <w:lvlText w:val="%1."/>
      <w:lvlJc w:val="lef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EF1E3A"/>
    <w:multiLevelType w:val="hybridMultilevel"/>
    <w:tmpl w:val="8EC80DF8"/>
    <w:lvl w:ilvl="0" w:tplc="DAB6F52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DD4CC3"/>
    <w:multiLevelType w:val="hybridMultilevel"/>
    <w:tmpl w:val="40C8B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2"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0E186AA0"/>
    <w:multiLevelType w:val="hybridMultilevel"/>
    <w:tmpl w:val="A72A8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EAA357F"/>
    <w:multiLevelType w:val="hybridMultilevel"/>
    <w:tmpl w:val="F66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8D250A"/>
    <w:multiLevelType w:val="multilevel"/>
    <w:tmpl w:val="49C43C86"/>
    <w:lvl w:ilvl="0">
      <w:start w:val="1"/>
      <w:numFmt w:val="decimal"/>
      <w:pStyle w:val="Paragraph-numbered"/>
      <w:lvlText w:val="%1."/>
      <w:lvlJc w:val="left"/>
      <w:pPr>
        <w:ind w:left="425" w:hanging="425"/>
      </w:pPr>
      <w:rPr>
        <w:rFonts w:hint="default"/>
      </w:rPr>
    </w:lvl>
    <w:lvl w:ilvl="1">
      <w:start w:val="1"/>
      <w:numFmt w:val="lowerRoman"/>
      <w:pStyle w:val="Listnumbered"/>
      <w:lvlText w:val="%2"/>
      <w:lvlJc w:val="left"/>
      <w:pPr>
        <w:ind w:left="851" w:hanging="4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43864F5"/>
    <w:multiLevelType w:val="hybridMultilevel"/>
    <w:tmpl w:val="C658B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7B24D3E"/>
    <w:multiLevelType w:val="hybridMultilevel"/>
    <w:tmpl w:val="365CC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9EC2847"/>
    <w:multiLevelType w:val="hybridMultilevel"/>
    <w:tmpl w:val="C99E4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F606615"/>
    <w:multiLevelType w:val="hybridMultilevel"/>
    <w:tmpl w:val="69A8ABFC"/>
    <w:lvl w:ilvl="0" w:tplc="CB40E5CC">
      <w:numFmt w:val="bullet"/>
      <w:lvlText w:val="•"/>
      <w:lvlJc w:val="left"/>
      <w:pPr>
        <w:ind w:left="1080" w:hanging="72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208C5CF5"/>
    <w:multiLevelType w:val="multilevel"/>
    <w:tmpl w:val="70528E60"/>
    <w:lvl w:ilvl="0">
      <w:start w:val="1"/>
      <w:numFmt w:val="lowerLetter"/>
      <w:pStyle w:val="Sub-lista"/>
      <w:lvlText w:val="(%1)"/>
      <w:lvlJc w:val="left"/>
      <w:pPr>
        <w:ind w:left="794" w:hanging="397"/>
      </w:pPr>
      <w:rPr>
        <w:rFonts w:ascii="Calibri" w:hAnsi="Calibri"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0E36C79"/>
    <w:multiLevelType w:val="multilevel"/>
    <w:tmpl w:val="3E967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5541FB"/>
    <w:multiLevelType w:val="multilevel"/>
    <w:tmpl w:val="B5F4000A"/>
    <w:lvl w:ilvl="0">
      <w:start w:val="1"/>
      <w:numFmt w:val="decimal"/>
      <w:pStyle w:val="Questions"/>
      <w:lvlText w:val="%1."/>
      <w:lvlJc w:val="left"/>
      <w:pPr>
        <w:ind w:left="680" w:hanging="396"/>
      </w:pPr>
      <w:rPr>
        <w:rFonts w:asciiTheme="minorHAnsi" w:hAnsiTheme="minorHAnsi" w:cstheme="minorHAnsi" w:hint="default"/>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 w15:restartNumberingAfterBreak="0">
    <w:nsid w:val="23813E53"/>
    <w:multiLevelType w:val="hybridMultilevel"/>
    <w:tmpl w:val="5D98E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306BEF"/>
    <w:multiLevelType w:val="hybridMultilevel"/>
    <w:tmpl w:val="E17E1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C3D6CD8"/>
    <w:multiLevelType w:val="hybridMultilevel"/>
    <w:tmpl w:val="B6185A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3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3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87349EC"/>
    <w:multiLevelType w:val="hybridMultilevel"/>
    <w:tmpl w:val="562C3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C555ADD"/>
    <w:multiLevelType w:val="multilevel"/>
    <w:tmpl w:val="59F80478"/>
    <w:lvl w:ilvl="0">
      <w:start w:val="1"/>
      <w:numFmt w:val="decimal"/>
      <w:lvlText w:val="%1."/>
      <w:lvlJc w:val="lef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25879EB"/>
    <w:multiLevelType w:val="hybridMultilevel"/>
    <w:tmpl w:val="150A6D04"/>
    <w:lvl w:ilvl="0" w:tplc="B0B0E234">
      <w:start w:val="1"/>
      <w:numFmt w:val="bullet"/>
      <w:lvlText w:val=""/>
      <w:lvlJc w:val="left"/>
      <w:pPr>
        <w:ind w:left="720" w:hanging="360"/>
      </w:pPr>
      <w:rPr>
        <w:rFonts w:ascii="Symbol" w:hAnsi="Symbol"/>
      </w:rPr>
    </w:lvl>
    <w:lvl w:ilvl="1" w:tplc="A50EAEAC">
      <w:start w:val="1"/>
      <w:numFmt w:val="bullet"/>
      <w:lvlText w:val=""/>
      <w:lvlJc w:val="left"/>
      <w:pPr>
        <w:ind w:left="720" w:hanging="360"/>
      </w:pPr>
      <w:rPr>
        <w:rFonts w:ascii="Symbol" w:hAnsi="Symbol"/>
      </w:rPr>
    </w:lvl>
    <w:lvl w:ilvl="2" w:tplc="A2E0F2DE">
      <w:start w:val="1"/>
      <w:numFmt w:val="bullet"/>
      <w:lvlText w:val=""/>
      <w:lvlJc w:val="left"/>
      <w:pPr>
        <w:ind w:left="720" w:hanging="360"/>
      </w:pPr>
      <w:rPr>
        <w:rFonts w:ascii="Symbol" w:hAnsi="Symbol"/>
      </w:rPr>
    </w:lvl>
    <w:lvl w:ilvl="3" w:tplc="E5569AF8">
      <w:start w:val="1"/>
      <w:numFmt w:val="bullet"/>
      <w:lvlText w:val=""/>
      <w:lvlJc w:val="left"/>
      <w:pPr>
        <w:ind w:left="720" w:hanging="360"/>
      </w:pPr>
      <w:rPr>
        <w:rFonts w:ascii="Symbol" w:hAnsi="Symbol"/>
      </w:rPr>
    </w:lvl>
    <w:lvl w:ilvl="4" w:tplc="A03A5A7E">
      <w:start w:val="1"/>
      <w:numFmt w:val="bullet"/>
      <w:lvlText w:val=""/>
      <w:lvlJc w:val="left"/>
      <w:pPr>
        <w:ind w:left="720" w:hanging="360"/>
      </w:pPr>
      <w:rPr>
        <w:rFonts w:ascii="Symbol" w:hAnsi="Symbol"/>
      </w:rPr>
    </w:lvl>
    <w:lvl w:ilvl="5" w:tplc="F0047D58">
      <w:start w:val="1"/>
      <w:numFmt w:val="bullet"/>
      <w:lvlText w:val=""/>
      <w:lvlJc w:val="left"/>
      <w:pPr>
        <w:ind w:left="720" w:hanging="360"/>
      </w:pPr>
      <w:rPr>
        <w:rFonts w:ascii="Symbol" w:hAnsi="Symbol"/>
      </w:rPr>
    </w:lvl>
    <w:lvl w:ilvl="6" w:tplc="2CF88C22">
      <w:start w:val="1"/>
      <w:numFmt w:val="bullet"/>
      <w:lvlText w:val=""/>
      <w:lvlJc w:val="left"/>
      <w:pPr>
        <w:ind w:left="720" w:hanging="360"/>
      </w:pPr>
      <w:rPr>
        <w:rFonts w:ascii="Symbol" w:hAnsi="Symbol"/>
      </w:rPr>
    </w:lvl>
    <w:lvl w:ilvl="7" w:tplc="8DEE5662">
      <w:start w:val="1"/>
      <w:numFmt w:val="bullet"/>
      <w:lvlText w:val=""/>
      <w:lvlJc w:val="left"/>
      <w:pPr>
        <w:ind w:left="720" w:hanging="360"/>
      </w:pPr>
      <w:rPr>
        <w:rFonts w:ascii="Symbol" w:hAnsi="Symbol"/>
      </w:rPr>
    </w:lvl>
    <w:lvl w:ilvl="8" w:tplc="421A5CEC">
      <w:start w:val="1"/>
      <w:numFmt w:val="bullet"/>
      <w:lvlText w:val=""/>
      <w:lvlJc w:val="left"/>
      <w:pPr>
        <w:ind w:left="720" w:hanging="360"/>
      </w:pPr>
      <w:rPr>
        <w:rFonts w:ascii="Symbol" w:hAnsi="Symbol"/>
      </w:rPr>
    </w:lvl>
  </w:abstractNum>
  <w:abstractNum w:abstractNumId="36"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0B17DC"/>
    <w:multiLevelType w:val="hybridMultilevel"/>
    <w:tmpl w:val="ABAC6E12"/>
    <w:lvl w:ilvl="0" w:tplc="14090011">
      <w:start w:val="1"/>
      <w:numFmt w:val="decimal"/>
      <w:pStyle w:val="TableBullet0"/>
      <w:lvlText w:val="%1)"/>
      <w:lvlJc w:val="left"/>
      <w:pPr>
        <w:tabs>
          <w:tab w:val="num" w:pos="284"/>
        </w:tabs>
        <w:ind w:left="284" w:hanging="284"/>
      </w:pPr>
      <w:rPr>
        <w:rFonts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90130C"/>
    <w:multiLevelType w:val="hybridMultilevel"/>
    <w:tmpl w:val="D7B27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C136F6"/>
    <w:multiLevelType w:val="hybridMultilevel"/>
    <w:tmpl w:val="63A8B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41" w15:restartNumberingAfterBreak="0">
    <w:nsid w:val="474030DB"/>
    <w:multiLevelType w:val="hybridMultilevel"/>
    <w:tmpl w:val="103401BA"/>
    <w:lvl w:ilvl="0" w:tplc="782E112E">
      <w:start w:val="1"/>
      <w:numFmt w:val="decimal"/>
      <w:lvlText w:val="%1."/>
      <w:lvlJc w:val="left"/>
      <w:pPr>
        <w:ind w:left="360" w:hanging="360"/>
      </w:pPr>
      <w:rPr>
        <w:rFonts w:asciiTheme="minorHAnsi" w:hAnsiTheme="minorHAnsi"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8720A4B"/>
    <w:multiLevelType w:val="multilevel"/>
    <w:tmpl w:val="C038ADB4"/>
    <w:lvl w:ilvl="0">
      <w:start w:val="1"/>
      <w:numFmt w:val="lowerLetter"/>
      <w:lvlText w:val="%1."/>
      <w:lvlJc w:val="left"/>
      <w:pPr>
        <w:ind w:left="397" w:hanging="397"/>
      </w:pPr>
      <w:rPr>
        <w:rFonts w:hint="default"/>
        <w:b w:val="0"/>
        <w:i w:val="0"/>
        <w:sz w:val="22"/>
        <w:szCs w:val="22"/>
      </w:rPr>
    </w:lvl>
    <w:lvl w:ilvl="1">
      <w:start w:val="1"/>
      <w:numFmt w:val="lowerLetter"/>
      <w:lvlText w:val="%2."/>
      <w:lvlJc w:val="left"/>
      <w:pPr>
        <w:tabs>
          <w:tab w:val="num" w:pos="1043"/>
        </w:tabs>
        <w:ind w:left="1043" w:hanging="360"/>
      </w:pPr>
      <w:rPr>
        <w:rFonts w:hint="default"/>
      </w:rPr>
    </w:lvl>
    <w:lvl w:ilvl="2">
      <w:start w:val="1"/>
      <w:numFmt w:val="lowerRoman"/>
      <w:lvlText w:val="%3."/>
      <w:lvlJc w:val="right"/>
      <w:pPr>
        <w:tabs>
          <w:tab w:val="num" w:pos="1763"/>
        </w:tabs>
        <w:ind w:left="1763" w:hanging="180"/>
      </w:pPr>
      <w:rPr>
        <w:rFonts w:hint="default"/>
      </w:rPr>
    </w:lvl>
    <w:lvl w:ilvl="3">
      <w:start w:val="1"/>
      <w:numFmt w:val="decimal"/>
      <w:lvlText w:val="%4."/>
      <w:lvlJc w:val="left"/>
      <w:pPr>
        <w:tabs>
          <w:tab w:val="num" w:pos="2483"/>
        </w:tabs>
        <w:ind w:left="2483" w:hanging="360"/>
      </w:pPr>
      <w:rPr>
        <w:rFonts w:hint="default"/>
      </w:rPr>
    </w:lvl>
    <w:lvl w:ilvl="4">
      <w:start w:val="1"/>
      <w:numFmt w:val="lowerLetter"/>
      <w:lvlText w:val="%5."/>
      <w:lvlJc w:val="left"/>
      <w:pPr>
        <w:tabs>
          <w:tab w:val="num" w:pos="3203"/>
        </w:tabs>
        <w:ind w:left="3203" w:hanging="360"/>
      </w:pPr>
      <w:rPr>
        <w:rFonts w:hint="default"/>
      </w:rPr>
    </w:lvl>
    <w:lvl w:ilvl="5">
      <w:start w:val="1"/>
      <w:numFmt w:val="lowerRoman"/>
      <w:lvlText w:val="%6."/>
      <w:lvlJc w:val="right"/>
      <w:pPr>
        <w:tabs>
          <w:tab w:val="num" w:pos="3923"/>
        </w:tabs>
        <w:ind w:left="3923" w:hanging="180"/>
      </w:pPr>
      <w:rPr>
        <w:rFonts w:hint="default"/>
      </w:rPr>
    </w:lvl>
    <w:lvl w:ilvl="6">
      <w:start w:val="1"/>
      <w:numFmt w:val="decimal"/>
      <w:lvlText w:val="%7."/>
      <w:lvlJc w:val="left"/>
      <w:pPr>
        <w:tabs>
          <w:tab w:val="num" w:pos="4643"/>
        </w:tabs>
        <w:ind w:left="4643" w:hanging="360"/>
      </w:pPr>
      <w:rPr>
        <w:rFonts w:hint="default"/>
      </w:rPr>
    </w:lvl>
    <w:lvl w:ilvl="7">
      <w:start w:val="1"/>
      <w:numFmt w:val="lowerLetter"/>
      <w:lvlText w:val="%8."/>
      <w:lvlJc w:val="left"/>
      <w:pPr>
        <w:tabs>
          <w:tab w:val="num" w:pos="5363"/>
        </w:tabs>
        <w:ind w:left="5363" w:hanging="360"/>
      </w:pPr>
      <w:rPr>
        <w:rFonts w:hint="default"/>
      </w:rPr>
    </w:lvl>
    <w:lvl w:ilvl="8">
      <w:start w:val="1"/>
      <w:numFmt w:val="lowerRoman"/>
      <w:lvlText w:val="%9."/>
      <w:lvlJc w:val="right"/>
      <w:pPr>
        <w:tabs>
          <w:tab w:val="num" w:pos="6083"/>
        </w:tabs>
        <w:ind w:left="6083" w:hanging="180"/>
      </w:pPr>
      <w:rPr>
        <w:rFonts w:hint="default"/>
      </w:rPr>
    </w:lvl>
  </w:abstractNum>
  <w:abstractNum w:abstractNumId="43" w15:restartNumberingAfterBreak="0">
    <w:nsid w:val="49E3412F"/>
    <w:multiLevelType w:val="hybridMultilevel"/>
    <w:tmpl w:val="F0A22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ECE6788"/>
    <w:multiLevelType w:val="hybridMultilevel"/>
    <w:tmpl w:val="4364A3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46" w15:restartNumberingAfterBreak="0">
    <w:nsid w:val="548410C0"/>
    <w:multiLevelType w:val="multilevel"/>
    <w:tmpl w:val="DE9E0348"/>
    <w:lvl w:ilvl="0">
      <w:start w:val="1"/>
      <w:numFmt w:val="decimal"/>
      <w:pStyle w:val="BodyText-Numbered"/>
      <w:lvlText w:val="%1."/>
      <w:lvlJc w:val="left"/>
      <w:pPr>
        <w:ind w:left="567" w:hanging="567"/>
      </w:pPr>
      <w:rPr>
        <w:sz w:val="22"/>
        <w:szCs w:val="22"/>
      </w:rPr>
    </w:lvl>
    <w:lvl w:ilvl="1">
      <w:start w:val="1"/>
      <w:numFmt w:val="lowerLetter"/>
      <w:lvlText w:val="%2)"/>
      <w:lvlJc w:val="left"/>
      <w:pPr>
        <w:ind w:left="927" w:hanging="360"/>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993"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7" w15:restartNumberingAfterBreak="0">
    <w:nsid w:val="550E47B2"/>
    <w:multiLevelType w:val="hybridMultilevel"/>
    <w:tmpl w:val="86389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9CC25EC"/>
    <w:multiLevelType w:val="hybridMultilevel"/>
    <w:tmpl w:val="29248F94"/>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C3105F9"/>
    <w:multiLevelType w:val="multilevel"/>
    <w:tmpl w:val="A694F496"/>
    <w:lvl w:ilvl="0">
      <w:start w:val="1"/>
      <w:numFmt w:val="decimal"/>
      <w:pStyle w:val="Cab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E5D7349"/>
    <w:multiLevelType w:val="multilevel"/>
    <w:tmpl w:val="E1367EE6"/>
    <w:lvl w:ilvl="0">
      <w:start w:val="1"/>
      <w:numFmt w:val="decimal"/>
      <w:pStyle w:val="Boxquestion"/>
      <w:lvlText w:val="%1"/>
      <w:lvlJc w:val="left"/>
      <w:pPr>
        <w:ind w:left="680" w:hanging="396"/>
      </w:pPr>
      <w:rPr>
        <w:rFonts w:ascii="Calibri" w:hAnsi="Calibri" w:hint="default"/>
        <w:b w:val="0"/>
        <w:i w:val="0"/>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1" w15:restartNumberingAfterBreak="0">
    <w:nsid w:val="5E5E7F36"/>
    <w:multiLevelType w:val="multilevel"/>
    <w:tmpl w:val="50E60DC8"/>
    <w:lvl w:ilvl="0">
      <w:start w:val="1"/>
      <w:numFmt w:val="lowerLetter"/>
      <w:lvlText w:val="%1)"/>
      <w:lvlJc w:val="left"/>
      <w:pPr>
        <w:tabs>
          <w:tab w:val="num" w:pos="862"/>
        </w:tabs>
        <w:ind w:left="862" w:hanging="360"/>
      </w:pPr>
    </w:lvl>
    <w:lvl w:ilvl="1">
      <w:start w:val="1"/>
      <w:numFmt w:val="lowerLetter"/>
      <w:lvlText w:val="%2."/>
      <w:lvlJc w:val="left"/>
      <w:pPr>
        <w:tabs>
          <w:tab w:val="num" w:pos="1582"/>
        </w:tabs>
        <w:ind w:left="1582" w:hanging="360"/>
      </w:pPr>
    </w:lvl>
    <w:lvl w:ilvl="2" w:tentative="1">
      <w:start w:val="1"/>
      <w:numFmt w:val="lowerLetter"/>
      <w:lvlText w:val="%3."/>
      <w:lvlJc w:val="left"/>
      <w:pPr>
        <w:tabs>
          <w:tab w:val="num" w:pos="2302"/>
        </w:tabs>
        <w:ind w:left="2302" w:hanging="360"/>
      </w:pPr>
    </w:lvl>
    <w:lvl w:ilvl="3" w:tentative="1">
      <w:start w:val="1"/>
      <w:numFmt w:val="lowerLetter"/>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Letter"/>
      <w:lvlText w:val="%6."/>
      <w:lvlJc w:val="left"/>
      <w:pPr>
        <w:tabs>
          <w:tab w:val="num" w:pos="4462"/>
        </w:tabs>
        <w:ind w:left="4462" w:hanging="360"/>
      </w:pPr>
    </w:lvl>
    <w:lvl w:ilvl="6" w:tentative="1">
      <w:start w:val="1"/>
      <w:numFmt w:val="lowerLetter"/>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Letter"/>
      <w:lvlText w:val="%9."/>
      <w:lvlJc w:val="left"/>
      <w:pPr>
        <w:tabs>
          <w:tab w:val="num" w:pos="6622"/>
        </w:tabs>
        <w:ind w:left="6622" w:hanging="360"/>
      </w:pPr>
    </w:lvl>
  </w:abstractNum>
  <w:abstractNum w:abstractNumId="52" w15:restartNumberingAfterBreak="0">
    <w:nsid w:val="65A37A72"/>
    <w:multiLevelType w:val="hybridMultilevel"/>
    <w:tmpl w:val="81CAA2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6BD369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54"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55" w15:restartNumberingAfterBreak="0">
    <w:nsid w:val="67EF1742"/>
    <w:multiLevelType w:val="hybridMultilevel"/>
    <w:tmpl w:val="C8005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F04315C"/>
    <w:multiLevelType w:val="multilevel"/>
    <w:tmpl w:val="A0346236"/>
    <w:lvl w:ilvl="0">
      <w:start w:val="1"/>
      <w:numFmt w:val="decimal"/>
      <w:pStyle w:val="NumberedHeading1"/>
      <w:lvlText w:val="%1."/>
      <w:lvlJc w:val="left"/>
      <w:pPr>
        <w:ind w:left="851" w:hanging="851"/>
      </w:pPr>
      <w:rPr>
        <w:rFonts w:asciiTheme="majorHAnsi" w:hAnsiTheme="majorHAnsi" w:hint="default"/>
        <w:b w:val="0"/>
        <w:bCs w:val="0"/>
        <w:i w:val="0"/>
      </w:rPr>
    </w:lvl>
    <w:lvl w:ilvl="1">
      <w:start w:val="1"/>
      <w:numFmt w:val="decimal"/>
      <w:pStyle w:val="NumberedHeading2"/>
      <w:lvlText w:val="%1.%2"/>
      <w:lvlJc w:val="left"/>
      <w:pPr>
        <w:ind w:left="851" w:hanging="851"/>
      </w:pPr>
      <w:rPr>
        <w:rFonts w:asciiTheme="majorHAnsi" w:hAnsiTheme="majorHAnsi"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9" w15:restartNumberingAfterBreak="0">
    <w:nsid w:val="7357328B"/>
    <w:multiLevelType w:val="hybridMultilevel"/>
    <w:tmpl w:val="6BBA3DB6"/>
    <w:lvl w:ilvl="0" w:tplc="14090001">
      <w:start w:val="1"/>
      <w:numFmt w:val="bullet"/>
      <w:lvlText w:val=""/>
      <w:lvlJc w:val="left"/>
      <w:pPr>
        <w:ind w:left="1154" w:hanging="360"/>
      </w:pPr>
      <w:rPr>
        <w:rFonts w:ascii="Symbol" w:hAnsi="Symbol" w:hint="default"/>
      </w:rPr>
    </w:lvl>
    <w:lvl w:ilvl="1" w:tplc="14090003">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6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BD6DC8"/>
    <w:multiLevelType w:val="hybridMultilevel"/>
    <w:tmpl w:val="CC9E5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854760A"/>
    <w:multiLevelType w:val="hybridMultilevel"/>
    <w:tmpl w:val="6D5CE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8F073B1"/>
    <w:multiLevelType w:val="hybridMultilevel"/>
    <w:tmpl w:val="BFFE0118"/>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9726728"/>
    <w:multiLevelType w:val="hybridMultilevel"/>
    <w:tmpl w:val="5A72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A805F46"/>
    <w:multiLevelType w:val="hybridMultilevel"/>
    <w:tmpl w:val="A5E02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AF26FAD"/>
    <w:multiLevelType w:val="hybridMultilevel"/>
    <w:tmpl w:val="2F36874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7" w15:restartNumberingAfterBreak="0">
    <w:nsid w:val="7B7BE51A"/>
    <w:multiLevelType w:val="hybridMultilevel"/>
    <w:tmpl w:val="FFFFFFFF"/>
    <w:lvl w:ilvl="0" w:tplc="73B8D768">
      <w:start w:val="1"/>
      <w:numFmt w:val="bullet"/>
      <w:lvlText w:val=""/>
      <w:lvlJc w:val="left"/>
      <w:pPr>
        <w:ind w:left="720" w:hanging="360"/>
      </w:pPr>
      <w:rPr>
        <w:rFonts w:ascii="Symbol" w:hAnsi="Symbol" w:hint="default"/>
      </w:rPr>
    </w:lvl>
    <w:lvl w:ilvl="1" w:tplc="66CC1DA6">
      <w:start w:val="1"/>
      <w:numFmt w:val="bullet"/>
      <w:lvlText w:val=""/>
      <w:lvlJc w:val="left"/>
      <w:pPr>
        <w:ind w:left="1440" w:hanging="360"/>
      </w:pPr>
      <w:rPr>
        <w:rFonts w:ascii="Symbol" w:hAnsi="Symbol" w:hint="default"/>
      </w:rPr>
    </w:lvl>
    <w:lvl w:ilvl="2" w:tplc="B540E44A">
      <w:start w:val="1"/>
      <w:numFmt w:val="bullet"/>
      <w:lvlText w:val=""/>
      <w:lvlJc w:val="left"/>
      <w:pPr>
        <w:ind w:left="2160" w:hanging="360"/>
      </w:pPr>
      <w:rPr>
        <w:rFonts w:ascii="Wingdings" w:hAnsi="Wingdings" w:hint="default"/>
      </w:rPr>
    </w:lvl>
    <w:lvl w:ilvl="3" w:tplc="67B06698">
      <w:start w:val="1"/>
      <w:numFmt w:val="bullet"/>
      <w:lvlText w:val=""/>
      <w:lvlJc w:val="left"/>
      <w:pPr>
        <w:ind w:left="2880" w:hanging="360"/>
      </w:pPr>
      <w:rPr>
        <w:rFonts w:ascii="Symbol" w:hAnsi="Symbol" w:hint="default"/>
      </w:rPr>
    </w:lvl>
    <w:lvl w:ilvl="4" w:tplc="53DEDCA4">
      <w:start w:val="1"/>
      <w:numFmt w:val="bullet"/>
      <w:lvlText w:val="o"/>
      <w:lvlJc w:val="left"/>
      <w:pPr>
        <w:ind w:left="3600" w:hanging="360"/>
      </w:pPr>
      <w:rPr>
        <w:rFonts w:ascii="Courier New" w:hAnsi="Courier New" w:hint="default"/>
      </w:rPr>
    </w:lvl>
    <w:lvl w:ilvl="5" w:tplc="1AFC9466">
      <w:start w:val="1"/>
      <w:numFmt w:val="bullet"/>
      <w:lvlText w:val=""/>
      <w:lvlJc w:val="left"/>
      <w:pPr>
        <w:ind w:left="4320" w:hanging="360"/>
      </w:pPr>
      <w:rPr>
        <w:rFonts w:ascii="Wingdings" w:hAnsi="Wingdings" w:hint="default"/>
      </w:rPr>
    </w:lvl>
    <w:lvl w:ilvl="6" w:tplc="96C23518">
      <w:start w:val="1"/>
      <w:numFmt w:val="bullet"/>
      <w:lvlText w:val=""/>
      <w:lvlJc w:val="left"/>
      <w:pPr>
        <w:ind w:left="5040" w:hanging="360"/>
      </w:pPr>
      <w:rPr>
        <w:rFonts w:ascii="Symbol" w:hAnsi="Symbol" w:hint="default"/>
      </w:rPr>
    </w:lvl>
    <w:lvl w:ilvl="7" w:tplc="2CA874F2">
      <w:start w:val="1"/>
      <w:numFmt w:val="bullet"/>
      <w:lvlText w:val="o"/>
      <w:lvlJc w:val="left"/>
      <w:pPr>
        <w:ind w:left="5760" w:hanging="360"/>
      </w:pPr>
      <w:rPr>
        <w:rFonts w:ascii="Courier New" w:hAnsi="Courier New" w:hint="default"/>
      </w:rPr>
    </w:lvl>
    <w:lvl w:ilvl="8" w:tplc="0576CD82">
      <w:start w:val="1"/>
      <w:numFmt w:val="bullet"/>
      <w:lvlText w:val=""/>
      <w:lvlJc w:val="left"/>
      <w:pPr>
        <w:ind w:left="6480" w:hanging="360"/>
      </w:pPr>
      <w:rPr>
        <w:rFonts w:ascii="Wingdings" w:hAnsi="Wingdings" w:hint="default"/>
      </w:rPr>
    </w:lvl>
  </w:abstractNum>
  <w:abstractNum w:abstractNumId="68" w15:restartNumberingAfterBreak="0">
    <w:nsid w:val="7D7553D2"/>
    <w:multiLevelType w:val="hybridMultilevel"/>
    <w:tmpl w:val="215AFA74"/>
    <w:lvl w:ilvl="0" w:tplc="14090003">
      <w:start w:val="1"/>
      <w:numFmt w:val="bullet"/>
      <w:lvlText w:val="o"/>
      <w:lvlJc w:val="left"/>
      <w:pPr>
        <w:ind w:left="1154" w:hanging="360"/>
      </w:pPr>
      <w:rPr>
        <w:rFonts w:ascii="Courier New" w:hAnsi="Courier New" w:cs="Courier New" w:hint="default"/>
      </w:rPr>
    </w:lvl>
    <w:lvl w:ilvl="1" w:tplc="FFFFFFFF">
      <w:start w:val="1"/>
      <w:numFmt w:val="bullet"/>
      <w:lvlText w:val="o"/>
      <w:lvlJc w:val="left"/>
      <w:pPr>
        <w:ind w:left="1874" w:hanging="360"/>
      </w:pPr>
      <w:rPr>
        <w:rFonts w:ascii="Courier New" w:hAnsi="Courier New" w:cs="Courier New" w:hint="default"/>
      </w:rPr>
    </w:lvl>
    <w:lvl w:ilvl="2" w:tplc="FFFFFFFF" w:tentative="1">
      <w:start w:val="1"/>
      <w:numFmt w:val="bullet"/>
      <w:lvlText w:val=""/>
      <w:lvlJc w:val="left"/>
      <w:pPr>
        <w:ind w:left="2594" w:hanging="360"/>
      </w:pPr>
      <w:rPr>
        <w:rFonts w:ascii="Wingdings" w:hAnsi="Wingdings" w:hint="default"/>
      </w:rPr>
    </w:lvl>
    <w:lvl w:ilvl="3" w:tplc="FFFFFFFF" w:tentative="1">
      <w:start w:val="1"/>
      <w:numFmt w:val="bullet"/>
      <w:lvlText w:val=""/>
      <w:lvlJc w:val="left"/>
      <w:pPr>
        <w:ind w:left="3314" w:hanging="360"/>
      </w:pPr>
      <w:rPr>
        <w:rFonts w:ascii="Symbol" w:hAnsi="Symbol" w:hint="default"/>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num w:numId="1" w16cid:durableId="816460948">
    <w:abstractNumId w:val="30"/>
  </w:num>
  <w:num w:numId="2" w16cid:durableId="85470197">
    <w:abstractNumId w:val="11"/>
  </w:num>
  <w:num w:numId="3" w16cid:durableId="262618033">
    <w:abstractNumId w:val="28"/>
  </w:num>
  <w:num w:numId="4" w16cid:durableId="243612471">
    <w:abstractNumId w:val="57"/>
  </w:num>
  <w:num w:numId="5" w16cid:durableId="100148807">
    <w:abstractNumId w:val="12"/>
  </w:num>
  <w:num w:numId="6" w16cid:durableId="1519540051">
    <w:abstractNumId w:val="25"/>
  </w:num>
  <w:num w:numId="7" w16cid:durableId="377556039">
    <w:abstractNumId w:val="58"/>
  </w:num>
  <w:num w:numId="8" w16cid:durableId="878782008">
    <w:abstractNumId w:val="56"/>
  </w:num>
  <w:num w:numId="9" w16cid:durableId="1939681101">
    <w:abstractNumId w:val="2"/>
  </w:num>
  <w:num w:numId="10" w16cid:durableId="1804346552">
    <w:abstractNumId w:val="0"/>
  </w:num>
  <w:num w:numId="11" w16cid:durableId="1137727448">
    <w:abstractNumId w:val="1"/>
  </w:num>
  <w:num w:numId="12" w16cid:durableId="283002653">
    <w:abstractNumId w:val="45"/>
  </w:num>
  <w:num w:numId="13" w16cid:durableId="1507524789">
    <w:abstractNumId w:val="20"/>
  </w:num>
  <w:num w:numId="14" w16cid:durableId="1373115522">
    <w:abstractNumId w:val="34"/>
  </w:num>
  <w:num w:numId="15" w16cid:durableId="1754857576">
    <w:abstractNumId w:val="29"/>
  </w:num>
  <w:num w:numId="16" w16cid:durableId="1037849379">
    <w:abstractNumId w:val="36"/>
  </w:num>
  <w:num w:numId="17" w16cid:durableId="978923647">
    <w:abstractNumId w:val="21"/>
  </w:num>
  <w:num w:numId="18" w16cid:durableId="683021389">
    <w:abstractNumId w:val="40"/>
  </w:num>
  <w:num w:numId="19" w16cid:durableId="808011097">
    <w:abstractNumId w:val="60"/>
  </w:num>
  <w:num w:numId="20" w16cid:durableId="724178890">
    <w:abstractNumId w:val="50"/>
  </w:num>
  <w:num w:numId="21" w16cid:durableId="68045499">
    <w:abstractNumId w:val="41"/>
  </w:num>
  <w:num w:numId="22" w16cid:durableId="701201153">
    <w:abstractNumId w:val="37"/>
  </w:num>
  <w:num w:numId="23" w16cid:durableId="503670113">
    <w:abstractNumId w:val="15"/>
  </w:num>
  <w:num w:numId="24" w16cid:durableId="112127018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9150111">
    <w:abstractNumId w:val="31"/>
  </w:num>
  <w:num w:numId="26" w16cid:durableId="1308049611">
    <w:abstractNumId w:val="62"/>
  </w:num>
  <w:num w:numId="27" w16cid:durableId="380178874">
    <w:abstractNumId w:val="32"/>
  </w:num>
  <w:num w:numId="28" w16cid:durableId="2065979968">
    <w:abstractNumId w:val="6"/>
  </w:num>
  <w:num w:numId="29" w16cid:durableId="1812945807">
    <w:abstractNumId w:val="43"/>
  </w:num>
  <w:num w:numId="30" w16cid:durableId="366565774">
    <w:abstractNumId w:val="55"/>
  </w:num>
  <w:num w:numId="31" w16cid:durableId="517889851">
    <w:abstractNumId w:val="27"/>
  </w:num>
  <w:num w:numId="32" w16cid:durableId="530385139">
    <w:abstractNumId w:val="16"/>
  </w:num>
  <w:num w:numId="33" w16cid:durableId="1449472817">
    <w:abstractNumId w:val="24"/>
  </w:num>
  <w:num w:numId="34" w16cid:durableId="1397624492">
    <w:abstractNumId w:val="17"/>
  </w:num>
  <w:num w:numId="35" w16cid:durableId="210846403">
    <w:abstractNumId w:val="64"/>
  </w:num>
  <w:num w:numId="36" w16cid:durableId="1108816895">
    <w:abstractNumId w:val="3"/>
  </w:num>
  <w:num w:numId="37" w16cid:durableId="1551771677">
    <w:abstractNumId w:val="23"/>
  </w:num>
  <w:num w:numId="38" w16cid:durableId="3014220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5813323">
    <w:abstractNumId w:val="38"/>
  </w:num>
  <w:num w:numId="40" w16cid:durableId="1510170723">
    <w:abstractNumId w:val="66"/>
  </w:num>
  <w:num w:numId="41" w16cid:durableId="1874342354">
    <w:abstractNumId w:val="63"/>
  </w:num>
  <w:num w:numId="42" w16cid:durableId="1912157551">
    <w:abstractNumId w:val="54"/>
  </w:num>
  <w:num w:numId="43" w16cid:durableId="1423527986">
    <w:abstractNumId w:val="5"/>
  </w:num>
  <w:num w:numId="44" w16cid:durableId="1945726223">
    <w:abstractNumId w:val="18"/>
  </w:num>
  <w:num w:numId="45" w16cid:durableId="97022166">
    <w:abstractNumId w:val="14"/>
  </w:num>
  <w:num w:numId="46" w16cid:durableId="1698585004">
    <w:abstractNumId w:val="47"/>
  </w:num>
  <w:num w:numId="47" w16cid:durableId="1582568218">
    <w:abstractNumId w:val="13"/>
  </w:num>
  <w:num w:numId="48" w16cid:durableId="8576980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35595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29567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9861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6070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0116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19854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93194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09794369">
    <w:abstractNumId w:val="42"/>
  </w:num>
  <w:num w:numId="57" w16cid:durableId="2138571954">
    <w:abstractNumId w:val="44"/>
  </w:num>
  <w:num w:numId="58" w16cid:durableId="1280260886">
    <w:abstractNumId w:val="10"/>
  </w:num>
  <w:num w:numId="59" w16cid:durableId="32728670">
    <w:abstractNumId w:val="65"/>
  </w:num>
  <w:num w:numId="60" w16cid:durableId="1189176985">
    <w:abstractNumId w:val="48"/>
  </w:num>
  <w:num w:numId="61" w16cid:durableId="276568430">
    <w:abstractNumId w:val="22"/>
  </w:num>
  <w:num w:numId="62" w16cid:durableId="1919828288">
    <w:abstractNumId w:val="61"/>
  </w:num>
  <w:num w:numId="63" w16cid:durableId="24445606">
    <w:abstractNumId w:val="51"/>
  </w:num>
  <w:num w:numId="64" w16cid:durableId="173881051">
    <w:abstractNumId w:val="26"/>
  </w:num>
  <w:num w:numId="65" w16cid:durableId="1638952628">
    <w:abstractNumId w:val="39"/>
  </w:num>
  <w:num w:numId="66" w16cid:durableId="262343710">
    <w:abstractNumId w:val="53"/>
  </w:num>
  <w:num w:numId="67" w16cid:durableId="636450282">
    <w:abstractNumId w:val="67"/>
  </w:num>
  <w:num w:numId="68" w16cid:durableId="1071393620">
    <w:abstractNumId w:val="59"/>
  </w:num>
  <w:num w:numId="69" w16cid:durableId="1426655549">
    <w:abstractNumId w:val="68"/>
  </w:num>
  <w:num w:numId="70" w16cid:durableId="1469787911">
    <w:abstractNumId w:val="34"/>
  </w:num>
  <w:num w:numId="71" w16cid:durableId="1984891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6276679">
    <w:abstractNumId w:val="52"/>
  </w:num>
  <w:num w:numId="73" w16cid:durableId="744761404">
    <w:abstractNumId w:val="35"/>
  </w:num>
  <w:num w:numId="74" w16cid:durableId="1297680725">
    <w:abstractNumId w:val="7"/>
  </w:num>
  <w:num w:numId="75" w16cid:durableId="1968583258">
    <w:abstractNumId w:val="19"/>
  </w:num>
  <w:num w:numId="76" w16cid:durableId="1319185329">
    <w:abstractNumId w:val="9"/>
  </w:num>
  <w:num w:numId="77" w16cid:durableId="1078139404">
    <w:abstractNumId w:val="4"/>
  </w:num>
  <w:num w:numId="78" w16cid:durableId="1583026190">
    <w:abstractNumId w:val="49"/>
  </w:num>
  <w:num w:numId="79" w16cid:durableId="281890527">
    <w:abstractNumId w:val="33"/>
  </w:num>
  <w:num w:numId="80" w16cid:durableId="1262181609">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dit="readOnly" w:enforcement="0"/>
  <w:defaultTabStop w:val="39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5"/>
    <w:rsid w:val="00000025"/>
    <w:rsid w:val="00000566"/>
    <w:rsid w:val="00000792"/>
    <w:rsid w:val="0000083A"/>
    <w:rsid w:val="000008B2"/>
    <w:rsid w:val="00000AD1"/>
    <w:rsid w:val="00000BA0"/>
    <w:rsid w:val="00000D7B"/>
    <w:rsid w:val="00000E16"/>
    <w:rsid w:val="00000F04"/>
    <w:rsid w:val="00000F1F"/>
    <w:rsid w:val="000015BE"/>
    <w:rsid w:val="00001938"/>
    <w:rsid w:val="00001D61"/>
    <w:rsid w:val="00002167"/>
    <w:rsid w:val="000023BC"/>
    <w:rsid w:val="000023C2"/>
    <w:rsid w:val="000025F2"/>
    <w:rsid w:val="00002621"/>
    <w:rsid w:val="00002725"/>
    <w:rsid w:val="000028D1"/>
    <w:rsid w:val="000029EA"/>
    <w:rsid w:val="00002ADF"/>
    <w:rsid w:val="00002C6F"/>
    <w:rsid w:val="00002EF2"/>
    <w:rsid w:val="0000314C"/>
    <w:rsid w:val="00003165"/>
    <w:rsid w:val="00003266"/>
    <w:rsid w:val="0000370D"/>
    <w:rsid w:val="00003717"/>
    <w:rsid w:val="0000373A"/>
    <w:rsid w:val="00003A0F"/>
    <w:rsid w:val="00003C4F"/>
    <w:rsid w:val="00003DFF"/>
    <w:rsid w:val="00003FC8"/>
    <w:rsid w:val="00004071"/>
    <w:rsid w:val="000046AA"/>
    <w:rsid w:val="0000488C"/>
    <w:rsid w:val="0000492E"/>
    <w:rsid w:val="00004951"/>
    <w:rsid w:val="00004997"/>
    <w:rsid w:val="00004D48"/>
    <w:rsid w:val="00004E0A"/>
    <w:rsid w:val="00004E71"/>
    <w:rsid w:val="00004EFF"/>
    <w:rsid w:val="00004F0D"/>
    <w:rsid w:val="00004FD3"/>
    <w:rsid w:val="00005086"/>
    <w:rsid w:val="000052C2"/>
    <w:rsid w:val="000058C0"/>
    <w:rsid w:val="00005947"/>
    <w:rsid w:val="00005C9E"/>
    <w:rsid w:val="00005E45"/>
    <w:rsid w:val="00005E5A"/>
    <w:rsid w:val="00005F2F"/>
    <w:rsid w:val="00005FA3"/>
    <w:rsid w:val="00006141"/>
    <w:rsid w:val="00006248"/>
    <w:rsid w:val="00006412"/>
    <w:rsid w:val="00006504"/>
    <w:rsid w:val="00006623"/>
    <w:rsid w:val="000069CC"/>
    <w:rsid w:val="00006A90"/>
    <w:rsid w:val="00006B2C"/>
    <w:rsid w:val="00006C3C"/>
    <w:rsid w:val="00006DF5"/>
    <w:rsid w:val="00006EF9"/>
    <w:rsid w:val="00006F95"/>
    <w:rsid w:val="00007023"/>
    <w:rsid w:val="0000709F"/>
    <w:rsid w:val="0000714A"/>
    <w:rsid w:val="000071D6"/>
    <w:rsid w:val="000072AB"/>
    <w:rsid w:val="000072B9"/>
    <w:rsid w:val="000072C5"/>
    <w:rsid w:val="00007397"/>
    <w:rsid w:val="0000747E"/>
    <w:rsid w:val="00007C4D"/>
    <w:rsid w:val="00007F2D"/>
    <w:rsid w:val="00007FAC"/>
    <w:rsid w:val="00007FB4"/>
    <w:rsid w:val="00010186"/>
    <w:rsid w:val="0001025B"/>
    <w:rsid w:val="00010370"/>
    <w:rsid w:val="000103D0"/>
    <w:rsid w:val="00010526"/>
    <w:rsid w:val="000106F2"/>
    <w:rsid w:val="00010723"/>
    <w:rsid w:val="000108E1"/>
    <w:rsid w:val="0001095D"/>
    <w:rsid w:val="000109A4"/>
    <w:rsid w:val="00010A9C"/>
    <w:rsid w:val="00010ABA"/>
    <w:rsid w:val="00010B11"/>
    <w:rsid w:val="00010B42"/>
    <w:rsid w:val="00010BDF"/>
    <w:rsid w:val="00010BFF"/>
    <w:rsid w:val="00010DAA"/>
    <w:rsid w:val="00010E15"/>
    <w:rsid w:val="00010F57"/>
    <w:rsid w:val="00010F9F"/>
    <w:rsid w:val="0001100C"/>
    <w:rsid w:val="000110B9"/>
    <w:rsid w:val="00011151"/>
    <w:rsid w:val="00011188"/>
    <w:rsid w:val="0001147D"/>
    <w:rsid w:val="0001157D"/>
    <w:rsid w:val="000115A8"/>
    <w:rsid w:val="0001164B"/>
    <w:rsid w:val="000117EB"/>
    <w:rsid w:val="00011986"/>
    <w:rsid w:val="00011D3B"/>
    <w:rsid w:val="00011FA5"/>
    <w:rsid w:val="00012048"/>
    <w:rsid w:val="00012144"/>
    <w:rsid w:val="0001217C"/>
    <w:rsid w:val="000124B2"/>
    <w:rsid w:val="00012540"/>
    <w:rsid w:val="00012555"/>
    <w:rsid w:val="00012A3C"/>
    <w:rsid w:val="00012AF6"/>
    <w:rsid w:val="00012E71"/>
    <w:rsid w:val="00012EB4"/>
    <w:rsid w:val="00013109"/>
    <w:rsid w:val="00013322"/>
    <w:rsid w:val="00013700"/>
    <w:rsid w:val="000137FF"/>
    <w:rsid w:val="00013D49"/>
    <w:rsid w:val="00013DE0"/>
    <w:rsid w:val="0001404A"/>
    <w:rsid w:val="000141F6"/>
    <w:rsid w:val="00014236"/>
    <w:rsid w:val="00014361"/>
    <w:rsid w:val="000144A7"/>
    <w:rsid w:val="000144CE"/>
    <w:rsid w:val="00014547"/>
    <w:rsid w:val="000145D3"/>
    <w:rsid w:val="000145EF"/>
    <w:rsid w:val="00014880"/>
    <w:rsid w:val="000148F6"/>
    <w:rsid w:val="0001490D"/>
    <w:rsid w:val="00014B48"/>
    <w:rsid w:val="00014C07"/>
    <w:rsid w:val="0001517A"/>
    <w:rsid w:val="00015217"/>
    <w:rsid w:val="0001564C"/>
    <w:rsid w:val="000159D2"/>
    <w:rsid w:val="00015A04"/>
    <w:rsid w:val="00015DEB"/>
    <w:rsid w:val="00015E4B"/>
    <w:rsid w:val="00016264"/>
    <w:rsid w:val="0001626A"/>
    <w:rsid w:val="00016612"/>
    <w:rsid w:val="00016647"/>
    <w:rsid w:val="00016731"/>
    <w:rsid w:val="0001673D"/>
    <w:rsid w:val="000168FD"/>
    <w:rsid w:val="00016993"/>
    <w:rsid w:val="00016A18"/>
    <w:rsid w:val="00016A42"/>
    <w:rsid w:val="00016A83"/>
    <w:rsid w:val="00016B27"/>
    <w:rsid w:val="00016CAB"/>
    <w:rsid w:val="00016E5B"/>
    <w:rsid w:val="00016F3D"/>
    <w:rsid w:val="0001714B"/>
    <w:rsid w:val="0001716C"/>
    <w:rsid w:val="0001733B"/>
    <w:rsid w:val="00017439"/>
    <w:rsid w:val="00017472"/>
    <w:rsid w:val="0001748B"/>
    <w:rsid w:val="0001749B"/>
    <w:rsid w:val="00017504"/>
    <w:rsid w:val="000175A4"/>
    <w:rsid w:val="000175D2"/>
    <w:rsid w:val="00017CDF"/>
    <w:rsid w:val="00017CFD"/>
    <w:rsid w:val="00017D75"/>
    <w:rsid w:val="00017FE5"/>
    <w:rsid w:val="00020031"/>
    <w:rsid w:val="00020298"/>
    <w:rsid w:val="0002029F"/>
    <w:rsid w:val="00020629"/>
    <w:rsid w:val="00020833"/>
    <w:rsid w:val="0002084C"/>
    <w:rsid w:val="000208A6"/>
    <w:rsid w:val="0002097B"/>
    <w:rsid w:val="00020FA8"/>
    <w:rsid w:val="0002103A"/>
    <w:rsid w:val="000210AB"/>
    <w:rsid w:val="0002124B"/>
    <w:rsid w:val="00021286"/>
    <w:rsid w:val="000212B2"/>
    <w:rsid w:val="00021372"/>
    <w:rsid w:val="000213FD"/>
    <w:rsid w:val="000215CE"/>
    <w:rsid w:val="00021881"/>
    <w:rsid w:val="00021910"/>
    <w:rsid w:val="000219F3"/>
    <w:rsid w:val="00021B63"/>
    <w:rsid w:val="000220B3"/>
    <w:rsid w:val="000222AC"/>
    <w:rsid w:val="00022613"/>
    <w:rsid w:val="000229A5"/>
    <w:rsid w:val="00022B0B"/>
    <w:rsid w:val="00022BD0"/>
    <w:rsid w:val="00022E68"/>
    <w:rsid w:val="00022E8D"/>
    <w:rsid w:val="0002305F"/>
    <w:rsid w:val="0002323A"/>
    <w:rsid w:val="000233D2"/>
    <w:rsid w:val="0002348A"/>
    <w:rsid w:val="00023949"/>
    <w:rsid w:val="000239E5"/>
    <w:rsid w:val="00023F38"/>
    <w:rsid w:val="00023F6C"/>
    <w:rsid w:val="00023F87"/>
    <w:rsid w:val="000245D3"/>
    <w:rsid w:val="00024708"/>
    <w:rsid w:val="00024713"/>
    <w:rsid w:val="0002472B"/>
    <w:rsid w:val="0002476D"/>
    <w:rsid w:val="000247B3"/>
    <w:rsid w:val="0002495B"/>
    <w:rsid w:val="00024A07"/>
    <w:rsid w:val="00024B77"/>
    <w:rsid w:val="00024C54"/>
    <w:rsid w:val="00024EE7"/>
    <w:rsid w:val="000250F5"/>
    <w:rsid w:val="00025121"/>
    <w:rsid w:val="000254CD"/>
    <w:rsid w:val="0002577A"/>
    <w:rsid w:val="00025801"/>
    <w:rsid w:val="000258AE"/>
    <w:rsid w:val="0002597A"/>
    <w:rsid w:val="00025F96"/>
    <w:rsid w:val="00025FAB"/>
    <w:rsid w:val="00026275"/>
    <w:rsid w:val="00026292"/>
    <w:rsid w:val="0002661D"/>
    <w:rsid w:val="00026BCC"/>
    <w:rsid w:val="00026E89"/>
    <w:rsid w:val="0002714E"/>
    <w:rsid w:val="00027367"/>
    <w:rsid w:val="000275A3"/>
    <w:rsid w:val="000275A4"/>
    <w:rsid w:val="00027713"/>
    <w:rsid w:val="000277E0"/>
    <w:rsid w:val="000279D8"/>
    <w:rsid w:val="000279E0"/>
    <w:rsid w:val="00027A85"/>
    <w:rsid w:val="00027AF2"/>
    <w:rsid w:val="00027BED"/>
    <w:rsid w:val="00027C8D"/>
    <w:rsid w:val="00027EAC"/>
    <w:rsid w:val="00027FEE"/>
    <w:rsid w:val="0003023E"/>
    <w:rsid w:val="0003050B"/>
    <w:rsid w:val="00030552"/>
    <w:rsid w:val="00030558"/>
    <w:rsid w:val="00030699"/>
    <w:rsid w:val="00030725"/>
    <w:rsid w:val="0003093C"/>
    <w:rsid w:val="0003099A"/>
    <w:rsid w:val="00030BF7"/>
    <w:rsid w:val="00030CD0"/>
    <w:rsid w:val="00030DB8"/>
    <w:rsid w:val="00030E6B"/>
    <w:rsid w:val="00030F42"/>
    <w:rsid w:val="00030FEA"/>
    <w:rsid w:val="00030FFC"/>
    <w:rsid w:val="00031005"/>
    <w:rsid w:val="00031082"/>
    <w:rsid w:val="0003132B"/>
    <w:rsid w:val="000313D0"/>
    <w:rsid w:val="000313DB"/>
    <w:rsid w:val="0003157C"/>
    <w:rsid w:val="00031668"/>
    <w:rsid w:val="000316DD"/>
    <w:rsid w:val="0003175C"/>
    <w:rsid w:val="00031826"/>
    <w:rsid w:val="0003184D"/>
    <w:rsid w:val="0003186F"/>
    <w:rsid w:val="000319EB"/>
    <w:rsid w:val="00031A83"/>
    <w:rsid w:val="00031B25"/>
    <w:rsid w:val="00031D13"/>
    <w:rsid w:val="0003213A"/>
    <w:rsid w:val="00032162"/>
    <w:rsid w:val="0003235E"/>
    <w:rsid w:val="00032520"/>
    <w:rsid w:val="00032771"/>
    <w:rsid w:val="000327EA"/>
    <w:rsid w:val="000328D4"/>
    <w:rsid w:val="00032A81"/>
    <w:rsid w:val="00032D81"/>
    <w:rsid w:val="000334C9"/>
    <w:rsid w:val="0003395E"/>
    <w:rsid w:val="00033970"/>
    <w:rsid w:val="00033CA6"/>
    <w:rsid w:val="00033D19"/>
    <w:rsid w:val="00033F25"/>
    <w:rsid w:val="00033FF0"/>
    <w:rsid w:val="00033FF3"/>
    <w:rsid w:val="000340D8"/>
    <w:rsid w:val="00034145"/>
    <w:rsid w:val="0003427D"/>
    <w:rsid w:val="00034484"/>
    <w:rsid w:val="00034816"/>
    <w:rsid w:val="00034DFA"/>
    <w:rsid w:val="0003512B"/>
    <w:rsid w:val="000357ED"/>
    <w:rsid w:val="000359B6"/>
    <w:rsid w:val="00035AA1"/>
    <w:rsid w:val="00035C61"/>
    <w:rsid w:val="00035D04"/>
    <w:rsid w:val="00035E15"/>
    <w:rsid w:val="00035EAC"/>
    <w:rsid w:val="000360C5"/>
    <w:rsid w:val="00036320"/>
    <w:rsid w:val="0003640E"/>
    <w:rsid w:val="00036475"/>
    <w:rsid w:val="0003688A"/>
    <w:rsid w:val="000368B2"/>
    <w:rsid w:val="000368FC"/>
    <w:rsid w:val="00036A8E"/>
    <w:rsid w:val="00036B49"/>
    <w:rsid w:val="00036C9F"/>
    <w:rsid w:val="00036DA3"/>
    <w:rsid w:val="00036EFB"/>
    <w:rsid w:val="00037066"/>
    <w:rsid w:val="000371E2"/>
    <w:rsid w:val="000373DE"/>
    <w:rsid w:val="000374AC"/>
    <w:rsid w:val="000376F5"/>
    <w:rsid w:val="000379BF"/>
    <w:rsid w:val="00037B8C"/>
    <w:rsid w:val="00037BDF"/>
    <w:rsid w:val="00037BEC"/>
    <w:rsid w:val="00037D2D"/>
    <w:rsid w:val="00037EE1"/>
    <w:rsid w:val="000400D9"/>
    <w:rsid w:val="0004035C"/>
    <w:rsid w:val="00040633"/>
    <w:rsid w:val="0004068A"/>
    <w:rsid w:val="00040860"/>
    <w:rsid w:val="00040CED"/>
    <w:rsid w:val="00040D39"/>
    <w:rsid w:val="00040E42"/>
    <w:rsid w:val="00040EA1"/>
    <w:rsid w:val="0004112D"/>
    <w:rsid w:val="000411CD"/>
    <w:rsid w:val="000412E8"/>
    <w:rsid w:val="000413BD"/>
    <w:rsid w:val="0004147D"/>
    <w:rsid w:val="0004165A"/>
    <w:rsid w:val="000417E0"/>
    <w:rsid w:val="00041929"/>
    <w:rsid w:val="00041947"/>
    <w:rsid w:val="00041A94"/>
    <w:rsid w:val="00041CCF"/>
    <w:rsid w:val="00041FE4"/>
    <w:rsid w:val="0004205F"/>
    <w:rsid w:val="00042177"/>
    <w:rsid w:val="00042202"/>
    <w:rsid w:val="0004230E"/>
    <w:rsid w:val="000423C6"/>
    <w:rsid w:val="000424F7"/>
    <w:rsid w:val="00042535"/>
    <w:rsid w:val="0004287E"/>
    <w:rsid w:val="00042EDB"/>
    <w:rsid w:val="00043181"/>
    <w:rsid w:val="00043201"/>
    <w:rsid w:val="0004342E"/>
    <w:rsid w:val="0004350F"/>
    <w:rsid w:val="000435E3"/>
    <w:rsid w:val="00043822"/>
    <w:rsid w:val="000438D9"/>
    <w:rsid w:val="0004399E"/>
    <w:rsid w:val="000439E0"/>
    <w:rsid w:val="00043B1C"/>
    <w:rsid w:val="00043C10"/>
    <w:rsid w:val="00043E03"/>
    <w:rsid w:val="00043E8F"/>
    <w:rsid w:val="00043EDF"/>
    <w:rsid w:val="00043F82"/>
    <w:rsid w:val="00044081"/>
    <w:rsid w:val="0004427E"/>
    <w:rsid w:val="000445DE"/>
    <w:rsid w:val="00044613"/>
    <w:rsid w:val="000446FA"/>
    <w:rsid w:val="00044773"/>
    <w:rsid w:val="000447C6"/>
    <w:rsid w:val="00044875"/>
    <w:rsid w:val="000449C7"/>
    <w:rsid w:val="000449F7"/>
    <w:rsid w:val="00044A50"/>
    <w:rsid w:val="00044A7C"/>
    <w:rsid w:val="00044B59"/>
    <w:rsid w:val="00044C65"/>
    <w:rsid w:val="00044D37"/>
    <w:rsid w:val="00044D95"/>
    <w:rsid w:val="00044E78"/>
    <w:rsid w:val="00044EF2"/>
    <w:rsid w:val="00045010"/>
    <w:rsid w:val="0004539F"/>
    <w:rsid w:val="00045448"/>
    <w:rsid w:val="000454EC"/>
    <w:rsid w:val="000455DE"/>
    <w:rsid w:val="00045662"/>
    <w:rsid w:val="00045876"/>
    <w:rsid w:val="000458C7"/>
    <w:rsid w:val="00045959"/>
    <w:rsid w:val="00045991"/>
    <w:rsid w:val="00045A68"/>
    <w:rsid w:val="00045AA7"/>
    <w:rsid w:val="00045C41"/>
    <w:rsid w:val="00045CC8"/>
    <w:rsid w:val="00045E5C"/>
    <w:rsid w:val="00045FF2"/>
    <w:rsid w:val="00046039"/>
    <w:rsid w:val="000460D6"/>
    <w:rsid w:val="00046288"/>
    <w:rsid w:val="0004643D"/>
    <w:rsid w:val="00046457"/>
    <w:rsid w:val="000464B7"/>
    <w:rsid w:val="00046591"/>
    <w:rsid w:val="00046615"/>
    <w:rsid w:val="0004664D"/>
    <w:rsid w:val="000466DB"/>
    <w:rsid w:val="00046719"/>
    <w:rsid w:val="000468DE"/>
    <w:rsid w:val="00046A96"/>
    <w:rsid w:val="00046C76"/>
    <w:rsid w:val="00046C91"/>
    <w:rsid w:val="00046D69"/>
    <w:rsid w:val="00046E6A"/>
    <w:rsid w:val="00046FD3"/>
    <w:rsid w:val="000471EC"/>
    <w:rsid w:val="00047482"/>
    <w:rsid w:val="000474C5"/>
    <w:rsid w:val="0004751A"/>
    <w:rsid w:val="000477D3"/>
    <w:rsid w:val="000478B3"/>
    <w:rsid w:val="00047941"/>
    <w:rsid w:val="00047951"/>
    <w:rsid w:val="00047B09"/>
    <w:rsid w:val="00047C53"/>
    <w:rsid w:val="00047C9C"/>
    <w:rsid w:val="00050587"/>
    <w:rsid w:val="0005070A"/>
    <w:rsid w:val="00050795"/>
    <w:rsid w:val="000508CC"/>
    <w:rsid w:val="00050966"/>
    <w:rsid w:val="00050A22"/>
    <w:rsid w:val="00050A36"/>
    <w:rsid w:val="00050A61"/>
    <w:rsid w:val="00050BB2"/>
    <w:rsid w:val="00050C49"/>
    <w:rsid w:val="00050DC2"/>
    <w:rsid w:val="00050DE6"/>
    <w:rsid w:val="00050E27"/>
    <w:rsid w:val="00051034"/>
    <w:rsid w:val="000511CE"/>
    <w:rsid w:val="000512A4"/>
    <w:rsid w:val="000512FA"/>
    <w:rsid w:val="0005144F"/>
    <w:rsid w:val="00051614"/>
    <w:rsid w:val="000517C3"/>
    <w:rsid w:val="00051A75"/>
    <w:rsid w:val="00051AF1"/>
    <w:rsid w:val="00051D42"/>
    <w:rsid w:val="00051DDC"/>
    <w:rsid w:val="00051FCE"/>
    <w:rsid w:val="00051FFB"/>
    <w:rsid w:val="000520B9"/>
    <w:rsid w:val="00052121"/>
    <w:rsid w:val="0005232B"/>
    <w:rsid w:val="00052763"/>
    <w:rsid w:val="000527EE"/>
    <w:rsid w:val="00052850"/>
    <w:rsid w:val="00052C99"/>
    <w:rsid w:val="00052FF0"/>
    <w:rsid w:val="00053326"/>
    <w:rsid w:val="000538A1"/>
    <w:rsid w:val="00053DAE"/>
    <w:rsid w:val="00053F19"/>
    <w:rsid w:val="00053FA3"/>
    <w:rsid w:val="00053FA4"/>
    <w:rsid w:val="0005445C"/>
    <w:rsid w:val="000546C0"/>
    <w:rsid w:val="00054903"/>
    <w:rsid w:val="00054969"/>
    <w:rsid w:val="00054A8D"/>
    <w:rsid w:val="00054C41"/>
    <w:rsid w:val="00054F00"/>
    <w:rsid w:val="00055086"/>
    <w:rsid w:val="0005519E"/>
    <w:rsid w:val="00055375"/>
    <w:rsid w:val="00055638"/>
    <w:rsid w:val="000557D9"/>
    <w:rsid w:val="000558B7"/>
    <w:rsid w:val="000558D6"/>
    <w:rsid w:val="00055B09"/>
    <w:rsid w:val="00055B3B"/>
    <w:rsid w:val="00055CD3"/>
    <w:rsid w:val="00055D12"/>
    <w:rsid w:val="00055DC5"/>
    <w:rsid w:val="00056319"/>
    <w:rsid w:val="000564E7"/>
    <w:rsid w:val="00056541"/>
    <w:rsid w:val="00056770"/>
    <w:rsid w:val="00056785"/>
    <w:rsid w:val="00056F0A"/>
    <w:rsid w:val="00056F32"/>
    <w:rsid w:val="00057386"/>
    <w:rsid w:val="0005746C"/>
    <w:rsid w:val="000578E4"/>
    <w:rsid w:val="000579BA"/>
    <w:rsid w:val="00057CBE"/>
    <w:rsid w:val="00057E2D"/>
    <w:rsid w:val="00057EEF"/>
    <w:rsid w:val="00060091"/>
    <w:rsid w:val="00060161"/>
    <w:rsid w:val="0006025F"/>
    <w:rsid w:val="000602F3"/>
    <w:rsid w:val="00060601"/>
    <w:rsid w:val="000606D9"/>
    <w:rsid w:val="000609A8"/>
    <w:rsid w:val="00060B2B"/>
    <w:rsid w:val="00060C5E"/>
    <w:rsid w:val="00060CEC"/>
    <w:rsid w:val="00060E31"/>
    <w:rsid w:val="00060F4C"/>
    <w:rsid w:val="00061132"/>
    <w:rsid w:val="0006122D"/>
    <w:rsid w:val="000613C6"/>
    <w:rsid w:val="000615A6"/>
    <w:rsid w:val="00061646"/>
    <w:rsid w:val="00061676"/>
    <w:rsid w:val="000616D2"/>
    <w:rsid w:val="0006184D"/>
    <w:rsid w:val="00061872"/>
    <w:rsid w:val="000619A6"/>
    <w:rsid w:val="000619CB"/>
    <w:rsid w:val="00061B9F"/>
    <w:rsid w:val="00061BD0"/>
    <w:rsid w:val="00061C13"/>
    <w:rsid w:val="00061C30"/>
    <w:rsid w:val="00061DAA"/>
    <w:rsid w:val="00061E77"/>
    <w:rsid w:val="00061EA1"/>
    <w:rsid w:val="0006210A"/>
    <w:rsid w:val="0006216E"/>
    <w:rsid w:val="0006217B"/>
    <w:rsid w:val="000622AB"/>
    <w:rsid w:val="0006231C"/>
    <w:rsid w:val="00062387"/>
    <w:rsid w:val="0006238C"/>
    <w:rsid w:val="00062465"/>
    <w:rsid w:val="0006254B"/>
    <w:rsid w:val="0006264F"/>
    <w:rsid w:val="0006270D"/>
    <w:rsid w:val="00062771"/>
    <w:rsid w:val="000627FC"/>
    <w:rsid w:val="00062A91"/>
    <w:rsid w:val="00062B27"/>
    <w:rsid w:val="00062D21"/>
    <w:rsid w:val="0006316F"/>
    <w:rsid w:val="000632E3"/>
    <w:rsid w:val="0006381F"/>
    <w:rsid w:val="0006398B"/>
    <w:rsid w:val="00063C63"/>
    <w:rsid w:val="00063E31"/>
    <w:rsid w:val="00063E5B"/>
    <w:rsid w:val="00063ED4"/>
    <w:rsid w:val="00063ED7"/>
    <w:rsid w:val="00063F53"/>
    <w:rsid w:val="00063F64"/>
    <w:rsid w:val="000640F0"/>
    <w:rsid w:val="0006434D"/>
    <w:rsid w:val="000643A1"/>
    <w:rsid w:val="00064668"/>
    <w:rsid w:val="00064679"/>
    <w:rsid w:val="00064A13"/>
    <w:rsid w:val="00064AF4"/>
    <w:rsid w:val="00064B6B"/>
    <w:rsid w:val="00064C3A"/>
    <w:rsid w:val="00064DB1"/>
    <w:rsid w:val="00064E33"/>
    <w:rsid w:val="00064F14"/>
    <w:rsid w:val="00065030"/>
    <w:rsid w:val="00065302"/>
    <w:rsid w:val="000656E9"/>
    <w:rsid w:val="0006584E"/>
    <w:rsid w:val="00065974"/>
    <w:rsid w:val="00065BA3"/>
    <w:rsid w:val="00065D3B"/>
    <w:rsid w:val="00065D76"/>
    <w:rsid w:val="00066187"/>
    <w:rsid w:val="000666B5"/>
    <w:rsid w:val="0006675D"/>
    <w:rsid w:val="000667E9"/>
    <w:rsid w:val="000668F3"/>
    <w:rsid w:val="0006700E"/>
    <w:rsid w:val="00067031"/>
    <w:rsid w:val="0006705B"/>
    <w:rsid w:val="00067128"/>
    <w:rsid w:val="0006718A"/>
    <w:rsid w:val="000671DE"/>
    <w:rsid w:val="000675CD"/>
    <w:rsid w:val="000675F9"/>
    <w:rsid w:val="00067872"/>
    <w:rsid w:val="000678AC"/>
    <w:rsid w:val="00067C7C"/>
    <w:rsid w:val="00067D6C"/>
    <w:rsid w:val="000700C5"/>
    <w:rsid w:val="00070256"/>
    <w:rsid w:val="000702A7"/>
    <w:rsid w:val="000702F4"/>
    <w:rsid w:val="00070347"/>
    <w:rsid w:val="000703B2"/>
    <w:rsid w:val="00070464"/>
    <w:rsid w:val="000705E1"/>
    <w:rsid w:val="00070657"/>
    <w:rsid w:val="00070677"/>
    <w:rsid w:val="0007087D"/>
    <w:rsid w:val="00070A30"/>
    <w:rsid w:val="00070C03"/>
    <w:rsid w:val="00070C0A"/>
    <w:rsid w:val="00070C78"/>
    <w:rsid w:val="00070DBA"/>
    <w:rsid w:val="00070E06"/>
    <w:rsid w:val="00070FBF"/>
    <w:rsid w:val="0007101A"/>
    <w:rsid w:val="000711EE"/>
    <w:rsid w:val="0007134F"/>
    <w:rsid w:val="00071645"/>
    <w:rsid w:val="0007180E"/>
    <w:rsid w:val="000719CD"/>
    <w:rsid w:val="000719F7"/>
    <w:rsid w:val="00071AE4"/>
    <w:rsid w:val="00071CB5"/>
    <w:rsid w:val="00071CCB"/>
    <w:rsid w:val="00071CEA"/>
    <w:rsid w:val="00071D03"/>
    <w:rsid w:val="00071D89"/>
    <w:rsid w:val="00071DC4"/>
    <w:rsid w:val="0007220C"/>
    <w:rsid w:val="000722D1"/>
    <w:rsid w:val="000722EC"/>
    <w:rsid w:val="0007232B"/>
    <w:rsid w:val="00072448"/>
    <w:rsid w:val="0007247B"/>
    <w:rsid w:val="00072876"/>
    <w:rsid w:val="00072B1B"/>
    <w:rsid w:val="00072C8C"/>
    <w:rsid w:val="00072CF9"/>
    <w:rsid w:val="00072D9A"/>
    <w:rsid w:val="0007334C"/>
    <w:rsid w:val="000735A2"/>
    <w:rsid w:val="0007383A"/>
    <w:rsid w:val="0007395A"/>
    <w:rsid w:val="00073BD6"/>
    <w:rsid w:val="00073D2B"/>
    <w:rsid w:val="0007418F"/>
    <w:rsid w:val="000742B0"/>
    <w:rsid w:val="000742CA"/>
    <w:rsid w:val="00074824"/>
    <w:rsid w:val="0007492F"/>
    <w:rsid w:val="0007496D"/>
    <w:rsid w:val="00074C38"/>
    <w:rsid w:val="00074DA5"/>
    <w:rsid w:val="00074E45"/>
    <w:rsid w:val="0007517E"/>
    <w:rsid w:val="0007589F"/>
    <w:rsid w:val="0007596A"/>
    <w:rsid w:val="000759C5"/>
    <w:rsid w:val="00075CC3"/>
    <w:rsid w:val="00075E77"/>
    <w:rsid w:val="00075E87"/>
    <w:rsid w:val="00075EAA"/>
    <w:rsid w:val="00075FE1"/>
    <w:rsid w:val="000760F1"/>
    <w:rsid w:val="000760F3"/>
    <w:rsid w:val="00076135"/>
    <w:rsid w:val="00076540"/>
    <w:rsid w:val="00076667"/>
    <w:rsid w:val="000766D3"/>
    <w:rsid w:val="0007698F"/>
    <w:rsid w:val="000769A1"/>
    <w:rsid w:val="00076BC1"/>
    <w:rsid w:val="00076C56"/>
    <w:rsid w:val="000770A7"/>
    <w:rsid w:val="000771C4"/>
    <w:rsid w:val="000772E9"/>
    <w:rsid w:val="0007745D"/>
    <w:rsid w:val="00077473"/>
    <w:rsid w:val="00077481"/>
    <w:rsid w:val="000774DD"/>
    <w:rsid w:val="00077531"/>
    <w:rsid w:val="00077671"/>
    <w:rsid w:val="000776F9"/>
    <w:rsid w:val="00077B08"/>
    <w:rsid w:val="00077B9C"/>
    <w:rsid w:val="00077EDA"/>
    <w:rsid w:val="00077EE0"/>
    <w:rsid w:val="00080026"/>
    <w:rsid w:val="000802F9"/>
    <w:rsid w:val="00080943"/>
    <w:rsid w:val="00080957"/>
    <w:rsid w:val="0008095E"/>
    <w:rsid w:val="00080A4C"/>
    <w:rsid w:val="00080AD8"/>
    <w:rsid w:val="00080C15"/>
    <w:rsid w:val="00080DE7"/>
    <w:rsid w:val="00080F73"/>
    <w:rsid w:val="00081382"/>
    <w:rsid w:val="0008143B"/>
    <w:rsid w:val="0008145A"/>
    <w:rsid w:val="0008162D"/>
    <w:rsid w:val="000817EB"/>
    <w:rsid w:val="00081801"/>
    <w:rsid w:val="00081945"/>
    <w:rsid w:val="00081A8E"/>
    <w:rsid w:val="00081F67"/>
    <w:rsid w:val="00082433"/>
    <w:rsid w:val="00082467"/>
    <w:rsid w:val="000824E5"/>
    <w:rsid w:val="000825EC"/>
    <w:rsid w:val="00082BCC"/>
    <w:rsid w:val="00082BD8"/>
    <w:rsid w:val="00082CA0"/>
    <w:rsid w:val="00082CF8"/>
    <w:rsid w:val="00082D62"/>
    <w:rsid w:val="00082F69"/>
    <w:rsid w:val="000831C8"/>
    <w:rsid w:val="000834B4"/>
    <w:rsid w:val="00083593"/>
    <w:rsid w:val="000835A7"/>
    <w:rsid w:val="00083708"/>
    <w:rsid w:val="00083735"/>
    <w:rsid w:val="00083931"/>
    <w:rsid w:val="00083A06"/>
    <w:rsid w:val="00083CF0"/>
    <w:rsid w:val="00083D0C"/>
    <w:rsid w:val="00083DC2"/>
    <w:rsid w:val="00083ECC"/>
    <w:rsid w:val="00083F5E"/>
    <w:rsid w:val="000840E7"/>
    <w:rsid w:val="000842AD"/>
    <w:rsid w:val="0008476A"/>
    <w:rsid w:val="00084923"/>
    <w:rsid w:val="00084B63"/>
    <w:rsid w:val="00084F15"/>
    <w:rsid w:val="00084F61"/>
    <w:rsid w:val="00084FDB"/>
    <w:rsid w:val="00085022"/>
    <w:rsid w:val="0008505C"/>
    <w:rsid w:val="00085139"/>
    <w:rsid w:val="000851D0"/>
    <w:rsid w:val="00085296"/>
    <w:rsid w:val="0008599C"/>
    <w:rsid w:val="00085B34"/>
    <w:rsid w:val="00085B89"/>
    <w:rsid w:val="00085BEB"/>
    <w:rsid w:val="00085C46"/>
    <w:rsid w:val="00085CC8"/>
    <w:rsid w:val="00086064"/>
    <w:rsid w:val="0008651A"/>
    <w:rsid w:val="000866DD"/>
    <w:rsid w:val="000867AD"/>
    <w:rsid w:val="000867C0"/>
    <w:rsid w:val="0008686A"/>
    <w:rsid w:val="00086941"/>
    <w:rsid w:val="00086D70"/>
    <w:rsid w:val="00086E28"/>
    <w:rsid w:val="00086E4B"/>
    <w:rsid w:val="0008712C"/>
    <w:rsid w:val="00087175"/>
    <w:rsid w:val="00087193"/>
    <w:rsid w:val="000871AC"/>
    <w:rsid w:val="000872C4"/>
    <w:rsid w:val="0008756B"/>
    <w:rsid w:val="0008770E"/>
    <w:rsid w:val="000877D2"/>
    <w:rsid w:val="00087941"/>
    <w:rsid w:val="000879D4"/>
    <w:rsid w:val="00087D35"/>
    <w:rsid w:val="00087D99"/>
    <w:rsid w:val="00087E33"/>
    <w:rsid w:val="00087F6F"/>
    <w:rsid w:val="0009037E"/>
    <w:rsid w:val="00090405"/>
    <w:rsid w:val="00090486"/>
    <w:rsid w:val="000908AA"/>
    <w:rsid w:val="000908EB"/>
    <w:rsid w:val="000908F6"/>
    <w:rsid w:val="00090AB9"/>
    <w:rsid w:val="00090B0C"/>
    <w:rsid w:val="00090BB9"/>
    <w:rsid w:val="00090CD5"/>
    <w:rsid w:val="00091402"/>
    <w:rsid w:val="0009140D"/>
    <w:rsid w:val="0009148E"/>
    <w:rsid w:val="000915C8"/>
    <w:rsid w:val="00091796"/>
    <w:rsid w:val="00091799"/>
    <w:rsid w:val="000918D9"/>
    <w:rsid w:val="00091904"/>
    <w:rsid w:val="00091A0C"/>
    <w:rsid w:val="00091BA2"/>
    <w:rsid w:val="00091C6B"/>
    <w:rsid w:val="00091CB0"/>
    <w:rsid w:val="00091DDC"/>
    <w:rsid w:val="00091ECA"/>
    <w:rsid w:val="00091EE6"/>
    <w:rsid w:val="0009210D"/>
    <w:rsid w:val="000921FF"/>
    <w:rsid w:val="00092241"/>
    <w:rsid w:val="000922F7"/>
    <w:rsid w:val="000923A3"/>
    <w:rsid w:val="00092C13"/>
    <w:rsid w:val="0009300A"/>
    <w:rsid w:val="00093335"/>
    <w:rsid w:val="0009337F"/>
    <w:rsid w:val="00093439"/>
    <w:rsid w:val="000935C4"/>
    <w:rsid w:val="000936E4"/>
    <w:rsid w:val="00093705"/>
    <w:rsid w:val="000939F7"/>
    <w:rsid w:val="00093B15"/>
    <w:rsid w:val="00093B32"/>
    <w:rsid w:val="00093CF4"/>
    <w:rsid w:val="00093D28"/>
    <w:rsid w:val="00094048"/>
    <w:rsid w:val="0009407C"/>
    <w:rsid w:val="000941FB"/>
    <w:rsid w:val="000942B7"/>
    <w:rsid w:val="00094344"/>
    <w:rsid w:val="000945A3"/>
    <w:rsid w:val="0009474F"/>
    <w:rsid w:val="00094798"/>
    <w:rsid w:val="00094CCD"/>
    <w:rsid w:val="00094D8F"/>
    <w:rsid w:val="00095077"/>
    <w:rsid w:val="000950EA"/>
    <w:rsid w:val="00095180"/>
    <w:rsid w:val="0009536B"/>
    <w:rsid w:val="000953C6"/>
    <w:rsid w:val="000953F4"/>
    <w:rsid w:val="000955B6"/>
    <w:rsid w:val="000955BF"/>
    <w:rsid w:val="000955C0"/>
    <w:rsid w:val="0009590C"/>
    <w:rsid w:val="000959E7"/>
    <w:rsid w:val="00095A82"/>
    <w:rsid w:val="00095AA4"/>
    <w:rsid w:val="00095AA7"/>
    <w:rsid w:val="00095BCD"/>
    <w:rsid w:val="00095E7D"/>
    <w:rsid w:val="00096029"/>
    <w:rsid w:val="0009607A"/>
    <w:rsid w:val="000964DE"/>
    <w:rsid w:val="000965D4"/>
    <w:rsid w:val="00096CDB"/>
    <w:rsid w:val="00096D55"/>
    <w:rsid w:val="00096E28"/>
    <w:rsid w:val="00097024"/>
    <w:rsid w:val="000972AB"/>
    <w:rsid w:val="000975D0"/>
    <w:rsid w:val="00097875"/>
    <w:rsid w:val="00097B40"/>
    <w:rsid w:val="00097BE1"/>
    <w:rsid w:val="00097D0E"/>
    <w:rsid w:val="00097D5E"/>
    <w:rsid w:val="000A00FD"/>
    <w:rsid w:val="000A057C"/>
    <w:rsid w:val="000A0633"/>
    <w:rsid w:val="000A07CC"/>
    <w:rsid w:val="000A0976"/>
    <w:rsid w:val="000A09F3"/>
    <w:rsid w:val="000A0A54"/>
    <w:rsid w:val="000A0B43"/>
    <w:rsid w:val="000A0D74"/>
    <w:rsid w:val="000A0DC9"/>
    <w:rsid w:val="000A0E0A"/>
    <w:rsid w:val="000A0E89"/>
    <w:rsid w:val="000A0F8D"/>
    <w:rsid w:val="000A10D0"/>
    <w:rsid w:val="000A10DB"/>
    <w:rsid w:val="000A1119"/>
    <w:rsid w:val="000A1124"/>
    <w:rsid w:val="000A126C"/>
    <w:rsid w:val="000A17EA"/>
    <w:rsid w:val="000A188A"/>
    <w:rsid w:val="000A1A0B"/>
    <w:rsid w:val="000A1C10"/>
    <w:rsid w:val="000A1C7A"/>
    <w:rsid w:val="000A1CB4"/>
    <w:rsid w:val="000A1DD8"/>
    <w:rsid w:val="000A1E62"/>
    <w:rsid w:val="000A1EC8"/>
    <w:rsid w:val="000A2060"/>
    <w:rsid w:val="000A227D"/>
    <w:rsid w:val="000A22F6"/>
    <w:rsid w:val="000A2345"/>
    <w:rsid w:val="000A2394"/>
    <w:rsid w:val="000A23A6"/>
    <w:rsid w:val="000A24B7"/>
    <w:rsid w:val="000A2B66"/>
    <w:rsid w:val="000A2FFA"/>
    <w:rsid w:val="000A30B1"/>
    <w:rsid w:val="000A31C1"/>
    <w:rsid w:val="000A3225"/>
    <w:rsid w:val="000A32C5"/>
    <w:rsid w:val="000A3411"/>
    <w:rsid w:val="000A34CA"/>
    <w:rsid w:val="000A362E"/>
    <w:rsid w:val="000A3C18"/>
    <w:rsid w:val="000A3D8C"/>
    <w:rsid w:val="000A3FE3"/>
    <w:rsid w:val="000A4139"/>
    <w:rsid w:val="000A426F"/>
    <w:rsid w:val="000A4298"/>
    <w:rsid w:val="000A4493"/>
    <w:rsid w:val="000A4559"/>
    <w:rsid w:val="000A45FD"/>
    <w:rsid w:val="000A4610"/>
    <w:rsid w:val="000A46EC"/>
    <w:rsid w:val="000A477B"/>
    <w:rsid w:val="000A4A42"/>
    <w:rsid w:val="000A4B03"/>
    <w:rsid w:val="000A4E11"/>
    <w:rsid w:val="000A4F16"/>
    <w:rsid w:val="000A53EA"/>
    <w:rsid w:val="000A557B"/>
    <w:rsid w:val="000A558D"/>
    <w:rsid w:val="000A55BE"/>
    <w:rsid w:val="000A55F1"/>
    <w:rsid w:val="000A5611"/>
    <w:rsid w:val="000A563C"/>
    <w:rsid w:val="000A583C"/>
    <w:rsid w:val="000A59C5"/>
    <w:rsid w:val="000A5D1C"/>
    <w:rsid w:val="000A5D30"/>
    <w:rsid w:val="000A5DEA"/>
    <w:rsid w:val="000A5EBD"/>
    <w:rsid w:val="000A5F0A"/>
    <w:rsid w:val="000A5F1C"/>
    <w:rsid w:val="000A606A"/>
    <w:rsid w:val="000A60C9"/>
    <w:rsid w:val="000A62EC"/>
    <w:rsid w:val="000A64FE"/>
    <w:rsid w:val="000A65A5"/>
    <w:rsid w:val="000A673C"/>
    <w:rsid w:val="000A6755"/>
    <w:rsid w:val="000A6AEE"/>
    <w:rsid w:val="000A6BD0"/>
    <w:rsid w:val="000A6C99"/>
    <w:rsid w:val="000A7002"/>
    <w:rsid w:val="000A7144"/>
    <w:rsid w:val="000A7209"/>
    <w:rsid w:val="000A757D"/>
    <w:rsid w:val="000A7581"/>
    <w:rsid w:val="000A7658"/>
    <w:rsid w:val="000A782F"/>
    <w:rsid w:val="000A7A4D"/>
    <w:rsid w:val="000A7AD6"/>
    <w:rsid w:val="000A7D48"/>
    <w:rsid w:val="000A7D66"/>
    <w:rsid w:val="000A7E17"/>
    <w:rsid w:val="000A7E36"/>
    <w:rsid w:val="000A7EDE"/>
    <w:rsid w:val="000A7F0F"/>
    <w:rsid w:val="000A7F1B"/>
    <w:rsid w:val="000A7F4C"/>
    <w:rsid w:val="000B014D"/>
    <w:rsid w:val="000B02BC"/>
    <w:rsid w:val="000B0498"/>
    <w:rsid w:val="000B08D4"/>
    <w:rsid w:val="000B0A05"/>
    <w:rsid w:val="000B0C5F"/>
    <w:rsid w:val="000B0F36"/>
    <w:rsid w:val="000B0FA0"/>
    <w:rsid w:val="000B0FEA"/>
    <w:rsid w:val="000B1459"/>
    <w:rsid w:val="000B1674"/>
    <w:rsid w:val="000B179F"/>
    <w:rsid w:val="000B17B7"/>
    <w:rsid w:val="000B1903"/>
    <w:rsid w:val="000B1942"/>
    <w:rsid w:val="000B19B1"/>
    <w:rsid w:val="000B1A34"/>
    <w:rsid w:val="000B1AC8"/>
    <w:rsid w:val="000B1BED"/>
    <w:rsid w:val="000B21FB"/>
    <w:rsid w:val="000B2240"/>
    <w:rsid w:val="000B2270"/>
    <w:rsid w:val="000B2355"/>
    <w:rsid w:val="000B2458"/>
    <w:rsid w:val="000B2477"/>
    <w:rsid w:val="000B2600"/>
    <w:rsid w:val="000B26CD"/>
    <w:rsid w:val="000B2726"/>
    <w:rsid w:val="000B274B"/>
    <w:rsid w:val="000B2847"/>
    <w:rsid w:val="000B284E"/>
    <w:rsid w:val="000B294A"/>
    <w:rsid w:val="000B2C3F"/>
    <w:rsid w:val="000B3232"/>
    <w:rsid w:val="000B3433"/>
    <w:rsid w:val="000B36F9"/>
    <w:rsid w:val="000B373B"/>
    <w:rsid w:val="000B3816"/>
    <w:rsid w:val="000B3A2D"/>
    <w:rsid w:val="000B3CBC"/>
    <w:rsid w:val="000B3CEE"/>
    <w:rsid w:val="000B3D74"/>
    <w:rsid w:val="000B3DBC"/>
    <w:rsid w:val="000B3E35"/>
    <w:rsid w:val="000B3E79"/>
    <w:rsid w:val="000B4028"/>
    <w:rsid w:val="000B4074"/>
    <w:rsid w:val="000B40DB"/>
    <w:rsid w:val="000B4128"/>
    <w:rsid w:val="000B4299"/>
    <w:rsid w:val="000B432C"/>
    <w:rsid w:val="000B452D"/>
    <w:rsid w:val="000B46DD"/>
    <w:rsid w:val="000B4732"/>
    <w:rsid w:val="000B485A"/>
    <w:rsid w:val="000B4BCD"/>
    <w:rsid w:val="000B4DC1"/>
    <w:rsid w:val="000B50F1"/>
    <w:rsid w:val="000B51E9"/>
    <w:rsid w:val="000B5447"/>
    <w:rsid w:val="000B56F0"/>
    <w:rsid w:val="000B5E8C"/>
    <w:rsid w:val="000B5F6A"/>
    <w:rsid w:val="000B6036"/>
    <w:rsid w:val="000B6467"/>
    <w:rsid w:val="000B65D1"/>
    <w:rsid w:val="000B6686"/>
    <w:rsid w:val="000B66DC"/>
    <w:rsid w:val="000B66FD"/>
    <w:rsid w:val="000B6D1F"/>
    <w:rsid w:val="000B6D9E"/>
    <w:rsid w:val="000B6DBB"/>
    <w:rsid w:val="000B6EA7"/>
    <w:rsid w:val="000B72D3"/>
    <w:rsid w:val="000B72E1"/>
    <w:rsid w:val="000B73A5"/>
    <w:rsid w:val="000B7438"/>
    <w:rsid w:val="000B74EF"/>
    <w:rsid w:val="000B78AB"/>
    <w:rsid w:val="000B7C48"/>
    <w:rsid w:val="000B7F5F"/>
    <w:rsid w:val="000B7FDD"/>
    <w:rsid w:val="000C01B7"/>
    <w:rsid w:val="000C0573"/>
    <w:rsid w:val="000C062F"/>
    <w:rsid w:val="000C06BF"/>
    <w:rsid w:val="000C0835"/>
    <w:rsid w:val="000C09DF"/>
    <w:rsid w:val="000C0A1C"/>
    <w:rsid w:val="000C0AA2"/>
    <w:rsid w:val="000C0AB9"/>
    <w:rsid w:val="000C0BF5"/>
    <w:rsid w:val="000C0C76"/>
    <w:rsid w:val="000C0E53"/>
    <w:rsid w:val="000C0E81"/>
    <w:rsid w:val="000C103F"/>
    <w:rsid w:val="000C1094"/>
    <w:rsid w:val="000C10FC"/>
    <w:rsid w:val="000C1170"/>
    <w:rsid w:val="000C1316"/>
    <w:rsid w:val="000C1634"/>
    <w:rsid w:val="000C1648"/>
    <w:rsid w:val="000C17E7"/>
    <w:rsid w:val="000C1861"/>
    <w:rsid w:val="000C1937"/>
    <w:rsid w:val="000C1A35"/>
    <w:rsid w:val="000C1AB0"/>
    <w:rsid w:val="000C1B75"/>
    <w:rsid w:val="000C1E39"/>
    <w:rsid w:val="000C2131"/>
    <w:rsid w:val="000C24B5"/>
    <w:rsid w:val="000C2770"/>
    <w:rsid w:val="000C299D"/>
    <w:rsid w:val="000C2ABD"/>
    <w:rsid w:val="000C2B97"/>
    <w:rsid w:val="000C2C23"/>
    <w:rsid w:val="000C2C48"/>
    <w:rsid w:val="000C2C73"/>
    <w:rsid w:val="000C2D25"/>
    <w:rsid w:val="000C2D83"/>
    <w:rsid w:val="000C2EB6"/>
    <w:rsid w:val="000C2FC9"/>
    <w:rsid w:val="000C315F"/>
    <w:rsid w:val="000C3270"/>
    <w:rsid w:val="000C3483"/>
    <w:rsid w:val="000C3526"/>
    <w:rsid w:val="000C35DB"/>
    <w:rsid w:val="000C36B7"/>
    <w:rsid w:val="000C39AC"/>
    <w:rsid w:val="000C3A5E"/>
    <w:rsid w:val="000C3CFF"/>
    <w:rsid w:val="000C3D52"/>
    <w:rsid w:val="000C3EC9"/>
    <w:rsid w:val="000C402B"/>
    <w:rsid w:val="000C43C4"/>
    <w:rsid w:val="000C4627"/>
    <w:rsid w:val="000C46DB"/>
    <w:rsid w:val="000C4A79"/>
    <w:rsid w:val="000C518C"/>
    <w:rsid w:val="000C52AA"/>
    <w:rsid w:val="000C55D1"/>
    <w:rsid w:val="000C5615"/>
    <w:rsid w:val="000C5704"/>
    <w:rsid w:val="000C577E"/>
    <w:rsid w:val="000C5ADD"/>
    <w:rsid w:val="000C6254"/>
    <w:rsid w:val="000C62E9"/>
    <w:rsid w:val="000C6371"/>
    <w:rsid w:val="000C66E4"/>
    <w:rsid w:val="000C6715"/>
    <w:rsid w:val="000C69F4"/>
    <w:rsid w:val="000C6AB4"/>
    <w:rsid w:val="000C6AFF"/>
    <w:rsid w:val="000C6F3D"/>
    <w:rsid w:val="000C7003"/>
    <w:rsid w:val="000C7259"/>
    <w:rsid w:val="000C7458"/>
    <w:rsid w:val="000C765A"/>
    <w:rsid w:val="000C7789"/>
    <w:rsid w:val="000C786F"/>
    <w:rsid w:val="000C78F4"/>
    <w:rsid w:val="000C7AB1"/>
    <w:rsid w:val="000C7CDE"/>
    <w:rsid w:val="000C7EAB"/>
    <w:rsid w:val="000C7ECA"/>
    <w:rsid w:val="000D01DD"/>
    <w:rsid w:val="000D03F9"/>
    <w:rsid w:val="000D04BA"/>
    <w:rsid w:val="000D0768"/>
    <w:rsid w:val="000D0852"/>
    <w:rsid w:val="000D09A2"/>
    <w:rsid w:val="000D0A41"/>
    <w:rsid w:val="000D0B13"/>
    <w:rsid w:val="000D0B4C"/>
    <w:rsid w:val="000D0B4D"/>
    <w:rsid w:val="000D0B6E"/>
    <w:rsid w:val="000D0C5E"/>
    <w:rsid w:val="000D0D65"/>
    <w:rsid w:val="000D0D7F"/>
    <w:rsid w:val="000D12E0"/>
    <w:rsid w:val="000D1321"/>
    <w:rsid w:val="000D149A"/>
    <w:rsid w:val="000D1504"/>
    <w:rsid w:val="000D1944"/>
    <w:rsid w:val="000D1978"/>
    <w:rsid w:val="000D1AFF"/>
    <w:rsid w:val="000D1DB5"/>
    <w:rsid w:val="000D1DD9"/>
    <w:rsid w:val="000D1E14"/>
    <w:rsid w:val="000D1F18"/>
    <w:rsid w:val="000D1F8A"/>
    <w:rsid w:val="000D1FFF"/>
    <w:rsid w:val="000D2172"/>
    <w:rsid w:val="000D23B9"/>
    <w:rsid w:val="000D2431"/>
    <w:rsid w:val="000D27FA"/>
    <w:rsid w:val="000D293C"/>
    <w:rsid w:val="000D2BC1"/>
    <w:rsid w:val="000D2C7A"/>
    <w:rsid w:val="000D2C84"/>
    <w:rsid w:val="000D2F84"/>
    <w:rsid w:val="000D337B"/>
    <w:rsid w:val="000D33A0"/>
    <w:rsid w:val="000D33E2"/>
    <w:rsid w:val="000D3562"/>
    <w:rsid w:val="000D385A"/>
    <w:rsid w:val="000D38C2"/>
    <w:rsid w:val="000D3B6C"/>
    <w:rsid w:val="000D3B95"/>
    <w:rsid w:val="000D3CA7"/>
    <w:rsid w:val="000D3D07"/>
    <w:rsid w:val="000D3E01"/>
    <w:rsid w:val="000D3F0C"/>
    <w:rsid w:val="000D3F54"/>
    <w:rsid w:val="000D3FE0"/>
    <w:rsid w:val="000D40DB"/>
    <w:rsid w:val="000D4364"/>
    <w:rsid w:val="000D44C4"/>
    <w:rsid w:val="000D462C"/>
    <w:rsid w:val="000D4A63"/>
    <w:rsid w:val="000D4C61"/>
    <w:rsid w:val="000D5143"/>
    <w:rsid w:val="000D52E7"/>
    <w:rsid w:val="000D52F3"/>
    <w:rsid w:val="000D53CC"/>
    <w:rsid w:val="000D53D8"/>
    <w:rsid w:val="000D5425"/>
    <w:rsid w:val="000D5581"/>
    <w:rsid w:val="000D5715"/>
    <w:rsid w:val="000D59E9"/>
    <w:rsid w:val="000D5B16"/>
    <w:rsid w:val="000D5BB4"/>
    <w:rsid w:val="000D5DAB"/>
    <w:rsid w:val="000D5F3D"/>
    <w:rsid w:val="000D5F7F"/>
    <w:rsid w:val="000D5FD6"/>
    <w:rsid w:val="000D61E8"/>
    <w:rsid w:val="000D6201"/>
    <w:rsid w:val="000D6488"/>
    <w:rsid w:val="000D6629"/>
    <w:rsid w:val="000D6831"/>
    <w:rsid w:val="000D6B89"/>
    <w:rsid w:val="000D7088"/>
    <w:rsid w:val="000D7258"/>
    <w:rsid w:val="000D73AD"/>
    <w:rsid w:val="000D74DF"/>
    <w:rsid w:val="000D76E3"/>
    <w:rsid w:val="000D770B"/>
    <w:rsid w:val="000D788E"/>
    <w:rsid w:val="000D795D"/>
    <w:rsid w:val="000D7962"/>
    <w:rsid w:val="000D7F2B"/>
    <w:rsid w:val="000D7F99"/>
    <w:rsid w:val="000E01B9"/>
    <w:rsid w:val="000E01D2"/>
    <w:rsid w:val="000E024A"/>
    <w:rsid w:val="000E0357"/>
    <w:rsid w:val="000E0778"/>
    <w:rsid w:val="000E0A16"/>
    <w:rsid w:val="000E0A8E"/>
    <w:rsid w:val="000E0BBB"/>
    <w:rsid w:val="000E0D6C"/>
    <w:rsid w:val="000E0DE2"/>
    <w:rsid w:val="000E12B0"/>
    <w:rsid w:val="000E133E"/>
    <w:rsid w:val="000E14D7"/>
    <w:rsid w:val="000E14E9"/>
    <w:rsid w:val="000E1508"/>
    <w:rsid w:val="000E1635"/>
    <w:rsid w:val="000E173A"/>
    <w:rsid w:val="000E1AAB"/>
    <w:rsid w:val="000E1B4B"/>
    <w:rsid w:val="000E1BC8"/>
    <w:rsid w:val="000E1C62"/>
    <w:rsid w:val="000E1D32"/>
    <w:rsid w:val="000E1D3B"/>
    <w:rsid w:val="000E1E7B"/>
    <w:rsid w:val="000E1EDA"/>
    <w:rsid w:val="000E1F5F"/>
    <w:rsid w:val="000E2126"/>
    <w:rsid w:val="000E21D1"/>
    <w:rsid w:val="000E2671"/>
    <w:rsid w:val="000E26D8"/>
    <w:rsid w:val="000E27CB"/>
    <w:rsid w:val="000E28B1"/>
    <w:rsid w:val="000E2A94"/>
    <w:rsid w:val="000E2B94"/>
    <w:rsid w:val="000E2C50"/>
    <w:rsid w:val="000E2D5E"/>
    <w:rsid w:val="000E2E2D"/>
    <w:rsid w:val="000E2F45"/>
    <w:rsid w:val="000E2FBB"/>
    <w:rsid w:val="000E2FE4"/>
    <w:rsid w:val="000E3156"/>
    <w:rsid w:val="000E323E"/>
    <w:rsid w:val="000E3478"/>
    <w:rsid w:val="000E3545"/>
    <w:rsid w:val="000E35B6"/>
    <w:rsid w:val="000E39B2"/>
    <w:rsid w:val="000E3A7C"/>
    <w:rsid w:val="000E3A9C"/>
    <w:rsid w:val="000E3AB9"/>
    <w:rsid w:val="000E3BB8"/>
    <w:rsid w:val="000E3C6A"/>
    <w:rsid w:val="000E3D9B"/>
    <w:rsid w:val="000E3DFD"/>
    <w:rsid w:val="000E3F46"/>
    <w:rsid w:val="000E4261"/>
    <w:rsid w:val="000E4286"/>
    <w:rsid w:val="000E43D9"/>
    <w:rsid w:val="000E443E"/>
    <w:rsid w:val="000E463E"/>
    <w:rsid w:val="000E4697"/>
    <w:rsid w:val="000E4782"/>
    <w:rsid w:val="000E479A"/>
    <w:rsid w:val="000E4863"/>
    <w:rsid w:val="000E4962"/>
    <w:rsid w:val="000E4A49"/>
    <w:rsid w:val="000E4AC1"/>
    <w:rsid w:val="000E4BB2"/>
    <w:rsid w:val="000E4C65"/>
    <w:rsid w:val="000E4E3E"/>
    <w:rsid w:val="000E4F6C"/>
    <w:rsid w:val="000E4FCC"/>
    <w:rsid w:val="000E4FCE"/>
    <w:rsid w:val="000E50CE"/>
    <w:rsid w:val="000E51BB"/>
    <w:rsid w:val="000E52F7"/>
    <w:rsid w:val="000E5581"/>
    <w:rsid w:val="000E569C"/>
    <w:rsid w:val="000E58B6"/>
    <w:rsid w:val="000E58C5"/>
    <w:rsid w:val="000E59A0"/>
    <w:rsid w:val="000E59C6"/>
    <w:rsid w:val="000E5AD0"/>
    <w:rsid w:val="000E5B56"/>
    <w:rsid w:val="000E5D76"/>
    <w:rsid w:val="000E5DF5"/>
    <w:rsid w:val="000E6062"/>
    <w:rsid w:val="000E60CA"/>
    <w:rsid w:val="000E6203"/>
    <w:rsid w:val="000E63F5"/>
    <w:rsid w:val="000E641E"/>
    <w:rsid w:val="000E6423"/>
    <w:rsid w:val="000E645D"/>
    <w:rsid w:val="000E64CB"/>
    <w:rsid w:val="000E6A5F"/>
    <w:rsid w:val="000E6A60"/>
    <w:rsid w:val="000E6B05"/>
    <w:rsid w:val="000E6B8F"/>
    <w:rsid w:val="000E6D80"/>
    <w:rsid w:val="000E70C7"/>
    <w:rsid w:val="000E7143"/>
    <w:rsid w:val="000E722C"/>
    <w:rsid w:val="000E72E3"/>
    <w:rsid w:val="000E73D7"/>
    <w:rsid w:val="000E7410"/>
    <w:rsid w:val="000E755B"/>
    <w:rsid w:val="000E75C5"/>
    <w:rsid w:val="000E765D"/>
    <w:rsid w:val="000E76B5"/>
    <w:rsid w:val="000E7738"/>
    <w:rsid w:val="000E786F"/>
    <w:rsid w:val="000E7984"/>
    <w:rsid w:val="000E7A72"/>
    <w:rsid w:val="000E7AB9"/>
    <w:rsid w:val="000E7ACD"/>
    <w:rsid w:val="000E7BCD"/>
    <w:rsid w:val="000E7DA7"/>
    <w:rsid w:val="000E7FA0"/>
    <w:rsid w:val="000F00BA"/>
    <w:rsid w:val="000F0171"/>
    <w:rsid w:val="000F0200"/>
    <w:rsid w:val="000F0206"/>
    <w:rsid w:val="000F02F8"/>
    <w:rsid w:val="000F0409"/>
    <w:rsid w:val="000F048B"/>
    <w:rsid w:val="000F049F"/>
    <w:rsid w:val="000F0642"/>
    <w:rsid w:val="000F06D7"/>
    <w:rsid w:val="000F07FA"/>
    <w:rsid w:val="000F0838"/>
    <w:rsid w:val="000F09BC"/>
    <w:rsid w:val="000F0B5E"/>
    <w:rsid w:val="000F0E7C"/>
    <w:rsid w:val="000F1178"/>
    <w:rsid w:val="000F15E9"/>
    <w:rsid w:val="000F1877"/>
    <w:rsid w:val="000F1D43"/>
    <w:rsid w:val="000F1FFF"/>
    <w:rsid w:val="000F20AA"/>
    <w:rsid w:val="000F2266"/>
    <w:rsid w:val="000F23E7"/>
    <w:rsid w:val="000F2429"/>
    <w:rsid w:val="000F2633"/>
    <w:rsid w:val="000F2651"/>
    <w:rsid w:val="000F2C60"/>
    <w:rsid w:val="000F2CC4"/>
    <w:rsid w:val="000F2D0E"/>
    <w:rsid w:val="000F2DCB"/>
    <w:rsid w:val="000F30BF"/>
    <w:rsid w:val="000F3142"/>
    <w:rsid w:val="000F3410"/>
    <w:rsid w:val="000F348D"/>
    <w:rsid w:val="000F369A"/>
    <w:rsid w:val="000F3762"/>
    <w:rsid w:val="000F3863"/>
    <w:rsid w:val="000F3AAD"/>
    <w:rsid w:val="000F3F22"/>
    <w:rsid w:val="000F43F9"/>
    <w:rsid w:val="000F4463"/>
    <w:rsid w:val="000F4479"/>
    <w:rsid w:val="000F4831"/>
    <w:rsid w:val="000F48DC"/>
    <w:rsid w:val="000F4A5A"/>
    <w:rsid w:val="000F4AB9"/>
    <w:rsid w:val="000F4AD4"/>
    <w:rsid w:val="000F4FE2"/>
    <w:rsid w:val="000F51C5"/>
    <w:rsid w:val="000F5285"/>
    <w:rsid w:val="000F52E0"/>
    <w:rsid w:val="000F531D"/>
    <w:rsid w:val="000F53A9"/>
    <w:rsid w:val="000F560A"/>
    <w:rsid w:val="000F56C0"/>
    <w:rsid w:val="000F572E"/>
    <w:rsid w:val="000F5A9B"/>
    <w:rsid w:val="000F5AD7"/>
    <w:rsid w:val="000F5B2F"/>
    <w:rsid w:val="000F5C67"/>
    <w:rsid w:val="000F5CFE"/>
    <w:rsid w:val="000F5D93"/>
    <w:rsid w:val="000F5E24"/>
    <w:rsid w:val="000F5E48"/>
    <w:rsid w:val="000F6246"/>
    <w:rsid w:val="000F62AE"/>
    <w:rsid w:val="000F631E"/>
    <w:rsid w:val="000F63BE"/>
    <w:rsid w:val="000F63C6"/>
    <w:rsid w:val="000F6464"/>
    <w:rsid w:val="000F646D"/>
    <w:rsid w:val="000F64CB"/>
    <w:rsid w:val="000F6628"/>
    <w:rsid w:val="000F673A"/>
    <w:rsid w:val="000F6ADB"/>
    <w:rsid w:val="000F6B32"/>
    <w:rsid w:val="000F6B54"/>
    <w:rsid w:val="000F6C10"/>
    <w:rsid w:val="000F6C25"/>
    <w:rsid w:val="000F6CFA"/>
    <w:rsid w:val="000F6D5B"/>
    <w:rsid w:val="000F6E51"/>
    <w:rsid w:val="000F6F31"/>
    <w:rsid w:val="000F6FBC"/>
    <w:rsid w:val="000F72D7"/>
    <w:rsid w:val="000F74CC"/>
    <w:rsid w:val="000F74E0"/>
    <w:rsid w:val="000F76CA"/>
    <w:rsid w:val="000F76EB"/>
    <w:rsid w:val="000F789A"/>
    <w:rsid w:val="000F78AE"/>
    <w:rsid w:val="000F78E4"/>
    <w:rsid w:val="000F7975"/>
    <w:rsid w:val="000F7B78"/>
    <w:rsid w:val="000F7C84"/>
    <w:rsid w:val="000F7E25"/>
    <w:rsid w:val="0010011E"/>
    <w:rsid w:val="00100218"/>
    <w:rsid w:val="0010022F"/>
    <w:rsid w:val="00100318"/>
    <w:rsid w:val="001004EB"/>
    <w:rsid w:val="00100579"/>
    <w:rsid w:val="00100723"/>
    <w:rsid w:val="0010075E"/>
    <w:rsid w:val="001007EE"/>
    <w:rsid w:val="00100972"/>
    <w:rsid w:val="00100A37"/>
    <w:rsid w:val="00100C27"/>
    <w:rsid w:val="00100F76"/>
    <w:rsid w:val="00101013"/>
    <w:rsid w:val="0010109B"/>
    <w:rsid w:val="001011AA"/>
    <w:rsid w:val="00101448"/>
    <w:rsid w:val="0010148E"/>
    <w:rsid w:val="0010159D"/>
    <w:rsid w:val="00101D9D"/>
    <w:rsid w:val="00102053"/>
    <w:rsid w:val="0010253C"/>
    <w:rsid w:val="0010253D"/>
    <w:rsid w:val="001025D4"/>
    <w:rsid w:val="001029EF"/>
    <w:rsid w:val="00102B96"/>
    <w:rsid w:val="00102BAC"/>
    <w:rsid w:val="00102BD1"/>
    <w:rsid w:val="00102C86"/>
    <w:rsid w:val="00102CC5"/>
    <w:rsid w:val="00102FEA"/>
    <w:rsid w:val="0010312E"/>
    <w:rsid w:val="00103600"/>
    <w:rsid w:val="0010373B"/>
    <w:rsid w:val="0010380D"/>
    <w:rsid w:val="00103AFD"/>
    <w:rsid w:val="00103FED"/>
    <w:rsid w:val="0010486A"/>
    <w:rsid w:val="00104AFA"/>
    <w:rsid w:val="00104BAF"/>
    <w:rsid w:val="00104C5F"/>
    <w:rsid w:val="00104D15"/>
    <w:rsid w:val="00104F60"/>
    <w:rsid w:val="00104FED"/>
    <w:rsid w:val="0010505B"/>
    <w:rsid w:val="001050FD"/>
    <w:rsid w:val="00105146"/>
    <w:rsid w:val="001052AE"/>
    <w:rsid w:val="0010548E"/>
    <w:rsid w:val="00105590"/>
    <w:rsid w:val="0010561C"/>
    <w:rsid w:val="00105B0B"/>
    <w:rsid w:val="00105BAE"/>
    <w:rsid w:val="00105C0B"/>
    <w:rsid w:val="00105C0F"/>
    <w:rsid w:val="00105E39"/>
    <w:rsid w:val="0010607C"/>
    <w:rsid w:val="0010608C"/>
    <w:rsid w:val="0010613F"/>
    <w:rsid w:val="001061D1"/>
    <w:rsid w:val="00106561"/>
    <w:rsid w:val="0010666F"/>
    <w:rsid w:val="00106765"/>
    <w:rsid w:val="001067B7"/>
    <w:rsid w:val="00106891"/>
    <w:rsid w:val="00106A23"/>
    <w:rsid w:val="00106A97"/>
    <w:rsid w:val="00106AA0"/>
    <w:rsid w:val="00106AA9"/>
    <w:rsid w:val="00106ADA"/>
    <w:rsid w:val="00106BE5"/>
    <w:rsid w:val="00106BE6"/>
    <w:rsid w:val="00106D20"/>
    <w:rsid w:val="00106D63"/>
    <w:rsid w:val="00106EAE"/>
    <w:rsid w:val="00107048"/>
    <w:rsid w:val="001070D6"/>
    <w:rsid w:val="0010717B"/>
    <w:rsid w:val="00107435"/>
    <w:rsid w:val="001075F3"/>
    <w:rsid w:val="00107768"/>
    <w:rsid w:val="0010778E"/>
    <w:rsid w:val="00107984"/>
    <w:rsid w:val="00107A01"/>
    <w:rsid w:val="00107A64"/>
    <w:rsid w:val="00107BA7"/>
    <w:rsid w:val="00107C0F"/>
    <w:rsid w:val="00107C23"/>
    <w:rsid w:val="00107C98"/>
    <w:rsid w:val="00107E15"/>
    <w:rsid w:val="00107F18"/>
    <w:rsid w:val="001100F5"/>
    <w:rsid w:val="00110307"/>
    <w:rsid w:val="00110407"/>
    <w:rsid w:val="001106F9"/>
    <w:rsid w:val="00110771"/>
    <w:rsid w:val="001107FD"/>
    <w:rsid w:val="00110C7F"/>
    <w:rsid w:val="00110C8A"/>
    <w:rsid w:val="00110DB2"/>
    <w:rsid w:val="00110EE2"/>
    <w:rsid w:val="00111A88"/>
    <w:rsid w:val="00111B60"/>
    <w:rsid w:val="00111BE9"/>
    <w:rsid w:val="00111C8E"/>
    <w:rsid w:val="00111C95"/>
    <w:rsid w:val="00111CAF"/>
    <w:rsid w:val="00111FB5"/>
    <w:rsid w:val="001120AC"/>
    <w:rsid w:val="0011221A"/>
    <w:rsid w:val="001122D1"/>
    <w:rsid w:val="0011239F"/>
    <w:rsid w:val="001124D9"/>
    <w:rsid w:val="0011253A"/>
    <w:rsid w:val="0011280A"/>
    <w:rsid w:val="00112865"/>
    <w:rsid w:val="0011286A"/>
    <w:rsid w:val="00112929"/>
    <w:rsid w:val="0011299A"/>
    <w:rsid w:val="00112AAA"/>
    <w:rsid w:val="00113260"/>
    <w:rsid w:val="00113283"/>
    <w:rsid w:val="001134E2"/>
    <w:rsid w:val="001135F0"/>
    <w:rsid w:val="00113693"/>
    <w:rsid w:val="001137AE"/>
    <w:rsid w:val="0011392D"/>
    <w:rsid w:val="00113B20"/>
    <w:rsid w:val="00113E20"/>
    <w:rsid w:val="00114063"/>
    <w:rsid w:val="0011423C"/>
    <w:rsid w:val="00114278"/>
    <w:rsid w:val="001143BC"/>
    <w:rsid w:val="00114430"/>
    <w:rsid w:val="0011464E"/>
    <w:rsid w:val="001146B7"/>
    <w:rsid w:val="001147B3"/>
    <w:rsid w:val="001148F7"/>
    <w:rsid w:val="001149B2"/>
    <w:rsid w:val="00114A6B"/>
    <w:rsid w:val="00114A6F"/>
    <w:rsid w:val="00114B0A"/>
    <w:rsid w:val="00114BE9"/>
    <w:rsid w:val="00114C2D"/>
    <w:rsid w:val="00114CCA"/>
    <w:rsid w:val="00114D73"/>
    <w:rsid w:val="00114DA0"/>
    <w:rsid w:val="00114ED0"/>
    <w:rsid w:val="00115099"/>
    <w:rsid w:val="0011510F"/>
    <w:rsid w:val="00115125"/>
    <w:rsid w:val="0011517E"/>
    <w:rsid w:val="001152F2"/>
    <w:rsid w:val="001154AF"/>
    <w:rsid w:val="00115761"/>
    <w:rsid w:val="00115795"/>
    <w:rsid w:val="001157D7"/>
    <w:rsid w:val="001159CF"/>
    <w:rsid w:val="001159E2"/>
    <w:rsid w:val="00115ACD"/>
    <w:rsid w:val="00115E82"/>
    <w:rsid w:val="001161A4"/>
    <w:rsid w:val="0011626C"/>
    <w:rsid w:val="00116382"/>
    <w:rsid w:val="0011643B"/>
    <w:rsid w:val="00116484"/>
    <w:rsid w:val="00116495"/>
    <w:rsid w:val="00116523"/>
    <w:rsid w:val="0011687D"/>
    <w:rsid w:val="00116ACF"/>
    <w:rsid w:val="00116B37"/>
    <w:rsid w:val="00116BAC"/>
    <w:rsid w:val="00116D5C"/>
    <w:rsid w:val="00116F7F"/>
    <w:rsid w:val="0011726B"/>
    <w:rsid w:val="001172B2"/>
    <w:rsid w:val="00117A88"/>
    <w:rsid w:val="00117DB6"/>
    <w:rsid w:val="00117F2B"/>
    <w:rsid w:val="00117F9B"/>
    <w:rsid w:val="001201C2"/>
    <w:rsid w:val="00120226"/>
    <w:rsid w:val="00120341"/>
    <w:rsid w:val="0012057D"/>
    <w:rsid w:val="001205A4"/>
    <w:rsid w:val="001208AD"/>
    <w:rsid w:val="001209FA"/>
    <w:rsid w:val="00120A34"/>
    <w:rsid w:val="00120AB7"/>
    <w:rsid w:val="00120C64"/>
    <w:rsid w:val="00120D76"/>
    <w:rsid w:val="00120DFE"/>
    <w:rsid w:val="00120E59"/>
    <w:rsid w:val="00120ECF"/>
    <w:rsid w:val="00121001"/>
    <w:rsid w:val="001210A7"/>
    <w:rsid w:val="001210EF"/>
    <w:rsid w:val="00121211"/>
    <w:rsid w:val="00121246"/>
    <w:rsid w:val="00121324"/>
    <w:rsid w:val="00121628"/>
    <w:rsid w:val="0012167D"/>
    <w:rsid w:val="00121723"/>
    <w:rsid w:val="00121850"/>
    <w:rsid w:val="00121B29"/>
    <w:rsid w:val="00121B6C"/>
    <w:rsid w:val="00121CD5"/>
    <w:rsid w:val="00121D15"/>
    <w:rsid w:val="00122189"/>
    <w:rsid w:val="0012224D"/>
    <w:rsid w:val="00122280"/>
    <w:rsid w:val="001222DC"/>
    <w:rsid w:val="00122455"/>
    <w:rsid w:val="00122517"/>
    <w:rsid w:val="00122AC7"/>
    <w:rsid w:val="00122BEB"/>
    <w:rsid w:val="00122D16"/>
    <w:rsid w:val="00122D42"/>
    <w:rsid w:val="00122FC1"/>
    <w:rsid w:val="0012302F"/>
    <w:rsid w:val="00123109"/>
    <w:rsid w:val="0012316C"/>
    <w:rsid w:val="001232FF"/>
    <w:rsid w:val="00123345"/>
    <w:rsid w:val="0012355B"/>
    <w:rsid w:val="00123933"/>
    <w:rsid w:val="00123B83"/>
    <w:rsid w:val="00123C46"/>
    <w:rsid w:val="00123D6A"/>
    <w:rsid w:val="00123ECD"/>
    <w:rsid w:val="00123FBC"/>
    <w:rsid w:val="00124075"/>
    <w:rsid w:val="00124569"/>
    <w:rsid w:val="0012470B"/>
    <w:rsid w:val="001247A4"/>
    <w:rsid w:val="001247E1"/>
    <w:rsid w:val="00124875"/>
    <w:rsid w:val="00124985"/>
    <w:rsid w:val="00124A08"/>
    <w:rsid w:val="00124CE3"/>
    <w:rsid w:val="00124D77"/>
    <w:rsid w:val="00125248"/>
    <w:rsid w:val="00125720"/>
    <w:rsid w:val="00125795"/>
    <w:rsid w:val="00125797"/>
    <w:rsid w:val="001258BD"/>
    <w:rsid w:val="001259BE"/>
    <w:rsid w:val="00125C75"/>
    <w:rsid w:val="00125C7E"/>
    <w:rsid w:val="00125D13"/>
    <w:rsid w:val="00125EA8"/>
    <w:rsid w:val="00126040"/>
    <w:rsid w:val="00126069"/>
    <w:rsid w:val="0012618C"/>
    <w:rsid w:val="00126222"/>
    <w:rsid w:val="00126489"/>
    <w:rsid w:val="00126585"/>
    <w:rsid w:val="001265A7"/>
    <w:rsid w:val="001266C1"/>
    <w:rsid w:val="00126746"/>
    <w:rsid w:val="001267C2"/>
    <w:rsid w:val="0012683E"/>
    <w:rsid w:val="0012699D"/>
    <w:rsid w:val="00126BBC"/>
    <w:rsid w:val="00126BEE"/>
    <w:rsid w:val="00126CB6"/>
    <w:rsid w:val="00126CFA"/>
    <w:rsid w:val="00126D73"/>
    <w:rsid w:val="00126E13"/>
    <w:rsid w:val="00126EBC"/>
    <w:rsid w:val="00126FEE"/>
    <w:rsid w:val="001270D1"/>
    <w:rsid w:val="00127410"/>
    <w:rsid w:val="001275AF"/>
    <w:rsid w:val="0012775F"/>
    <w:rsid w:val="00127945"/>
    <w:rsid w:val="00127A9E"/>
    <w:rsid w:val="00127B63"/>
    <w:rsid w:val="00127B99"/>
    <w:rsid w:val="00127CCD"/>
    <w:rsid w:val="00127D94"/>
    <w:rsid w:val="00127E90"/>
    <w:rsid w:val="00127F58"/>
    <w:rsid w:val="0013017C"/>
    <w:rsid w:val="001302C1"/>
    <w:rsid w:val="0013043C"/>
    <w:rsid w:val="00130487"/>
    <w:rsid w:val="00130491"/>
    <w:rsid w:val="001306D3"/>
    <w:rsid w:val="00130C73"/>
    <w:rsid w:val="00130D6E"/>
    <w:rsid w:val="00130FBE"/>
    <w:rsid w:val="001310BF"/>
    <w:rsid w:val="001311F7"/>
    <w:rsid w:val="001312C0"/>
    <w:rsid w:val="0013133B"/>
    <w:rsid w:val="001313DD"/>
    <w:rsid w:val="0013144E"/>
    <w:rsid w:val="001314A4"/>
    <w:rsid w:val="00131763"/>
    <w:rsid w:val="001317E9"/>
    <w:rsid w:val="001317FE"/>
    <w:rsid w:val="0013188E"/>
    <w:rsid w:val="00131914"/>
    <w:rsid w:val="001319B9"/>
    <w:rsid w:val="001319BE"/>
    <w:rsid w:val="00131A03"/>
    <w:rsid w:val="00131D85"/>
    <w:rsid w:val="00132079"/>
    <w:rsid w:val="00132287"/>
    <w:rsid w:val="00132315"/>
    <w:rsid w:val="0013246B"/>
    <w:rsid w:val="0013247F"/>
    <w:rsid w:val="00132702"/>
    <w:rsid w:val="00132704"/>
    <w:rsid w:val="0013271B"/>
    <w:rsid w:val="001328FA"/>
    <w:rsid w:val="00132992"/>
    <w:rsid w:val="00132BED"/>
    <w:rsid w:val="00132D51"/>
    <w:rsid w:val="00132E6F"/>
    <w:rsid w:val="00132E72"/>
    <w:rsid w:val="00132ED1"/>
    <w:rsid w:val="00132FED"/>
    <w:rsid w:val="0013300D"/>
    <w:rsid w:val="00133035"/>
    <w:rsid w:val="001330E3"/>
    <w:rsid w:val="00133179"/>
    <w:rsid w:val="001335F2"/>
    <w:rsid w:val="0013362D"/>
    <w:rsid w:val="0013373E"/>
    <w:rsid w:val="00133756"/>
    <w:rsid w:val="001338FD"/>
    <w:rsid w:val="00133C7D"/>
    <w:rsid w:val="00133C90"/>
    <w:rsid w:val="00133CC1"/>
    <w:rsid w:val="00133CD9"/>
    <w:rsid w:val="00133CE4"/>
    <w:rsid w:val="00133E73"/>
    <w:rsid w:val="00133FC2"/>
    <w:rsid w:val="00133FDB"/>
    <w:rsid w:val="00134110"/>
    <w:rsid w:val="00134324"/>
    <w:rsid w:val="00134337"/>
    <w:rsid w:val="00134469"/>
    <w:rsid w:val="001345E4"/>
    <w:rsid w:val="00134771"/>
    <w:rsid w:val="001347D7"/>
    <w:rsid w:val="0013494F"/>
    <w:rsid w:val="00134957"/>
    <w:rsid w:val="00134A76"/>
    <w:rsid w:val="00134AEA"/>
    <w:rsid w:val="00134C14"/>
    <w:rsid w:val="00134D53"/>
    <w:rsid w:val="00134F42"/>
    <w:rsid w:val="00134F4A"/>
    <w:rsid w:val="00135239"/>
    <w:rsid w:val="001354CE"/>
    <w:rsid w:val="001354D4"/>
    <w:rsid w:val="001356D3"/>
    <w:rsid w:val="0013591B"/>
    <w:rsid w:val="00135A72"/>
    <w:rsid w:val="00135C52"/>
    <w:rsid w:val="00135CB7"/>
    <w:rsid w:val="00135E4E"/>
    <w:rsid w:val="00136246"/>
    <w:rsid w:val="0013633D"/>
    <w:rsid w:val="001364D4"/>
    <w:rsid w:val="00136711"/>
    <w:rsid w:val="001367FD"/>
    <w:rsid w:val="00136917"/>
    <w:rsid w:val="0013698B"/>
    <w:rsid w:val="00136B60"/>
    <w:rsid w:val="00136BD1"/>
    <w:rsid w:val="00136C1C"/>
    <w:rsid w:val="00136C74"/>
    <w:rsid w:val="00136D4A"/>
    <w:rsid w:val="00136DE5"/>
    <w:rsid w:val="001371A4"/>
    <w:rsid w:val="001371B4"/>
    <w:rsid w:val="001371C8"/>
    <w:rsid w:val="001372ED"/>
    <w:rsid w:val="0013798C"/>
    <w:rsid w:val="00137ABC"/>
    <w:rsid w:val="00137B02"/>
    <w:rsid w:val="00137B45"/>
    <w:rsid w:val="00137B5B"/>
    <w:rsid w:val="00137E3A"/>
    <w:rsid w:val="00137E85"/>
    <w:rsid w:val="001402DA"/>
    <w:rsid w:val="001407A7"/>
    <w:rsid w:val="001407BA"/>
    <w:rsid w:val="00140858"/>
    <w:rsid w:val="0014094F"/>
    <w:rsid w:val="00140ECC"/>
    <w:rsid w:val="00140F28"/>
    <w:rsid w:val="001410E8"/>
    <w:rsid w:val="00141574"/>
    <w:rsid w:val="001415FE"/>
    <w:rsid w:val="001416B6"/>
    <w:rsid w:val="001416BF"/>
    <w:rsid w:val="001417AC"/>
    <w:rsid w:val="0014193E"/>
    <w:rsid w:val="00141C0E"/>
    <w:rsid w:val="0014208D"/>
    <w:rsid w:val="001422A3"/>
    <w:rsid w:val="001422AC"/>
    <w:rsid w:val="001424D8"/>
    <w:rsid w:val="0014279B"/>
    <w:rsid w:val="00142B50"/>
    <w:rsid w:val="00142D0B"/>
    <w:rsid w:val="00142D60"/>
    <w:rsid w:val="00142E8C"/>
    <w:rsid w:val="001431EB"/>
    <w:rsid w:val="00143340"/>
    <w:rsid w:val="00143540"/>
    <w:rsid w:val="001436E7"/>
    <w:rsid w:val="00143732"/>
    <w:rsid w:val="00143741"/>
    <w:rsid w:val="00143745"/>
    <w:rsid w:val="00143873"/>
    <w:rsid w:val="001439E9"/>
    <w:rsid w:val="00143C32"/>
    <w:rsid w:val="00143C55"/>
    <w:rsid w:val="00143DEC"/>
    <w:rsid w:val="00143E6D"/>
    <w:rsid w:val="00143FB1"/>
    <w:rsid w:val="00143FC3"/>
    <w:rsid w:val="00144389"/>
    <w:rsid w:val="001445F5"/>
    <w:rsid w:val="00144669"/>
    <w:rsid w:val="0014473F"/>
    <w:rsid w:val="00144C6F"/>
    <w:rsid w:val="00144E03"/>
    <w:rsid w:val="00144F3F"/>
    <w:rsid w:val="00145089"/>
    <w:rsid w:val="001451E7"/>
    <w:rsid w:val="001455AA"/>
    <w:rsid w:val="0014572C"/>
    <w:rsid w:val="001457D7"/>
    <w:rsid w:val="00145A66"/>
    <w:rsid w:val="00145F1D"/>
    <w:rsid w:val="00145FC9"/>
    <w:rsid w:val="00145FDF"/>
    <w:rsid w:val="00146050"/>
    <w:rsid w:val="001462E3"/>
    <w:rsid w:val="0014666B"/>
    <w:rsid w:val="001467A5"/>
    <w:rsid w:val="001467AC"/>
    <w:rsid w:val="00146AB0"/>
    <w:rsid w:val="00146AB3"/>
    <w:rsid w:val="00146C9F"/>
    <w:rsid w:val="00146E09"/>
    <w:rsid w:val="00146E61"/>
    <w:rsid w:val="00146ED6"/>
    <w:rsid w:val="00147058"/>
    <w:rsid w:val="0014720C"/>
    <w:rsid w:val="00147248"/>
    <w:rsid w:val="0014724C"/>
    <w:rsid w:val="001472BE"/>
    <w:rsid w:val="001472C2"/>
    <w:rsid w:val="00147308"/>
    <w:rsid w:val="0014730C"/>
    <w:rsid w:val="00147458"/>
    <w:rsid w:val="0014745E"/>
    <w:rsid w:val="001474DC"/>
    <w:rsid w:val="001475BE"/>
    <w:rsid w:val="00147693"/>
    <w:rsid w:val="00147AC0"/>
    <w:rsid w:val="00147C7C"/>
    <w:rsid w:val="00147E21"/>
    <w:rsid w:val="00147F8B"/>
    <w:rsid w:val="00147FB5"/>
    <w:rsid w:val="0015019A"/>
    <w:rsid w:val="001501F7"/>
    <w:rsid w:val="00150239"/>
    <w:rsid w:val="00150265"/>
    <w:rsid w:val="001506D4"/>
    <w:rsid w:val="00150804"/>
    <w:rsid w:val="00150922"/>
    <w:rsid w:val="00150BA8"/>
    <w:rsid w:val="00150D19"/>
    <w:rsid w:val="00150D20"/>
    <w:rsid w:val="00150F32"/>
    <w:rsid w:val="001510CA"/>
    <w:rsid w:val="00151369"/>
    <w:rsid w:val="001513FA"/>
    <w:rsid w:val="00151452"/>
    <w:rsid w:val="00151460"/>
    <w:rsid w:val="00151554"/>
    <w:rsid w:val="0015172E"/>
    <w:rsid w:val="0015181B"/>
    <w:rsid w:val="0015195E"/>
    <w:rsid w:val="00151A9F"/>
    <w:rsid w:val="00151C7C"/>
    <w:rsid w:val="00151D78"/>
    <w:rsid w:val="001523F9"/>
    <w:rsid w:val="001524C3"/>
    <w:rsid w:val="00152553"/>
    <w:rsid w:val="001526AD"/>
    <w:rsid w:val="001526F7"/>
    <w:rsid w:val="001528DD"/>
    <w:rsid w:val="001529C7"/>
    <w:rsid w:val="00152B1E"/>
    <w:rsid w:val="00152B37"/>
    <w:rsid w:val="00152B87"/>
    <w:rsid w:val="00152E4F"/>
    <w:rsid w:val="00152F33"/>
    <w:rsid w:val="00152F36"/>
    <w:rsid w:val="00152FC1"/>
    <w:rsid w:val="0015307D"/>
    <w:rsid w:val="001533E6"/>
    <w:rsid w:val="0015342C"/>
    <w:rsid w:val="001534E9"/>
    <w:rsid w:val="001534FC"/>
    <w:rsid w:val="00153561"/>
    <w:rsid w:val="001535F0"/>
    <w:rsid w:val="001537CD"/>
    <w:rsid w:val="0015395C"/>
    <w:rsid w:val="00153A96"/>
    <w:rsid w:val="00153B3F"/>
    <w:rsid w:val="00153BBB"/>
    <w:rsid w:val="00153D1C"/>
    <w:rsid w:val="00153DF5"/>
    <w:rsid w:val="00153E17"/>
    <w:rsid w:val="00153E97"/>
    <w:rsid w:val="00153EC2"/>
    <w:rsid w:val="00154036"/>
    <w:rsid w:val="001540D8"/>
    <w:rsid w:val="0015412F"/>
    <w:rsid w:val="001542F7"/>
    <w:rsid w:val="001543E2"/>
    <w:rsid w:val="001544A9"/>
    <w:rsid w:val="001544F2"/>
    <w:rsid w:val="0015483F"/>
    <w:rsid w:val="00154844"/>
    <w:rsid w:val="00154CA9"/>
    <w:rsid w:val="0015542A"/>
    <w:rsid w:val="00155825"/>
    <w:rsid w:val="00155862"/>
    <w:rsid w:val="00155B43"/>
    <w:rsid w:val="00155D23"/>
    <w:rsid w:val="00155D3B"/>
    <w:rsid w:val="00155ECF"/>
    <w:rsid w:val="00155FA3"/>
    <w:rsid w:val="00155FBB"/>
    <w:rsid w:val="00156292"/>
    <w:rsid w:val="0015631A"/>
    <w:rsid w:val="0015637E"/>
    <w:rsid w:val="0015642F"/>
    <w:rsid w:val="001565A2"/>
    <w:rsid w:val="0015661C"/>
    <w:rsid w:val="001566E4"/>
    <w:rsid w:val="00156730"/>
    <w:rsid w:val="001567C3"/>
    <w:rsid w:val="00156820"/>
    <w:rsid w:val="00156A12"/>
    <w:rsid w:val="00156A75"/>
    <w:rsid w:val="00156EB0"/>
    <w:rsid w:val="001572EC"/>
    <w:rsid w:val="0015736F"/>
    <w:rsid w:val="001573BC"/>
    <w:rsid w:val="00157408"/>
    <w:rsid w:val="00157A05"/>
    <w:rsid w:val="00157B3F"/>
    <w:rsid w:val="00157CC8"/>
    <w:rsid w:val="00157D98"/>
    <w:rsid w:val="00157E5E"/>
    <w:rsid w:val="00157F7A"/>
    <w:rsid w:val="00157F8A"/>
    <w:rsid w:val="0016010F"/>
    <w:rsid w:val="0016044D"/>
    <w:rsid w:val="001604DC"/>
    <w:rsid w:val="001605C3"/>
    <w:rsid w:val="001606FC"/>
    <w:rsid w:val="0016076F"/>
    <w:rsid w:val="00160C3D"/>
    <w:rsid w:val="00160C82"/>
    <w:rsid w:val="00160CC2"/>
    <w:rsid w:val="00160DE8"/>
    <w:rsid w:val="00161530"/>
    <w:rsid w:val="00161635"/>
    <w:rsid w:val="00161980"/>
    <w:rsid w:val="001619C4"/>
    <w:rsid w:val="00161B24"/>
    <w:rsid w:val="00161B39"/>
    <w:rsid w:val="00161C41"/>
    <w:rsid w:val="00161D58"/>
    <w:rsid w:val="00161DD5"/>
    <w:rsid w:val="00161DF6"/>
    <w:rsid w:val="00161E43"/>
    <w:rsid w:val="00162081"/>
    <w:rsid w:val="0016296D"/>
    <w:rsid w:val="00162AD0"/>
    <w:rsid w:val="00162B10"/>
    <w:rsid w:val="00162C79"/>
    <w:rsid w:val="00162EC6"/>
    <w:rsid w:val="001633A4"/>
    <w:rsid w:val="0016341D"/>
    <w:rsid w:val="001634D6"/>
    <w:rsid w:val="00163A1C"/>
    <w:rsid w:val="00163A8D"/>
    <w:rsid w:val="00163AFF"/>
    <w:rsid w:val="00163D2E"/>
    <w:rsid w:val="00163EBA"/>
    <w:rsid w:val="001640BB"/>
    <w:rsid w:val="00164101"/>
    <w:rsid w:val="00164118"/>
    <w:rsid w:val="00164164"/>
    <w:rsid w:val="001648DD"/>
    <w:rsid w:val="00164A4C"/>
    <w:rsid w:val="00164ABD"/>
    <w:rsid w:val="00164C17"/>
    <w:rsid w:val="00165036"/>
    <w:rsid w:val="0016510B"/>
    <w:rsid w:val="00165537"/>
    <w:rsid w:val="00165705"/>
    <w:rsid w:val="001657E2"/>
    <w:rsid w:val="001659BF"/>
    <w:rsid w:val="00165E70"/>
    <w:rsid w:val="001660DA"/>
    <w:rsid w:val="00166357"/>
    <w:rsid w:val="00166389"/>
    <w:rsid w:val="00166526"/>
    <w:rsid w:val="0016669D"/>
    <w:rsid w:val="00166A9C"/>
    <w:rsid w:val="00166E03"/>
    <w:rsid w:val="0016730A"/>
    <w:rsid w:val="00167791"/>
    <w:rsid w:val="00167972"/>
    <w:rsid w:val="00167AC5"/>
    <w:rsid w:val="00167B39"/>
    <w:rsid w:val="00167CD2"/>
    <w:rsid w:val="00167DCB"/>
    <w:rsid w:val="00167DF0"/>
    <w:rsid w:val="00167E4C"/>
    <w:rsid w:val="00167EA7"/>
    <w:rsid w:val="00167F9E"/>
    <w:rsid w:val="001700A3"/>
    <w:rsid w:val="001700CF"/>
    <w:rsid w:val="00170222"/>
    <w:rsid w:val="00170268"/>
    <w:rsid w:val="00170475"/>
    <w:rsid w:val="00170580"/>
    <w:rsid w:val="001705C9"/>
    <w:rsid w:val="0017080A"/>
    <w:rsid w:val="00170A71"/>
    <w:rsid w:val="00170B33"/>
    <w:rsid w:val="00170B6D"/>
    <w:rsid w:val="00170DF7"/>
    <w:rsid w:val="00170E96"/>
    <w:rsid w:val="00170F9D"/>
    <w:rsid w:val="00171051"/>
    <w:rsid w:val="0017108F"/>
    <w:rsid w:val="00171449"/>
    <w:rsid w:val="0017148A"/>
    <w:rsid w:val="0017157E"/>
    <w:rsid w:val="0017179D"/>
    <w:rsid w:val="0017199C"/>
    <w:rsid w:val="001719EE"/>
    <w:rsid w:val="00171A9A"/>
    <w:rsid w:val="00171C16"/>
    <w:rsid w:val="00171C33"/>
    <w:rsid w:val="00171C7E"/>
    <w:rsid w:val="00171D43"/>
    <w:rsid w:val="00171E40"/>
    <w:rsid w:val="00171F35"/>
    <w:rsid w:val="00171FCF"/>
    <w:rsid w:val="001720E8"/>
    <w:rsid w:val="001720E9"/>
    <w:rsid w:val="001720F1"/>
    <w:rsid w:val="0017245E"/>
    <w:rsid w:val="00172552"/>
    <w:rsid w:val="00172794"/>
    <w:rsid w:val="0017283B"/>
    <w:rsid w:val="00172873"/>
    <w:rsid w:val="00172CDF"/>
    <w:rsid w:val="00172CF7"/>
    <w:rsid w:val="00172F1E"/>
    <w:rsid w:val="0017300A"/>
    <w:rsid w:val="0017300D"/>
    <w:rsid w:val="0017319E"/>
    <w:rsid w:val="00173A03"/>
    <w:rsid w:val="00173A1F"/>
    <w:rsid w:val="00173A9C"/>
    <w:rsid w:val="00173B37"/>
    <w:rsid w:val="00173BC3"/>
    <w:rsid w:val="00173CAD"/>
    <w:rsid w:val="00173DD8"/>
    <w:rsid w:val="00173E8C"/>
    <w:rsid w:val="00173F8F"/>
    <w:rsid w:val="00174128"/>
    <w:rsid w:val="001744DD"/>
    <w:rsid w:val="0017453D"/>
    <w:rsid w:val="001748AB"/>
    <w:rsid w:val="00174954"/>
    <w:rsid w:val="00174981"/>
    <w:rsid w:val="001749CC"/>
    <w:rsid w:val="00174DA1"/>
    <w:rsid w:val="00174EAD"/>
    <w:rsid w:val="00175100"/>
    <w:rsid w:val="001752AA"/>
    <w:rsid w:val="0017544A"/>
    <w:rsid w:val="00175474"/>
    <w:rsid w:val="001756CE"/>
    <w:rsid w:val="00175790"/>
    <w:rsid w:val="001758BD"/>
    <w:rsid w:val="00175C34"/>
    <w:rsid w:val="00175CD6"/>
    <w:rsid w:val="00175D0D"/>
    <w:rsid w:val="00175F9A"/>
    <w:rsid w:val="00175FD6"/>
    <w:rsid w:val="00176169"/>
    <w:rsid w:val="0017661C"/>
    <w:rsid w:val="00176AB3"/>
    <w:rsid w:val="00176C73"/>
    <w:rsid w:val="00176D6B"/>
    <w:rsid w:val="00176E98"/>
    <w:rsid w:val="00176EAC"/>
    <w:rsid w:val="00176FFA"/>
    <w:rsid w:val="00177265"/>
    <w:rsid w:val="001774EC"/>
    <w:rsid w:val="001778A0"/>
    <w:rsid w:val="00177996"/>
    <w:rsid w:val="00177B56"/>
    <w:rsid w:val="00177D29"/>
    <w:rsid w:val="00177D76"/>
    <w:rsid w:val="00177DD8"/>
    <w:rsid w:val="00177F06"/>
    <w:rsid w:val="00177FBD"/>
    <w:rsid w:val="00180017"/>
    <w:rsid w:val="001800C9"/>
    <w:rsid w:val="00180180"/>
    <w:rsid w:val="0018032E"/>
    <w:rsid w:val="001804E7"/>
    <w:rsid w:val="001804EB"/>
    <w:rsid w:val="00180A5D"/>
    <w:rsid w:val="00180AD2"/>
    <w:rsid w:val="00180B3F"/>
    <w:rsid w:val="00180C83"/>
    <w:rsid w:val="00180CE5"/>
    <w:rsid w:val="00181068"/>
    <w:rsid w:val="00181228"/>
    <w:rsid w:val="00181688"/>
    <w:rsid w:val="0018175B"/>
    <w:rsid w:val="001819C7"/>
    <w:rsid w:val="00181D30"/>
    <w:rsid w:val="00181F2E"/>
    <w:rsid w:val="001820A3"/>
    <w:rsid w:val="0018219F"/>
    <w:rsid w:val="00182315"/>
    <w:rsid w:val="001824BC"/>
    <w:rsid w:val="001826F0"/>
    <w:rsid w:val="001828F9"/>
    <w:rsid w:val="00182A23"/>
    <w:rsid w:val="00182C6F"/>
    <w:rsid w:val="00182E2E"/>
    <w:rsid w:val="00182EF3"/>
    <w:rsid w:val="0018331D"/>
    <w:rsid w:val="0018332A"/>
    <w:rsid w:val="0018336A"/>
    <w:rsid w:val="0018343B"/>
    <w:rsid w:val="001835A9"/>
    <w:rsid w:val="00183676"/>
    <w:rsid w:val="001837BA"/>
    <w:rsid w:val="0018393D"/>
    <w:rsid w:val="00183D80"/>
    <w:rsid w:val="00183E3B"/>
    <w:rsid w:val="00183E81"/>
    <w:rsid w:val="001841C8"/>
    <w:rsid w:val="001842C8"/>
    <w:rsid w:val="001844C5"/>
    <w:rsid w:val="00184568"/>
    <w:rsid w:val="0018458D"/>
    <w:rsid w:val="00184623"/>
    <w:rsid w:val="00184642"/>
    <w:rsid w:val="001849BF"/>
    <w:rsid w:val="00184BCB"/>
    <w:rsid w:val="00184D33"/>
    <w:rsid w:val="00184ED5"/>
    <w:rsid w:val="0018500A"/>
    <w:rsid w:val="00185044"/>
    <w:rsid w:val="001850DB"/>
    <w:rsid w:val="0018518C"/>
    <w:rsid w:val="001851EC"/>
    <w:rsid w:val="001853AC"/>
    <w:rsid w:val="001854C4"/>
    <w:rsid w:val="00185657"/>
    <w:rsid w:val="001857F2"/>
    <w:rsid w:val="00185982"/>
    <w:rsid w:val="0018599C"/>
    <w:rsid w:val="00185B40"/>
    <w:rsid w:val="00185BA7"/>
    <w:rsid w:val="00185E5E"/>
    <w:rsid w:val="00185FDB"/>
    <w:rsid w:val="00186319"/>
    <w:rsid w:val="0018639A"/>
    <w:rsid w:val="001864EE"/>
    <w:rsid w:val="001865B6"/>
    <w:rsid w:val="00186715"/>
    <w:rsid w:val="0018671B"/>
    <w:rsid w:val="00186785"/>
    <w:rsid w:val="001867E9"/>
    <w:rsid w:val="001868BE"/>
    <w:rsid w:val="00186906"/>
    <w:rsid w:val="00186990"/>
    <w:rsid w:val="001869EE"/>
    <w:rsid w:val="00186D00"/>
    <w:rsid w:val="00186FF7"/>
    <w:rsid w:val="00187065"/>
    <w:rsid w:val="00187170"/>
    <w:rsid w:val="0018721B"/>
    <w:rsid w:val="001872C7"/>
    <w:rsid w:val="0018743A"/>
    <w:rsid w:val="00187760"/>
    <w:rsid w:val="00187B88"/>
    <w:rsid w:val="00187E07"/>
    <w:rsid w:val="00187EEE"/>
    <w:rsid w:val="0019009A"/>
    <w:rsid w:val="0019011B"/>
    <w:rsid w:val="00190240"/>
    <w:rsid w:val="0019067D"/>
    <w:rsid w:val="001906F9"/>
    <w:rsid w:val="00190718"/>
    <w:rsid w:val="001907C0"/>
    <w:rsid w:val="00190801"/>
    <w:rsid w:val="00190A57"/>
    <w:rsid w:val="00190AF7"/>
    <w:rsid w:val="00190B3F"/>
    <w:rsid w:val="00190CF5"/>
    <w:rsid w:val="00190CFC"/>
    <w:rsid w:val="00190DD2"/>
    <w:rsid w:val="00190EFE"/>
    <w:rsid w:val="0019108C"/>
    <w:rsid w:val="0019122C"/>
    <w:rsid w:val="001915CB"/>
    <w:rsid w:val="00191660"/>
    <w:rsid w:val="00191908"/>
    <w:rsid w:val="00191A41"/>
    <w:rsid w:val="00191F29"/>
    <w:rsid w:val="00191FF0"/>
    <w:rsid w:val="001920BC"/>
    <w:rsid w:val="001920F9"/>
    <w:rsid w:val="00192131"/>
    <w:rsid w:val="00192186"/>
    <w:rsid w:val="0019222F"/>
    <w:rsid w:val="00192412"/>
    <w:rsid w:val="0019261B"/>
    <w:rsid w:val="00192B68"/>
    <w:rsid w:val="00192B83"/>
    <w:rsid w:val="00192C67"/>
    <w:rsid w:val="00192D6F"/>
    <w:rsid w:val="00192DF3"/>
    <w:rsid w:val="0019301F"/>
    <w:rsid w:val="001931AC"/>
    <w:rsid w:val="00193286"/>
    <w:rsid w:val="001934D1"/>
    <w:rsid w:val="00193620"/>
    <w:rsid w:val="001937B8"/>
    <w:rsid w:val="001938C9"/>
    <w:rsid w:val="00193BA0"/>
    <w:rsid w:val="00193BBF"/>
    <w:rsid w:val="00193D1C"/>
    <w:rsid w:val="00193E33"/>
    <w:rsid w:val="00193E92"/>
    <w:rsid w:val="00193FBD"/>
    <w:rsid w:val="00194031"/>
    <w:rsid w:val="00194076"/>
    <w:rsid w:val="00194145"/>
    <w:rsid w:val="00194447"/>
    <w:rsid w:val="00194639"/>
    <w:rsid w:val="00194793"/>
    <w:rsid w:val="001947FD"/>
    <w:rsid w:val="00194A4A"/>
    <w:rsid w:val="00194B89"/>
    <w:rsid w:val="00194BB7"/>
    <w:rsid w:val="00194CC5"/>
    <w:rsid w:val="00194F74"/>
    <w:rsid w:val="00195134"/>
    <w:rsid w:val="001951B2"/>
    <w:rsid w:val="00195530"/>
    <w:rsid w:val="001955B0"/>
    <w:rsid w:val="00195618"/>
    <w:rsid w:val="0019561D"/>
    <w:rsid w:val="0019565D"/>
    <w:rsid w:val="00195661"/>
    <w:rsid w:val="00195935"/>
    <w:rsid w:val="00195AB6"/>
    <w:rsid w:val="00195AFD"/>
    <w:rsid w:val="00195C13"/>
    <w:rsid w:val="00195EFA"/>
    <w:rsid w:val="00195F3A"/>
    <w:rsid w:val="0019624B"/>
    <w:rsid w:val="001964D7"/>
    <w:rsid w:val="00196604"/>
    <w:rsid w:val="00196C62"/>
    <w:rsid w:val="00196D46"/>
    <w:rsid w:val="00196FAF"/>
    <w:rsid w:val="00196FEF"/>
    <w:rsid w:val="00196FFF"/>
    <w:rsid w:val="00197051"/>
    <w:rsid w:val="0019725D"/>
    <w:rsid w:val="00197339"/>
    <w:rsid w:val="001973AD"/>
    <w:rsid w:val="001973BF"/>
    <w:rsid w:val="00197564"/>
    <w:rsid w:val="001977DA"/>
    <w:rsid w:val="001979A7"/>
    <w:rsid w:val="00197B60"/>
    <w:rsid w:val="00197C81"/>
    <w:rsid w:val="00197DA3"/>
    <w:rsid w:val="00197EC2"/>
    <w:rsid w:val="00197ECE"/>
    <w:rsid w:val="001A023D"/>
    <w:rsid w:val="001A03C7"/>
    <w:rsid w:val="001A04C7"/>
    <w:rsid w:val="001A05A8"/>
    <w:rsid w:val="001A05D0"/>
    <w:rsid w:val="001A069C"/>
    <w:rsid w:val="001A06BB"/>
    <w:rsid w:val="001A0702"/>
    <w:rsid w:val="001A0AD0"/>
    <w:rsid w:val="001A0CDF"/>
    <w:rsid w:val="001A0D3A"/>
    <w:rsid w:val="001A0DFF"/>
    <w:rsid w:val="001A0E64"/>
    <w:rsid w:val="001A0EA7"/>
    <w:rsid w:val="001A0FF5"/>
    <w:rsid w:val="001A1045"/>
    <w:rsid w:val="001A107E"/>
    <w:rsid w:val="001A1547"/>
    <w:rsid w:val="001A1B61"/>
    <w:rsid w:val="001A1BD8"/>
    <w:rsid w:val="001A1C59"/>
    <w:rsid w:val="001A1CDC"/>
    <w:rsid w:val="001A1CED"/>
    <w:rsid w:val="001A1DC1"/>
    <w:rsid w:val="001A2124"/>
    <w:rsid w:val="001A215A"/>
    <w:rsid w:val="001A2301"/>
    <w:rsid w:val="001A243D"/>
    <w:rsid w:val="001A248B"/>
    <w:rsid w:val="001A266E"/>
    <w:rsid w:val="001A279B"/>
    <w:rsid w:val="001A28A7"/>
    <w:rsid w:val="001A28DF"/>
    <w:rsid w:val="001A28E6"/>
    <w:rsid w:val="001A2A10"/>
    <w:rsid w:val="001A2C0E"/>
    <w:rsid w:val="001A2D90"/>
    <w:rsid w:val="001A2D91"/>
    <w:rsid w:val="001A2DC3"/>
    <w:rsid w:val="001A2E87"/>
    <w:rsid w:val="001A2EC5"/>
    <w:rsid w:val="001A3188"/>
    <w:rsid w:val="001A31CF"/>
    <w:rsid w:val="001A338C"/>
    <w:rsid w:val="001A3453"/>
    <w:rsid w:val="001A35F9"/>
    <w:rsid w:val="001A3659"/>
    <w:rsid w:val="001A3674"/>
    <w:rsid w:val="001A3869"/>
    <w:rsid w:val="001A38BA"/>
    <w:rsid w:val="001A38C2"/>
    <w:rsid w:val="001A394C"/>
    <w:rsid w:val="001A395B"/>
    <w:rsid w:val="001A3BDC"/>
    <w:rsid w:val="001A3DD8"/>
    <w:rsid w:val="001A4006"/>
    <w:rsid w:val="001A403A"/>
    <w:rsid w:val="001A41A0"/>
    <w:rsid w:val="001A439B"/>
    <w:rsid w:val="001A43B1"/>
    <w:rsid w:val="001A471A"/>
    <w:rsid w:val="001A48F0"/>
    <w:rsid w:val="001A49D6"/>
    <w:rsid w:val="001A4A6C"/>
    <w:rsid w:val="001A4AEE"/>
    <w:rsid w:val="001A4C40"/>
    <w:rsid w:val="001A4FE4"/>
    <w:rsid w:val="001A508D"/>
    <w:rsid w:val="001A50BF"/>
    <w:rsid w:val="001A5363"/>
    <w:rsid w:val="001A5408"/>
    <w:rsid w:val="001A5564"/>
    <w:rsid w:val="001A574F"/>
    <w:rsid w:val="001A5B6C"/>
    <w:rsid w:val="001A5BB6"/>
    <w:rsid w:val="001A5C22"/>
    <w:rsid w:val="001A5C46"/>
    <w:rsid w:val="001A5CE2"/>
    <w:rsid w:val="001A5D13"/>
    <w:rsid w:val="001A5D3E"/>
    <w:rsid w:val="001A5DB0"/>
    <w:rsid w:val="001A6064"/>
    <w:rsid w:val="001A6527"/>
    <w:rsid w:val="001A65C8"/>
    <w:rsid w:val="001A6702"/>
    <w:rsid w:val="001A67A3"/>
    <w:rsid w:val="001A696F"/>
    <w:rsid w:val="001A6BAC"/>
    <w:rsid w:val="001A6C00"/>
    <w:rsid w:val="001A707A"/>
    <w:rsid w:val="001A70DB"/>
    <w:rsid w:val="001A7304"/>
    <w:rsid w:val="001A732E"/>
    <w:rsid w:val="001A775B"/>
    <w:rsid w:val="001A78A5"/>
    <w:rsid w:val="001A78CA"/>
    <w:rsid w:val="001A79F4"/>
    <w:rsid w:val="001A7C31"/>
    <w:rsid w:val="001A7C55"/>
    <w:rsid w:val="001A7E6A"/>
    <w:rsid w:val="001A7F30"/>
    <w:rsid w:val="001A7FAA"/>
    <w:rsid w:val="001A7FCE"/>
    <w:rsid w:val="001B0251"/>
    <w:rsid w:val="001B050F"/>
    <w:rsid w:val="001B0549"/>
    <w:rsid w:val="001B059F"/>
    <w:rsid w:val="001B06C1"/>
    <w:rsid w:val="001B06E2"/>
    <w:rsid w:val="001B082D"/>
    <w:rsid w:val="001B086D"/>
    <w:rsid w:val="001B08EE"/>
    <w:rsid w:val="001B0957"/>
    <w:rsid w:val="001B095D"/>
    <w:rsid w:val="001B09DE"/>
    <w:rsid w:val="001B0BAF"/>
    <w:rsid w:val="001B0F7E"/>
    <w:rsid w:val="001B103A"/>
    <w:rsid w:val="001B103D"/>
    <w:rsid w:val="001B115B"/>
    <w:rsid w:val="001B132C"/>
    <w:rsid w:val="001B1422"/>
    <w:rsid w:val="001B14F6"/>
    <w:rsid w:val="001B1513"/>
    <w:rsid w:val="001B1767"/>
    <w:rsid w:val="001B2023"/>
    <w:rsid w:val="001B2363"/>
    <w:rsid w:val="001B2453"/>
    <w:rsid w:val="001B268F"/>
    <w:rsid w:val="001B281D"/>
    <w:rsid w:val="001B2920"/>
    <w:rsid w:val="001B2A20"/>
    <w:rsid w:val="001B2A6B"/>
    <w:rsid w:val="001B2A8F"/>
    <w:rsid w:val="001B2B5C"/>
    <w:rsid w:val="001B2D13"/>
    <w:rsid w:val="001B2ECF"/>
    <w:rsid w:val="001B2EEF"/>
    <w:rsid w:val="001B2F2C"/>
    <w:rsid w:val="001B31C5"/>
    <w:rsid w:val="001B3210"/>
    <w:rsid w:val="001B326D"/>
    <w:rsid w:val="001B361D"/>
    <w:rsid w:val="001B374C"/>
    <w:rsid w:val="001B393A"/>
    <w:rsid w:val="001B39FC"/>
    <w:rsid w:val="001B3A59"/>
    <w:rsid w:val="001B3D48"/>
    <w:rsid w:val="001B4108"/>
    <w:rsid w:val="001B4226"/>
    <w:rsid w:val="001B4257"/>
    <w:rsid w:val="001B4380"/>
    <w:rsid w:val="001B4628"/>
    <w:rsid w:val="001B47D2"/>
    <w:rsid w:val="001B4833"/>
    <w:rsid w:val="001B4991"/>
    <w:rsid w:val="001B49D0"/>
    <w:rsid w:val="001B4A1C"/>
    <w:rsid w:val="001B4DAB"/>
    <w:rsid w:val="001B4F89"/>
    <w:rsid w:val="001B4FDE"/>
    <w:rsid w:val="001B5039"/>
    <w:rsid w:val="001B505A"/>
    <w:rsid w:val="001B5181"/>
    <w:rsid w:val="001B537E"/>
    <w:rsid w:val="001B5394"/>
    <w:rsid w:val="001B5A14"/>
    <w:rsid w:val="001B5AF1"/>
    <w:rsid w:val="001B5AF9"/>
    <w:rsid w:val="001B5EB1"/>
    <w:rsid w:val="001B60B3"/>
    <w:rsid w:val="001B6192"/>
    <w:rsid w:val="001B6368"/>
    <w:rsid w:val="001B63CA"/>
    <w:rsid w:val="001B65FB"/>
    <w:rsid w:val="001B6600"/>
    <w:rsid w:val="001B6706"/>
    <w:rsid w:val="001B68E6"/>
    <w:rsid w:val="001B6A64"/>
    <w:rsid w:val="001B6B9B"/>
    <w:rsid w:val="001B6BB9"/>
    <w:rsid w:val="001B6C27"/>
    <w:rsid w:val="001B7051"/>
    <w:rsid w:val="001B7052"/>
    <w:rsid w:val="001B7144"/>
    <w:rsid w:val="001B726A"/>
    <w:rsid w:val="001B7580"/>
    <w:rsid w:val="001B76D1"/>
    <w:rsid w:val="001B792D"/>
    <w:rsid w:val="001B7B19"/>
    <w:rsid w:val="001B7B7D"/>
    <w:rsid w:val="001B7BCF"/>
    <w:rsid w:val="001B7BF3"/>
    <w:rsid w:val="001B7CA4"/>
    <w:rsid w:val="001B7E91"/>
    <w:rsid w:val="001C03A2"/>
    <w:rsid w:val="001C0434"/>
    <w:rsid w:val="001C06C5"/>
    <w:rsid w:val="001C07F5"/>
    <w:rsid w:val="001C09A4"/>
    <w:rsid w:val="001C0BD4"/>
    <w:rsid w:val="001C0D0D"/>
    <w:rsid w:val="001C0D1C"/>
    <w:rsid w:val="001C0D4C"/>
    <w:rsid w:val="001C0E9A"/>
    <w:rsid w:val="001C10F8"/>
    <w:rsid w:val="001C12CC"/>
    <w:rsid w:val="001C1381"/>
    <w:rsid w:val="001C13A0"/>
    <w:rsid w:val="001C147E"/>
    <w:rsid w:val="001C151B"/>
    <w:rsid w:val="001C15AE"/>
    <w:rsid w:val="001C1638"/>
    <w:rsid w:val="001C18F0"/>
    <w:rsid w:val="001C19E5"/>
    <w:rsid w:val="001C1B0D"/>
    <w:rsid w:val="001C1CA8"/>
    <w:rsid w:val="001C21EA"/>
    <w:rsid w:val="001C22B8"/>
    <w:rsid w:val="001C2393"/>
    <w:rsid w:val="001C2465"/>
    <w:rsid w:val="001C276B"/>
    <w:rsid w:val="001C2ACC"/>
    <w:rsid w:val="001C2BAC"/>
    <w:rsid w:val="001C2BFE"/>
    <w:rsid w:val="001C2C52"/>
    <w:rsid w:val="001C322D"/>
    <w:rsid w:val="001C3375"/>
    <w:rsid w:val="001C3470"/>
    <w:rsid w:val="001C3734"/>
    <w:rsid w:val="001C37A4"/>
    <w:rsid w:val="001C3800"/>
    <w:rsid w:val="001C384F"/>
    <w:rsid w:val="001C38F6"/>
    <w:rsid w:val="001C3C7B"/>
    <w:rsid w:val="001C3CA2"/>
    <w:rsid w:val="001C3D0F"/>
    <w:rsid w:val="001C44AB"/>
    <w:rsid w:val="001C45D8"/>
    <w:rsid w:val="001C45EF"/>
    <w:rsid w:val="001C46E4"/>
    <w:rsid w:val="001C4729"/>
    <w:rsid w:val="001C4A0F"/>
    <w:rsid w:val="001C4E2A"/>
    <w:rsid w:val="001C527F"/>
    <w:rsid w:val="001C52A8"/>
    <w:rsid w:val="001C52E5"/>
    <w:rsid w:val="001C5B4F"/>
    <w:rsid w:val="001C5B5E"/>
    <w:rsid w:val="001C5D89"/>
    <w:rsid w:val="001C5E2F"/>
    <w:rsid w:val="001C5E73"/>
    <w:rsid w:val="001C5F77"/>
    <w:rsid w:val="001C6122"/>
    <w:rsid w:val="001C6382"/>
    <w:rsid w:val="001C6587"/>
    <w:rsid w:val="001C69BE"/>
    <w:rsid w:val="001C6C00"/>
    <w:rsid w:val="001C6DB5"/>
    <w:rsid w:val="001C6E24"/>
    <w:rsid w:val="001C71AC"/>
    <w:rsid w:val="001C7316"/>
    <w:rsid w:val="001C7548"/>
    <w:rsid w:val="001C7602"/>
    <w:rsid w:val="001C766A"/>
    <w:rsid w:val="001C7671"/>
    <w:rsid w:val="001C778F"/>
    <w:rsid w:val="001C7873"/>
    <w:rsid w:val="001C7A59"/>
    <w:rsid w:val="001C7C24"/>
    <w:rsid w:val="001C7C56"/>
    <w:rsid w:val="001C7E5C"/>
    <w:rsid w:val="001C7FEA"/>
    <w:rsid w:val="001D00A5"/>
    <w:rsid w:val="001D00CC"/>
    <w:rsid w:val="001D01A5"/>
    <w:rsid w:val="001D0494"/>
    <w:rsid w:val="001D0581"/>
    <w:rsid w:val="001D05EF"/>
    <w:rsid w:val="001D069F"/>
    <w:rsid w:val="001D0781"/>
    <w:rsid w:val="001D07B7"/>
    <w:rsid w:val="001D09A9"/>
    <w:rsid w:val="001D0AF4"/>
    <w:rsid w:val="001D0EEE"/>
    <w:rsid w:val="001D1035"/>
    <w:rsid w:val="001D124E"/>
    <w:rsid w:val="001D12F4"/>
    <w:rsid w:val="001D15C4"/>
    <w:rsid w:val="001D16D9"/>
    <w:rsid w:val="001D1719"/>
    <w:rsid w:val="001D171B"/>
    <w:rsid w:val="001D1732"/>
    <w:rsid w:val="001D1A50"/>
    <w:rsid w:val="001D1B50"/>
    <w:rsid w:val="001D1BAF"/>
    <w:rsid w:val="001D1D18"/>
    <w:rsid w:val="001D1DA5"/>
    <w:rsid w:val="001D1E2E"/>
    <w:rsid w:val="001D2203"/>
    <w:rsid w:val="001D22DD"/>
    <w:rsid w:val="001D2373"/>
    <w:rsid w:val="001D255C"/>
    <w:rsid w:val="001D26B9"/>
    <w:rsid w:val="001D281D"/>
    <w:rsid w:val="001D2B6B"/>
    <w:rsid w:val="001D2C47"/>
    <w:rsid w:val="001D2D4E"/>
    <w:rsid w:val="001D2DEF"/>
    <w:rsid w:val="001D30BB"/>
    <w:rsid w:val="001D314E"/>
    <w:rsid w:val="001D388E"/>
    <w:rsid w:val="001D38AC"/>
    <w:rsid w:val="001D391D"/>
    <w:rsid w:val="001D3A6C"/>
    <w:rsid w:val="001D3B88"/>
    <w:rsid w:val="001D3E1E"/>
    <w:rsid w:val="001D3F44"/>
    <w:rsid w:val="001D423E"/>
    <w:rsid w:val="001D4567"/>
    <w:rsid w:val="001D4651"/>
    <w:rsid w:val="001D465F"/>
    <w:rsid w:val="001D479F"/>
    <w:rsid w:val="001D4862"/>
    <w:rsid w:val="001D488C"/>
    <w:rsid w:val="001D4A99"/>
    <w:rsid w:val="001D4B0B"/>
    <w:rsid w:val="001D4BDD"/>
    <w:rsid w:val="001D4CDF"/>
    <w:rsid w:val="001D4E9A"/>
    <w:rsid w:val="001D4EB6"/>
    <w:rsid w:val="001D4F46"/>
    <w:rsid w:val="001D4F88"/>
    <w:rsid w:val="001D50F5"/>
    <w:rsid w:val="001D51E2"/>
    <w:rsid w:val="001D5211"/>
    <w:rsid w:val="001D5255"/>
    <w:rsid w:val="001D55D5"/>
    <w:rsid w:val="001D55E8"/>
    <w:rsid w:val="001D567E"/>
    <w:rsid w:val="001D5723"/>
    <w:rsid w:val="001D577B"/>
    <w:rsid w:val="001D578D"/>
    <w:rsid w:val="001D5818"/>
    <w:rsid w:val="001D584E"/>
    <w:rsid w:val="001D5D67"/>
    <w:rsid w:val="001D5DE1"/>
    <w:rsid w:val="001D5E43"/>
    <w:rsid w:val="001D5E9D"/>
    <w:rsid w:val="001D653A"/>
    <w:rsid w:val="001D65A9"/>
    <w:rsid w:val="001D664A"/>
    <w:rsid w:val="001D6A21"/>
    <w:rsid w:val="001D6B19"/>
    <w:rsid w:val="001D6C43"/>
    <w:rsid w:val="001D701D"/>
    <w:rsid w:val="001D7190"/>
    <w:rsid w:val="001D74BC"/>
    <w:rsid w:val="001D753C"/>
    <w:rsid w:val="001D7AF7"/>
    <w:rsid w:val="001D7B27"/>
    <w:rsid w:val="001D7BC1"/>
    <w:rsid w:val="001D7DEE"/>
    <w:rsid w:val="001D7F13"/>
    <w:rsid w:val="001E0094"/>
    <w:rsid w:val="001E0154"/>
    <w:rsid w:val="001E02CB"/>
    <w:rsid w:val="001E0521"/>
    <w:rsid w:val="001E05C9"/>
    <w:rsid w:val="001E063C"/>
    <w:rsid w:val="001E069F"/>
    <w:rsid w:val="001E0864"/>
    <w:rsid w:val="001E0871"/>
    <w:rsid w:val="001E09B6"/>
    <w:rsid w:val="001E0E45"/>
    <w:rsid w:val="001E0EAF"/>
    <w:rsid w:val="001E0EE0"/>
    <w:rsid w:val="001E11E4"/>
    <w:rsid w:val="001E1285"/>
    <w:rsid w:val="001E135F"/>
    <w:rsid w:val="001E14FD"/>
    <w:rsid w:val="001E15DD"/>
    <w:rsid w:val="001E15F1"/>
    <w:rsid w:val="001E180F"/>
    <w:rsid w:val="001E1877"/>
    <w:rsid w:val="001E1958"/>
    <w:rsid w:val="001E1A8E"/>
    <w:rsid w:val="001E1B2E"/>
    <w:rsid w:val="001E1B61"/>
    <w:rsid w:val="001E1BD7"/>
    <w:rsid w:val="001E1BE1"/>
    <w:rsid w:val="001E1C64"/>
    <w:rsid w:val="001E1CEC"/>
    <w:rsid w:val="001E1D10"/>
    <w:rsid w:val="001E1E0A"/>
    <w:rsid w:val="001E1E12"/>
    <w:rsid w:val="001E2237"/>
    <w:rsid w:val="001E27A3"/>
    <w:rsid w:val="001E2835"/>
    <w:rsid w:val="001E28CD"/>
    <w:rsid w:val="001E28DC"/>
    <w:rsid w:val="001E2ECB"/>
    <w:rsid w:val="001E2FDA"/>
    <w:rsid w:val="001E30FD"/>
    <w:rsid w:val="001E3147"/>
    <w:rsid w:val="001E31BE"/>
    <w:rsid w:val="001E31E0"/>
    <w:rsid w:val="001E322A"/>
    <w:rsid w:val="001E32EC"/>
    <w:rsid w:val="001E3395"/>
    <w:rsid w:val="001E33A0"/>
    <w:rsid w:val="001E33D3"/>
    <w:rsid w:val="001E3660"/>
    <w:rsid w:val="001E3793"/>
    <w:rsid w:val="001E3819"/>
    <w:rsid w:val="001E3EDB"/>
    <w:rsid w:val="001E40B6"/>
    <w:rsid w:val="001E41C7"/>
    <w:rsid w:val="001E444A"/>
    <w:rsid w:val="001E450D"/>
    <w:rsid w:val="001E46C8"/>
    <w:rsid w:val="001E48DA"/>
    <w:rsid w:val="001E49DA"/>
    <w:rsid w:val="001E4A9D"/>
    <w:rsid w:val="001E4B3C"/>
    <w:rsid w:val="001E4B5B"/>
    <w:rsid w:val="001E4B64"/>
    <w:rsid w:val="001E552A"/>
    <w:rsid w:val="001E5752"/>
    <w:rsid w:val="001E578C"/>
    <w:rsid w:val="001E57B9"/>
    <w:rsid w:val="001E57F9"/>
    <w:rsid w:val="001E5840"/>
    <w:rsid w:val="001E5EA0"/>
    <w:rsid w:val="001E5ECF"/>
    <w:rsid w:val="001E5F49"/>
    <w:rsid w:val="001E6133"/>
    <w:rsid w:val="001E6367"/>
    <w:rsid w:val="001E673F"/>
    <w:rsid w:val="001E6BD6"/>
    <w:rsid w:val="001E6C87"/>
    <w:rsid w:val="001E6DA9"/>
    <w:rsid w:val="001E6DB7"/>
    <w:rsid w:val="001E6E8D"/>
    <w:rsid w:val="001E702B"/>
    <w:rsid w:val="001E723B"/>
    <w:rsid w:val="001E7639"/>
    <w:rsid w:val="001E77D2"/>
    <w:rsid w:val="001E7B1C"/>
    <w:rsid w:val="001E7B7F"/>
    <w:rsid w:val="001E7DD3"/>
    <w:rsid w:val="001E7E7D"/>
    <w:rsid w:val="001E7EE4"/>
    <w:rsid w:val="001E7F76"/>
    <w:rsid w:val="001E7F84"/>
    <w:rsid w:val="001F025F"/>
    <w:rsid w:val="001F0306"/>
    <w:rsid w:val="001F039B"/>
    <w:rsid w:val="001F0FAF"/>
    <w:rsid w:val="001F10A9"/>
    <w:rsid w:val="001F10EC"/>
    <w:rsid w:val="001F139F"/>
    <w:rsid w:val="001F14A1"/>
    <w:rsid w:val="001F1728"/>
    <w:rsid w:val="001F179D"/>
    <w:rsid w:val="001F19E5"/>
    <w:rsid w:val="001F1AA4"/>
    <w:rsid w:val="001F1D11"/>
    <w:rsid w:val="001F1D50"/>
    <w:rsid w:val="001F23D0"/>
    <w:rsid w:val="001F2420"/>
    <w:rsid w:val="001F2794"/>
    <w:rsid w:val="001F27CA"/>
    <w:rsid w:val="001F2805"/>
    <w:rsid w:val="001F2814"/>
    <w:rsid w:val="001F29A2"/>
    <w:rsid w:val="001F2DF9"/>
    <w:rsid w:val="001F2E79"/>
    <w:rsid w:val="001F2F07"/>
    <w:rsid w:val="001F2FB4"/>
    <w:rsid w:val="001F3067"/>
    <w:rsid w:val="001F30AC"/>
    <w:rsid w:val="001F30FD"/>
    <w:rsid w:val="001F3123"/>
    <w:rsid w:val="001F32E7"/>
    <w:rsid w:val="001F357D"/>
    <w:rsid w:val="001F36F5"/>
    <w:rsid w:val="001F376D"/>
    <w:rsid w:val="001F3994"/>
    <w:rsid w:val="001F3A2A"/>
    <w:rsid w:val="001F3BE0"/>
    <w:rsid w:val="001F3D98"/>
    <w:rsid w:val="001F418C"/>
    <w:rsid w:val="001F42DC"/>
    <w:rsid w:val="001F46A8"/>
    <w:rsid w:val="001F480F"/>
    <w:rsid w:val="001F493D"/>
    <w:rsid w:val="001F4A63"/>
    <w:rsid w:val="001F4AEE"/>
    <w:rsid w:val="001F4B2D"/>
    <w:rsid w:val="001F4DEC"/>
    <w:rsid w:val="001F4F40"/>
    <w:rsid w:val="001F50E0"/>
    <w:rsid w:val="001F5393"/>
    <w:rsid w:val="001F53AE"/>
    <w:rsid w:val="001F53FF"/>
    <w:rsid w:val="001F56AF"/>
    <w:rsid w:val="001F5741"/>
    <w:rsid w:val="001F594C"/>
    <w:rsid w:val="001F59D9"/>
    <w:rsid w:val="001F603A"/>
    <w:rsid w:val="001F60A2"/>
    <w:rsid w:val="001F60C8"/>
    <w:rsid w:val="001F6115"/>
    <w:rsid w:val="001F66AA"/>
    <w:rsid w:val="001F69F2"/>
    <w:rsid w:val="001F69FC"/>
    <w:rsid w:val="001F6B28"/>
    <w:rsid w:val="001F6B70"/>
    <w:rsid w:val="001F6D62"/>
    <w:rsid w:val="001F6DA1"/>
    <w:rsid w:val="001F6DC2"/>
    <w:rsid w:val="001F71CA"/>
    <w:rsid w:val="001F725C"/>
    <w:rsid w:val="001F7340"/>
    <w:rsid w:val="001F759E"/>
    <w:rsid w:val="001F766C"/>
    <w:rsid w:val="001F7675"/>
    <w:rsid w:val="001F7696"/>
    <w:rsid w:val="001F7756"/>
    <w:rsid w:val="001F782B"/>
    <w:rsid w:val="001F7983"/>
    <w:rsid w:val="001F7D89"/>
    <w:rsid w:val="001F7EDA"/>
    <w:rsid w:val="00200063"/>
    <w:rsid w:val="0020025C"/>
    <w:rsid w:val="002003BF"/>
    <w:rsid w:val="0020054D"/>
    <w:rsid w:val="00200565"/>
    <w:rsid w:val="0020094B"/>
    <w:rsid w:val="00200A79"/>
    <w:rsid w:val="00200F1E"/>
    <w:rsid w:val="00200F65"/>
    <w:rsid w:val="00200FAE"/>
    <w:rsid w:val="0020102D"/>
    <w:rsid w:val="002010E2"/>
    <w:rsid w:val="00201140"/>
    <w:rsid w:val="0020127D"/>
    <w:rsid w:val="002012F1"/>
    <w:rsid w:val="002013CC"/>
    <w:rsid w:val="002013D8"/>
    <w:rsid w:val="00201640"/>
    <w:rsid w:val="0020175A"/>
    <w:rsid w:val="002018C3"/>
    <w:rsid w:val="002018EF"/>
    <w:rsid w:val="002019B6"/>
    <w:rsid w:val="00201B0D"/>
    <w:rsid w:val="00201B73"/>
    <w:rsid w:val="00202236"/>
    <w:rsid w:val="00202453"/>
    <w:rsid w:val="00202517"/>
    <w:rsid w:val="0020255B"/>
    <w:rsid w:val="0020258A"/>
    <w:rsid w:val="00202ADB"/>
    <w:rsid w:val="00202B63"/>
    <w:rsid w:val="00202BB7"/>
    <w:rsid w:val="00202CA1"/>
    <w:rsid w:val="00202E2B"/>
    <w:rsid w:val="00202E5B"/>
    <w:rsid w:val="002030DF"/>
    <w:rsid w:val="00203130"/>
    <w:rsid w:val="0020352F"/>
    <w:rsid w:val="00203649"/>
    <w:rsid w:val="0020375A"/>
    <w:rsid w:val="002037E6"/>
    <w:rsid w:val="00203870"/>
    <w:rsid w:val="00203B02"/>
    <w:rsid w:val="00203B73"/>
    <w:rsid w:val="00203BD6"/>
    <w:rsid w:val="00203DB2"/>
    <w:rsid w:val="00203F64"/>
    <w:rsid w:val="0020408D"/>
    <w:rsid w:val="002040D8"/>
    <w:rsid w:val="00204116"/>
    <w:rsid w:val="00204198"/>
    <w:rsid w:val="002041AC"/>
    <w:rsid w:val="0020422C"/>
    <w:rsid w:val="00204244"/>
    <w:rsid w:val="002042A3"/>
    <w:rsid w:val="0020435B"/>
    <w:rsid w:val="00204533"/>
    <w:rsid w:val="00204553"/>
    <w:rsid w:val="00204587"/>
    <w:rsid w:val="002048A1"/>
    <w:rsid w:val="002048A6"/>
    <w:rsid w:val="00204A36"/>
    <w:rsid w:val="00204ACA"/>
    <w:rsid w:val="00204B04"/>
    <w:rsid w:val="00204B6A"/>
    <w:rsid w:val="00204F2D"/>
    <w:rsid w:val="0020516A"/>
    <w:rsid w:val="00205455"/>
    <w:rsid w:val="00205566"/>
    <w:rsid w:val="00205627"/>
    <w:rsid w:val="00205749"/>
    <w:rsid w:val="00205787"/>
    <w:rsid w:val="00205966"/>
    <w:rsid w:val="002059FB"/>
    <w:rsid w:val="00205AD2"/>
    <w:rsid w:val="00205B15"/>
    <w:rsid w:val="00205C75"/>
    <w:rsid w:val="00205DAD"/>
    <w:rsid w:val="002060C2"/>
    <w:rsid w:val="00206191"/>
    <w:rsid w:val="00206207"/>
    <w:rsid w:val="002063AA"/>
    <w:rsid w:val="002064BA"/>
    <w:rsid w:val="00206506"/>
    <w:rsid w:val="0020655D"/>
    <w:rsid w:val="00206611"/>
    <w:rsid w:val="00206810"/>
    <w:rsid w:val="002069D9"/>
    <w:rsid w:val="00206BAC"/>
    <w:rsid w:val="00206BF5"/>
    <w:rsid w:val="00206D8D"/>
    <w:rsid w:val="002071B4"/>
    <w:rsid w:val="00207473"/>
    <w:rsid w:val="0020782D"/>
    <w:rsid w:val="00207832"/>
    <w:rsid w:val="00207B7C"/>
    <w:rsid w:val="00207BFF"/>
    <w:rsid w:val="00207C90"/>
    <w:rsid w:val="00207D4F"/>
    <w:rsid w:val="00207F07"/>
    <w:rsid w:val="00207FD8"/>
    <w:rsid w:val="0021053F"/>
    <w:rsid w:val="00210549"/>
    <w:rsid w:val="0021059C"/>
    <w:rsid w:val="00210640"/>
    <w:rsid w:val="0021069E"/>
    <w:rsid w:val="002107D5"/>
    <w:rsid w:val="00210804"/>
    <w:rsid w:val="0021088F"/>
    <w:rsid w:val="00210A2F"/>
    <w:rsid w:val="00210CBE"/>
    <w:rsid w:val="00210CC0"/>
    <w:rsid w:val="00211359"/>
    <w:rsid w:val="002113FE"/>
    <w:rsid w:val="00211457"/>
    <w:rsid w:val="002114B0"/>
    <w:rsid w:val="00211737"/>
    <w:rsid w:val="002117E7"/>
    <w:rsid w:val="0021181B"/>
    <w:rsid w:val="002119C8"/>
    <w:rsid w:val="00211BEC"/>
    <w:rsid w:val="00211D4E"/>
    <w:rsid w:val="00211DFD"/>
    <w:rsid w:val="00211FF5"/>
    <w:rsid w:val="00212195"/>
    <w:rsid w:val="0021230F"/>
    <w:rsid w:val="0021242D"/>
    <w:rsid w:val="00212581"/>
    <w:rsid w:val="002125B0"/>
    <w:rsid w:val="0021270F"/>
    <w:rsid w:val="00212791"/>
    <w:rsid w:val="00212834"/>
    <w:rsid w:val="0021283B"/>
    <w:rsid w:val="00212965"/>
    <w:rsid w:val="00212A82"/>
    <w:rsid w:val="00212D71"/>
    <w:rsid w:val="002131B5"/>
    <w:rsid w:val="002131D3"/>
    <w:rsid w:val="00213420"/>
    <w:rsid w:val="00213619"/>
    <w:rsid w:val="00213629"/>
    <w:rsid w:val="002136D6"/>
    <w:rsid w:val="0021393F"/>
    <w:rsid w:val="00213F1E"/>
    <w:rsid w:val="0021404C"/>
    <w:rsid w:val="002140F1"/>
    <w:rsid w:val="002142DE"/>
    <w:rsid w:val="0021433B"/>
    <w:rsid w:val="002145DF"/>
    <w:rsid w:val="002146B1"/>
    <w:rsid w:val="002146FD"/>
    <w:rsid w:val="00214762"/>
    <w:rsid w:val="002148A1"/>
    <w:rsid w:val="00214D8A"/>
    <w:rsid w:val="00214DAC"/>
    <w:rsid w:val="00214EA2"/>
    <w:rsid w:val="00214EF4"/>
    <w:rsid w:val="00214F14"/>
    <w:rsid w:val="0021584B"/>
    <w:rsid w:val="00215904"/>
    <w:rsid w:val="00215AD6"/>
    <w:rsid w:val="00215E0B"/>
    <w:rsid w:val="00215FA3"/>
    <w:rsid w:val="002160DC"/>
    <w:rsid w:val="002160FA"/>
    <w:rsid w:val="00216139"/>
    <w:rsid w:val="0021614D"/>
    <w:rsid w:val="0021615D"/>
    <w:rsid w:val="002163BD"/>
    <w:rsid w:val="0021649E"/>
    <w:rsid w:val="002164D0"/>
    <w:rsid w:val="0021654F"/>
    <w:rsid w:val="0021655F"/>
    <w:rsid w:val="00216673"/>
    <w:rsid w:val="002166DD"/>
    <w:rsid w:val="002168A2"/>
    <w:rsid w:val="002168C5"/>
    <w:rsid w:val="00216931"/>
    <w:rsid w:val="0021697B"/>
    <w:rsid w:val="00216AB2"/>
    <w:rsid w:val="00216B20"/>
    <w:rsid w:val="00216C16"/>
    <w:rsid w:val="00216DB3"/>
    <w:rsid w:val="00216EA7"/>
    <w:rsid w:val="00216F6D"/>
    <w:rsid w:val="0021701C"/>
    <w:rsid w:val="0021734F"/>
    <w:rsid w:val="00217531"/>
    <w:rsid w:val="00217570"/>
    <w:rsid w:val="00217598"/>
    <w:rsid w:val="002175AE"/>
    <w:rsid w:val="00217672"/>
    <w:rsid w:val="002177D9"/>
    <w:rsid w:val="00217867"/>
    <w:rsid w:val="0021795F"/>
    <w:rsid w:val="00217AE8"/>
    <w:rsid w:val="00217D0D"/>
    <w:rsid w:val="002200B1"/>
    <w:rsid w:val="002203ED"/>
    <w:rsid w:val="00220523"/>
    <w:rsid w:val="002205CA"/>
    <w:rsid w:val="002205E4"/>
    <w:rsid w:val="002205F1"/>
    <w:rsid w:val="00220642"/>
    <w:rsid w:val="00220742"/>
    <w:rsid w:val="002208D2"/>
    <w:rsid w:val="002209CB"/>
    <w:rsid w:val="00220ADE"/>
    <w:rsid w:val="00220D67"/>
    <w:rsid w:val="00220F0D"/>
    <w:rsid w:val="0022116B"/>
    <w:rsid w:val="00221335"/>
    <w:rsid w:val="00221512"/>
    <w:rsid w:val="00221528"/>
    <w:rsid w:val="002215F8"/>
    <w:rsid w:val="00221707"/>
    <w:rsid w:val="002218DD"/>
    <w:rsid w:val="00221A66"/>
    <w:rsid w:val="00221BE3"/>
    <w:rsid w:val="00221C64"/>
    <w:rsid w:val="00221D70"/>
    <w:rsid w:val="00221DAF"/>
    <w:rsid w:val="00221F80"/>
    <w:rsid w:val="00222447"/>
    <w:rsid w:val="002226C8"/>
    <w:rsid w:val="002226ED"/>
    <w:rsid w:val="0022273A"/>
    <w:rsid w:val="00222879"/>
    <w:rsid w:val="002228BE"/>
    <w:rsid w:val="00222A46"/>
    <w:rsid w:val="00222C72"/>
    <w:rsid w:val="00222CE0"/>
    <w:rsid w:val="00222D28"/>
    <w:rsid w:val="00222D31"/>
    <w:rsid w:val="002231E6"/>
    <w:rsid w:val="002232FF"/>
    <w:rsid w:val="0022354F"/>
    <w:rsid w:val="00223609"/>
    <w:rsid w:val="0022361E"/>
    <w:rsid w:val="00223622"/>
    <w:rsid w:val="002236A1"/>
    <w:rsid w:val="00223779"/>
    <w:rsid w:val="002237D3"/>
    <w:rsid w:val="002239FD"/>
    <w:rsid w:val="00223CF4"/>
    <w:rsid w:val="00223FE3"/>
    <w:rsid w:val="0022407E"/>
    <w:rsid w:val="00224220"/>
    <w:rsid w:val="00224230"/>
    <w:rsid w:val="00224398"/>
    <w:rsid w:val="00224591"/>
    <w:rsid w:val="00224599"/>
    <w:rsid w:val="002246BC"/>
    <w:rsid w:val="002247BA"/>
    <w:rsid w:val="00224A81"/>
    <w:rsid w:val="00224C85"/>
    <w:rsid w:val="00224D6F"/>
    <w:rsid w:val="00224E91"/>
    <w:rsid w:val="00224EBC"/>
    <w:rsid w:val="00224F8D"/>
    <w:rsid w:val="00225027"/>
    <w:rsid w:val="002250B0"/>
    <w:rsid w:val="002253CF"/>
    <w:rsid w:val="002253DC"/>
    <w:rsid w:val="00225830"/>
    <w:rsid w:val="00225A35"/>
    <w:rsid w:val="00225B4C"/>
    <w:rsid w:val="00225C2D"/>
    <w:rsid w:val="00225E1E"/>
    <w:rsid w:val="00225E3B"/>
    <w:rsid w:val="002260B5"/>
    <w:rsid w:val="00226123"/>
    <w:rsid w:val="00226129"/>
    <w:rsid w:val="0022614D"/>
    <w:rsid w:val="00226270"/>
    <w:rsid w:val="002262AB"/>
    <w:rsid w:val="002267A9"/>
    <w:rsid w:val="00226AA2"/>
    <w:rsid w:val="00226ECF"/>
    <w:rsid w:val="002271C8"/>
    <w:rsid w:val="00227218"/>
    <w:rsid w:val="00227286"/>
    <w:rsid w:val="002272BC"/>
    <w:rsid w:val="0022734E"/>
    <w:rsid w:val="0022749F"/>
    <w:rsid w:val="00227534"/>
    <w:rsid w:val="0022770A"/>
    <w:rsid w:val="0022795F"/>
    <w:rsid w:val="00227BEE"/>
    <w:rsid w:val="00227BF7"/>
    <w:rsid w:val="00227C10"/>
    <w:rsid w:val="00227C70"/>
    <w:rsid w:val="00227FB4"/>
    <w:rsid w:val="00230121"/>
    <w:rsid w:val="00230387"/>
    <w:rsid w:val="0023057E"/>
    <w:rsid w:val="002305B3"/>
    <w:rsid w:val="002307B8"/>
    <w:rsid w:val="00230939"/>
    <w:rsid w:val="00230AAF"/>
    <w:rsid w:val="00230C26"/>
    <w:rsid w:val="00230E1C"/>
    <w:rsid w:val="00230E3D"/>
    <w:rsid w:val="00230E46"/>
    <w:rsid w:val="00230E48"/>
    <w:rsid w:val="00230F16"/>
    <w:rsid w:val="00231063"/>
    <w:rsid w:val="002312BC"/>
    <w:rsid w:val="00231567"/>
    <w:rsid w:val="0023161D"/>
    <w:rsid w:val="00231A02"/>
    <w:rsid w:val="00231B36"/>
    <w:rsid w:val="00231B78"/>
    <w:rsid w:val="00231BC8"/>
    <w:rsid w:val="00231C9A"/>
    <w:rsid w:val="00231CB2"/>
    <w:rsid w:val="00231E49"/>
    <w:rsid w:val="0023204C"/>
    <w:rsid w:val="0023226C"/>
    <w:rsid w:val="002323DC"/>
    <w:rsid w:val="00232692"/>
    <w:rsid w:val="0023284B"/>
    <w:rsid w:val="00232953"/>
    <w:rsid w:val="00232CE7"/>
    <w:rsid w:val="00232F1F"/>
    <w:rsid w:val="00232F5F"/>
    <w:rsid w:val="00232F64"/>
    <w:rsid w:val="00232FE2"/>
    <w:rsid w:val="00233027"/>
    <w:rsid w:val="0023341A"/>
    <w:rsid w:val="00233641"/>
    <w:rsid w:val="002337E5"/>
    <w:rsid w:val="00233C06"/>
    <w:rsid w:val="00233F24"/>
    <w:rsid w:val="002340C2"/>
    <w:rsid w:val="002341C0"/>
    <w:rsid w:val="0023449D"/>
    <w:rsid w:val="002344DE"/>
    <w:rsid w:val="002347BA"/>
    <w:rsid w:val="00234B2E"/>
    <w:rsid w:val="00234BBB"/>
    <w:rsid w:val="00234E49"/>
    <w:rsid w:val="00234E9A"/>
    <w:rsid w:val="002354EA"/>
    <w:rsid w:val="002356F4"/>
    <w:rsid w:val="00235721"/>
    <w:rsid w:val="00235BAA"/>
    <w:rsid w:val="00235D31"/>
    <w:rsid w:val="00235E3D"/>
    <w:rsid w:val="00235F02"/>
    <w:rsid w:val="00236006"/>
    <w:rsid w:val="0023615B"/>
    <w:rsid w:val="002362B8"/>
    <w:rsid w:val="0023667B"/>
    <w:rsid w:val="00236867"/>
    <w:rsid w:val="002368FD"/>
    <w:rsid w:val="00236947"/>
    <w:rsid w:val="00236AB9"/>
    <w:rsid w:val="00236D25"/>
    <w:rsid w:val="00236D28"/>
    <w:rsid w:val="00237069"/>
    <w:rsid w:val="00237086"/>
    <w:rsid w:val="0023739C"/>
    <w:rsid w:val="002375F2"/>
    <w:rsid w:val="00237690"/>
    <w:rsid w:val="00237956"/>
    <w:rsid w:val="00237BA2"/>
    <w:rsid w:val="00237BBF"/>
    <w:rsid w:val="00237FE4"/>
    <w:rsid w:val="002400A6"/>
    <w:rsid w:val="00240160"/>
    <w:rsid w:val="002402E2"/>
    <w:rsid w:val="0024040D"/>
    <w:rsid w:val="00240656"/>
    <w:rsid w:val="0024076C"/>
    <w:rsid w:val="00240B23"/>
    <w:rsid w:val="00240FF9"/>
    <w:rsid w:val="00241515"/>
    <w:rsid w:val="00241610"/>
    <w:rsid w:val="002417EA"/>
    <w:rsid w:val="0024182E"/>
    <w:rsid w:val="00241AED"/>
    <w:rsid w:val="00241B0E"/>
    <w:rsid w:val="00241B15"/>
    <w:rsid w:val="00241D41"/>
    <w:rsid w:val="002423C2"/>
    <w:rsid w:val="00242695"/>
    <w:rsid w:val="002427B0"/>
    <w:rsid w:val="00242872"/>
    <w:rsid w:val="00242A9D"/>
    <w:rsid w:val="00242B06"/>
    <w:rsid w:val="00242B7B"/>
    <w:rsid w:val="00242BC0"/>
    <w:rsid w:val="00242BF0"/>
    <w:rsid w:val="00242BF9"/>
    <w:rsid w:val="00242C82"/>
    <w:rsid w:val="00242D85"/>
    <w:rsid w:val="00242DE2"/>
    <w:rsid w:val="00242E6F"/>
    <w:rsid w:val="00242F4D"/>
    <w:rsid w:val="0024311F"/>
    <w:rsid w:val="00243182"/>
    <w:rsid w:val="0024334D"/>
    <w:rsid w:val="002433FA"/>
    <w:rsid w:val="002434D7"/>
    <w:rsid w:val="0024356E"/>
    <w:rsid w:val="0024356F"/>
    <w:rsid w:val="00243635"/>
    <w:rsid w:val="00243781"/>
    <w:rsid w:val="002437B4"/>
    <w:rsid w:val="002437BF"/>
    <w:rsid w:val="0024388E"/>
    <w:rsid w:val="00243928"/>
    <w:rsid w:val="00243946"/>
    <w:rsid w:val="00243A2F"/>
    <w:rsid w:val="00243A9C"/>
    <w:rsid w:val="00243B4E"/>
    <w:rsid w:val="00243BC5"/>
    <w:rsid w:val="00243BCC"/>
    <w:rsid w:val="00243C1D"/>
    <w:rsid w:val="00243C20"/>
    <w:rsid w:val="00243C2B"/>
    <w:rsid w:val="00243C6D"/>
    <w:rsid w:val="00243C7D"/>
    <w:rsid w:val="00243E9A"/>
    <w:rsid w:val="00243EB5"/>
    <w:rsid w:val="00243F7F"/>
    <w:rsid w:val="00243F8D"/>
    <w:rsid w:val="00244143"/>
    <w:rsid w:val="00244371"/>
    <w:rsid w:val="002443BF"/>
    <w:rsid w:val="002443C0"/>
    <w:rsid w:val="002443FA"/>
    <w:rsid w:val="0024474A"/>
    <w:rsid w:val="00244819"/>
    <w:rsid w:val="00244AF8"/>
    <w:rsid w:val="00244BA4"/>
    <w:rsid w:val="00244BC5"/>
    <w:rsid w:val="00244E68"/>
    <w:rsid w:val="00244FC5"/>
    <w:rsid w:val="0024513B"/>
    <w:rsid w:val="0024551C"/>
    <w:rsid w:val="0024560C"/>
    <w:rsid w:val="002456C5"/>
    <w:rsid w:val="002458A2"/>
    <w:rsid w:val="002458D4"/>
    <w:rsid w:val="002459E0"/>
    <w:rsid w:val="00245ABE"/>
    <w:rsid w:val="00245B28"/>
    <w:rsid w:val="00245BF3"/>
    <w:rsid w:val="00245C0B"/>
    <w:rsid w:val="00245D0A"/>
    <w:rsid w:val="00245D60"/>
    <w:rsid w:val="00245D86"/>
    <w:rsid w:val="00245DAF"/>
    <w:rsid w:val="002460C9"/>
    <w:rsid w:val="00246871"/>
    <w:rsid w:val="00246A7D"/>
    <w:rsid w:val="00246DFA"/>
    <w:rsid w:val="00246E38"/>
    <w:rsid w:val="00246EA2"/>
    <w:rsid w:val="00246EAE"/>
    <w:rsid w:val="00247079"/>
    <w:rsid w:val="00247116"/>
    <w:rsid w:val="00247147"/>
    <w:rsid w:val="002471E5"/>
    <w:rsid w:val="00247464"/>
    <w:rsid w:val="00247A12"/>
    <w:rsid w:val="00247C63"/>
    <w:rsid w:val="00250069"/>
    <w:rsid w:val="0025024E"/>
    <w:rsid w:val="00250382"/>
    <w:rsid w:val="002505BD"/>
    <w:rsid w:val="00250679"/>
    <w:rsid w:val="002506D2"/>
    <w:rsid w:val="002507B2"/>
    <w:rsid w:val="00250B26"/>
    <w:rsid w:val="00250CB5"/>
    <w:rsid w:val="00250D43"/>
    <w:rsid w:val="00250F09"/>
    <w:rsid w:val="00251026"/>
    <w:rsid w:val="0025120E"/>
    <w:rsid w:val="002515DD"/>
    <w:rsid w:val="002517A8"/>
    <w:rsid w:val="00251838"/>
    <w:rsid w:val="00251897"/>
    <w:rsid w:val="00251AA1"/>
    <w:rsid w:val="00251B51"/>
    <w:rsid w:val="00251C03"/>
    <w:rsid w:val="00251C72"/>
    <w:rsid w:val="00251E57"/>
    <w:rsid w:val="00251EEE"/>
    <w:rsid w:val="00251F6A"/>
    <w:rsid w:val="00251FF4"/>
    <w:rsid w:val="002523F1"/>
    <w:rsid w:val="00252620"/>
    <w:rsid w:val="00252828"/>
    <w:rsid w:val="0025289B"/>
    <w:rsid w:val="0025299C"/>
    <w:rsid w:val="00252B10"/>
    <w:rsid w:val="00252C7C"/>
    <w:rsid w:val="00252D0D"/>
    <w:rsid w:val="00252E57"/>
    <w:rsid w:val="002530A8"/>
    <w:rsid w:val="00253177"/>
    <w:rsid w:val="00253388"/>
    <w:rsid w:val="002533B5"/>
    <w:rsid w:val="002536B1"/>
    <w:rsid w:val="00253868"/>
    <w:rsid w:val="002538B8"/>
    <w:rsid w:val="0025396F"/>
    <w:rsid w:val="00253971"/>
    <w:rsid w:val="00253A20"/>
    <w:rsid w:val="00253A30"/>
    <w:rsid w:val="00253B65"/>
    <w:rsid w:val="00253BE9"/>
    <w:rsid w:val="00253C57"/>
    <w:rsid w:val="00253CC9"/>
    <w:rsid w:val="00253D11"/>
    <w:rsid w:val="00253DAD"/>
    <w:rsid w:val="00253F0A"/>
    <w:rsid w:val="00254068"/>
    <w:rsid w:val="00254163"/>
    <w:rsid w:val="002542AB"/>
    <w:rsid w:val="00254319"/>
    <w:rsid w:val="002544BA"/>
    <w:rsid w:val="00254561"/>
    <w:rsid w:val="00254584"/>
    <w:rsid w:val="002545BD"/>
    <w:rsid w:val="0025473F"/>
    <w:rsid w:val="0025494E"/>
    <w:rsid w:val="00254961"/>
    <w:rsid w:val="00254B48"/>
    <w:rsid w:val="00254BEA"/>
    <w:rsid w:val="00254CF2"/>
    <w:rsid w:val="00254E4F"/>
    <w:rsid w:val="00254ECF"/>
    <w:rsid w:val="00255038"/>
    <w:rsid w:val="0025510F"/>
    <w:rsid w:val="0025532A"/>
    <w:rsid w:val="00255358"/>
    <w:rsid w:val="0025539F"/>
    <w:rsid w:val="002554E0"/>
    <w:rsid w:val="0025555B"/>
    <w:rsid w:val="00255C04"/>
    <w:rsid w:val="00255E8C"/>
    <w:rsid w:val="00255EA5"/>
    <w:rsid w:val="0025602F"/>
    <w:rsid w:val="00256388"/>
    <w:rsid w:val="00256AB5"/>
    <w:rsid w:val="00256B7E"/>
    <w:rsid w:val="00256E44"/>
    <w:rsid w:val="00256FA2"/>
    <w:rsid w:val="00256FDA"/>
    <w:rsid w:val="00257029"/>
    <w:rsid w:val="00257227"/>
    <w:rsid w:val="0025758D"/>
    <w:rsid w:val="0025791F"/>
    <w:rsid w:val="0025796A"/>
    <w:rsid w:val="00257984"/>
    <w:rsid w:val="00257CAD"/>
    <w:rsid w:val="00257F23"/>
    <w:rsid w:val="002602B5"/>
    <w:rsid w:val="00260449"/>
    <w:rsid w:val="002605D9"/>
    <w:rsid w:val="00260919"/>
    <w:rsid w:val="00260E04"/>
    <w:rsid w:val="00260FB2"/>
    <w:rsid w:val="0026122B"/>
    <w:rsid w:val="00261271"/>
    <w:rsid w:val="002612FD"/>
    <w:rsid w:val="002613DC"/>
    <w:rsid w:val="0026157C"/>
    <w:rsid w:val="002615B7"/>
    <w:rsid w:val="0026162D"/>
    <w:rsid w:val="00261755"/>
    <w:rsid w:val="00261833"/>
    <w:rsid w:val="0026189C"/>
    <w:rsid w:val="00261AAA"/>
    <w:rsid w:val="00261B43"/>
    <w:rsid w:val="00261BAB"/>
    <w:rsid w:val="00261BEA"/>
    <w:rsid w:val="00261CBB"/>
    <w:rsid w:val="00261DC5"/>
    <w:rsid w:val="00261F12"/>
    <w:rsid w:val="00261F2C"/>
    <w:rsid w:val="00262097"/>
    <w:rsid w:val="002621A6"/>
    <w:rsid w:val="0026227D"/>
    <w:rsid w:val="002623CA"/>
    <w:rsid w:val="00262491"/>
    <w:rsid w:val="00262550"/>
    <w:rsid w:val="0026272F"/>
    <w:rsid w:val="00262911"/>
    <w:rsid w:val="00262A5F"/>
    <w:rsid w:val="00262ABB"/>
    <w:rsid w:val="00262B0E"/>
    <w:rsid w:val="00262B20"/>
    <w:rsid w:val="00262BE2"/>
    <w:rsid w:val="00262D20"/>
    <w:rsid w:val="00262DE1"/>
    <w:rsid w:val="00262E85"/>
    <w:rsid w:val="002634AB"/>
    <w:rsid w:val="00263509"/>
    <w:rsid w:val="0026353E"/>
    <w:rsid w:val="00263884"/>
    <w:rsid w:val="002638E0"/>
    <w:rsid w:val="002638E8"/>
    <w:rsid w:val="00263901"/>
    <w:rsid w:val="0026399B"/>
    <w:rsid w:val="002639D6"/>
    <w:rsid w:val="00263B32"/>
    <w:rsid w:val="00263BBF"/>
    <w:rsid w:val="00263C19"/>
    <w:rsid w:val="00263CB8"/>
    <w:rsid w:val="00263D62"/>
    <w:rsid w:val="00263E9F"/>
    <w:rsid w:val="00263EAD"/>
    <w:rsid w:val="00264158"/>
    <w:rsid w:val="0026440C"/>
    <w:rsid w:val="0026445E"/>
    <w:rsid w:val="00264569"/>
    <w:rsid w:val="002645CB"/>
    <w:rsid w:val="00264668"/>
    <w:rsid w:val="00264DAD"/>
    <w:rsid w:val="00264F03"/>
    <w:rsid w:val="00264F5E"/>
    <w:rsid w:val="00264F8F"/>
    <w:rsid w:val="00265256"/>
    <w:rsid w:val="00265514"/>
    <w:rsid w:val="0026552D"/>
    <w:rsid w:val="00265551"/>
    <w:rsid w:val="002655AE"/>
    <w:rsid w:val="0026578F"/>
    <w:rsid w:val="002657AC"/>
    <w:rsid w:val="0026591F"/>
    <w:rsid w:val="00265A65"/>
    <w:rsid w:val="00265C6D"/>
    <w:rsid w:val="00265C7E"/>
    <w:rsid w:val="00265D06"/>
    <w:rsid w:val="00265EA8"/>
    <w:rsid w:val="002660F0"/>
    <w:rsid w:val="0026627B"/>
    <w:rsid w:val="00266300"/>
    <w:rsid w:val="00266541"/>
    <w:rsid w:val="002665AD"/>
    <w:rsid w:val="0026692B"/>
    <w:rsid w:val="00266D14"/>
    <w:rsid w:val="00266E29"/>
    <w:rsid w:val="00266E9B"/>
    <w:rsid w:val="00266F2F"/>
    <w:rsid w:val="00266FD4"/>
    <w:rsid w:val="0026708D"/>
    <w:rsid w:val="00267168"/>
    <w:rsid w:val="002671B0"/>
    <w:rsid w:val="002672FD"/>
    <w:rsid w:val="0026733E"/>
    <w:rsid w:val="002673DD"/>
    <w:rsid w:val="002675AA"/>
    <w:rsid w:val="002675B6"/>
    <w:rsid w:val="00267694"/>
    <w:rsid w:val="0026778D"/>
    <w:rsid w:val="002677C4"/>
    <w:rsid w:val="00267A3B"/>
    <w:rsid w:val="00267A99"/>
    <w:rsid w:val="00267BC3"/>
    <w:rsid w:val="00267C40"/>
    <w:rsid w:val="00267C62"/>
    <w:rsid w:val="00267CFA"/>
    <w:rsid w:val="00267D2C"/>
    <w:rsid w:val="00267F7B"/>
    <w:rsid w:val="00267FB5"/>
    <w:rsid w:val="00270271"/>
    <w:rsid w:val="002704A5"/>
    <w:rsid w:val="00270621"/>
    <w:rsid w:val="0027081D"/>
    <w:rsid w:val="00270A4E"/>
    <w:rsid w:val="00270A97"/>
    <w:rsid w:val="00270B68"/>
    <w:rsid w:val="00270C4B"/>
    <w:rsid w:val="00270CAC"/>
    <w:rsid w:val="00270DA4"/>
    <w:rsid w:val="00270E5E"/>
    <w:rsid w:val="00271040"/>
    <w:rsid w:val="002710CF"/>
    <w:rsid w:val="00271183"/>
    <w:rsid w:val="0027125F"/>
    <w:rsid w:val="002712DA"/>
    <w:rsid w:val="002714FF"/>
    <w:rsid w:val="002715FF"/>
    <w:rsid w:val="00271762"/>
    <w:rsid w:val="00271A8C"/>
    <w:rsid w:val="00272174"/>
    <w:rsid w:val="002721A6"/>
    <w:rsid w:val="002722E0"/>
    <w:rsid w:val="0027237A"/>
    <w:rsid w:val="002723CC"/>
    <w:rsid w:val="00272672"/>
    <w:rsid w:val="00272690"/>
    <w:rsid w:val="0027271E"/>
    <w:rsid w:val="002727E3"/>
    <w:rsid w:val="00272874"/>
    <w:rsid w:val="00272D6F"/>
    <w:rsid w:val="002730EC"/>
    <w:rsid w:val="00273100"/>
    <w:rsid w:val="002731D0"/>
    <w:rsid w:val="00273594"/>
    <w:rsid w:val="002735CC"/>
    <w:rsid w:val="00273764"/>
    <w:rsid w:val="00273782"/>
    <w:rsid w:val="00273794"/>
    <w:rsid w:val="002738B2"/>
    <w:rsid w:val="00273A1B"/>
    <w:rsid w:val="00273A82"/>
    <w:rsid w:val="00273AC1"/>
    <w:rsid w:val="00273B1B"/>
    <w:rsid w:val="00273D21"/>
    <w:rsid w:val="00273E15"/>
    <w:rsid w:val="00273E2F"/>
    <w:rsid w:val="00273E65"/>
    <w:rsid w:val="00273EAF"/>
    <w:rsid w:val="00273F42"/>
    <w:rsid w:val="00273F93"/>
    <w:rsid w:val="00273FB7"/>
    <w:rsid w:val="00274101"/>
    <w:rsid w:val="0027429C"/>
    <w:rsid w:val="00274403"/>
    <w:rsid w:val="00274588"/>
    <w:rsid w:val="0027460F"/>
    <w:rsid w:val="0027473B"/>
    <w:rsid w:val="00274763"/>
    <w:rsid w:val="002748B2"/>
    <w:rsid w:val="0027498C"/>
    <w:rsid w:val="00274A67"/>
    <w:rsid w:val="00274AA2"/>
    <w:rsid w:val="00274CEE"/>
    <w:rsid w:val="0027502F"/>
    <w:rsid w:val="002750B2"/>
    <w:rsid w:val="00275128"/>
    <w:rsid w:val="0027523B"/>
    <w:rsid w:val="00275364"/>
    <w:rsid w:val="00275383"/>
    <w:rsid w:val="00275384"/>
    <w:rsid w:val="002755BF"/>
    <w:rsid w:val="002756BB"/>
    <w:rsid w:val="002756EF"/>
    <w:rsid w:val="00275708"/>
    <w:rsid w:val="0027571C"/>
    <w:rsid w:val="002757CF"/>
    <w:rsid w:val="0027591D"/>
    <w:rsid w:val="00275A57"/>
    <w:rsid w:val="00275C87"/>
    <w:rsid w:val="00275C94"/>
    <w:rsid w:val="00275D12"/>
    <w:rsid w:val="00275DDA"/>
    <w:rsid w:val="00275DF8"/>
    <w:rsid w:val="002762D3"/>
    <w:rsid w:val="0027652F"/>
    <w:rsid w:val="00276661"/>
    <w:rsid w:val="002768CF"/>
    <w:rsid w:val="00276DA5"/>
    <w:rsid w:val="00276F82"/>
    <w:rsid w:val="00277021"/>
    <w:rsid w:val="00277631"/>
    <w:rsid w:val="00277805"/>
    <w:rsid w:val="002778E9"/>
    <w:rsid w:val="00277BF9"/>
    <w:rsid w:val="00277EAF"/>
    <w:rsid w:val="00277F62"/>
    <w:rsid w:val="0028041B"/>
    <w:rsid w:val="0028042D"/>
    <w:rsid w:val="00280453"/>
    <w:rsid w:val="002805DF"/>
    <w:rsid w:val="002808FF"/>
    <w:rsid w:val="0028092D"/>
    <w:rsid w:val="00280B53"/>
    <w:rsid w:val="00280CEF"/>
    <w:rsid w:val="00280EC3"/>
    <w:rsid w:val="00280FAD"/>
    <w:rsid w:val="002810AE"/>
    <w:rsid w:val="00281128"/>
    <w:rsid w:val="0028121E"/>
    <w:rsid w:val="002815D9"/>
    <w:rsid w:val="002816B6"/>
    <w:rsid w:val="00281752"/>
    <w:rsid w:val="002819A9"/>
    <w:rsid w:val="002819D7"/>
    <w:rsid w:val="00281BB0"/>
    <w:rsid w:val="002821EE"/>
    <w:rsid w:val="00282258"/>
    <w:rsid w:val="00282317"/>
    <w:rsid w:val="0028240F"/>
    <w:rsid w:val="0028242C"/>
    <w:rsid w:val="0028268C"/>
    <w:rsid w:val="00282938"/>
    <w:rsid w:val="00282973"/>
    <w:rsid w:val="0028298B"/>
    <w:rsid w:val="00282A3F"/>
    <w:rsid w:val="00282A40"/>
    <w:rsid w:val="00282B5A"/>
    <w:rsid w:val="00282D25"/>
    <w:rsid w:val="00282DF9"/>
    <w:rsid w:val="00283349"/>
    <w:rsid w:val="0028349A"/>
    <w:rsid w:val="002835D4"/>
    <w:rsid w:val="0028376A"/>
    <w:rsid w:val="002839EC"/>
    <w:rsid w:val="00283A41"/>
    <w:rsid w:val="00283A44"/>
    <w:rsid w:val="00283EA2"/>
    <w:rsid w:val="00284210"/>
    <w:rsid w:val="00284322"/>
    <w:rsid w:val="00284620"/>
    <w:rsid w:val="0028483A"/>
    <w:rsid w:val="00284D02"/>
    <w:rsid w:val="00284EB1"/>
    <w:rsid w:val="00284F15"/>
    <w:rsid w:val="00284F4E"/>
    <w:rsid w:val="0028529F"/>
    <w:rsid w:val="00285687"/>
    <w:rsid w:val="00285725"/>
    <w:rsid w:val="00285767"/>
    <w:rsid w:val="00285826"/>
    <w:rsid w:val="0028589C"/>
    <w:rsid w:val="00285DC6"/>
    <w:rsid w:val="00285EA9"/>
    <w:rsid w:val="00285EC9"/>
    <w:rsid w:val="002860AA"/>
    <w:rsid w:val="00286364"/>
    <w:rsid w:val="002864B1"/>
    <w:rsid w:val="002864EF"/>
    <w:rsid w:val="0028662E"/>
    <w:rsid w:val="002866CF"/>
    <w:rsid w:val="00286A30"/>
    <w:rsid w:val="00286A59"/>
    <w:rsid w:val="00286B30"/>
    <w:rsid w:val="00286E04"/>
    <w:rsid w:val="00286FAE"/>
    <w:rsid w:val="00287110"/>
    <w:rsid w:val="002872C5"/>
    <w:rsid w:val="00287428"/>
    <w:rsid w:val="00287597"/>
    <w:rsid w:val="002875E2"/>
    <w:rsid w:val="00287649"/>
    <w:rsid w:val="002878CD"/>
    <w:rsid w:val="00287903"/>
    <w:rsid w:val="00287B1B"/>
    <w:rsid w:val="00287BDA"/>
    <w:rsid w:val="00287D5E"/>
    <w:rsid w:val="00287DAB"/>
    <w:rsid w:val="00287E18"/>
    <w:rsid w:val="00287FB6"/>
    <w:rsid w:val="002900C5"/>
    <w:rsid w:val="002901E0"/>
    <w:rsid w:val="002902CF"/>
    <w:rsid w:val="002902EF"/>
    <w:rsid w:val="002906BE"/>
    <w:rsid w:val="002906D7"/>
    <w:rsid w:val="0029075B"/>
    <w:rsid w:val="00290808"/>
    <w:rsid w:val="002908FF"/>
    <w:rsid w:val="00290B44"/>
    <w:rsid w:val="00290BB1"/>
    <w:rsid w:val="00290BB5"/>
    <w:rsid w:val="00290BC7"/>
    <w:rsid w:val="00290C4A"/>
    <w:rsid w:val="00290CD9"/>
    <w:rsid w:val="00290D0C"/>
    <w:rsid w:val="00290D69"/>
    <w:rsid w:val="00290D7D"/>
    <w:rsid w:val="00290DEA"/>
    <w:rsid w:val="00290EA0"/>
    <w:rsid w:val="00290F25"/>
    <w:rsid w:val="00290F9A"/>
    <w:rsid w:val="002911DB"/>
    <w:rsid w:val="00291405"/>
    <w:rsid w:val="0029170C"/>
    <w:rsid w:val="00291B3B"/>
    <w:rsid w:val="00291BC1"/>
    <w:rsid w:val="00291C78"/>
    <w:rsid w:val="002922D5"/>
    <w:rsid w:val="00292395"/>
    <w:rsid w:val="002925F2"/>
    <w:rsid w:val="002927F7"/>
    <w:rsid w:val="002928FA"/>
    <w:rsid w:val="002929AE"/>
    <w:rsid w:val="00292A6A"/>
    <w:rsid w:val="00292BC6"/>
    <w:rsid w:val="00292C3F"/>
    <w:rsid w:val="00292CF8"/>
    <w:rsid w:val="00292D39"/>
    <w:rsid w:val="00292E32"/>
    <w:rsid w:val="00292EA4"/>
    <w:rsid w:val="00292F64"/>
    <w:rsid w:val="0029331D"/>
    <w:rsid w:val="0029335D"/>
    <w:rsid w:val="002933CA"/>
    <w:rsid w:val="0029348A"/>
    <w:rsid w:val="002934E7"/>
    <w:rsid w:val="002934F9"/>
    <w:rsid w:val="00293911"/>
    <w:rsid w:val="002939E5"/>
    <w:rsid w:val="00293A34"/>
    <w:rsid w:val="00293A89"/>
    <w:rsid w:val="00293A8F"/>
    <w:rsid w:val="00293C51"/>
    <w:rsid w:val="00293EC6"/>
    <w:rsid w:val="002940FD"/>
    <w:rsid w:val="00294187"/>
    <w:rsid w:val="002945B6"/>
    <w:rsid w:val="00294644"/>
    <w:rsid w:val="00294738"/>
    <w:rsid w:val="0029473B"/>
    <w:rsid w:val="00294A7A"/>
    <w:rsid w:val="00294AAD"/>
    <w:rsid w:val="00294AE0"/>
    <w:rsid w:val="00294D26"/>
    <w:rsid w:val="00294EC3"/>
    <w:rsid w:val="002950AC"/>
    <w:rsid w:val="00295155"/>
    <w:rsid w:val="00295180"/>
    <w:rsid w:val="00295280"/>
    <w:rsid w:val="002952EB"/>
    <w:rsid w:val="00295371"/>
    <w:rsid w:val="0029546E"/>
    <w:rsid w:val="002954C4"/>
    <w:rsid w:val="002954C5"/>
    <w:rsid w:val="00295502"/>
    <w:rsid w:val="002957DA"/>
    <w:rsid w:val="0029595D"/>
    <w:rsid w:val="00295AD2"/>
    <w:rsid w:val="00295B62"/>
    <w:rsid w:val="00295C2D"/>
    <w:rsid w:val="00295D1B"/>
    <w:rsid w:val="00295D51"/>
    <w:rsid w:val="00295D82"/>
    <w:rsid w:val="00295F75"/>
    <w:rsid w:val="00296012"/>
    <w:rsid w:val="00296203"/>
    <w:rsid w:val="00296343"/>
    <w:rsid w:val="00296428"/>
    <w:rsid w:val="0029643D"/>
    <w:rsid w:val="002967A2"/>
    <w:rsid w:val="0029695D"/>
    <w:rsid w:val="00296B17"/>
    <w:rsid w:val="00296B28"/>
    <w:rsid w:val="00296D61"/>
    <w:rsid w:val="00296EB4"/>
    <w:rsid w:val="00296FCF"/>
    <w:rsid w:val="00296FFD"/>
    <w:rsid w:val="0029706A"/>
    <w:rsid w:val="00297250"/>
    <w:rsid w:val="002972EE"/>
    <w:rsid w:val="002973AA"/>
    <w:rsid w:val="00297423"/>
    <w:rsid w:val="0029743E"/>
    <w:rsid w:val="002976A3"/>
    <w:rsid w:val="00297702"/>
    <w:rsid w:val="002977E5"/>
    <w:rsid w:val="00297807"/>
    <w:rsid w:val="00297BBC"/>
    <w:rsid w:val="00297C6A"/>
    <w:rsid w:val="00297D48"/>
    <w:rsid w:val="00297F01"/>
    <w:rsid w:val="00297F23"/>
    <w:rsid w:val="002A002F"/>
    <w:rsid w:val="002A00D8"/>
    <w:rsid w:val="002A019A"/>
    <w:rsid w:val="002A0307"/>
    <w:rsid w:val="002A04D7"/>
    <w:rsid w:val="002A052D"/>
    <w:rsid w:val="002A0651"/>
    <w:rsid w:val="002A0794"/>
    <w:rsid w:val="002A0804"/>
    <w:rsid w:val="002A0915"/>
    <w:rsid w:val="002A0A03"/>
    <w:rsid w:val="002A0BCD"/>
    <w:rsid w:val="002A0C4F"/>
    <w:rsid w:val="002A0DF8"/>
    <w:rsid w:val="002A0F96"/>
    <w:rsid w:val="002A121B"/>
    <w:rsid w:val="002A127D"/>
    <w:rsid w:val="002A12F5"/>
    <w:rsid w:val="002A1374"/>
    <w:rsid w:val="002A15A6"/>
    <w:rsid w:val="002A15EA"/>
    <w:rsid w:val="002A16D4"/>
    <w:rsid w:val="002A1928"/>
    <w:rsid w:val="002A1A64"/>
    <w:rsid w:val="002A1D03"/>
    <w:rsid w:val="002A1D2F"/>
    <w:rsid w:val="002A1DFE"/>
    <w:rsid w:val="002A1F1F"/>
    <w:rsid w:val="002A21B5"/>
    <w:rsid w:val="002A2247"/>
    <w:rsid w:val="002A2291"/>
    <w:rsid w:val="002A2631"/>
    <w:rsid w:val="002A2668"/>
    <w:rsid w:val="002A26E3"/>
    <w:rsid w:val="002A2A0C"/>
    <w:rsid w:val="002A2A7F"/>
    <w:rsid w:val="002A2BB6"/>
    <w:rsid w:val="002A2CE8"/>
    <w:rsid w:val="002A30E0"/>
    <w:rsid w:val="002A310C"/>
    <w:rsid w:val="002A3521"/>
    <w:rsid w:val="002A35C5"/>
    <w:rsid w:val="002A3603"/>
    <w:rsid w:val="002A3654"/>
    <w:rsid w:val="002A37D3"/>
    <w:rsid w:val="002A37E1"/>
    <w:rsid w:val="002A397E"/>
    <w:rsid w:val="002A3B4C"/>
    <w:rsid w:val="002A3B61"/>
    <w:rsid w:val="002A3C5C"/>
    <w:rsid w:val="002A3D1C"/>
    <w:rsid w:val="002A3D22"/>
    <w:rsid w:val="002A3FDE"/>
    <w:rsid w:val="002A402A"/>
    <w:rsid w:val="002A407C"/>
    <w:rsid w:val="002A4107"/>
    <w:rsid w:val="002A4450"/>
    <w:rsid w:val="002A45AA"/>
    <w:rsid w:val="002A47CA"/>
    <w:rsid w:val="002A49BE"/>
    <w:rsid w:val="002A4AB8"/>
    <w:rsid w:val="002A4B0B"/>
    <w:rsid w:val="002A4B6F"/>
    <w:rsid w:val="002A4E8B"/>
    <w:rsid w:val="002A4F38"/>
    <w:rsid w:val="002A4FD7"/>
    <w:rsid w:val="002A4FFF"/>
    <w:rsid w:val="002A50D3"/>
    <w:rsid w:val="002A533C"/>
    <w:rsid w:val="002A539F"/>
    <w:rsid w:val="002A53C5"/>
    <w:rsid w:val="002A5574"/>
    <w:rsid w:val="002A55A7"/>
    <w:rsid w:val="002A56E1"/>
    <w:rsid w:val="002A57BF"/>
    <w:rsid w:val="002A580F"/>
    <w:rsid w:val="002A5846"/>
    <w:rsid w:val="002A58F4"/>
    <w:rsid w:val="002A5968"/>
    <w:rsid w:val="002A59BD"/>
    <w:rsid w:val="002A5B0D"/>
    <w:rsid w:val="002A5EC6"/>
    <w:rsid w:val="002A6157"/>
    <w:rsid w:val="002A616C"/>
    <w:rsid w:val="002A62C1"/>
    <w:rsid w:val="002A6621"/>
    <w:rsid w:val="002A6644"/>
    <w:rsid w:val="002A6658"/>
    <w:rsid w:val="002A68AD"/>
    <w:rsid w:val="002A69A5"/>
    <w:rsid w:val="002A6A2B"/>
    <w:rsid w:val="002A6BD2"/>
    <w:rsid w:val="002A6C3F"/>
    <w:rsid w:val="002A6D1D"/>
    <w:rsid w:val="002A6D4E"/>
    <w:rsid w:val="002A6DF7"/>
    <w:rsid w:val="002A6F71"/>
    <w:rsid w:val="002A704E"/>
    <w:rsid w:val="002A74FD"/>
    <w:rsid w:val="002A7568"/>
    <w:rsid w:val="002A7576"/>
    <w:rsid w:val="002A75CA"/>
    <w:rsid w:val="002A75D2"/>
    <w:rsid w:val="002A76D5"/>
    <w:rsid w:val="002A7889"/>
    <w:rsid w:val="002A799A"/>
    <w:rsid w:val="002A79FB"/>
    <w:rsid w:val="002A7B53"/>
    <w:rsid w:val="002A7B77"/>
    <w:rsid w:val="002A7DB9"/>
    <w:rsid w:val="002A7F66"/>
    <w:rsid w:val="002B0052"/>
    <w:rsid w:val="002B00D5"/>
    <w:rsid w:val="002B0136"/>
    <w:rsid w:val="002B03BB"/>
    <w:rsid w:val="002B0415"/>
    <w:rsid w:val="002B07AF"/>
    <w:rsid w:val="002B0867"/>
    <w:rsid w:val="002B097D"/>
    <w:rsid w:val="002B0AE6"/>
    <w:rsid w:val="002B0F55"/>
    <w:rsid w:val="002B1051"/>
    <w:rsid w:val="002B11B2"/>
    <w:rsid w:val="002B12A5"/>
    <w:rsid w:val="002B132A"/>
    <w:rsid w:val="002B1891"/>
    <w:rsid w:val="002B18F7"/>
    <w:rsid w:val="002B1F25"/>
    <w:rsid w:val="002B2004"/>
    <w:rsid w:val="002B24A9"/>
    <w:rsid w:val="002B2621"/>
    <w:rsid w:val="002B2715"/>
    <w:rsid w:val="002B27BF"/>
    <w:rsid w:val="002B2957"/>
    <w:rsid w:val="002B29EC"/>
    <w:rsid w:val="002B2A96"/>
    <w:rsid w:val="002B2B23"/>
    <w:rsid w:val="002B2CB4"/>
    <w:rsid w:val="002B30B7"/>
    <w:rsid w:val="002B319D"/>
    <w:rsid w:val="002B323C"/>
    <w:rsid w:val="002B33D8"/>
    <w:rsid w:val="002B349C"/>
    <w:rsid w:val="002B34C2"/>
    <w:rsid w:val="002B39A4"/>
    <w:rsid w:val="002B3A31"/>
    <w:rsid w:val="002B3C0B"/>
    <w:rsid w:val="002B3ED7"/>
    <w:rsid w:val="002B3F31"/>
    <w:rsid w:val="002B42F9"/>
    <w:rsid w:val="002B4413"/>
    <w:rsid w:val="002B44C7"/>
    <w:rsid w:val="002B4778"/>
    <w:rsid w:val="002B4BAD"/>
    <w:rsid w:val="002B4D63"/>
    <w:rsid w:val="002B4F0C"/>
    <w:rsid w:val="002B4F79"/>
    <w:rsid w:val="002B547D"/>
    <w:rsid w:val="002B5663"/>
    <w:rsid w:val="002B56C4"/>
    <w:rsid w:val="002B570E"/>
    <w:rsid w:val="002B5C4B"/>
    <w:rsid w:val="002B5CF6"/>
    <w:rsid w:val="002B6082"/>
    <w:rsid w:val="002B60D4"/>
    <w:rsid w:val="002B6706"/>
    <w:rsid w:val="002B693F"/>
    <w:rsid w:val="002B6C8A"/>
    <w:rsid w:val="002B6DBE"/>
    <w:rsid w:val="002B6DC7"/>
    <w:rsid w:val="002B6EEA"/>
    <w:rsid w:val="002B715A"/>
    <w:rsid w:val="002B7270"/>
    <w:rsid w:val="002B7280"/>
    <w:rsid w:val="002B75B2"/>
    <w:rsid w:val="002B7954"/>
    <w:rsid w:val="002B798B"/>
    <w:rsid w:val="002B79B7"/>
    <w:rsid w:val="002B7A41"/>
    <w:rsid w:val="002B7E01"/>
    <w:rsid w:val="002B7FF5"/>
    <w:rsid w:val="002C0030"/>
    <w:rsid w:val="002C037D"/>
    <w:rsid w:val="002C08D4"/>
    <w:rsid w:val="002C08F6"/>
    <w:rsid w:val="002C09B9"/>
    <w:rsid w:val="002C0ABE"/>
    <w:rsid w:val="002C0AD0"/>
    <w:rsid w:val="002C0B41"/>
    <w:rsid w:val="002C10C1"/>
    <w:rsid w:val="002C11AD"/>
    <w:rsid w:val="002C134E"/>
    <w:rsid w:val="002C141D"/>
    <w:rsid w:val="002C155D"/>
    <w:rsid w:val="002C16E3"/>
    <w:rsid w:val="002C1795"/>
    <w:rsid w:val="002C17EB"/>
    <w:rsid w:val="002C18A0"/>
    <w:rsid w:val="002C19C0"/>
    <w:rsid w:val="002C1D49"/>
    <w:rsid w:val="002C2485"/>
    <w:rsid w:val="002C2533"/>
    <w:rsid w:val="002C25E0"/>
    <w:rsid w:val="002C2843"/>
    <w:rsid w:val="002C29BB"/>
    <w:rsid w:val="002C2A2D"/>
    <w:rsid w:val="002C2B16"/>
    <w:rsid w:val="002C2D55"/>
    <w:rsid w:val="002C2DB6"/>
    <w:rsid w:val="002C2E72"/>
    <w:rsid w:val="002C2F76"/>
    <w:rsid w:val="002C329C"/>
    <w:rsid w:val="002C34C6"/>
    <w:rsid w:val="002C36C0"/>
    <w:rsid w:val="002C3811"/>
    <w:rsid w:val="002C3928"/>
    <w:rsid w:val="002C3B33"/>
    <w:rsid w:val="002C3C3A"/>
    <w:rsid w:val="002C3E7E"/>
    <w:rsid w:val="002C3FA8"/>
    <w:rsid w:val="002C426C"/>
    <w:rsid w:val="002C435E"/>
    <w:rsid w:val="002C4391"/>
    <w:rsid w:val="002C43BB"/>
    <w:rsid w:val="002C44AB"/>
    <w:rsid w:val="002C467E"/>
    <w:rsid w:val="002C470E"/>
    <w:rsid w:val="002C4875"/>
    <w:rsid w:val="002C4A41"/>
    <w:rsid w:val="002C4C4A"/>
    <w:rsid w:val="002C5218"/>
    <w:rsid w:val="002C53DD"/>
    <w:rsid w:val="002C5635"/>
    <w:rsid w:val="002C58B7"/>
    <w:rsid w:val="002C5970"/>
    <w:rsid w:val="002C5B6C"/>
    <w:rsid w:val="002C5CFC"/>
    <w:rsid w:val="002C5DF6"/>
    <w:rsid w:val="002C5E39"/>
    <w:rsid w:val="002C5E65"/>
    <w:rsid w:val="002C5E7B"/>
    <w:rsid w:val="002C5FA2"/>
    <w:rsid w:val="002C60CB"/>
    <w:rsid w:val="002C6274"/>
    <w:rsid w:val="002C62D7"/>
    <w:rsid w:val="002C6432"/>
    <w:rsid w:val="002C64EF"/>
    <w:rsid w:val="002C66D3"/>
    <w:rsid w:val="002C681A"/>
    <w:rsid w:val="002C6C84"/>
    <w:rsid w:val="002C6CD1"/>
    <w:rsid w:val="002C6D2E"/>
    <w:rsid w:val="002C6FA7"/>
    <w:rsid w:val="002C70DA"/>
    <w:rsid w:val="002C717C"/>
    <w:rsid w:val="002C7239"/>
    <w:rsid w:val="002C72E3"/>
    <w:rsid w:val="002C7351"/>
    <w:rsid w:val="002C751D"/>
    <w:rsid w:val="002C753C"/>
    <w:rsid w:val="002C7677"/>
    <w:rsid w:val="002C76D6"/>
    <w:rsid w:val="002C775E"/>
    <w:rsid w:val="002C77CC"/>
    <w:rsid w:val="002C77FB"/>
    <w:rsid w:val="002C7890"/>
    <w:rsid w:val="002C7A02"/>
    <w:rsid w:val="002C7A7B"/>
    <w:rsid w:val="002C7BD4"/>
    <w:rsid w:val="002C7C81"/>
    <w:rsid w:val="002C7E47"/>
    <w:rsid w:val="002D0107"/>
    <w:rsid w:val="002D019B"/>
    <w:rsid w:val="002D062E"/>
    <w:rsid w:val="002D06FA"/>
    <w:rsid w:val="002D09FA"/>
    <w:rsid w:val="002D0AFC"/>
    <w:rsid w:val="002D0BB8"/>
    <w:rsid w:val="002D0D43"/>
    <w:rsid w:val="002D0E54"/>
    <w:rsid w:val="002D0E86"/>
    <w:rsid w:val="002D0F7D"/>
    <w:rsid w:val="002D12FA"/>
    <w:rsid w:val="002D15C2"/>
    <w:rsid w:val="002D175A"/>
    <w:rsid w:val="002D17AD"/>
    <w:rsid w:val="002D1887"/>
    <w:rsid w:val="002D1C4C"/>
    <w:rsid w:val="002D1D6B"/>
    <w:rsid w:val="002D1F7B"/>
    <w:rsid w:val="002D210D"/>
    <w:rsid w:val="002D2181"/>
    <w:rsid w:val="002D279E"/>
    <w:rsid w:val="002D29D2"/>
    <w:rsid w:val="002D2B10"/>
    <w:rsid w:val="002D2D5D"/>
    <w:rsid w:val="002D2DAF"/>
    <w:rsid w:val="002D2E3A"/>
    <w:rsid w:val="002D33CF"/>
    <w:rsid w:val="002D351D"/>
    <w:rsid w:val="002D36A3"/>
    <w:rsid w:val="002D386A"/>
    <w:rsid w:val="002D3B62"/>
    <w:rsid w:val="002D3E8B"/>
    <w:rsid w:val="002D4100"/>
    <w:rsid w:val="002D4148"/>
    <w:rsid w:val="002D4453"/>
    <w:rsid w:val="002D44D4"/>
    <w:rsid w:val="002D4597"/>
    <w:rsid w:val="002D4619"/>
    <w:rsid w:val="002D477F"/>
    <w:rsid w:val="002D484A"/>
    <w:rsid w:val="002D48B3"/>
    <w:rsid w:val="002D4F48"/>
    <w:rsid w:val="002D5152"/>
    <w:rsid w:val="002D519B"/>
    <w:rsid w:val="002D53C4"/>
    <w:rsid w:val="002D56CB"/>
    <w:rsid w:val="002D57DE"/>
    <w:rsid w:val="002D586B"/>
    <w:rsid w:val="002D589A"/>
    <w:rsid w:val="002D59A0"/>
    <w:rsid w:val="002D5B57"/>
    <w:rsid w:val="002D5BEE"/>
    <w:rsid w:val="002D5DF2"/>
    <w:rsid w:val="002D6039"/>
    <w:rsid w:val="002D6063"/>
    <w:rsid w:val="002D621E"/>
    <w:rsid w:val="002D626E"/>
    <w:rsid w:val="002D63E9"/>
    <w:rsid w:val="002D6526"/>
    <w:rsid w:val="002D66A3"/>
    <w:rsid w:val="002D66AC"/>
    <w:rsid w:val="002D66DA"/>
    <w:rsid w:val="002D6708"/>
    <w:rsid w:val="002D6788"/>
    <w:rsid w:val="002D6952"/>
    <w:rsid w:val="002D6B79"/>
    <w:rsid w:val="002D6BFD"/>
    <w:rsid w:val="002D6DC4"/>
    <w:rsid w:val="002D6DEE"/>
    <w:rsid w:val="002D6F0D"/>
    <w:rsid w:val="002D7027"/>
    <w:rsid w:val="002D70DC"/>
    <w:rsid w:val="002D71BF"/>
    <w:rsid w:val="002D72D9"/>
    <w:rsid w:val="002D758B"/>
    <w:rsid w:val="002D7625"/>
    <w:rsid w:val="002D77E8"/>
    <w:rsid w:val="002D791C"/>
    <w:rsid w:val="002D79BC"/>
    <w:rsid w:val="002D7B41"/>
    <w:rsid w:val="002D7BEA"/>
    <w:rsid w:val="002D7C56"/>
    <w:rsid w:val="002D7CF9"/>
    <w:rsid w:val="002D7DEB"/>
    <w:rsid w:val="002D7E58"/>
    <w:rsid w:val="002E010B"/>
    <w:rsid w:val="002E0323"/>
    <w:rsid w:val="002E03BA"/>
    <w:rsid w:val="002E0477"/>
    <w:rsid w:val="002E07D7"/>
    <w:rsid w:val="002E07FD"/>
    <w:rsid w:val="002E0BEF"/>
    <w:rsid w:val="002E0CC4"/>
    <w:rsid w:val="002E0D31"/>
    <w:rsid w:val="002E0D7C"/>
    <w:rsid w:val="002E0EE1"/>
    <w:rsid w:val="002E0EFA"/>
    <w:rsid w:val="002E1022"/>
    <w:rsid w:val="002E1061"/>
    <w:rsid w:val="002E1073"/>
    <w:rsid w:val="002E12EC"/>
    <w:rsid w:val="002E1465"/>
    <w:rsid w:val="002E146D"/>
    <w:rsid w:val="002E14BB"/>
    <w:rsid w:val="002E16F2"/>
    <w:rsid w:val="002E1760"/>
    <w:rsid w:val="002E1816"/>
    <w:rsid w:val="002E196A"/>
    <w:rsid w:val="002E1E65"/>
    <w:rsid w:val="002E1FC6"/>
    <w:rsid w:val="002E2073"/>
    <w:rsid w:val="002E25EF"/>
    <w:rsid w:val="002E260D"/>
    <w:rsid w:val="002E272B"/>
    <w:rsid w:val="002E278C"/>
    <w:rsid w:val="002E2855"/>
    <w:rsid w:val="002E2858"/>
    <w:rsid w:val="002E29F8"/>
    <w:rsid w:val="002E2C52"/>
    <w:rsid w:val="002E2C99"/>
    <w:rsid w:val="002E2F1A"/>
    <w:rsid w:val="002E342B"/>
    <w:rsid w:val="002E344A"/>
    <w:rsid w:val="002E3532"/>
    <w:rsid w:val="002E3750"/>
    <w:rsid w:val="002E388D"/>
    <w:rsid w:val="002E39E8"/>
    <w:rsid w:val="002E3AA5"/>
    <w:rsid w:val="002E3B81"/>
    <w:rsid w:val="002E3C93"/>
    <w:rsid w:val="002E3D08"/>
    <w:rsid w:val="002E3D57"/>
    <w:rsid w:val="002E3D9D"/>
    <w:rsid w:val="002E3E1D"/>
    <w:rsid w:val="002E3EEA"/>
    <w:rsid w:val="002E3EF7"/>
    <w:rsid w:val="002E3F3C"/>
    <w:rsid w:val="002E3FE9"/>
    <w:rsid w:val="002E40B3"/>
    <w:rsid w:val="002E424D"/>
    <w:rsid w:val="002E42C4"/>
    <w:rsid w:val="002E42C5"/>
    <w:rsid w:val="002E445E"/>
    <w:rsid w:val="002E45D4"/>
    <w:rsid w:val="002E46CA"/>
    <w:rsid w:val="002E4922"/>
    <w:rsid w:val="002E4AC5"/>
    <w:rsid w:val="002E4C15"/>
    <w:rsid w:val="002E4D08"/>
    <w:rsid w:val="002E4DA5"/>
    <w:rsid w:val="002E4EB5"/>
    <w:rsid w:val="002E4FA6"/>
    <w:rsid w:val="002E5062"/>
    <w:rsid w:val="002E50B7"/>
    <w:rsid w:val="002E511C"/>
    <w:rsid w:val="002E5142"/>
    <w:rsid w:val="002E52B8"/>
    <w:rsid w:val="002E52DA"/>
    <w:rsid w:val="002E59E3"/>
    <w:rsid w:val="002E5C2C"/>
    <w:rsid w:val="002E5CD1"/>
    <w:rsid w:val="002E5DBF"/>
    <w:rsid w:val="002E5E01"/>
    <w:rsid w:val="002E5FB0"/>
    <w:rsid w:val="002E60F5"/>
    <w:rsid w:val="002E6149"/>
    <w:rsid w:val="002E61D4"/>
    <w:rsid w:val="002E6289"/>
    <w:rsid w:val="002E6536"/>
    <w:rsid w:val="002E6551"/>
    <w:rsid w:val="002E69F5"/>
    <w:rsid w:val="002E6A8B"/>
    <w:rsid w:val="002E6C80"/>
    <w:rsid w:val="002E6CAA"/>
    <w:rsid w:val="002E6EE7"/>
    <w:rsid w:val="002E7124"/>
    <w:rsid w:val="002E7355"/>
    <w:rsid w:val="002E73EC"/>
    <w:rsid w:val="002E77BC"/>
    <w:rsid w:val="002E7A33"/>
    <w:rsid w:val="002E7ABB"/>
    <w:rsid w:val="002F0035"/>
    <w:rsid w:val="002F0102"/>
    <w:rsid w:val="002F0213"/>
    <w:rsid w:val="002F023D"/>
    <w:rsid w:val="002F0312"/>
    <w:rsid w:val="002F05C5"/>
    <w:rsid w:val="002F066A"/>
    <w:rsid w:val="002F0744"/>
    <w:rsid w:val="002F0817"/>
    <w:rsid w:val="002F0908"/>
    <w:rsid w:val="002F0CDC"/>
    <w:rsid w:val="002F0D75"/>
    <w:rsid w:val="002F10EC"/>
    <w:rsid w:val="002F1136"/>
    <w:rsid w:val="002F1231"/>
    <w:rsid w:val="002F127F"/>
    <w:rsid w:val="002F1333"/>
    <w:rsid w:val="002F1390"/>
    <w:rsid w:val="002F14E3"/>
    <w:rsid w:val="002F1521"/>
    <w:rsid w:val="002F15EE"/>
    <w:rsid w:val="002F1710"/>
    <w:rsid w:val="002F199B"/>
    <w:rsid w:val="002F1BD4"/>
    <w:rsid w:val="002F1EA5"/>
    <w:rsid w:val="002F1FC2"/>
    <w:rsid w:val="002F2179"/>
    <w:rsid w:val="002F22B2"/>
    <w:rsid w:val="002F23EA"/>
    <w:rsid w:val="002F24DE"/>
    <w:rsid w:val="002F257C"/>
    <w:rsid w:val="002F2724"/>
    <w:rsid w:val="002F2949"/>
    <w:rsid w:val="002F2C02"/>
    <w:rsid w:val="002F2C08"/>
    <w:rsid w:val="002F2D6E"/>
    <w:rsid w:val="002F3201"/>
    <w:rsid w:val="002F34A6"/>
    <w:rsid w:val="002F3572"/>
    <w:rsid w:val="002F3578"/>
    <w:rsid w:val="002F3632"/>
    <w:rsid w:val="002F366B"/>
    <w:rsid w:val="002F3737"/>
    <w:rsid w:val="002F383C"/>
    <w:rsid w:val="002F3AFB"/>
    <w:rsid w:val="002F3C41"/>
    <w:rsid w:val="002F3F04"/>
    <w:rsid w:val="002F3F40"/>
    <w:rsid w:val="002F3FAC"/>
    <w:rsid w:val="002F3FBB"/>
    <w:rsid w:val="002F429B"/>
    <w:rsid w:val="002F43C6"/>
    <w:rsid w:val="002F49BA"/>
    <w:rsid w:val="002F4A25"/>
    <w:rsid w:val="002F4AD2"/>
    <w:rsid w:val="002F4B1A"/>
    <w:rsid w:val="002F4C8E"/>
    <w:rsid w:val="002F4F99"/>
    <w:rsid w:val="002F5076"/>
    <w:rsid w:val="002F516D"/>
    <w:rsid w:val="002F581E"/>
    <w:rsid w:val="002F5839"/>
    <w:rsid w:val="002F58B1"/>
    <w:rsid w:val="002F5A11"/>
    <w:rsid w:val="002F5A3B"/>
    <w:rsid w:val="002F5AF0"/>
    <w:rsid w:val="002F5DEF"/>
    <w:rsid w:val="002F5E7A"/>
    <w:rsid w:val="002F5F69"/>
    <w:rsid w:val="002F61F8"/>
    <w:rsid w:val="002F63A2"/>
    <w:rsid w:val="002F63AC"/>
    <w:rsid w:val="002F64D9"/>
    <w:rsid w:val="002F64E7"/>
    <w:rsid w:val="002F6519"/>
    <w:rsid w:val="002F651D"/>
    <w:rsid w:val="002F65D6"/>
    <w:rsid w:val="002F6648"/>
    <w:rsid w:val="002F6766"/>
    <w:rsid w:val="002F6C4E"/>
    <w:rsid w:val="002F6D67"/>
    <w:rsid w:val="002F6E44"/>
    <w:rsid w:val="002F6EE3"/>
    <w:rsid w:val="002F6F50"/>
    <w:rsid w:val="002F70A8"/>
    <w:rsid w:val="002F71D2"/>
    <w:rsid w:val="002F74D5"/>
    <w:rsid w:val="002F74FD"/>
    <w:rsid w:val="002F7735"/>
    <w:rsid w:val="002F774C"/>
    <w:rsid w:val="002F787B"/>
    <w:rsid w:val="002F78E1"/>
    <w:rsid w:val="002F7903"/>
    <w:rsid w:val="002F7953"/>
    <w:rsid w:val="002F7974"/>
    <w:rsid w:val="002F79BD"/>
    <w:rsid w:val="002F7B73"/>
    <w:rsid w:val="002F7C63"/>
    <w:rsid w:val="002F7CD3"/>
    <w:rsid w:val="002F7D01"/>
    <w:rsid w:val="002F7EE3"/>
    <w:rsid w:val="002F7F94"/>
    <w:rsid w:val="0030005C"/>
    <w:rsid w:val="0030012E"/>
    <w:rsid w:val="00300369"/>
    <w:rsid w:val="00300588"/>
    <w:rsid w:val="0030060B"/>
    <w:rsid w:val="00300B52"/>
    <w:rsid w:val="00300C76"/>
    <w:rsid w:val="00300FC9"/>
    <w:rsid w:val="00301085"/>
    <w:rsid w:val="0030108E"/>
    <w:rsid w:val="0030146D"/>
    <w:rsid w:val="003014A4"/>
    <w:rsid w:val="003016A7"/>
    <w:rsid w:val="003016BC"/>
    <w:rsid w:val="00301A65"/>
    <w:rsid w:val="00301AC8"/>
    <w:rsid w:val="00301B29"/>
    <w:rsid w:val="00301BB9"/>
    <w:rsid w:val="00301CCC"/>
    <w:rsid w:val="00301D0A"/>
    <w:rsid w:val="00301E36"/>
    <w:rsid w:val="00301F20"/>
    <w:rsid w:val="00301FC1"/>
    <w:rsid w:val="003020B1"/>
    <w:rsid w:val="0030213B"/>
    <w:rsid w:val="003025A2"/>
    <w:rsid w:val="003026D5"/>
    <w:rsid w:val="00302736"/>
    <w:rsid w:val="00302748"/>
    <w:rsid w:val="0030279B"/>
    <w:rsid w:val="003027B8"/>
    <w:rsid w:val="0030293F"/>
    <w:rsid w:val="00302947"/>
    <w:rsid w:val="00302968"/>
    <w:rsid w:val="003029F8"/>
    <w:rsid w:val="00302A95"/>
    <w:rsid w:val="00302BAC"/>
    <w:rsid w:val="00302C50"/>
    <w:rsid w:val="00302CBE"/>
    <w:rsid w:val="00302D2C"/>
    <w:rsid w:val="00302F41"/>
    <w:rsid w:val="00302FEB"/>
    <w:rsid w:val="00303023"/>
    <w:rsid w:val="003031B4"/>
    <w:rsid w:val="003031C2"/>
    <w:rsid w:val="00303699"/>
    <w:rsid w:val="00303861"/>
    <w:rsid w:val="00303863"/>
    <w:rsid w:val="00303BAA"/>
    <w:rsid w:val="00303E25"/>
    <w:rsid w:val="00303EC6"/>
    <w:rsid w:val="00303FAD"/>
    <w:rsid w:val="00304051"/>
    <w:rsid w:val="0030407C"/>
    <w:rsid w:val="003044E8"/>
    <w:rsid w:val="0030481A"/>
    <w:rsid w:val="00304874"/>
    <w:rsid w:val="003048B4"/>
    <w:rsid w:val="00304BC4"/>
    <w:rsid w:val="00304CF6"/>
    <w:rsid w:val="00304DF1"/>
    <w:rsid w:val="00304F6C"/>
    <w:rsid w:val="00304F8B"/>
    <w:rsid w:val="00304FFF"/>
    <w:rsid w:val="0030501B"/>
    <w:rsid w:val="00305557"/>
    <w:rsid w:val="0030561F"/>
    <w:rsid w:val="00305963"/>
    <w:rsid w:val="003059D6"/>
    <w:rsid w:val="00305A98"/>
    <w:rsid w:val="00305B1F"/>
    <w:rsid w:val="00305CA3"/>
    <w:rsid w:val="00305E3B"/>
    <w:rsid w:val="00305FA2"/>
    <w:rsid w:val="00306000"/>
    <w:rsid w:val="00306926"/>
    <w:rsid w:val="00306A21"/>
    <w:rsid w:val="00306B92"/>
    <w:rsid w:val="00306E5C"/>
    <w:rsid w:val="003071B3"/>
    <w:rsid w:val="00307441"/>
    <w:rsid w:val="003075FE"/>
    <w:rsid w:val="0030763F"/>
    <w:rsid w:val="003079E0"/>
    <w:rsid w:val="00307AD6"/>
    <w:rsid w:val="00307C19"/>
    <w:rsid w:val="00307C24"/>
    <w:rsid w:val="00307E0A"/>
    <w:rsid w:val="00307F22"/>
    <w:rsid w:val="003100AE"/>
    <w:rsid w:val="00310132"/>
    <w:rsid w:val="00310335"/>
    <w:rsid w:val="00310460"/>
    <w:rsid w:val="0031052D"/>
    <w:rsid w:val="00310732"/>
    <w:rsid w:val="003107D1"/>
    <w:rsid w:val="0031091A"/>
    <w:rsid w:val="0031096B"/>
    <w:rsid w:val="003109D4"/>
    <w:rsid w:val="00310A20"/>
    <w:rsid w:val="00310BC9"/>
    <w:rsid w:val="00310F77"/>
    <w:rsid w:val="0031105C"/>
    <w:rsid w:val="003110C4"/>
    <w:rsid w:val="00311453"/>
    <w:rsid w:val="00311715"/>
    <w:rsid w:val="00311762"/>
    <w:rsid w:val="00311ADC"/>
    <w:rsid w:val="00311B67"/>
    <w:rsid w:val="00311CCD"/>
    <w:rsid w:val="00311D51"/>
    <w:rsid w:val="00311E4F"/>
    <w:rsid w:val="00311E98"/>
    <w:rsid w:val="00311E9F"/>
    <w:rsid w:val="00312215"/>
    <w:rsid w:val="00312394"/>
    <w:rsid w:val="0031249C"/>
    <w:rsid w:val="003125C3"/>
    <w:rsid w:val="0031269D"/>
    <w:rsid w:val="00312896"/>
    <w:rsid w:val="00312B17"/>
    <w:rsid w:val="00312FCE"/>
    <w:rsid w:val="00312FE6"/>
    <w:rsid w:val="00313020"/>
    <w:rsid w:val="003133D1"/>
    <w:rsid w:val="00313A1C"/>
    <w:rsid w:val="00313BCE"/>
    <w:rsid w:val="00313D4E"/>
    <w:rsid w:val="00313D8B"/>
    <w:rsid w:val="00313E3F"/>
    <w:rsid w:val="00313EA4"/>
    <w:rsid w:val="00313EA8"/>
    <w:rsid w:val="00313EAC"/>
    <w:rsid w:val="00313F4D"/>
    <w:rsid w:val="003140EA"/>
    <w:rsid w:val="0031411C"/>
    <w:rsid w:val="003142F4"/>
    <w:rsid w:val="0031435F"/>
    <w:rsid w:val="003143FD"/>
    <w:rsid w:val="00314488"/>
    <w:rsid w:val="0031454E"/>
    <w:rsid w:val="00314A37"/>
    <w:rsid w:val="00314A70"/>
    <w:rsid w:val="00314EAD"/>
    <w:rsid w:val="00315065"/>
    <w:rsid w:val="00315818"/>
    <w:rsid w:val="00315929"/>
    <w:rsid w:val="00315953"/>
    <w:rsid w:val="003159BB"/>
    <w:rsid w:val="00315B08"/>
    <w:rsid w:val="00315BEA"/>
    <w:rsid w:val="00315C8E"/>
    <w:rsid w:val="0031601B"/>
    <w:rsid w:val="003160D4"/>
    <w:rsid w:val="0031611F"/>
    <w:rsid w:val="0031643D"/>
    <w:rsid w:val="003169C5"/>
    <w:rsid w:val="00316ABC"/>
    <w:rsid w:val="00316AEF"/>
    <w:rsid w:val="00316C5E"/>
    <w:rsid w:val="00316D2F"/>
    <w:rsid w:val="00316F45"/>
    <w:rsid w:val="00317022"/>
    <w:rsid w:val="0031724E"/>
    <w:rsid w:val="00317250"/>
    <w:rsid w:val="00317394"/>
    <w:rsid w:val="0031761A"/>
    <w:rsid w:val="0031768F"/>
    <w:rsid w:val="003179BA"/>
    <w:rsid w:val="00317A14"/>
    <w:rsid w:val="00317A33"/>
    <w:rsid w:val="00317A9B"/>
    <w:rsid w:val="00317C97"/>
    <w:rsid w:val="00320001"/>
    <w:rsid w:val="00320173"/>
    <w:rsid w:val="003201CC"/>
    <w:rsid w:val="00320339"/>
    <w:rsid w:val="003205D1"/>
    <w:rsid w:val="00320665"/>
    <w:rsid w:val="00320670"/>
    <w:rsid w:val="0032068D"/>
    <w:rsid w:val="00320932"/>
    <w:rsid w:val="00320C12"/>
    <w:rsid w:val="00320D39"/>
    <w:rsid w:val="00320FC7"/>
    <w:rsid w:val="00320FD4"/>
    <w:rsid w:val="0032104D"/>
    <w:rsid w:val="00321061"/>
    <w:rsid w:val="003210E1"/>
    <w:rsid w:val="00321214"/>
    <w:rsid w:val="003213D5"/>
    <w:rsid w:val="003214B4"/>
    <w:rsid w:val="0032151A"/>
    <w:rsid w:val="00321928"/>
    <w:rsid w:val="00321ACC"/>
    <w:rsid w:val="00321BBD"/>
    <w:rsid w:val="00321BD4"/>
    <w:rsid w:val="00321F58"/>
    <w:rsid w:val="003224EA"/>
    <w:rsid w:val="003226D5"/>
    <w:rsid w:val="003228B0"/>
    <w:rsid w:val="00322A0F"/>
    <w:rsid w:val="00322A1A"/>
    <w:rsid w:val="00322B48"/>
    <w:rsid w:val="00322DA2"/>
    <w:rsid w:val="0032312A"/>
    <w:rsid w:val="00323165"/>
    <w:rsid w:val="00323183"/>
    <w:rsid w:val="00323640"/>
    <w:rsid w:val="00323650"/>
    <w:rsid w:val="00323653"/>
    <w:rsid w:val="00323737"/>
    <w:rsid w:val="00323767"/>
    <w:rsid w:val="00323AD6"/>
    <w:rsid w:val="00323BB7"/>
    <w:rsid w:val="00323CD0"/>
    <w:rsid w:val="00323F27"/>
    <w:rsid w:val="00323F42"/>
    <w:rsid w:val="00324124"/>
    <w:rsid w:val="003242EF"/>
    <w:rsid w:val="00324503"/>
    <w:rsid w:val="003247D1"/>
    <w:rsid w:val="00324AB1"/>
    <w:rsid w:val="00324D03"/>
    <w:rsid w:val="00324E8E"/>
    <w:rsid w:val="00325255"/>
    <w:rsid w:val="00325339"/>
    <w:rsid w:val="003254CD"/>
    <w:rsid w:val="00325552"/>
    <w:rsid w:val="003255AA"/>
    <w:rsid w:val="0032561E"/>
    <w:rsid w:val="00325BB9"/>
    <w:rsid w:val="00325C82"/>
    <w:rsid w:val="00325C86"/>
    <w:rsid w:val="00325CC3"/>
    <w:rsid w:val="003261E1"/>
    <w:rsid w:val="00326308"/>
    <w:rsid w:val="00326462"/>
    <w:rsid w:val="00326585"/>
    <w:rsid w:val="003266A0"/>
    <w:rsid w:val="003267E5"/>
    <w:rsid w:val="00326A6F"/>
    <w:rsid w:val="00326AFC"/>
    <w:rsid w:val="00326EB7"/>
    <w:rsid w:val="00326F4E"/>
    <w:rsid w:val="00326F81"/>
    <w:rsid w:val="00327158"/>
    <w:rsid w:val="00327209"/>
    <w:rsid w:val="003274B8"/>
    <w:rsid w:val="003274E9"/>
    <w:rsid w:val="003275A9"/>
    <w:rsid w:val="003275AC"/>
    <w:rsid w:val="00327761"/>
    <w:rsid w:val="00327798"/>
    <w:rsid w:val="00327864"/>
    <w:rsid w:val="00327A47"/>
    <w:rsid w:val="00327D14"/>
    <w:rsid w:val="00327DB0"/>
    <w:rsid w:val="0033007D"/>
    <w:rsid w:val="0033033D"/>
    <w:rsid w:val="0033071F"/>
    <w:rsid w:val="0033074A"/>
    <w:rsid w:val="00330903"/>
    <w:rsid w:val="00330B56"/>
    <w:rsid w:val="00330C29"/>
    <w:rsid w:val="003314B6"/>
    <w:rsid w:val="0033150B"/>
    <w:rsid w:val="00331692"/>
    <w:rsid w:val="003316F0"/>
    <w:rsid w:val="0033174B"/>
    <w:rsid w:val="0033185F"/>
    <w:rsid w:val="003318C9"/>
    <w:rsid w:val="0033194A"/>
    <w:rsid w:val="00331A20"/>
    <w:rsid w:val="00331A33"/>
    <w:rsid w:val="00331A96"/>
    <w:rsid w:val="00331DB8"/>
    <w:rsid w:val="00331E3A"/>
    <w:rsid w:val="00331E65"/>
    <w:rsid w:val="00331E6A"/>
    <w:rsid w:val="00331FDD"/>
    <w:rsid w:val="00332002"/>
    <w:rsid w:val="0033253D"/>
    <w:rsid w:val="00332566"/>
    <w:rsid w:val="0033257A"/>
    <w:rsid w:val="003326FB"/>
    <w:rsid w:val="003327CF"/>
    <w:rsid w:val="00332922"/>
    <w:rsid w:val="0033297A"/>
    <w:rsid w:val="003329C9"/>
    <w:rsid w:val="00332E21"/>
    <w:rsid w:val="00332E49"/>
    <w:rsid w:val="00332F6B"/>
    <w:rsid w:val="00333107"/>
    <w:rsid w:val="00333211"/>
    <w:rsid w:val="0033328A"/>
    <w:rsid w:val="0033343B"/>
    <w:rsid w:val="0033357E"/>
    <w:rsid w:val="00333596"/>
    <w:rsid w:val="00333611"/>
    <w:rsid w:val="003336F9"/>
    <w:rsid w:val="00333738"/>
    <w:rsid w:val="00333901"/>
    <w:rsid w:val="0033393C"/>
    <w:rsid w:val="00333973"/>
    <w:rsid w:val="00333CA6"/>
    <w:rsid w:val="00333E2F"/>
    <w:rsid w:val="00333EA4"/>
    <w:rsid w:val="003341C9"/>
    <w:rsid w:val="00334220"/>
    <w:rsid w:val="003342EE"/>
    <w:rsid w:val="00334372"/>
    <w:rsid w:val="00334476"/>
    <w:rsid w:val="003345C1"/>
    <w:rsid w:val="003345D6"/>
    <w:rsid w:val="00334606"/>
    <w:rsid w:val="00334686"/>
    <w:rsid w:val="003348B9"/>
    <w:rsid w:val="00334953"/>
    <w:rsid w:val="00334C63"/>
    <w:rsid w:val="00334C94"/>
    <w:rsid w:val="00334F04"/>
    <w:rsid w:val="003350FA"/>
    <w:rsid w:val="003351AD"/>
    <w:rsid w:val="003353D9"/>
    <w:rsid w:val="00335477"/>
    <w:rsid w:val="0033557E"/>
    <w:rsid w:val="003357EE"/>
    <w:rsid w:val="0033588F"/>
    <w:rsid w:val="00335A92"/>
    <w:rsid w:val="00335BD7"/>
    <w:rsid w:val="00335D6B"/>
    <w:rsid w:val="00335E54"/>
    <w:rsid w:val="003363D5"/>
    <w:rsid w:val="003365D5"/>
    <w:rsid w:val="00336650"/>
    <w:rsid w:val="00336652"/>
    <w:rsid w:val="00336694"/>
    <w:rsid w:val="00336850"/>
    <w:rsid w:val="00336BD5"/>
    <w:rsid w:val="00336C74"/>
    <w:rsid w:val="00336D91"/>
    <w:rsid w:val="0033711B"/>
    <w:rsid w:val="00337140"/>
    <w:rsid w:val="003371A6"/>
    <w:rsid w:val="00337368"/>
    <w:rsid w:val="003373C3"/>
    <w:rsid w:val="003373F7"/>
    <w:rsid w:val="0033751E"/>
    <w:rsid w:val="003378A8"/>
    <w:rsid w:val="003379B3"/>
    <w:rsid w:val="00337B09"/>
    <w:rsid w:val="00337B4D"/>
    <w:rsid w:val="00337F61"/>
    <w:rsid w:val="0034014A"/>
    <w:rsid w:val="0034019D"/>
    <w:rsid w:val="00340266"/>
    <w:rsid w:val="003407A9"/>
    <w:rsid w:val="0034084E"/>
    <w:rsid w:val="00340A54"/>
    <w:rsid w:val="00340BA3"/>
    <w:rsid w:val="00340BAF"/>
    <w:rsid w:val="00340C2B"/>
    <w:rsid w:val="00340F9A"/>
    <w:rsid w:val="00341018"/>
    <w:rsid w:val="00341076"/>
    <w:rsid w:val="003410E3"/>
    <w:rsid w:val="003410E6"/>
    <w:rsid w:val="0034110D"/>
    <w:rsid w:val="00341124"/>
    <w:rsid w:val="00341164"/>
    <w:rsid w:val="00341388"/>
    <w:rsid w:val="00341779"/>
    <w:rsid w:val="003417F8"/>
    <w:rsid w:val="0034182A"/>
    <w:rsid w:val="00341861"/>
    <w:rsid w:val="0034187B"/>
    <w:rsid w:val="00341892"/>
    <w:rsid w:val="003418A2"/>
    <w:rsid w:val="003418F4"/>
    <w:rsid w:val="00341EB3"/>
    <w:rsid w:val="00341F65"/>
    <w:rsid w:val="00341FB6"/>
    <w:rsid w:val="003420D9"/>
    <w:rsid w:val="00342140"/>
    <w:rsid w:val="003421F8"/>
    <w:rsid w:val="00342349"/>
    <w:rsid w:val="003423E0"/>
    <w:rsid w:val="003424E5"/>
    <w:rsid w:val="00342B8F"/>
    <w:rsid w:val="00342CCB"/>
    <w:rsid w:val="00342FE5"/>
    <w:rsid w:val="0034301A"/>
    <w:rsid w:val="003431C7"/>
    <w:rsid w:val="0034345B"/>
    <w:rsid w:val="003434AD"/>
    <w:rsid w:val="003434B0"/>
    <w:rsid w:val="00343698"/>
    <w:rsid w:val="00343AE2"/>
    <w:rsid w:val="00343BC1"/>
    <w:rsid w:val="00343CBD"/>
    <w:rsid w:val="00343D76"/>
    <w:rsid w:val="003440A9"/>
    <w:rsid w:val="003441DF"/>
    <w:rsid w:val="0034425C"/>
    <w:rsid w:val="00344449"/>
    <w:rsid w:val="00344524"/>
    <w:rsid w:val="0034454A"/>
    <w:rsid w:val="003447E4"/>
    <w:rsid w:val="00344A9A"/>
    <w:rsid w:val="00344AC3"/>
    <w:rsid w:val="00344DB8"/>
    <w:rsid w:val="00344DFD"/>
    <w:rsid w:val="003451D3"/>
    <w:rsid w:val="003452E3"/>
    <w:rsid w:val="003454F6"/>
    <w:rsid w:val="00345681"/>
    <w:rsid w:val="003456B6"/>
    <w:rsid w:val="00345767"/>
    <w:rsid w:val="00345B12"/>
    <w:rsid w:val="00345D98"/>
    <w:rsid w:val="00345DB2"/>
    <w:rsid w:val="00345E3B"/>
    <w:rsid w:val="00345FDE"/>
    <w:rsid w:val="003464A1"/>
    <w:rsid w:val="00346631"/>
    <w:rsid w:val="003467AC"/>
    <w:rsid w:val="00346896"/>
    <w:rsid w:val="0034690B"/>
    <w:rsid w:val="00346A71"/>
    <w:rsid w:val="00346AAD"/>
    <w:rsid w:val="00346C33"/>
    <w:rsid w:val="00346C8D"/>
    <w:rsid w:val="00346D96"/>
    <w:rsid w:val="00346DC7"/>
    <w:rsid w:val="00347086"/>
    <w:rsid w:val="0034736A"/>
    <w:rsid w:val="0034747C"/>
    <w:rsid w:val="00347519"/>
    <w:rsid w:val="00347762"/>
    <w:rsid w:val="00347986"/>
    <w:rsid w:val="00347A5E"/>
    <w:rsid w:val="00347A6E"/>
    <w:rsid w:val="00347ACE"/>
    <w:rsid w:val="00347B6C"/>
    <w:rsid w:val="003503F2"/>
    <w:rsid w:val="00350527"/>
    <w:rsid w:val="003506E2"/>
    <w:rsid w:val="003506EF"/>
    <w:rsid w:val="00350936"/>
    <w:rsid w:val="00350B59"/>
    <w:rsid w:val="00350BF6"/>
    <w:rsid w:val="00350C54"/>
    <w:rsid w:val="00350CAC"/>
    <w:rsid w:val="00350D5A"/>
    <w:rsid w:val="00350E4F"/>
    <w:rsid w:val="00350E60"/>
    <w:rsid w:val="0035151C"/>
    <w:rsid w:val="0035170F"/>
    <w:rsid w:val="0035171A"/>
    <w:rsid w:val="00351966"/>
    <w:rsid w:val="003519FC"/>
    <w:rsid w:val="00351E6C"/>
    <w:rsid w:val="0035211D"/>
    <w:rsid w:val="00352254"/>
    <w:rsid w:val="0035229F"/>
    <w:rsid w:val="003522A3"/>
    <w:rsid w:val="003524DB"/>
    <w:rsid w:val="0035255A"/>
    <w:rsid w:val="00352C68"/>
    <w:rsid w:val="00352C7F"/>
    <w:rsid w:val="00352D90"/>
    <w:rsid w:val="003530DC"/>
    <w:rsid w:val="00353143"/>
    <w:rsid w:val="00353469"/>
    <w:rsid w:val="003534BC"/>
    <w:rsid w:val="00353697"/>
    <w:rsid w:val="00353929"/>
    <w:rsid w:val="00353B69"/>
    <w:rsid w:val="00353F9E"/>
    <w:rsid w:val="003540D1"/>
    <w:rsid w:val="003544FE"/>
    <w:rsid w:val="00354545"/>
    <w:rsid w:val="003545A5"/>
    <w:rsid w:val="003545BF"/>
    <w:rsid w:val="0035465F"/>
    <w:rsid w:val="003549F9"/>
    <w:rsid w:val="00354B1E"/>
    <w:rsid w:val="00354BB3"/>
    <w:rsid w:val="00354BD4"/>
    <w:rsid w:val="00354C94"/>
    <w:rsid w:val="00355245"/>
    <w:rsid w:val="003555BA"/>
    <w:rsid w:val="003556B4"/>
    <w:rsid w:val="0035586A"/>
    <w:rsid w:val="00355A08"/>
    <w:rsid w:val="00355B2F"/>
    <w:rsid w:val="00355C04"/>
    <w:rsid w:val="00355E80"/>
    <w:rsid w:val="0035611A"/>
    <w:rsid w:val="003562A3"/>
    <w:rsid w:val="003563E0"/>
    <w:rsid w:val="00356633"/>
    <w:rsid w:val="003566A4"/>
    <w:rsid w:val="003568C2"/>
    <w:rsid w:val="003569DD"/>
    <w:rsid w:val="00356A1D"/>
    <w:rsid w:val="00356A21"/>
    <w:rsid w:val="00356BD8"/>
    <w:rsid w:val="00356C3D"/>
    <w:rsid w:val="00356CA8"/>
    <w:rsid w:val="00357355"/>
    <w:rsid w:val="0035745F"/>
    <w:rsid w:val="003574C7"/>
    <w:rsid w:val="00357577"/>
    <w:rsid w:val="003575E0"/>
    <w:rsid w:val="00357753"/>
    <w:rsid w:val="0035792B"/>
    <w:rsid w:val="00357967"/>
    <w:rsid w:val="00357BD5"/>
    <w:rsid w:val="00357E77"/>
    <w:rsid w:val="00357ED8"/>
    <w:rsid w:val="00360066"/>
    <w:rsid w:val="00360085"/>
    <w:rsid w:val="003601A5"/>
    <w:rsid w:val="00360327"/>
    <w:rsid w:val="00360432"/>
    <w:rsid w:val="00360476"/>
    <w:rsid w:val="00360591"/>
    <w:rsid w:val="00360645"/>
    <w:rsid w:val="003606A6"/>
    <w:rsid w:val="003608FA"/>
    <w:rsid w:val="00360A82"/>
    <w:rsid w:val="00360AC0"/>
    <w:rsid w:val="00360B58"/>
    <w:rsid w:val="00360B5B"/>
    <w:rsid w:val="00360B75"/>
    <w:rsid w:val="00360B7D"/>
    <w:rsid w:val="00360BBA"/>
    <w:rsid w:val="00360DEE"/>
    <w:rsid w:val="00360E9D"/>
    <w:rsid w:val="0036130D"/>
    <w:rsid w:val="003613A1"/>
    <w:rsid w:val="0036151C"/>
    <w:rsid w:val="00361633"/>
    <w:rsid w:val="003616BC"/>
    <w:rsid w:val="003619F3"/>
    <w:rsid w:val="00361A9B"/>
    <w:rsid w:val="00361C89"/>
    <w:rsid w:val="00361D69"/>
    <w:rsid w:val="0036209E"/>
    <w:rsid w:val="003623DF"/>
    <w:rsid w:val="00362504"/>
    <w:rsid w:val="00362521"/>
    <w:rsid w:val="0036284C"/>
    <w:rsid w:val="00362996"/>
    <w:rsid w:val="00362CCF"/>
    <w:rsid w:val="0036302D"/>
    <w:rsid w:val="003631C8"/>
    <w:rsid w:val="003631DB"/>
    <w:rsid w:val="00363222"/>
    <w:rsid w:val="00363424"/>
    <w:rsid w:val="00363522"/>
    <w:rsid w:val="00363543"/>
    <w:rsid w:val="003636A8"/>
    <w:rsid w:val="0036386C"/>
    <w:rsid w:val="00363ABC"/>
    <w:rsid w:val="00363BCC"/>
    <w:rsid w:val="00363F7C"/>
    <w:rsid w:val="003644CF"/>
    <w:rsid w:val="00364524"/>
    <w:rsid w:val="003645FF"/>
    <w:rsid w:val="003647B6"/>
    <w:rsid w:val="0036484F"/>
    <w:rsid w:val="00364D76"/>
    <w:rsid w:val="00364F20"/>
    <w:rsid w:val="0036513A"/>
    <w:rsid w:val="00365237"/>
    <w:rsid w:val="003654F5"/>
    <w:rsid w:val="0036559C"/>
    <w:rsid w:val="0036587E"/>
    <w:rsid w:val="00365A60"/>
    <w:rsid w:val="00365D53"/>
    <w:rsid w:val="00365E12"/>
    <w:rsid w:val="00365E76"/>
    <w:rsid w:val="00365F23"/>
    <w:rsid w:val="00365F41"/>
    <w:rsid w:val="003660CD"/>
    <w:rsid w:val="00366193"/>
    <w:rsid w:val="00366207"/>
    <w:rsid w:val="003662C5"/>
    <w:rsid w:val="00366548"/>
    <w:rsid w:val="00366888"/>
    <w:rsid w:val="00366B08"/>
    <w:rsid w:val="00366DEC"/>
    <w:rsid w:val="00366EA0"/>
    <w:rsid w:val="00366F11"/>
    <w:rsid w:val="003670AF"/>
    <w:rsid w:val="00367231"/>
    <w:rsid w:val="00367496"/>
    <w:rsid w:val="00367608"/>
    <w:rsid w:val="003676F6"/>
    <w:rsid w:val="003678BE"/>
    <w:rsid w:val="003678E9"/>
    <w:rsid w:val="00367ADF"/>
    <w:rsid w:val="00367C0E"/>
    <w:rsid w:val="00367E43"/>
    <w:rsid w:val="00367F50"/>
    <w:rsid w:val="00367F97"/>
    <w:rsid w:val="00370064"/>
    <w:rsid w:val="00370079"/>
    <w:rsid w:val="003700A4"/>
    <w:rsid w:val="003700F8"/>
    <w:rsid w:val="003701CE"/>
    <w:rsid w:val="00370221"/>
    <w:rsid w:val="003704CB"/>
    <w:rsid w:val="003704F2"/>
    <w:rsid w:val="00370918"/>
    <w:rsid w:val="00370949"/>
    <w:rsid w:val="00370A65"/>
    <w:rsid w:val="00370BF0"/>
    <w:rsid w:val="00370C25"/>
    <w:rsid w:val="00370C2E"/>
    <w:rsid w:val="00370E50"/>
    <w:rsid w:val="00370F54"/>
    <w:rsid w:val="003711FE"/>
    <w:rsid w:val="00371379"/>
    <w:rsid w:val="00371461"/>
    <w:rsid w:val="0037163E"/>
    <w:rsid w:val="00371826"/>
    <w:rsid w:val="003719AB"/>
    <w:rsid w:val="00371A94"/>
    <w:rsid w:val="00371B40"/>
    <w:rsid w:val="00371BB7"/>
    <w:rsid w:val="00371EA4"/>
    <w:rsid w:val="00371FBC"/>
    <w:rsid w:val="003720AD"/>
    <w:rsid w:val="00372143"/>
    <w:rsid w:val="0037227B"/>
    <w:rsid w:val="00372338"/>
    <w:rsid w:val="0037243B"/>
    <w:rsid w:val="003724D9"/>
    <w:rsid w:val="0037251C"/>
    <w:rsid w:val="003726D7"/>
    <w:rsid w:val="0037272C"/>
    <w:rsid w:val="00372819"/>
    <w:rsid w:val="00372A36"/>
    <w:rsid w:val="00372B11"/>
    <w:rsid w:val="00372B9A"/>
    <w:rsid w:val="00372E9F"/>
    <w:rsid w:val="00372EBA"/>
    <w:rsid w:val="003731BF"/>
    <w:rsid w:val="0037332B"/>
    <w:rsid w:val="003733A5"/>
    <w:rsid w:val="00373529"/>
    <w:rsid w:val="0037353C"/>
    <w:rsid w:val="003738B7"/>
    <w:rsid w:val="00373BD4"/>
    <w:rsid w:val="00373EE4"/>
    <w:rsid w:val="00373FB0"/>
    <w:rsid w:val="00374080"/>
    <w:rsid w:val="003741F7"/>
    <w:rsid w:val="0037448D"/>
    <w:rsid w:val="00374597"/>
    <w:rsid w:val="00374751"/>
    <w:rsid w:val="003749BB"/>
    <w:rsid w:val="00374A03"/>
    <w:rsid w:val="00374B9D"/>
    <w:rsid w:val="00374BB2"/>
    <w:rsid w:val="00374CD0"/>
    <w:rsid w:val="00374D76"/>
    <w:rsid w:val="00375265"/>
    <w:rsid w:val="00375287"/>
    <w:rsid w:val="0037536E"/>
    <w:rsid w:val="003754E6"/>
    <w:rsid w:val="0037575D"/>
    <w:rsid w:val="00375791"/>
    <w:rsid w:val="00375826"/>
    <w:rsid w:val="00375994"/>
    <w:rsid w:val="00375C59"/>
    <w:rsid w:val="00375E05"/>
    <w:rsid w:val="00375EFA"/>
    <w:rsid w:val="003760C6"/>
    <w:rsid w:val="0037612C"/>
    <w:rsid w:val="003769E1"/>
    <w:rsid w:val="00376B90"/>
    <w:rsid w:val="00376BB7"/>
    <w:rsid w:val="00376BBD"/>
    <w:rsid w:val="00376D06"/>
    <w:rsid w:val="00376EEE"/>
    <w:rsid w:val="00376EFF"/>
    <w:rsid w:val="00377142"/>
    <w:rsid w:val="003772EC"/>
    <w:rsid w:val="00377430"/>
    <w:rsid w:val="00377453"/>
    <w:rsid w:val="00377478"/>
    <w:rsid w:val="0037785F"/>
    <w:rsid w:val="0037786B"/>
    <w:rsid w:val="00377874"/>
    <w:rsid w:val="00377AAE"/>
    <w:rsid w:val="00377B02"/>
    <w:rsid w:val="00377BA1"/>
    <w:rsid w:val="00377BD8"/>
    <w:rsid w:val="00377BDD"/>
    <w:rsid w:val="00377DFF"/>
    <w:rsid w:val="00377E3F"/>
    <w:rsid w:val="00377F43"/>
    <w:rsid w:val="00377FF0"/>
    <w:rsid w:val="00380277"/>
    <w:rsid w:val="003802CF"/>
    <w:rsid w:val="003804DB"/>
    <w:rsid w:val="00380561"/>
    <w:rsid w:val="00380616"/>
    <w:rsid w:val="003806E6"/>
    <w:rsid w:val="00380790"/>
    <w:rsid w:val="0038097F"/>
    <w:rsid w:val="00380B37"/>
    <w:rsid w:val="00380E83"/>
    <w:rsid w:val="00380FC3"/>
    <w:rsid w:val="00381022"/>
    <w:rsid w:val="0038128A"/>
    <w:rsid w:val="003814B8"/>
    <w:rsid w:val="003814C8"/>
    <w:rsid w:val="0038172C"/>
    <w:rsid w:val="00381BA5"/>
    <w:rsid w:val="00381CB4"/>
    <w:rsid w:val="00381F0E"/>
    <w:rsid w:val="00382219"/>
    <w:rsid w:val="00382282"/>
    <w:rsid w:val="003825E6"/>
    <w:rsid w:val="003828D1"/>
    <w:rsid w:val="003828ED"/>
    <w:rsid w:val="00382909"/>
    <w:rsid w:val="00382A2C"/>
    <w:rsid w:val="00382B5D"/>
    <w:rsid w:val="00382C49"/>
    <w:rsid w:val="00382E57"/>
    <w:rsid w:val="00382EE1"/>
    <w:rsid w:val="00383206"/>
    <w:rsid w:val="00383231"/>
    <w:rsid w:val="003832F9"/>
    <w:rsid w:val="003833B1"/>
    <w:rsid w:val="003835E4"/>
    <w:rsid w:val="00383620"/>
    <w:rsid w:val="003836BE"/>
    <w:rsid w:val="003836DF"/>
    <w:rsid w:val="0038376B"/>
    <w:rsid w:val="003837C5"/>
    <w:rsid w:val="00383829"/>
    <w:rsid w:val="003838C1"/>
    <w:rsid w:val="003839B9"/>
    <w:rsid w:val="00383A88"/>
    <w:rsid w:val="00383B2B"/>
    <w:rsid w:val="00383CA6"/>
    <w:rsid w:val="00384066"/>
    <w:rsid w:val="00384217"/>
    <w:rsid w:val="00384252"/>
    <w:rsid w:val="00384258"/>
    <w:rsid w:val="003843C7"/>
    <w:rsid w:val="00384538"/>
    <w:rsid w:val="0038469B"/>
    <w:rsid w:val="00384951"/>
    <w:rsid w:val="00384B45"/>
    <w:rsid w:val="00384D14"/>
    <w:rsid w:val="00384E31"/>
    <w:rsid w:val="00384F40"/>
    <w:rsid w:val="00384F54"/>
    <w:rsid w:val="00385131"/>
    <w:rsid w:val="003855C9"/>
    <w:rsid w:val="0038567D"/>
    <w:rsid w:val="003856B9"/>
    <w:rsid w:val="003858FD"/>
    <w:rsid w:val="00385953"/>
    <w:rsid w:val="00385A94"/>
    <w:rsid w:val="00385EBB"/>
    <w:rsid w:val="00385FFE"/>
    <w:rsid w:val="003860D9"/>
    <w:rsid w:val="00386180"/>
    <w:rsid w:val="0038620B"/>
    <w:rsid w:val="00386333"/>
    <w:rsid w:val="00386434"/>
    <w:rsid w:val="00386564"/>
    <w:rsid w:val="003869CA"/>
    <w:rsid w:val="00386B26"/>
    <w:rsid w:val="00386D8E"/>
    <w:rsid w:val="00387012"/>
    <w:rsid w:val="003870D1"/>
    <w:rsid w:val="0038723C"/>
    <w:rsid w:val="00387647"/>
    <w:rsid w:val="00387761"/>
    <w:rsid w:val="0038791A"/>
    <w:rsid w:val="00387A96"/>
    <w:rsid w:val="00387D66"/>
    <w:rsid w:val="00387E5D"/>
    <w:rsid w:val="00387FEF"/>
    <w:rsid w:val="00390046"/>
    <w:rsid w:val="00390056"/>
    <w:rsid w:val="0039016A"/>
    <w:rsid w:val="0039025C"/>
    <w:rsid w:val="003902E6"/>
    <w:rsid w:val="0039055C"/>
    <w:rsid w:val="00390718"/>
    <w:rsid w:val="00390748"/>
    <w:rsid w:val="00390767"/>
    <w:rsid w:val="0039076B"/>
    <w:rsid w:val="00390883"/>
    <w:rsid w:val="00390A6D"/>
    <w:rsid w:val="00390B9D"/>
    <w:rsid w:val="00390F29"/>
    <w:rsid w:val="00390F71"/>
    <w:rsid w:val="003911CC"/>
    <w:rsid w:val="003912C9"/>
    <w:rsid w:val="003912F6"/>
    <w:rsid w:val="00391470"/>
    <w:rsid w:val="00391863"/>
    <w:rsid w:val="003918C5"/>
    <w:rsid w:val="00391983"/>
    <w:rsid w:val="00391A1C"/>
    <w:rsid w:val="00391C46"/>
    <w:rsid w:val="003920AD"/>
    <w:rsid w:val="003920C4"/>
    <w:rsid w:val="00392184"/>
    <w:rsid w:val="003924C9"/>
    <w:rsid w:val="00392652"/>
    <w:rsid w:val="00392B41"/>
    <w:rsid w:val="00392DA2"/>
    <w:rsid w:val="00392EE7"/>
    <w:rsid w:val="00392FE7"/>
    <w:rsid w:val="003930DE"/>
    <w:rsid w:val="00393287"/>
    <w:rsid w:val="0039335D"/>
    <w:rsid w:val="003936FE"/>
    <w:rsid w:val="0039377E"/>
    <w:rsid w:val="0039380D"/>
    <w:rsid w:val="00393B16"/>
    <w:rsid w:val="00393CAC"/>
    <w:rsid w:val="00393FC7"/>
    <w:rsid w:val="003943CC"/>
    <w:rsid w:val="0039451E"/>
    <w:rsid w:val="0039456F"/>
    <w:rsid w:val="003945C8"/>
    <w:rsid w:val="003946CA"/>
    <w:rsid w:val="0039480D"/>
    <w:rsid w:val="0039498A"/>
    <w:rsid w:val="00394AFF"/>
    <w:rsid w:val="00394DCC"/>
    <w:rsid w:val="00394F2C"/>
    <w:rsid w:val="003950DB"/>
    <w:rsid w:val="003950DD"/>
    <w:rsid w:val="00395298"/>
    <w:rsid w:val="00395446"/>
    <w:rsid w:val="003955BA"/>
    <w:rsid w:val="003956F5"/>
    <w:rsid w:val="003957F6"/>
    <w:rsid w:val="00395855"/>
    <w:rsid w:val="00396051"/>
    <w:rsid w:val="00396304"/>
    <w:rsid w:val="003963C1"/>
    <w:rsid w:val="003963DD"/>
    <w:rsid w:val="00396725"/>
    <w:rsid w:val="00396755"/>
    <w:rsid w:val="0039683D"/>
    <w:rsid w:val="003968A0"/>
    <w:rsid w:val="00396D76"/>
    <w:rsid w:val="00396ED5"/>
    <w:rsid w:val="003971B0"/>
    <w:rsid w:val="00397A28"/>
    <w:rsid w:val="00397AC9"/>
    <w:rsid w:val="00397B8A"/>
    <w:rsid w:val="00397D6A"/>
    <w:rsid w:val="00397DB6"/>
    <w:rsid w:val="00397E94"/>
    <w:rsid w:val="00397F05"/>
    <w:rsid w:val="003A0442"/>
    <w:rsid w:val="003A0556"/>
    <w:rsid w:val="003A0656"/>
    <w:rsid w:val="003A0757"/>
    <w:rsid w:val="003A0899"/>
    <w:rsid w:val="003A0BEB"/>
    <w:rsid w:val="003A0DD4"/>
    <w:rsid w:val="003A10A1"/>
    <w:rsid w:val="003A125B"/>
    <w:rsid w:val="003A1495"/>
    <w:rsid w:val="003A1512"/>
    <w:rsid w:val="003A1713"/>
    <w:rsid w:val="003A17F0"/>
    <w:rsid w:val="003A18EF"/>
    <w:rsid w:val="003A1AC1"/>
    <w:rsid w:val="003A1B4C"/>
    <w:rsid w:val="003A1EB7"/>
    <w:rsid w:val="003A21C6"/>
    <w:rsid w:val="003A23F3"/>
    <w:rsid w:val="003A25A9"/>
    <w:rsid w:val="003A264B"/>
    <w:rsid w:val="003A2777"/>
    <w:rsid w:val="003A2A03"/>
    <w:rsid w:val="003A2BCD"/>
    <w:rsid w:val="003A2D82"/>
    <w:rsid w:val="003A2F11"/>
    <w:rsid w:val="003A31A4"/>
    <w:rsid w:val="003A32DB"/>
    <w:rsid w:val="003A337C"/>
    <w:rsid w:val="003A344F"/>
    <w:rsid w:val="003A3683"/>
    <w:rsid w:val="003A36DA"/>
    <w:rsid w:val="003A36DC"/>
    <w:rsid w:val="003A3792"/>
    <w:rsid w:val="003A384A"/>
    <w:rsid w:val="003A38B1"/>
    <w:rsid w:val="003A38F1"/>
    <w:rsid w:val="003A3D1B"/>
    <w:rsid w:val="003A3F09"/>
    <w:rsid w:val="003A3F39"/>
    <w:rsid w:val="003A40DD"/>
    <w:rsid w:val="003A4296"/>
    <w:rsid w:val="003A42F0"/>
    <w:rsid w:val="003A4549"/>
    <w:rsid w:val="003A45AF"/>
    <w:rsid w:val="003A4822"/>
    <w:rsid w:val="003A490D"/>
    <w:rsid w:val="003A49B3"/>
    <w:rsid w:val="003A4ACF"/>
    <w:rsid w:val="003A4B57"/>
    <w:rsid w:val="003A4D5E"/>
    <w:rsid w:val="003A4E45"/>
    <w:rsid w:val="003A502E"/>
    <w:rsid w:val="003A529A"/>
    <w:rsid w:val="003A53CD"/>
    <w:rsid w:val="003A542A"/>
    <w:rsid w:val="003A542B"/>
    <w:rsid w:val="003A551C"/>
    <w:rsid w:val="003A55B4"/>
    <w:rsid w:val="003A599E"/>
    <w:rsid w:val="003A5ED8"/>
    <w:rsid w:val="003A60DE"/>
    <w:rsid w:val="003A613F"/>
    <w:rsid w:val="003A61B6"/>
    <w:rsid w:val="003A623F"/>
    <w:rsid w:val="003A6351"/>
    <w:rsid w:val="003A6513"/>
    <w:rsid w:val="003A652D"/>
    <w:rsid w:val="003A67BC"/>
    <w:rsid w:val="003A6855"/>
    <w:rsid w:val="003A68D2"/>
    <w:rsid w:val="003A6966"/>
    <w:rsid w:val="003A6EC0"/>
    <w:rsid w:val="003A6FD1"/>
    <w:rsid w:val="003A71AD"/>
    <w:rsid w:val="003A765B"/>
    <w:rsid w:val="003A77E5"/>
    <w:rsid w:val="003A7B16"/>
    <w:rsid w:val="003A7B32"/>
    <w:rsid w:val="003A7D1D"/>
    <w:rsid w:val="003A7D2D"/>
    <w:rsid w:val="003A7FFE"/>
    <w:rsid w:val="003ACA25"/>
    <w:rsid w:val="003B015C"/>
    <w:rsid w:val="003B03E8"/>
    <w:rsid w:val="003B04CA"/>
    <w:rsid w:val="003B04CE"/>
    <w:rsid w:val="003B05CA"/>
    <w:rsid w:val="003B0919"/>
    <w:rsid w:val="003B0952"/>
    <w:rsid w:val="003B099E"/>
    <w:rsid w:val="003B0AE5"/>
    <w:rsid w:val="003B0B38"/>
    <w:rsid w:val="003B0D24"/>
    <w:rsid w:val="003B0FA0"/>
    <w:rsid w:val="003B11CC"/>
    <w:rsid w:val="003B128A"/>
    <w:rsid w:val="003B161B"/>
    <w:rsid w:val="003B1688"/>
    <w:rsid w:val="003B177E"/>
    <w:rsid w:val="003B1830"/>
    <w:rsid w:val="003B18AB"/>
    <w:rsid w:val="003B1DBF"/>
    <w:rsid w:val="003B1F1A"/>
    <w:rsid w:val="003B1FA4"/>
    <w:rsid w:val="003B1FC2"/>
    <w:rsid w:val="003B1FE6"/>
    <w:rsid w:val="003B2022"/>
    <w:rsid w:val="003B207A"/>
    <w:rsid w:val="003B21E2"/>
    <w:rsid w:val="003B2368"/>
    <w:rsid w:val="003B2374"/>
    <w:rsid w:val="003B270A"/>
    <w:rsid w:val="003B27CB"/>
    <w:rsid w:val="003B28F5"/>
    <w:rsid w:val="003B28FB"/>
    <w:rsid w:val="003B2AFE"/>
    <w:rsid w:val="003B2D29"/>
    <w:rsid w:val="003B2E6F"/>
    <w:rsid w:val="003B2EDE"/>
    <w:rsid w:val="003B2FDD"/>
    <w:rsid w:val="003B3106"/>
    <w:rsid w:val="003B31D9"/>
    <w:rsid w:val="003B3294"/>
    <w:rsid w:val="003B3447"/>
    <w:rsid w:val="003B349A"/>
    <w:rsid w:val="003B378F"/>
    <w:rsid w:val="003B3974"/>
    <w:rsid w:val="003B39E0"/>
    <w:rsid w:val="003B3AE8"/>
    <w:rsid w:val="003B3DAB"/>
    <w:rsid w:val="003B3EA3"/>
    <w:rsid w:val="003B3EB9"/>
    <w:rsid w:val="003B404D"/>
    <w:rsid w:val="003B45AA"/>
    <w:rsid w:val="003B46EF"/>
    <w:rsid w:val="003B4859"/>
    <w:rsid w:val="003B487F"/>
    <w:rsid w:val="003B4881"/>
    <w:rsid w:val="003B48A3"/>
    <w:rsid w:val="003B4941"/>
    <w:rsid w:val="003B4AEF"/>
    <w:rsid w:val="003B4B34"/>
    <w:rsid w:val="003B4C47"/>
    <w:rsid w:val="003B4CDA"/>
    <w:rsid w:val="003B4ED5"/>
    <w:rsid w:val="003B4EEB"/>
    <w:rsid w:val="003B4F2D"/>
    <w:rsid w:val="003B4F6E"/>
    <w:rsid w:val="003B50A0"/>
    <w:rsid w:val="003B50CC"/>
    <w:rsid w:val="003B52F8"/>
    <w:rsid w:val="003B531B"/>
    <w:rsid w:val="003B5391"/>
    <w:rsid w:val="003B53A3"/>
    <w:rsid w:val="003B53A9"/>
    <w:rsid w:val="003B53F2"/>
    <w:rsid w:val="003B55D7"/>
    <w:rsid w:val="003B563C"/>
    <w:rsid w:val="003B5673"/>
    <w:rsid w:val="003B56FB"/>
    <w:rsid w:val="003B5B25"/>
    <w:rsid w:val="003B5BD9"/>
    <w:rsid w:val="003B5DBA"/>
    <w:rsid w:val="003B5DDA"/>
    <w:rsid w:val="003B5F33"/>
    <w:rsid w:val="003B607A"/>
    <w:rsid w:val="003B64A3"/>
    <w:rsid w:val="003B690B"/>
    <w:rsid w:val="003B69B8"/>
    <w:rsid w:val="003B69C9"/>
    <w:rsid w:val="003B6B18"/>
    <w:rsid w:val="003B6DB8"/>
    <w:rsid w:val="003B6FC0"/>
    <w:rsid w:val="003B70F4"/>
    <w:rsid w:val="003B7264"/>
    <w:rsid w:val="003B72B9"/>
    <w:rsid w:val="003B7385"/>
    <w:rsid w:val="003B744E"/>
    <w:rsid w:val="003B745A"/>
    <w:rsid w:val="003B7604"/>
    <w:rsid w:val="003B772B"/>
    <w:rsid w:val="003B778E"/>
    <w:rsid w:val="003B787B"/>
    <w:rsid w:val="003B7D82"/>
    <w:rsid w:val="003B7D97"/>
    <w:rsid w:val="003C0042"/>
    <w:rsid w:val="003C00B7"/>
    <w:rsid w:val="003C0184"/>
    <w:rsid w:val="003C02E0"/>
    <w:rsid w:val="003C0306"/>
    <w:rsid w:val="003C05DD"/>
    <w:rsid w:val="003C078F"/>
    <w:rsid w:val="003C0887"/>
    <w:rsid w:val="003C08AF"/>
    <w:rsid w:val="003C0A8C"/>
    <w:rsid w:val="003C0CD9"/>
    <w:rsid w:val="003C0E03"/>
    <w:rsid w:val="003C0E97"/>
    <w:rsid w:val="003C0ECD"/>
    <w:rsid w:val="003C0FC2"/>
    <w:rsid w:val="003C1107"/>
    <w:rsid w:val="003C1252"/>
    <w:rsid w:val="003C133F"/>
    <w:rsid w:val="003C1C33"/>
    <w:rsid w:val="003C1CDD"/>
    <w:rsid w:val="003C1DD5"/>
    <w:rsid w:val="003C1E5E"/>
    <w:rsid w:val="003C1E7E"/>
    <w:rsid w:val="003C20BF"/>
    <w:rsid w:val="003C242F"/>
    <w:rsid w:val="003C24E3"/>
    <w:rsid w:val="003C2567"/>
    <w:rsid w:val="003C2621"/>
    <w:rsid w:val="003C2650"/>
    <w:rsid w:val="003C28D1"/>
    <w:rsid w:val="003C2B53"/>
    <w:rsid w:val="003C2BB1"/>
    <w:rsid w:val="003C2C00"/>
    <w:rsid w:val="003C2C56"/>
    <w:rsid w:val="003C2C91"/>
    <w:rsid w:val="003C2CD6"/>
    <w:rsid w:val="003C2EDD"/>
    <w:rsid w:val="003C2FE2"/>
    <w:rsid w:val="003C3220"/>
    <w:rsid w:val="003C3408"/>
    <w:rsid w:val="003C3518"/>
    <w:rsid w:val="003C3A47"/>
    <w:rsid w:val="003C3A79"/>
    <w:rsid w:val="003C3AE1"/>
    <w:rsid w:val="003C3CAD"/>
    <w:rsid w:val="003C3CF3"/>
    <w:rsid w:val="003C4339"/>
    <w:rsid w:val="003C44D7"/>
    <w:rsid w:val="003C471B"/>
    <w:rsid w:val="003C47AC"/>
    <w:rsid w:val="003C4833"/>
    <w:rsid w:val="003C48F2"/>
    <w:rsid w:val="003C4BF7"/>
    <w:rsid w:val="003C4C7A"/>
    <w:rsid w:val="003C5072"/>
    <w:rsid w:val="003C5077"/>
    <w:rsid w:val="003C5177"/>
    <w:rsid w:val="003C5195"/>
    <w:rsid w:val="003C52B0"/>
    <w:rsid w:val="003C577D"/>
    <w:rsid w:val="003C582C"/>
    <w:rsid w:val="003C5888"/>
    <w:rsid w:val="003C5911"/>
    <w:rsid w:val="003C5B0D"/>
    <w:rsid w:val="003C5CDB"/>
    <w:rsid w:val="003C606E"/>
    <w:rsid w:val="003C61D7"/>
    <w:rsid w:val="003C6465"/>
    <w:rsid w:val="003C65E4"/>
    <w:rsid w:val="003C662E"/>
    <w:rsid w:val="003C668A"/>
    <w:rsid w:val="003C6848"/>
    <w:rsid w:val="003C696F"/>
    <w:rsid w:val="003C6B5C"/>
    <w:rsid w:val="003C6C0F"/>
    <w:rsid w:val="003C6C18"/>
    <w:rsid w:val="003C6EFE"/>
    <w:rsid w:val="003C7146"/>
    <w:rsid w:val="003C71C5"/>
    <w:rsid w:val="003C73F5"/>
    <w:rsid w:val="003C7712"/>
    <w:rsid w:val="003C7862"/>
    <w:rsid w:val="003C7C60"/>
    <w:rsid w:val="003C7E45"/>
    <w:rsid w:val="003C7EC7"/>
    <w:rsid w:val="003C7ECD"/>
    <w:rsid w:val="003D007D"/>
    <w:rsid w:val="003D00BA"/>
    <w:rsid w:val="003D0191"/>
    <w:rsid w:val="003D01A1"/>
    <w:rsid w:val="003D022C"/>
    <w:rsid w:val="003D03A5"/>
    <w:rsid w:val="003D04D6"/>
    <w:rsid w:val="003D04DA"/>
    <w:rsid w:val="003D04F6"/>
    <w:rsid w:val="003D0723"/>
    <w:rsid w:val="003D0817"/>
    <w:rsid w:val="003D0B39"/>
    <w:rsid w:val="003D0C67"/>
    <w:rsid w:val="003D0C73"/>
    <w:rsid w:val="003D0DED"/>
    <w:rsid w:val="003D0F7A"/>
    <w:rsid w:val="003D10C0"/>
    <w:rsid w:val="003D11DE"/>
    <w:rsid w:val="003D1222"/>
    <w:rsid w:val="003D138D"/>
    <w:rsid w:val="003D152C"/>
    <w:rsid w:val="003D1579"/>
    <w:rsid w:val="003D179C"/>
    <w:rsid w:val="003D1800"/>
    <w:rsid w:val="003D182D"/>
    <w:rsid w:val="003D18CC"/>
    <w:rsid w:val="003D19C1"/>
    <w:rsid w:val="003D1F1C"/>
    <w:rsid w:val="003D21AC"/>
    <w:rsid w:val="003D249C"/>
    <w:rsid w:val="003D261C"/>
    <w:rsid w:val="003D2662"/>
    <w:rsid w:val="003D2A8C"/>
    <w:rsid w:val="003D2DC5"/>
    <w:rsid w:val="003D302B"/>
    <w:rsid w:val="003D30B2"/>
    <w:rsid w:val="003D3208"/>
    <w:rsid w:val="003D3468"/>
    <w:rsid w:val="003D3583"/>
    <w:rsid w:val="003D35A8"/>
    <w:rsid w:val="003D365C"/>
    <w:rsid w:val="003D391E"/>
    <w:rsid w:val="003D3AD6"/>
    <w:rsid w:val="003D3B6F"/>
    <w:rsid w:val="003D3C27"/>
    <w:rsid w:val="003D3CCC"/>
    <w:rsid w:val="003D3F6A"/>
    <w:rsid w:val="003D4078"/>
    <w:rsid w:val="003D40E8"/>
    <w:rsid w:val="003D416C"/>
    <w:rsid w:val="003D41A3"/>
    <w:rsid w:val="003D424B"/>
    <w:rsid w:val="003D431D"/>
    <w:rsid w:val="003D4498"/>
    <w:rsid w:val="003D44D2"/>
    <w:rsid w:val="003D455E"/>
    <w:rsid w:val="003D4685"/>
    <w:rsid w:val="003D4802"/>
    <w:rsid w:val="003D4A30"/>
    <w:rsid w:val="003D4A86"/>
    <w:rsid w:val="003D4BA0"/>
    <w:rsid w:val="003D4ED2"/>
    <w:rsid w:val="003D517E"/>
    <w:rsid w:val="003D5216"/>
    <w:rsid w:val="003D528D"/>
    <w:rsid w:val="003D52B3"/>
    <w:rsid w:val="003D55BD"/>
    <w:rsid w:val="003D561E"/>
    <w:rsid w:val="003D5785"/>
    <w:rsid w:val="003D584C"/>
    <w:rsid w:val="003D58E3"/>
    <w:rsid w:val="003D5A2D"/>
    <w:rsid w:val="003D5A9D"/>
    <w:rsid w:val="003D5C92"/>
    <w:rsid w:val="003D5CAB"/>
    <w:rsid w:val="003D5E68"/>
    <w:rsid w:val="003D5ECA"/>
    <w:rsid w:val="003D62C0"/>
    <w:rsid w:val="003D62C4"/>
    <w:rsid w:val="003D650B"/>
    <w:rsid w:val="003D655A"/>
    <w:rsid w:val="003D65F6"/>
    <w:rsid w:val="003D6685"/>
    <w:rsid w:val="003D66F2"/>
    <w:rsid w:val="003D6911"/>
    <w:rsid w:val="003D6930"/>
    <w:rsid w:val="003D6A9E"/>
    <w:rsid w:val="003D6FA8"/>
    <w:rsid w:val="003D728E"/>
    <w:rsid w:val="003D7292"/>
    <w:rsid w:val="003D73E5"/>
    <w:rsid w:val="003D7422"/>
    <w:rsid w:val="003D7707"/>
    <w:rsid w:val="003D78D6"/>
    <w:rsid w:val="003D79A6"/>
    <w:rsid w:val="003D79CC"/>
    <w:rsid w:val="003D7B14"/>
    <w:rsid w:val="003D7B42"/>
    <w:rsid w:val="003D7B97"/>
    <w:rsid w:val="003D7C2D"/>
    <w:rsid w:val="003D7E4B"/>
    <w:rsid w:val="003E0035"/>
    <w:rsid w:val="003E00C3"/>
    <w:rsid w:val="003E013A"/>
    <w:rsid w:val="003E0253"/>
    <w:rsid w:val="003E0335"/>
    <w:rsid w:val="003E03A4"/>
    <w:rsid w:val="003E043E"/>
    <w:rsid w:val="003E0563"/>
    <w:rsid w:val="003E08EB"/>
    <w:rsid w:val="003E0C14"/>
    <w:rsid w:val="003E0D6F"/>
    <w:rsid w:val="003E0D94"/>
    <w:rsid w:val="003E10AE"/>
    <w:rsid w:val="003E13DC"/>
    <w:rsid w:val="003E14CE"/>
    <w:rsid w:val="003E1524"/>
    <w:rsid w:val="003E1591"/>
    <w:rsid w:val="003E15E3"/>
    <w:rsid w:val="003E1609"/>
    <w:rsid w:val="003E1747"/>
    <w:rsid w:val="003E1799"/>
    <w:rsid w:val="003E188F"/>
    <w:rsid w:val="003E1ACF"/>
    <w:rsid w:val="003E1C5B"/>
    <w:rsid w:val="003E1E2F"/>
    <w:rsid w:val="003E1EBE"/>
    <w:rsid w:val="003E2005"/>
    <w:rsid w:val="003E216C"/>
    <w:rsid w:val="003E218E"/>
    <w:rsid w:val="003E22E9"/>
    <w:rsid w:val="003E232D"/>
    <w:rsid w:val="003E236E"/>
    <w:rsid w:val="003E2372"/>
    <w:rsid w:val="003E2404"/>
    <w:rsid w:val="003E2460"/>
    <w:rsid w:val="003E259D"/>
    <w:rsid w:val="003E26BA"/>
    <w:rsid w:val="003E28EB"/>
    <w:rsid w:val="003E2906"/>
    <w:rsid w:val="003E2969"/>
    <w:rsid w:val="003E2AEA"/>
    <w:rsid w:val="003E2B82"/>
    <w:rsid w:val="003E2BF6"/>
    <w:rsid w:val="003E2C1A"/>
    <w:rsid w:val="003E2D09"/>
    <w:rsid w:val="003E2E42"/>
    <w:rsid w:val="003E2F68"/>
    <w:rsid w:val="003E3132"/>
    <w:rsid w:val="003E3173"/>
    <w:rsid w:val="003E31FE"/>
    <w:rsid w:val="003E3209"/>
    <w:rsid w:val="003E330F"/>
    <w:rsid w:val="003E343A"/>
    <w:rsid w:val="003E3478"/>
    <w:rsid w:val="003E388E"/>
    <w:rsid w:val="003E3A63"/>
    <w:rsid w:val="003E3ACC"/>
    <w:rsid w:val="003E3C99"/>
    <w:rsid w:val="003E3E21"/>
    <w:rsid w:val="003E3F7F"/>
    <w:rsid w:val="003E4119"/>
    <w:rsid w:val="003E41C1"/>
    <w:rsid w:val="003E42DD"/>
    <w:rsid w:val="003E43F6"/>
    <w:rsid w:val="003E443D"/>
    <w:rsid w:val="003E4563"/>
    <w:rsid w:val="003E48E6"/>
    <w:rsid w:val="003E490F"/>
    <w:rsid w:val="003E4B5B"/>
    <w:rsid w:val="003E4E5A"/>
    <w:rsid w:val="003E4E74"/>
    <w:rsid w:val="003E4EF8"/>
    <w:rsid w:val="003E5054"/>
    <w:rsid w:val="003E50C7"/>
    <w:rsid w:val="003E51F7"/>
    <w:rsid w:val="003E53C3"/>
    <w:rsid w:val="003E5A1B"/>
    <w:rsid w:val="003E5D13"/>
    <w:rsid w:val="003E5D30"/>
    <w:rsid w:val="003E5D4B"/>
    <w:rsid w:val="003E5F00"/>
    <w:rsid w:val="003E5F7D"/>
    <w:rsid w:val="003E628C"/>
    <w:rsid w:val="003E6423"/>
    <w:rsid w:val="003E6520"/>
    <w:rsid w:val="003E67E7"/>
    <w:rsid w:val="003E68B2"/>
    <w:rsid w:val="003E6AAE"/>
    <w:rsid w:val="003E6B3C"/>
    <w:rsid w:val="003E6B95"/>
    <w:rsid w:val="003E6D4F"/>
    <w:rsid w:val="003E6DB7"/>
    <w:rsid w:val="003E6DF2"/>
    <w:rsid w:val="003E6E3A"/>
    <w:rsid w:val="003E6F59"/>
    <w:rsid w:val="003E7086"/>
    <w:rsid w:val="003E70FF"/>
    <w:rsid w:val="003E72AD"/>
    <w:rsid w:val="003E72C4"/>
    <w:rsid w:val="003E736C"/>
    <w:rsid w:val="003E7492"/>
    <w:rsid w:val="003E7536"/>
    <w:rsid w:val="003E7673"/>
    <w:rsid w:val="003E768A"/>
    <w:rsid w:val="003E77A4"/>
    <w:rsid w:val="003E7BA9"/>
    <w:rsid w:val="003E7D47"/>
    <w:rsid w:val="003E7F1B"/>
    <w:rsid w:val="003F04CF"/>
    <w:rsid w:val="003F05EA"/>
    <w:rsid w:val="003F0798"/>
    <w:rsid w:val="003F085C"/>
    <w:rsid w:val="003F0898"/>
    <w:rsid w:val="003F09BE"/>
    <w:rsid w:val="003F0B41"/>
    <w:rsid w:val="003F0B4C"/>
    <w:rsid w:val="003F0EFF"/>
    <w:rsid w:val="003F0FDB"/>
    <w:rsid w:val="003F12FD"/>
    <w:rsid w:val="003F145F"/>
    <w:rsid w:val="003F152D"/>
    <w:rsid w:val="003F1820"/>
    <w:rsid w:val="003F1850"/>
    <w:rsid w:val="003F1D77"/>
    <w:rsid w:val="003F1E39"/>
    <w:rsid w:val="003F1FB5"/>
    <w:rsid w:val="003F2001"/>
    <w:rsid w:val="003F2055"/>
    <w:rsid w:val="003F229D"/>
    <w:rsid w:val="003F2526"/>
    <w:rsid w:val="003F2540"/>
    <w:rsid w:val="003F25F0"/>
    <w:rsid w:val="003F274F"/>
    <w:rsid w:val="003F2D5B"/>
    <w:rsid w:val="003F2D81"/>
    <w:rsid w:val="003F2E38"/>
    <w:rsid w:val="003F2F86"/>
    <w:rsid w:val="003F2FDA"/>
    <w:rsid w:val="003F3086"/>
    <w:rsid w:val="003F3138"/>
    <w:rsid w:val="003F3226"/>
    <w:rsid w:val="003F32D4"/>
    <w:rsid w:val="003F3328"/>
    <w:rsid w:val="003F3A5B"/>
    <w:rsid w:val="003F3D76"/>
    <w:rsid w:val="003F3E40"/>
    <w:rsid w:val="003F4185"/>
    <w:rsid w:val="003F421D"/>
    <w:rsid w:val="003F430A"/>
    <w:rsid w:val="003F44B5"/>
    <w:rsid w:val="003F45C5"/>
    <w:rsid w:val="003F4638"/>
    <w:rsid w:val="003F4758"/>
    <w:rsid w:val="003F5028"/>
    <w:rsid w:val="003F50E9"/>
    <w:rsid w:val="003F520A"/>
    <w:rsid w:val="003F5325"/>
    <w:rsid w:val="003F54A9"/>
    <w:rsid w:val="003F5518"/>
    <w:rsid w:val="003F584D"/>
    <w:rsid w:val="003F5AD2"/>
    <w:rsid w:val="003F5B6E"/>
    <w:rsid w:val="003F5CA4"/>
    <w:rsid w:val="003F5CC5"/>
    <w:rsid w:val="003F5E21"/>
    <w:rsid w:val="003F5F0A"/>
    <w:rsid w:val="003F60DE"/>
    <w:rsid w:val="003F6132"/>
    <w:rsid w:val="003F614D"/>
    <w:rsid w:val="003F6157"/>
    <w:rsid w:val="003F6346"/>
    <w:rsid w:val="003F6449"/>
    <w:rsid w:val="003F646D"/>
    <w:rsid w:val="003F6488"/>
    <w:rsid w:val="003F65CA"/>
    <w:rsid w:val="003F6664"/>
    <w:rsid w:val="003F66BF"/>
    <w:rsid w:val="003F6701"/>
    <w:rsid w:val="003F692A"/>
    <w:rsid w:val="003F6A8F"/>
    <w:rsid w:val="003F6AF5"/>
    <w:rsid w:val="003F6B43"/>
    <w:rsid w:val="003F6D3E"/>
    <w:rsid w:val="003F6D50"/>
    <w:rsid w:val="003F7006"/>
    <w:rsid w:val="003F7201"/>
    <w:rsid w:val="003F7312"/>
    <w:rsid w:val="003F74E7"/>
    <w:rsid w:val="003F7507"/>
    <w:rsid w:val="003F7552"/>
    <w:rsid w:val="003F7886"/>
    <w:rsid w:val="003F7897"/>
    <w:rsid w:val="003F7C52"/>
    <w:rsid w:val="003F7C72"/>
    <w:rsid w:val="003F7D10"/>
    <w:rsid w:val="003F7D5D"/>
    <w:rsid w:val="003F7DFF"/>
    <w:rsid w:val="003F7EC8"/>
    <w:rsid w:val="0040017F"/>
    <w:rsid w:val="00400245"/>
    <w:rsid w:val="004003A2"/>
    <w:rsid w:val="004004E7"/>
    <w:rsid w:val="004006D4"/>
    <w:rsid w:val="00400BEC"/>
    <w:rsid w:val="00400C35"/>
    <w:rsid w:val="00400DC2"/>
    <w:rsid w:val="00400DE0"/>
    <w:rsid w:val="00401000"/>
    <w:rsid w:val="004016C6"/>
    <w:rsid w:val="0040175A"/>
    <w:rsid w:val="0040179A"/>
    <w:rsid w:val="00401856"/>
    <w:rsid w:val="004018A4"/>
    <w:rsid w:val="0040198F"/>
    <w:rsid w:val="00401A19"/>
    <w:rsid w:val="00401C36"/>
    <w:rsid w:val="00401D00"/>
    <w:rsid w:val="00402314"/>
    <w:rsid w:val="0040237E"/>
    <w:rsid w:val="004023B6"/>
    <w:rsid w:val="0040240B"/>
    <w:rsid w:val="0040240F"/>
    <w:rsid w:val="0040287A"/>
    <w:rsid w:val="004028A2"/>
    <w:rsid w:val="00402B02"/>
    <w:rsid w:val="00402C31"/>
    <w:rsid w:val="00402D70"/>
    <w:rsid w:val="00402DE5"/>
    <w:rsid w:val="00402FEA"/>
    <w:rsid w:val="00402FEB"/>
    <w:rsid w:val="0040302D"/>
    <w:rsid w:val="0040305D"/>
    <w:rsid w:val="00403344"/>
    <w:rsid w:val="0040337A"/>
    <w:rsid w:val="00403524"/>
    <w:rsid w:val="00403745"/>
    <w:rsid w:val="00403852"/>
    <w:rsid w:val="004038A1"/>
    <w:rsid w:val="004039BB"/>
    <w:rsid w:val="00403AA0"/>
    <w:rsid w:val="00403B1D"/>
    <w:rsid w:val="00403BAA"/>
    <w:rsid w:val="00403C82"/>
    <w:rsid w:val="00403CF5"/>
    <w:rsid w:val="00403E28"/>
    <w:rsid w:val="00404251"/>
    <w:rsid w:val="0040426D"/>
    <w:rsid w:val="00404497"/>
    <w:rsid w:val="00404527"/>
    <w:rsid w:val="00404767"/>
    <w:rsid w:val="004048C9"/>
    <w:rsid w:val="00404910"/>
    <w:rsid w:val="004049AA"/>
    <w:rsid w:val="00404C44"/>
    <w:rsid w:val="00404EE8"/>
    <w:rsid w:val="00404F5B"/>
    <w:rsid w:val="0040510D"/>
    <w:rsid w:val="0040512D"/>
    <w:rsid w:val="00405286"/>
    <w:rsid w:val="004052D4"/>
    <w:rsid w:val="0040532D"/>
    <w:rsid w:val="004054FD"/>
    <w:rsid w:val="00405510"/>
    <w:rsid w:val="0040564F"/>
    <w:rsid w:val="00405A48"/>
    <w:rsid w:val="00405B3E"/>
    <w:rsid w:val="00405BBD"/>
    <w:rsid w:val="00405EC9"/>
    <w:rsid w:val="00405F6D"/>
    <w:rsid w:val="0040602F"/>
    <w:rsid w:val="00406152"/>
    <w:rsid w:val="0040623D"/>
    <w:rsid w:val="0040638D"/>
    <w:rsid w:val="004064B1"/>
    <w:rsid w:val="00406604"/>
    <w:rsid w:val="0040665B"/>
    <w:rsid w:val="004067FC"/>
    <w:rsid w:val="00406829"/>
    <w:rsid w:val="00406935"/>
    <w:rsid w:val="00406AFB"/>
    <w:rsid w:val="00406DCA"/>
    <w:rsid w:val="00407177"/>
    <w:rsid w:val="00407273"/>
    <w:rsid w:val="00407382"/>
    <w:rsid w:val="00407387"/>
    <w:rsid w:val="00407508"/>
    <w:rsid w:val="00407534"/>
    <w:rsid w:val="004075E2"/>
    <w:rsid w:val="004076AA"/>
    <w:rsid w:val="0040791B"/>
    <w:rsid w:val="0040793B"/>
    <w:rsid w:val="00407A71"/>
    <w:rsid w:val="00407C65"/>
    <w:rsid w:val="00407D36"/>
    <w:rsid w:val="00410351"/>
    <w:rsid w:val="00410457"/>
    <w:rsid w:val="0041055E"/>
    <w:rsid w:val="004105B5"/>
    <w:rsid w:val="0041091E"/>
    <w:rsid w:val="004109DD"/>
    <w:rsid w:val="00410AB8"/>
    <w:rsid w:val="00410DD0"/>
    <w:rsid w:val="004110BA"/>
    <w:rsid w:val="004110D3"/>
    <w:rsid w:val="00411596"/>
    <w:rsid w:val="0041176D"/>
    <w:rsid w:val="004117BD"/>
    <w:rsid w:val="00411958"/>
    <w:rsid w:val="004119BA"/>
    <w:rsid w:val="00411B2A"/>
    <w:rsid w:val="00411C5C"/>
    <w:rsid w:val="00411DE2"/>
    <w:rsid w:val="004120EE"/>
    <w:rsid w:val="004122D7"/>
    <w:rsid w:val="00412409"/>
    <w:rsid w:val="00412525"/>
    <w:rsid w:val="0041270A"/>
    <w:rsid w:val="0041280C"/>
    <w:rsid w:val="00412973"/>
    <w:rsid w:val="00412AAF"/>
    <w:rsid w:val="00412D42"/>
    <w:rsid w:val="00412DA4"/>
    <w:rsid w:val="00412EB6"/>
    <w:rsid w:val="00412F43"/>
    <w:rsid w:val="0041301E"/>
    <w:rsid w:val="004130E8"/>
    <w:rsid w:val="004133E2"/>
    <w:rsid w:val="0041350A"/>
    <w:rsid w:val="0041351F"/>
    <w:rsid w:val="00413596"/>
    <w:rsid w:val="004137AB"/>
    <w:rsid w:val="004137C8"/>
    <w:rsid w:val="004138E0"/>
    <w:rsid w:val="00413B90"/>
    <w:rsid w:val="00413BF9"/>
    <w:rsid w:val="00413C25"/>
    <w:rsid w:val="00413CD8"/>
    <w:rsid w:val="004142B7"/>
    <w:rsid w:val="004147B5"/>
    <w:rsid w:val="0041495B"/>
    <w:rsid w:val="00414BAC"/>
    <w:rsid w:val="00414C6E"/>
    <w:rsid w:val="00414F58"/>
    <w:rsid w:val="00415328"/>
    <w:rsid w:val="00415531"/>
    <w:rsid w:val="0041562F"/>
    <w:rsid w:val="00415749"/>
    <w:rsid w:val="0041576A"/>
    <w:rsid w:val="0041577F"/>
    <w:rsid w:val="00415A12"/>
    <w:rsid w:val="00415A43"/>
    <w:rsid w:val="00415AA4"/>
    <w:rsid w:val="00415B8D"/>
    <w:rsid w:val="00415C66"/>
    <w:rsid w:val="00415DCD"/>
    <w:rsid w:val="00416330"/>
    <w:rsid w:val="004163ED"/>
    <w:rsid w:val="004166F1"/>
    <w:rsid w:val="00416D7E"/>
    <w:rsid w:val="004176C7"/>
    <w:rsid w:val="00417723"/>
    <w:rsid w:val="00417877"/>
    <w:rsid w:val="00417919"/>
    <w:rsid w:val="00417985"/>
    <w:rsid w:val="00417A2C"/>
    <w:rsid w:val="00417AC5"/>
    <w:rsid w:val="00417B2F"/>
    <w:rsid w:val="00417D9D"/>
    <w:rsid w:val="00417D9F"/>
    <w:rsid w:val="00420229"/>
    <w:rsid w:val="0042026A"/>
    <w:rsid w:val="00420575"/>
    <w:rsid w:val="00420A16"/>
    <w:rsid w:val="00420C51"/>
    <w:rsid w:val="00420DBA"/>
    <w:rsid w:val="00420E39"/>
    <w:rsid w:val="00420F05"/>
    <w:rsid w:val="00420F55"/>
    <w:rsid w:val="004210BA"/>
    <w:rsid w:val="00421311"/>
    <w:rsid w:val="00421480"/>
    <w:rsid w:val="0042155B"/>
    <w:rsid w:val="0042156C"/>
    <w:rsid w:val="00421829"/>
    <w:rsid w:val="004219B6"/>
    <w:rsid w:val="00421B33"/>
    <w:rsid w:val="0042209F"/>
    <w:rsid w:val="0042219B"/>
    <w:rsid w:val="004225B2"/>
    <w:rsid w:val="00422644"/>
    <w:rsid w:val="004226F3"/>
    <w:rsid w:val="00422723"/>
    <w:rsid w:val="004227B4"/>
    <w:rsid w:val="004228CE"/>
    <w:rsid w:val="004228DD"/>
    <w:rsid w:val="00422A32"/>
    <w:rsid w:val="00422A8B"/>
    <w:rsid w:val="00422DF3"/>
    <w:rsid w:val="00422E13"/>
    <w:rsid w:val="0042348F"/>
    <w:rsid w:val="0042350F"/>
    <w:rsid w:val="00423599"/>
    <w:rsid w:val="0042384C"/>
    <w:rsid w:val="00423893"/>
    <w:rsid w:val="00423981"/>
    <w:rsid w:val="00423BC9"/>
    <w:rsid w:val="00423C48"/>
    <w:rsid w:val="00423F90"/>
    <w:rsid w:val="00423FA4"/>
    <w:rsid w:val="00424072"/>
    <w:rsid w:val="0042421C"/>
    <w:rsid w:val="00424406"/>
    <w:rsid w:val="004245D9"/>
    <w:rsid w:val="00424836"/>
    <w:rsid w:val="0042490F"/>
    <w:rsid w:val="00424921"/>
    <w:rsid w:val="00424D1A"/>
    <w:rsid w:val="00424D65"/>
    <w:rsid w:val="00424F3A"/>
    <w:rsid w:val="004252BF"/>
    <w:rsid w:val="004255B4"/>
    <w:rsid w:val="004256E6"/>
    <w:rsid w:val="00425F20"/>
    <w:rsid w:val="00425FC6"/>
    <w:rsid w:val="00426211"/>
    <w:rsid w:val="0042668C"/>
    <w:rsid w:val="00426766"/>
    <w:rsid w:val="004267D0"/>
    <w:rsid w:val="0042686C"/>
    <w:rsid w:val="004268D5"/>
    <w:rsid w:val="00426CAB"/>
    <w:rsid w:val="00426DB3"/>
    <w:rsid w:val="00427068"/>
    <w:rsid w:val="0042720F"/>
    <w:rsid w:val="004276A9"/>
    <w:rsid w:val="004279CA"/>
    <w:rsid w:val="00427A82"/>
    <w:rsid w:val="00427AFC"/>
    <w:rsid w:val="00427B19"/>
    <w:rsid w:val="00427E38"/>
    <w:rsid w:val="00427E39"/>
    <w:rsid w:val="00427EA2"/>
    <w:rsid w:val="00427FD1"/>
    <w:rsid w:val="00430115"/>
    <w:rsid w:val="0043046B"/>
    <w:rsid w:val="004307D3"/>
    <w:rsid w:val="00430A4B"/>
    <w:rsid w:val="00430B4A"/>
    <w:rsid w:val="00430BE6"/>
    <w:rsid w:val="00430CDE"/>
    <w:rsid w:val="00430F65"/>
    <w:rsid w:val="00431039"/>
    <w:rsid w:val="00431143"/>
    <w:rsid w:val="0043117F"/>
    <w:rsid w:val="0043118E"/>
    <w:rsid w:val="00431256"/>
    <w:rsid w:val="00431267"/>
    <w:rsid w:val="00431308"/>
    <w:rsid w:val="004319D1"/>
    <w:rsid w:val="00431AB7"/>
    <w:rsid w:val="00431C35"/>
    <w:rsid w:val="00431C46"/>
    <w:rsid w:val="00431D45"/>
    <w:rsid w:val="00431DC7"/>
    <w:rsid w:val="0043203D"/>
    <w:rsid w:val="00432086"/>
    <w:rsid w:val="004322F0"/>
    <w:rsid w:val="00432359"/>
    <w:rsid w:val="00432440"/>
    <w:rsid w:val="004325C6"/>
    <w:rsid w:val="004327E6"/>
    <w:rsid w:val="0043280B"/>
    <w:rsid w:val="004329DC"/>
    <w:rsid w:val="00432A39"/>
    <w:rsid w:val="00432A6C"/>
    <w:rsid w:val="00432A89"/>
    <w:rsid w:val="00432AC6"/>
    <w:rsid w:val="00432B51"/>
    <w:rsid w:val="00432D15"/>
    <w:rsid w:val="00432D38"/>
    <w:rsid w:val="00432FD0"/>
    <w:rsid w:val="00432FEC"/>
    <w:rsid w:val="004332D4"/>
    <w:rsid w:val="0043334B"/>
    <w:rsid w:val="00433630"/>
    <w:rsid w:val="0043364B"/>
    <w:rsid w:val="00433B33"/>
    <w:rsid w:val="00433B7B"/>
    <w:rsid w:val="00434058"/>
    <w:rsid w:val="0043433A"/>
    <w:rsid w:val="0043441C"/>
    <w:rsid w:val="00434444"/>
    <w:rsid w:val="004344DF"/>
    <w:rsid w:val="0043460B"/>
    <w:rsid w:val="004346A8"/>
    <w:rsid w:val="0043474B"/>
    <w:rsid w:val="00434932"/>
    <w:rsid w:val="00434940"/>
    <w:rsid w:val="00434B31"/>
    <w:rsid w:val="00434C59"/>
    <w:rsid w:val="00434C5E"/>
    <w:rsid w:val="004350AA"/>
    <w:rsid w:val="004350DB"/>
    <w:rsid w:val="0043512C"/>
    <w:rsid w:val="00435434"/>
    <w:rsid w:val="0043555C"/>
    <w:rsid w:val="0043563C"/>
    <w:rsid w:val="00435698"/>
    <w:rsid w:val="00435765"/>
    <w:rsid w:val="00435981"/>
    <w:rsid w:val="00435ACD"/>
    <w:rsid w:val="00435B20"/>
    <w:rsid w:val="00435D72"/>
    <w:rsid w:val="00435E4A"/>
    <w:rsid w:val="00435FD9"/>
    <w:rsid w:val="004360B6"/>
    <w:rsid w:val="004362E5"/>
    <w:rsid w:val="00436356"/>
    <w:rsid w:val="004366B0"/>
    <w:rsid w:val="004366CE"/>
    <w:rsid w:val="004366F1"/>
    <w:rsid w:val="00436836"/>
    <w:rsid w:val="00436FAF"/>
    <w:rsid w:val="004372D4"/>
    <w:rsid w:val="004372D9"/>
    <w:rsid w:val="004373A0"/>
    <w:rsid w:val="004375E5"/>
    <w:rsid w:val="004376C7"/>
    <w:rsid w:val="0043774A"/>
    <w:rsid w:val="0043789D"/>
    <w:rsid w:val="00437B62"/>
    <w:rsid w:val="00437D2D"/>
    <w:rsid w:val="00437DF9"/>
    <w:rsid w:val="00437E2A"/>
    <w:rsid w:val="0044055F"/>
    <w:rsid w:val="0044057E"/>
    <w:rsid w:val="004406FA"/>
    <w:rsid w:val="00440722"/>
    <w:rsid w:val="00440944"/>
    <w:rsid w:val="0044095B"/>
    <w:rsid w:val="00440AD1"/>
    <w:rsid w:val="00440DDB"/>
    <w:rsid w:val="00440E1B"/>
    <w:rsid w:val="00440F2E"/>
    <w:rsid w:val="00441172"/>
    <w:rsid w:val="00441233"/>
    <w:rsid w:val="004413DA"/>
    <w:rsid w:val="004414E9"/>
    <w:rsid w:val="0044153F"/>
    <w:rsid w:val="004415D1"/>
    <w:rsid w:val="004416BF"/>
    <w:rsid w:val="0044194A"/>
    <w:rsid w:val="00441A10"/>
    <w:rsid w:val="00441CD1"/>
    <w:rsid w:val="00441E6A"/>
    <w:rsid w:val="00441EC7"/>
    <w:rsid w:val="00442031"/>
    <w:rsid w:val="00442168"/>
    <w:rsid w:val="0044222C"/>
    <w:rsid w:val="004425CD"/>
    <w:rsid w:val="004425D9"/>
    <w:rsid w:val="00442675"/>
    <w:rsid w:val="004426D9"/>
    <w:rsid w:val="004428B2"/>
    <w:rsid w:val="00442B95"/>
    <w:rsid w:val="00442D00"/>
    <w:rsid w:val="004430C6"/>
    <w:rsid w:val="0044313F"/>
    <w:rsid w:val="00443244"/>
    <w:rsid w:val="0044324A"/>
    <w:rsid w:val="004436DD"/>
    <w:rsid w:val="00443974"/>
    <w:rsid w:val="004439BE"/>
    <w:rsid w:val="00443A5A"/>
    <w:rsid w:val="00443B38"/>
    <w:rsid w:val="00443B6C"/>
    <w:rsid w:val="00443C7B"/>
    <w:rsid w:val="00443E87"/>
    <w:rsid w:val="004441BA"/>
    <w:rsid w:val="00444204"/>
    <w:rsid w:val="00444350"/>
    <w:rsid w:val="00444399"/>
    <w:rsid w:val="00444485"/>
    <w:rsid w:val="004448C0"/>
    <w:rsid w:val="00444AF6"/>
    <w:rsid w:val="00444C5A"/>
    <w:rsid w:val="00444E43"/>
    <w:rsid w:val="00444FE0"/>
    <w:rsid w:val="004450D9"/>
    <w:rsid w:val="0044519D"/>
    <w:rsid w:val="00445544"/>
    <w:rsid w:val="00445952"/>
    <w:rsid w:val="00445ACB"/>
    <w:rsid w:val="00445AF1"/>
    <w:rsid w:val="00445C08"/>
    <w:rsid w:val="00445C0B"/>
    <w:rsid w:val="00445CBF"/>
    <w:rsid w:val="00445DB0"/>
    <w:rsid w:val="00445DE8"/>
    <w:rsid w:val="004460EA"/>
    <w:rsid w:val="00446195"/>
    <w:rsid w:val="004462FE"/>
    <w:rsid w:val="0044641C"/>
    <w:rsid w:val="0044648F"/>
    <w:rsid w:val="004464C0"/>
    <w:rsid w:val="0044664B"/>
    <w:rsid w:val="0044669D"/>
    <w:rsid w:val="0044685F"/>
    <w:rsid w:val="004468B1"/>
    <w:rsid w:val="00446935"/>
    <w:rsid w:val="00446D0C"/>
    <w:rsid w:val="00446DF8"/>
    <w:rsid w:val="00446E77"/>
    <w:rsid w:val="004471B2"/>
    <w:rsid w:val="00447438"/>
    <w:rsid w:val="00447597"/>
    <w:rsid w:val="00447CB7"/>
    <w:rsid w:val="00447CD0"/>
    <w:rsid w:val="00447FC2"/>
    <w:rsid w:val="004502F4"/>
    <w:rsid w:val="0045063D"/>
    <w:rsid w:val="00450670"/>
    <w:rsid w:val="004506F4"/>
    <w:rsid w:val="00450751"/>
    <w:rsid w:val="004509D1"/>
    <w:rsid w:val="00450A36"/>
    <w:rsid w:val="00450A42"/>
    <w:rsid w:val="00450B43"/>
    <w:rsid w:val="00450C0D"/>
    <w:rsid w:val="00450CD6"/>
    <w:rsid w:val="00450D6A"/>
    <w:rsid w:val="00450E13"/>
    <w:rsid w:val="004510E3"/>
    <w:rsid w:val="004513A5"/>
    <w:rsid w:val="004513F6"/>
    <w:rsid w:val="004516DD"/>
    <w:rsid w:val="00451727"/>
    <w:rsid w:val="00451800"/>
    <w:rsid w:val="00451B12"/>
    <w:rsid w:val="00451B4B"/>
    <w:rsid w:val="00451C86"/>
    <w:rsid w:val="00451D50"/>
    <w:rsid w:val="00451E5A"/>
    <w:rsid w:val="00451E72"/>
    <w:rsid w:val="0045208F"/>
    <w:rsid w:val="004521D5"/>
    <w:rsid w:val="00452550"/>
    <w:rsid w:val="00452612"/>
    <w:rsid w:val="004526FA"/>
    <w:rsid w:val="00452783"/>
    <w:rsid w:val="00452BE1"/>
    <w:rsid w:val="00452D57"/>
    <w:rsid w:val="00452D93"/>
    <w:rsid w:val="00452DDC"/>
    <w:rsid w:val="00452EA2"/>
    <w:rsid w:val="00452EC4"/>
    <w:rsid w:val="0045330A"/>
    <w:rsid w:val="00453340"/>
    <w:rsid w:val="00453415"/>
    <w:rsid w:val="0045341A"/>
    <w:rsid w:val="00453641"/>
    <w:rsid w:val="004536D1"/>
    <w:rsid w:val="00453775"/>
    <w:rsid w:val="004537B1"/>
    <w:rsid w:val="004537FB"/>
    <w:rsid w:val="00453830"/>
    <w:rsid w:val="00453838"/>
    <w:rsid w:val="0045383F"/>
    <w:rsid w:val="00453890"/>
    <w:rsid w:val="00453A3D"/>
    <w:rsid w:val="00453DF2"/>
    <w:rsid w:val="0045411B"/>
    <w:rsid w:val="00454380"/>
    <w:rsid w:val="00454629"/>
    <w:rsid w:val="00454697"/>
    <w:rsid w:val="0045470C"/>
    <w:rsid w:val="00454850"/>
    <w:rsid w:val="00454F76"/>
    <w:rsid w:val="00454FF6"/>
    <w:rsid w:val="0045502E"/>
    <w:rsid w:val="0045519F"/>
    <w:rsid w:val="00455245"/>
    <w:rsid w:val="004552C8"/>
    <w:rsid w:val="0045531E"/>
    <w:rsid w:val="0045536C"/>
    <w:rsid w:val="0045544F"/>
    <w:rsid w:val="00455720"/>
    <w:rsid w:val="00455899"/>
    <w:rsid w:val="00455A07"/>
    <w:rsid w:val="00455A4B"/>
    <w:rsid w:val="00455AEB"/>
    <w:rsid w:val="0045603C"/>
    <w:rsid w:val="00456053"/>
    <w:rsid w:val="00456068"/>
    <w:rsid w:val="0045624A"/>
    <w:rsid w:val="00456392"/>
    <w:rsid w:val="004563B9"/>
    <w:rsid w:val="004564FE"/>
    <w:rsid w:val="0045667D"/>
    <w:rsid w:val="0045676B"/>
    <w:rsid w:val="00456887"/>
    <w:rsid w:val="00456896"/>
    <w:rsid w:val="00456A6E"/>
    <w:rsid w:val="00456ADA"/>
    <w:rsid w:val="00456B09"/>
    <w:rsid w:val="00456B0D"/>
    <w:rsid w:val="00456F0F"/>
    <w:rsid w:val="00457042"/>
    <w:rsid w:val="00457246"/>
    <w:rsid w:val="0045770D"/>
    <w:rsid w:val="0045790F"/>
    <w:rsid w:val="00457935"/>
    <w:rsid w:val="00457D63"/>
    <w:rsid w:val="00457D9C"/>
    <w:rsid w:val="00457DB5"/>
    <w:rsid w:val="00457E21"/>
    <w:rsid w:val="00457F5A"/>
    <w:rsid w:val="0046007E"/>
    <w:rsid w:val="004600A5"/>
    <w:rsid w:val="0046012B"/>
    <w:rsid w:val="00460130"/>
    <w:rsid w:val="004601C2"/>
    <w:rsid w:val="004601CE"/>
    <w:rsid w:val="0046024B"/>
    <w:rsid w:val="004602DD"/>
    <w:rsid w:val="004605C4"/>
    <w:rsid w:val="00460734"/>
    <w:rsid w:val="00460953"/>
    <w:rsid w:val="004609F0"/>
    <w:rsid w:val="00460AB4"/>
    <w:rsid w:val="00460AF9"/>
    <w:rsid w:val="00460E20"/>
    <w:rsid w:val="00460E36"/>
    <w:rsid w:val="00461155"/>
    <w:rsid w:val="0046121F"/>
    <w:rsid w:val="004612D9"/>
    <w:rsid w:val="00461556"/>
    <w:rsid w:val="004616C3"/>
    <w:rsid w:val="0046172D"/>
    <w:rsid w:val="00461787"/>
    <w:rsid w:val="00461911"/>
    <w:rsid w:val="00461CFC"/>
    <w:rsid w:val="00461D19"/>
    <w:rsid w:val="0046211E"/>
    <w:rsid w:val="0046215C"/>
    <w:rsid w:val="0046218C"/>
    <w:rsid w:val="0046219C"/>
    <w:rsid w:val="00462284"/>
    <w:rsid w:val="004623D4"/>
    <w:rsid w:val="004623D9"/>
    <w:rsid w:val="00462469"/>
    <w:rsid w:val="004624F3"/>
    <w:rsid w:val="004626F9"/>
    <w:rsid w:val="004627A9"/>
    <w:rsid w:val="004627F9"/>
    <w:rsid w:val="0046285B"/>
    <w:rsid w:val="00462CBE"/>
    <w:rsid w:val="00462D10"/>
    <w:rsid w:val="00462E9B"/>
    <w:rsid w:val="00462F01"/>
    <w:rsid w:val="00462F10"/>
    <w:rsid w:val="00462F44"/>
    <w:rsid w:val="00462FB0"/>
    <w:rsid w:val="00463124"/>
    <w:rsid w:val="004633AC"/>
    <w:rsid w:val="00463547"/>
    <w:rsid w:val="004636E0"/>
    <w:rsid w:val="004637BA"/>
    <w:rsid w:val="004637E1"/>
    <w:rsid w:val="0046390A"/>
    <w:rsid w:val="00463944"/>
    <w:rsid w:val="00463962"/>
    <w:rsid w:val="004639C0"/>
    <w:rsid w:val="00463FE0"/>
    <w:rsid w:val="004640CD"/>
    <w:rsid w:val="00464431"/>
    <w:rsid w:val="00464446"/>
    <w:rsid w:val="0046446F"/>
    <w:rsid w:val="0046454A"/>
    <w:rsid w:val="00464581"/>
    <w:rsid w:val="00464682"/>
    <w:rsid w:val="00464AE0"/>
    <w:rsid w:val="00464B5C"/>
    <w:rsid w:val="00464BA6"/>
    <w:rsid w:val="0046512A"/>
    <w:rsid w:val="004651FB"/>
    <w:rsid w:val="00465234"/>
    <w:rsid w:val="004653B5"/>
    <w:rsid w:val="00465602"/>
    <w:rsid w:val="00465655"/>
    <w:rsid w:val="00465680"/>
    <w:rsid w:val="0046572E"/>
    <w:rsid w:val="004659CC"/>
    <w:rsid w:val="00465A55"/>
    <w:rsid w:val="00465B09"/>
    <w:rsid w:val="00465B24"/>
    <w:rsid w:val="00465BAF"/>
    <w:rsid w:val="00465C17"/>
    <w:rsid w:val="00465D39"/>
    <w:rsid w:val="00465F4A"/>
    <w:rsid w:val="004660B8"/>
    <w:rsid w:val="0046613D"/>
    <w:rsid w:val="0046626C"/>
    <w:rsid w:val="00466288"/>
    <w:rsid w:val="004664F8"/>
    <w:rsid w:val="00466533"/>
    <w:rsid w:val="004666B5"/>
    <w:rsid w:val="00466858"/>
    <w:rsid w:val="004668A3"/>
    <w:rsid w:val="004668CC"/>
    <w:rsid w:val="00466BB0"/>
    <w:rsid w:val="00466C23"/>
    <w:rsid w:val="00466D0F"/>
    <w:rsid w:val="00466DC1"/>
    <w:rsid w:val="00466EF6"/>
    <w:rsid w:val="00466F48"/>
    <w:rsid w:val="0046717C"/>
    <w:rsid w:val="00467544"/>
    <w:rsid w:val="00467658"/>
    <w:rsid w:val="004676BA"/>
    <w:rsid w:val="00467734"/>
    <w:rsid w:val="0046784C"/>
    <w:rsid w:val="00467BFE"/>
    <w:rsid w:val="00467D21"/>
    <w:rsid w:val="00467DA0"/>
    <w:rsid w:val="00467E73"/>
    <w:rsid w:val="00467ECB"/>
    <w:rsid w:val="0047000D"/>
    <w:rsid w:val="004700F9"/>
    <w:rsid w:val="0047012E"/>
    <w:rsid w:val="0047030A"/>
    <w:rsid w:val="00470354"/>
    <w:rsid w:val="00470399"/>
    <w:rsid w:val="0047051A"/>
    <w:rsid w:val="00470537"/>
    <w:rsid w:val="00470AB8"/>
    <w:rsid w:val="00470C29"/>
    <w:rsid w:val="00470CEE"/>
    <w:rsid w:val="00470EAA"/>
    <w:rsid w:val="004710C3"/>
    <w:rsid w:val="00471173"/>
    <w:rsid w:val="00471459"/>
    <w:rsid w:val="004714E5"/>
    <w:rsid w:val="00471855"/>
    <w:rsid w:val="00471C19"/>
    <w:rsid w:val="00471F18"/>
    <w:rsid w:val="00471FB9"/>
    <w:rsid w:val="00471FEA"/>
    <w:rsid w:val="004720B6"/>
    <w:rsid w:val="00472134"/>
    <w:rsid w:val="00472235"/>
    <w:rsid w:val="00472274"/>
    <w:rsid w:val="004722D4"/>
    <w:rsid w:val="004722D7"/>
    <w:rsid w:val="0047239C"/>
    <w:rsid w:val="004723D2"/>
    <w:rsid w:val="004723FE"/>
    <w:rsid w:val="004724AD"/>
    <w:rsid w:val="00472542"/>
    <w:rsid w:val="00472AA0"/>
    <w:rsid w:val="00472B62"/>
    <w:rsid w:val="00472C22"/>
    <w:rsid w:val="00472D65"/>
    <w:rsid w:val="00472D9C"/>
    <w:rsid w:val="00472E80"/>
    <w:rsid w:val="00472FB5"/>
    <w:rsid w:val="0047310D"/>
    <w:rsid w:val="00473306"/>
    <w:rsid w:val="00473330"/>
    <w:rsid w:val="004734D2"/>
    <w:rsid w:val="004738A4"/>
    <w:rsid w:val="00473A6C"/>
    <w:rsid w:val="00473A74"/>
    <w:rsid w:val="00473B60"/>
    <w:rsid w:val="00473C1E"/>
    <w:rsid w:val="00473D9D"/>
    <w:rsid w:val="00473F25"/>
    <w:rsid w:val="00474041"/>
    <w:rsid w:val="004740E8"/>
    <w:rsid w:val="004741E1"/>
    <w:rsid w:val="004745DF"/>
    <w:rsid w:val="0047499E"/>
    <w:rsid w:val="00474A3F"/>
    <w:rsid w:val="00474E30"/>
    <w:rsid w:val="00474F95"/>
    <w:rsid w:val="00474FCE"/>
    <w:rsid w:val="00475043"/>
    <w:rsid w:val="004752DA"/>
    <w:rsid w:val="004753EE"/>
    <w:rsid w:val="004753F1"/>
    <w:rsid w:val="004755CA"/>
    <w:rsid w:val="00475918"/>
    <w:rsid w:val="0047599C"/>
    <w:rsid w:val="00475AE3"/>
    <w:rsid w:val="00475AFF"/>
    <w:rsid w:val="00475C3A"/>
    <w:rsid w:val="00475D30"/>
    <w:rsid w:val="004765F4"/>
    <w:rsid w:val="00476990"/>
    <w:rsid w:val="004769D1"/>
    <w:rsid w:val="00476B4D"/>
    <w:rsid w:val="00476CBC"/>
    <w:rsid w:val="00476D0E"/>
    <w:rsid w:val="00476D5B"/>
    <w:rsid w:val="00476E6C"/>
    <w:rsid w:val="00476E79"/>
    <w:rsid w:val="0047716D"/>
    <w:rsid w:val="00477282"/>
    <w:rsid w:val="00477357"/>
    <w:rsid w:val="00477442"/>
    <w:rsid w:val="00477599"/>
    <w:rsid w:val="004778A4"/>
    <w:rsid w:val="00477947"/>
    <w:rsid w:val="00477C0D"/>
    <w:rsid w:val="00477CC7"/>
    <w:rsid w:val="0048015E"/>
    <w:rsid w:val="004804DD"/>
    <w:rsid w:val="0048088C"/>
    <w:rsid w:val="00480A2A"/>
    <w:rsid w:val="00480ABA"/>
    <w:rsid w:val="00480C06"/>
    <w:rsid w:val="00480D96"/>
    <w:rsid w:val="00480F32"/>
    <w:rsid w:val="00480FA1"/>
    <w:rsid w:val="00481173"/>
    <w:rsid w:val="004813B4"/>
    <w:rsid w:val="004813EF"/>
    <w:rsid w:val="0048155F"/>
    <w:rsid w:val="004815C4"/>
    <w:rsid w:val="0048163E"/>
    <w:rsid w:val="00481664"/>
    <w:rsid w:val="00481972"/>
    <w:rsid w:val="00481AEE"/>
    <w:rsid w:val="00481C54"/>
    <w:rsid w:val="00481FD7"/>
    <w:rsid w:val="0048216F"/>
    <w:rsid w:val="0048222A"/>
    <w:rsid w:val="00482760"/>
    <w:rsid w:val="00482BCA"/>
    <w:rsid w:val="00482DE5"/>
    <w:rsid w:val="00482E00"/>
    <w:rsid w:val="00483266"/>
    <w:rsid w:val="00483411"/>
    <w:rsid w:val="0048352E"/>
    <w:rsid w:val="004835A4"/>
    <w:rsid w:val="004836A9"/>
    <w:rsid w:val="00483B23"/>
    <w:rsid w:val="00483B3D"/>
    <w:rsid w:val="00483BBF"/>
    <w:rsid w:val="004840B6"/>
    <w:rsid w:val="004840D7"/>
    <w:rsid w:val="00484379"/>
    <w:rsid w:val="00484567"/>
    <w:rsid w:val="0048465E"/>
    <w:rsid w:val="004846F4"/>
    <w:rsid w:val="00484765"/>
    <w:rsid w:val="004848E0"/>
    <w:rsid w:val="00484AA5"/>
    <w:rsid w:val="00484C3A"/>
    <w:rsid w:val="00484E13"/>
    <w:rsid w:val="00484E22"/>
    <w:rsid w:val="00484E88"/>
    <w:rsid w:val="00484FD5"/>
    <w:rsid w:val="00485030"/>
    <w:rsid w:val="004851F5"/>
    <w:rsid w:val="00485206"/>
    <w:rsid w:val="00485673"/>
    <w:rsid w:val="00485A08"/>
    <w:rsid w:val="00485C26"/>
    <w:rsid w:val="00485EC0"/>
    <w:rsid w:val="00485FD4"/>
    <w:rsid w:val="0048632D"/>
    <w:rsid w:val="00486374"/>
    <w:rsid w:val="004863B1"/>
    <w:rsid w:val="00486743"/>
    <w:rsid w:val="00486C86"/>
    <w:rsid w:val="004871FC"/>
    <w:rsid w:val="004875E1"/>
    <w:rsid w:val="0048768B"/>
    <w:rsid w:val="004876A6"/>
    <w:rsid w:val="004876B1"/>
    <w:rsid w:val="0048771C"/>
    <w:rsid w:val="0048787F"/>
    <w:rsid w:val="00487A3A"/>
    <w:rsid w:val="00487A72"/>
    <w:rsid w:val="00487ABA"/>
    <w:rsid w:val="00487B37"/>
    <w:rsid w:val="00487D59"/>
    <w:rsid w:val="00487E50"/>
    <w:rsid w:val="00487F86"/>
    <w:rsid w:val="00487FB7"/>
    <w:rsid w:val="004902C4"/>
    <w:rsid w:val="004903EA"/>
    <w:rsid w:val="00490442"/>
    <w:rsid w:val="0049045E"/>
    <w:rsid w:val="00490636"/>
    <w:rsid w:val="0049063F"/>
    <w:rsid w:val="00490818"/>
    <w:rsid w:val="00490B1A"/>
    <w:rsid w:val="00490CD8"/>
    <w:rsid w:val="00490D65"/>
    <w:rsid w:val="00490FF0"/>
    <w:rsid w:val="0049106C"/>
    <w:rsid w:val="0049107A"/>
    <w:rsid w:val="004910FE"/>
    <w:rsid w:val="00491198"/>
    <w:rsid w:val="004911B0"/>
    <w:rsid w:val="0049122B"/>
    <w:rsid w:val="00491308"/>
    <w:rsid w:val="0049149F"/>
    <w:rsid w:val="004917E0"/>
    <w:rsid w:val="00491BF6"/>
    <w:rsid w:val="00491F59"/>
    <w:rsid w:val="00491FED"/>
    <w:rsid w:val="004920D1"/>
    <w:rsid w:val="00492213"/>
    <w:rsid w:val="004923A6"/>
    <w:rsid w:val="004923E5"/>
    <w:rsid w:val="0049243E"/>
    <w:rsid w:val="004924C3"/>
    <w:rsid w:val="00492519"/>
    <w:rsid w:val="00492564"/>
    <w:rsid w:val="0049288B"/>
    <w:rsid w:val="00492B4A"/>
    <w:rsid w:val="00492B6C"/>
    <w:rsid w:val="00492E02"/>
    <w:rsid w:val="00492F82"/>
    <w:rsid w:val="0049306A"/>
    <w:rsid w:val="004930A6"/>
    <w:rsid w:val="004930BB"/>
    <w:rsid w:val="004933D0"/>
    <w:rsid w:val="00493484"/>
    <w:rsid w:val="0049349E"/>
    <w:rsid w:val="00493804"/>
    <w:rsid w:val="00493972"/>
    <w:rsid w:val="00493996"/>
    <w:rsid w:val="00493A68"/>
    <w:rsid w:val="00493B66"/>
    <w:rsid w:val="00493BD3"/>
    <w:rsid w:val="00493D84"/>
    <w:rsid w:val="004941AE"/>
    <w:rsid w:val="004943C2"/>
    <w:rsid w:val="0049465B"/>
    <w:rsid w:val="0049481C"/>
    <w:rsid w:val="00494918"/>
    <w:rsid w:val="00494A3F"/>
    <w:rsid w:val="00494C65"/>
    <w:rsid w:val="00494D7A"/>
    <w:rsid w:val="00494F0C"/>
    <w:rsid w:val="004950AB"/>
    <w:rsid w:val="00495188"/>
    <w:rsid w:val="004951D6"/>
    <w:rsid w:val="00495280"/>
    <w:rsid w:val="0049548C"/>
    <w:rsid w:val="004954CF"/>
    <w:rsid w:val="00495557"/>
    <w:rsid w:val="0049576D"/>
    <w:rsid w:val="00495821"/>
    <w:rsid w:val="00495827"/>
    <w:rsid w:val="00495936"/>
    <w:rsid w:val="00495953"/>
    <w:rsid w:val="00495B07"/>
    <w:rsid w:val="00495BC8"/>
    <w:rsid w:val="00495D84"/>
    <w:rsid w:val="00495E51"/>
    <w:rsid w:val="0049618D"/>
    <w:rsid w:val="004961FD"/>
    <w:rsid w:val="0049629C"/>
    <w:rsid w:val="004962C5"/>
    <w:rsid w:val="004962DC"/>
    <w:rsid w:val="0049647F"/>
    <w:rsid w:val="004965EF"/>
    <w:rsid w:val="0049660C"/>
    <w:rsid w:val="004966C0"/>
    <w:rsid w:val="00496A49"/>
    <w:rsid w:val="00496A5F"/>
    <w:rsid w:val="00496A9A"/>
    <w:rsid w:val="00496AC8"/>
    <w:rsid w:val="00496BB6"/>
    <w:rsid w:val="0049719D"/>
    <w:rsid w:val="00497250"/>
    <w:rsid w:val="00497261"/>
    <w:rsid w:val="004977EA"/>
    <w:rsid w:val="004978BB"/>
    <w:rsid w:val="00497B0E"/>
    <w:rsid w:val="00497CA0"/>
    <w:rsid w:val="00497CF7"/>
    <w:rsid w:val="00497FCD"/>
    <w:rsid w:val="004A0037"/>
    <w:rsid w:val="004A00A6"/>
    <w:rsid w:val="004A017C"/>
    <w:rsid w:val="004A02CA"/>
    <w:rsid w:val="004A053A"/>
    <w:rsid w:val="004A05B9"/>
    <w:rsid w:val="004A05C9"/>
    <w:rsid w:val="004A0813"/>
    <w:rsid w:val="004A086C"/>
    <w:rsid w:val="004A09B9"/>
    <w:rsid w:val="004A0D1E"/>
    <w:rsid w:val="004A0E66"/>
    <w:rsid w:val="004A0ED4"/>
    <w:rsid w:val="004A0EEC"/>
    <w:rsid w:val="004A0F71"/>
    <w:rsid w:val="004A1187"/>
    <w:rsid w:val="004A120E"/>
    <w:rsid w:val="004A12D0"/>
    <w:rsid w:val="004A130F"/>
    <w:rsid w:val="004A1360"/>
    <w:rsid w:val="004A140F"/>
    <w:rsid w:val="004A1638"/>
    <w:rsid w:val="004A17EF"/>
    <w:rsid w:val="004A18AA"/>
    <w:rsid w:val="004A19B3"/>
    <w:rsid w:val="004A1BDA"/>
    <w:rsid w:val="004A22DA"/>
    <w:rsid w:val="004A23FC"/>
    <w:rsid w:val="004A252C"/>
    <w:rsid w:val="004A2558"/>
    <w:rsid w:val="004A2700"/>
    <w:rsid w:val="004A2B1D"/>
    <w:rsid w:val="004A2EA0"/>
    <w:rsid w:val="004A3009"/>
    <w:rsid w:val="004A300F"/>
    <w:rsid w:val="004A301B"/>
    <w:rsid w:val="004A3037"/>
    <w:rsid w:val="004A30D9"/>
    <w:rsid w:val="004A33BE"/>
    <w:rsid w:val="004A341C"/>
    <w:rsid w:val="004A34CE"/>
    <w:rsid w:val="004A36C8"/>
    <w:rsid w:val="004A3721"/>
    <w:rsid w:val="004A372B"/>
    <w:rsid w:val="004A3742"/>
    <w:rsid w:val="004A37B8"/>
    <w:rsid w:val="004A382D"/>
    <w:rsid w:val="004A393C"/>
    <w:rsid w:val="004A3ED3"/>
    <w:rsid w:val="004A40D2"/>
    <w:rsid w:val="004A4134"/>
    <w:rsid w:val="004A44FA"/>
    <w:rsid w:val="004A45F2"/>
    <w:rsid w:val="004A47BC"/>
    <w:rsid w:val="004A490B"/>
    <w:rsid w:val="004A49A6"/>
    <w:rsid w:val="004A4A72"/>
    <w:rsid w:val="004A4AC6"/>
    <w:rsid w:val="004A4CEA"/>
    <w:rsid w:val="004A4E86"/>
    <w:rsid w:val="004A4EE3"/>
    <w:rsid w:val="004A4F6E"/>
    <w:rsid w:val="004A5181"/>
    <w:rsid w:val="004A5544"/>
    <w:rsid w:val="004A554E"/>
    <w:rsid w:val="004A5736"/>
    <w:rsid w:val="004A5ACC"/>
    <w:rsid w:val="004A5CBD"/>
    <w:rsid w:val="004A5D2B"/>
    <w:rsid w:val="004A5EBB"/>
    <w:rsid w:val="004A5F3E"/>
    <w:rsid w:val="004A5FBA"/>
    <w:rsid w:val="004A5FBC"/>
    <w:rsid w:val="004A6451"/>
    <w:rsid w:val="004A6A90"/>
    <w:rsid w:val="004A6C96"/>
    <w:rsid w:val="004A6D4B"/>
    <w:rsid w:val="004A6DB5"/>
    <w:rsid w:val="004A6F89"/>
    <w:rsid w:val="004A6F9C"/>
    <w:rsid w:val="004A713E"/>
    <w:rsid w:val="004A734B"/>
    <w:rsid w:val="004A7710"/>
    <w:rsid w:val="004A7772"/>
    <w:rsid w:val="004A7815"/>
    <w:rsid w:val="004A78C6"/>
    <w:rsid w:val="004A7BC2"/>
    <w:rsid w:val="004A7BD3"/>
    <w:rsid w:val="004A7BE5"/>
    <w:rsid w:val="004A7C18"/>
    <w:rsid w:val="004A7FFC"/>
    <w:rsid w:val="004B001B"/>
    <w:rsid w:val="004B001C"/>
    <w:rsid w:val="004B0097"/>
    <w:rsid w:val="004B00B2"/>
    <w:rsid w:val="004B0178"/>
    <w:rsid w:val="004B018C"/>
    <w:rsid w:val="004B0279"/>
    <w:rsid w:val="004B057F"/>
    <w:rsid w:val="004B05A0"/>
    <w:rsid w:val="004B0621"/>
    <w:rsid w:val="004B0663"/>
    <w:rsid w:val="004B0740"/>
    <w:rsid w:val="004B082A"/>
    <w:rsid w:val="004B0A9C"/>
    <w:rsid w:val="004B0B3F"/>
    <w:rsid w:val="004B0DBA"/>
    <w:rsid w:val="004B0EF9"/>
    <w:rsid w:val="004B0F4B"/>
    <w:rsid w:val="004B1199"/>
    <w:rsid w:val="004B12B0"/>
    <w:rsid w:val="004B1372"/>
    <w:rsid w:val="004B13BF"/>
    <w:rsid w:val="004B142B"/>
    <w:rsid w:val="004B1536"/>
    <w:rsid w:val="004B1653"/>
    <w:rsid w:val="004B1674"/>
    <w:rsid w:val="004B16C4"/>
    <w:rsid w:val="004B16D6"/>
    <w:rsid w:val="004B17A5"/>
    <w:rsid w:val="004B17B1"/>
    <w:rsid w:val="004B1867"/>
    <w:rsid w:val="004B1A1E"/>
    <w:rsid w:val="004B1C86"/>
    <w:rsid w:val="004B1E86"/>
    <w:rsid w:val="004B1F04"/>
    <w:rsid w:val="004B2115"/>
    <w:rsid w:val="004B2203"/>
    <w:rsid w:val="004B2368"/>
    <w:rsid w:val="004B2428"/>
    <w:rsid w:val="004B2A64"/>
    <w:rsid w:val="004B2A6F"/>
    <w:rsid w:val="004B2C53"/>
    <w:rsid w:val="004B2CC2"/>
    <w:rsid w:val="004B30D0"/>
    <w:rsid w:val="004B369A"/>
    <w:rsid w:val="004B3C39"/>
    <w:rsid w:val="004B41DA"/>
    <w:rsid w:val="004B425B"/>
    <w:rsid w:val="004B441F"/>
    <w:rsid w:val="004B449B"/>
    <w:rsid w:val="004B4658"/>
    <w:rsid w:val="004B46FC"/>
    <w:rsid w:val="004B470D"/>
    <w:rsid w:val="004B4764"/>
    <w:rsid w:val="004B4846"/>
    <w:rsid w:val="004B49B6"/>
    <w:rsid w:val="004B49EE"/>
    <w:rsid w:val="004B4EDE"/>
    <w:rsid w:val="004B51A8"/>
    <w:rsid w:val="004B5272"/>
    <w:rsid w:val="004B52FA"/>
    <w:rsid w:val="004B5375"/>
    <w:rsid w:val="004B5394"/>
    <w:rsid w:val="004B53D7"/>
    <w:rsid w:val="004B55D6"/>
    <w:rsid w:val="004B560C"/>
    <w:rsid w:val="004B580C"/>
    <w:rsid w:val="004B5974"/>
    <w:rsid w:val="004B5BDD"/>
    <w:rsid w:val="004B5F47"/>
    <w:rsid w:val="004B635C"/>
    <w:rsid w:val="004B6399"/>
    <w:rsid w:val="004B6474"/>
    <w:rsid w:val="004B6489"/>
    <w:rsid w:val="004B65C3"/>
    <w:rsid w:val="004B660A"/>
    <w:rsid w:val="004B6731"/>
    <w:rsid w:val="004B6AD2"/>
    <w:rsid w:val="004B6AF7"/>
    <w:rsid w:val="004B6C97"/>
    <w:rsid w:val="004B6E9E"/>
    <w:rsid w:val="004B6EB4"/>
    <w:rsid w:val="004B6F83"/>
    <w:rsid w:val="004B70B2"/>
    <w:rsid w:val="004B7493"/>
    <w:rsid w:val="004B7615"/>
    <w:rsid w:val="004B777E"/>
    <w:rsid w:val="004B78D2"/>
    <w:rsid w:val="004B7927"/>
    <w:rsid w:val="004B792B"/>
    <w:rsid w:val="004B7C29"/>
    <w:rsid w:val="004B7CB5"/>
    <w:rsid w:val="004B7CC1"/>
    <w:rsid w:val="004B7CD9"/>
    <w:rsid w:val="004C01F8"/>
    <w:rsid w:val="004C03D2"/>
    <w:rsid w:val="004C03D3"/>
    <w:rsid w:val="004C068F"/>
    <w:rsid w:val="004C06E5"/>
    <w:rsid w:val="004C07E8"/>
    <w:rsid w:val="004C0BD8"/>
    <w:rsid w:val="004C0C98"/>
    <w:rsid w:val="004C0EEF"/>
    <w:rsid w:val="004C0F4D"/>
    <w:rsid w:val="004C1187"/>
    <w:rsid w:val="004C119D"/>
    <w:rsid w:val="004C1289"/>
    <w:rsid w:val="004C12E5"/>
    <w:rsid w:val="004C1421"/>
    <w:rsid w:val="004C143D"/>
    <w:rsid w:val="004C14A3"/>
    <w:rsid w:val="004C1550"/>
    <w:rsid w:val="004C157B"/>
    <w:rsid w:val="004C15DF"/>
    <w:rsid w:val="004C18BD"/>
    <w:rsid w:val="004C18DF"/>
    <w:rsid w:val="004C19DF"/>
    <w:rsid w:val="004C1B7D"/>
    <w:rsid w:val="004C1E3C"/>
    <w:rsid w:val="004C1FED"/>
    <w:rsid w:val="004C20E0"/>
    <w:rsid w:val="004C20FC"/>
    <w:rsid w:val="004C212B"/>
    <w:rsid w:val="004C2241"/>
    <w:rsid w:val="004C22E0"/>
    <w:rsid w:val="004C2495"/>
    <w:rsid w:val="004C25F0"/>
    <w:rsid w:val="004C2642"/>
    <w:rsid w:val="004C26DD"/>
    <w:rsid w:val="004C280F"/>
    <w:rsid w:val="004C2AC2"/>
    <w:rsid w:val="004C2B5D"/>
    <w:rsid w:val="004C2C5F"/>
    <w:rsid w:val="004C2D30"/>
    <w:rsid w:val="004C2D68"/>
    <w:rsid w:val="004C2E6E"/>
    <w:rsid w:val="004C2F56"/>
    <w:rsid w:val="004C316B"/>
    <w:rsid w:val="004C3243"/>
    <w:rsid w:val="004C339D"/>
    <w:rsid w:val="004C33E8"/>
    <w:rsid w:val="004C34BE"/>
    <w:rsid w:val="004C34CE"/>
    <w:rsid w:val="004C375A"/>
    <w:rsid w:val="004C38B3"/>
    <w:rsid w:val="004C3A65"/>
    <w:rsid w:val="004C3CDF"/>
    <w:rsid w:val="004C3D0B"/>
    <w:rsid w:val="004C3DCE"/>
    <w:rsid w:val="004C3F46"/>
    <w:rsid w:val="004C4016"/>
    <w:rsid w:val="004C4042"/>
    <w:rsid w:val="004C40EF"/>
    <w:rsid w:val="004C415D"/>
    <w:rsid w:val="004C4295"/>
    <w:rsid w:val="004C4307"/>
    <w:rsid w:val="004C4309"/>
    <w:rsid w:val="004C4333"/>
    <w:rsid w:val="004C448A"/>
    <w:rsid w:val="004C49BA"/>
    <w:rsid w:val="004C49E3"/>
    <w:rsid w:val="004C4A22"/>
    <w:rsid w:val="004C4A5F"/>
    <w:rsid w:val="004C4C64"/>
    <w:rsid w:val="004C4E8A"/>
    <w:rsid w:val="004C514A"/>
    <w:rsid w:val="004C5311"/>
    <w:rsid w:val="004C55A7"/>
    <w:rsid w:val="004C55BE"/>
    <w:rsid w:val="004C570B"/>
    <w:rsid w:val="004C5AEF"/>
    <w:rsid w:val="004C5E44"/>
    <w:rsid w:val="004C5F58"/>
    <w:rsid w:val="004C63C5"/>
    <w:rsid w:val="004C6448"/>
    <w:rsid w:val="004C6572"/>
    <w:rsid w:val="004C66E2"/>
    <w:rsid w:val="004C6760"/>
    <w:rsid w:val="004C697D"/>
    <w:rsid w:val="004C6994"/>
    <w:rsid w:val="004C6A65"/>
    <w:rsid w:val="004C6B24"/>
    <w:rsid w:val="004C6B60"/>
    <w:rsid w:val="004C6D4F"/>
    <w:rsid w:val="004C6F7F"/>
    <w:rsid w:val="004C703E"/>
    <w:rsid w:val="004C70C9"/>
    <w:rsid w:val="004C7340"/>
    <w:rsid w:val="004C7400"/>
    <w:rsid w:val="004C7422"/>
    <w:rsid w:val="004C7541"/>
    <w:rsid w:val="004C758C"/>
    <w:rsid w:val="004C7608"/>
    <w:rsid w:val="004C7734"/>
    <w:rsid w:val="004C77BC"/>
    <w:rsid w:val="004C7908"/>
    <w:rsid w:val="004C7E37"/>
    <w:rsid w:val="004D027F"/>
    <w:rsid w:val="004D04E2"/>
    <w:rsid w:val="004D050E"/>
    <w:rsid w:val="004D0686"/>
    <w:rsid w:val="004D069E"/>
    <w:rsid w:val="004D06A6"/>
    <w:rsid w:val="004D07F6"/>
    <w:rsid w:val="004D07FB"/>
    <w:rsid w:val="004D093D"/>
    <w:rsid w:val="004D0D0D"/>
    <w:rsid w:val="004D0D57"/>
    <w:rsid w:val="004D0DBC"/>
    <w:rsid w:val="004D0EA1"/>
    <w:rsid w:val="004D1041"/>
    <w:rsid w:val="004D10BF"/>
    <w:rsid w:val="004D1249"/>
    <w:rsid w:val="004D1714"/>
    <w:rsid w:val="004D1E71"/>
    <w:rsid w:val="004D20CD"/>
    <w:rsid w:val="004D2168"/>
    <w:rsid w:val="004D27A2"/>
    <w:rsid w:val="004D283D"/>
    <w:rsid w:val="004D2CDF"/>
    <w:rsid w:val="004D2EC7"/>
    <w:rsid w:val="004D2EFE"/>
    <w:rsid w:val="004D33CE"/>
    <w:rsid w:val="004D36F9"/>
    <w:rsid w:val="004D36FC"/>
    <w:rsid w:val="004D3785"/>
    <w:rsid w:val="004D3864"/>
    <w:rsid w:val="004D3865"/>
    <w:rsid w:val="004D3A3D"/>
    <w:rsid w:val="004D3E87"/>
    <w:rsid w:val="004D3E8E"/>
    <w:rsid w:val="004D3FB8"/>
    <w:rsid w:val="004D3FF2"/>
    <w:rsid w:val="004D4026"/>
    <w:rsid w:val="004D41E6"/>
    <w:rsid w:val="004D42AE"/>
    <w:rsid w:val="004D440B"/>
    <w:rsid w:val="004D451C"/>
    <w:rsid w:val="004D4955"/>
    <w:rsid w:val="004D496D"/>
    <w:rsid w:val="004D4AAE"/>
    <w:rsid w:val="004D4C38"/>
    <w:rsid w:val="004D4E4B"/>
    <w:rsid w:val="004D4F27"/>
    <w:rsid w:val="004D501D"/>
    <w:rsid w:val="004D50B2"/>
    <w:rsid w:val="004D5178"/>
    <w:rsid w:val="004D51DC"/>
    <w:rsid w:val="004D5594"/>
    <w:rsid w:val="004D56F4"/>
    <w:rsid w:val="004D5806"/>
    <w:rsid w:val="004D5A8A"/>
    <w:rsid w:val="004D5C29"/>
    <w:rsid w:val="004D5D84"/>
    <w:rsid w:val="004D6084"/>
    <w:rsid w:val="004D6204"/>
    <w:rsid w:val="004D6217"/>
    <w:rsid w:val="004D622E"/>
    <w:rsid w:val="004D6284"/>
    <w:rsid w:val="004D6A79"/>
    <w:rsid w:val="004D6B36"/>
    <w:rsid w:val="004D6D7E"/>
    <w:rsid w:val="004D6DA9"/>
    <w:rsid w:val="004D6EE2"/>
    <w:rsid w:val="004D6F7B"/>
    <w:rsid w:val="004D7117"/>
    <w:rsid w:val="004D71CA"/>
    <w:rsid w:val="004D733A"/>
    <w:rsid w:val="004D73AB"/>
    <w:rsid w:val="004D7573"/>
    <w:rsid w:val="004D7C70"/>
    <w:rsid w:val="004D7C86"/>
    <w:rsid w:val="004D7E8D"/>
    <w:rsid w:val="004D7F55"/>
    <w:rsid w:val="004D7FF1"/>
    <w:rsid w:val="004E0005"/>
    <w:rsid w:val="004E0197"/>
    <w:rsid w:val="004E038F"/>
    <w:rsid w:val="004E062D"/>
    <w:rsid w:val="004E07CB"/>
    <w:rsid w:val="004E0807"/>
    <w:rsid w:val="004E0BE3"/>
    <w:rsid w:val="004E0BEB"/>
    <w:rsid w:val="004E0E03"/>
    <w:rsid w:val="004E1116"/>
    <w:rsid w:val="004E1122"/>
    <w:rsid w:val="004E1409"/>
    <w:rsid w:val="004E15BE"/>
    <w:rsid w:val="004E15E2"/>
    <w:rsid w:val="004E1670"/>
    <w:rsid w:val="004E16D5"/>
    <w:rsid w:val="004E1999"/>
    <w:rsid w:val="004E1A40"/>
    <w:rsid w:val="004E1A87"/>
    <w:rsid w:val="004E1BA1"/>
    <w:rsid w:val="004E1BB0"/>
    <w:rsid w:val="004E1C49"/>
    <w:rsid w:val="004E1C65"/>
    <w:rsid w:val="004E1D66"/>
    <w:rsid w:val="004E1EF1"/>
    <w:rsid w:val="004E2181"/>
    <w:rsid w:val="004E25B5"/>
    <w:rsid w:val="004E2732"/>
    <w:rsid w:val="004E29DB"/>
    <w:rsid w:val="004E2BEA"/>
    <w:rsid w:val="004E2E26"/>
    <w:rsid w:val="004E3030"/>
    <w:rsid w:val="004E3146"/>
    <w:rsid w:val="004E3151"/>
    <w:rsid w:val="004E328E"/>
    <w:rsid w:val="004E3311"/>
    <w:rsid w:val="004E3371"/>
    <w:rsid w:val="004E33E0"/>
    <w:rsid w:val="004E370D"/>
    <w:rsid w:val="004E384C"/>
    <w:rsid w:val="004E38EC"/>
    <w:rsid w:val="004E3933"/>
    <w:rsid w:val="004E3AC1"/>
    <w:rsid w:val="004E3BED"/>
    <w:rsid w:val="004E3C44"/>
    <w:rsid w:val="004E3EA1"/>
    <w:rsid w:val="004E3EB0"/>
    <w:rsid w:val="004E4028"/>
    <w:rsid w:val="004E428A"/>
    <w:rsid w:val="004E44B6"/>
    <w:rsid w:val="004E4549"/>
    <w:rsid w:val="004E47E6"/>
    <w:rsid w:val="004E486C"/>
    <w:rsid w:val="004E48AD"/>
    <w:rsid w:val="004E4B38"/>
    <w:rsid w:val="004E4C81"/>
    <w:rsid w:val="004E4C83"/>
    <w:rsid w:val="004E4C95"/>
    <w:rsid w:val="004E4D53"/>
    <w:rsid w:val="004E4D84"/>
    <w:rsid w:val="004E4E24"/>
    <w:rsid w:val="004E4EBC"/>
    <w:rsid w:val="004E4ECE"/>
    <w:rsid w:val="004E5104"/>
    <w:rsid w:val="004E5315"/>
    <w:rsid w:val="004E540D"/>
    <w:rsid w:val="004E5451"/>
    <w:rsid w:val="004E58F9"/>
    <w:rsid w:val="004E5A61"/>
    <w:rsid w:val="004E5B06"/>
    <w:rsid w:val="004E5CE0"/>
    <w:rsid w:val="004E5D3B"/>
    <w:rsid w:val="004E5EBA"/>
    <w:rsid w:val="004E5FA8"/>
    <w:rsid w:val="004E628C"/>
    <w:rsid w:val="004E63D3"/>
    <w:rsid w:val="004E64A1"/>
    <w:rsid w:val="004E6563"/>
    <w:rsid w:val="004E684C"/>
    <w:rsid w:val="004E6BEA"/>
    <w:rsid w:val="004E6D17"/>
    <w:rsid w:val="004E6D84"/>
    <w:rsid w:val="004E6E34"/>
    <w:rsid w:val="004E6EDF"/>
    <w:rsid w:val="004E6FF1"/>
    <w:rsid w:val="004E7207"/>
    <w:rsid w:val="004E73CF"/>
    <w:rsid w:val="004E75E7"/>
    <w:rsid w:val="004E76DB"/>
    <w:rsid w:val="004E7D44"/>
    <w:rsid w:val="004E7F64"/>
    <w:rsid w:val="004E7FCB"/>
    <w:rsid w:val="004F001E"/>
    <w:rsid w:val="004F0338"/>
    <w:rsid w:val="004F0924"/>
    <w:rsid w:val="004F09B2"/>
    <w:rsid w:val="004F0BE5"/>
    <w:rsid w:val="004F0F41"/>
    <w:rsid w:val="004F1134"/>
    <w:rsid w:val="004F1589"/>
    <w:rsid w:val="004F161E"/>
    <w:rsid w:val="004F168F"/>
    <w:rsid w:val="004F16FA"/>
    <w:rsid w:val="004F17CB"/>
    <w:rsid w:val="004F18E2"/>
    <w:rsid w:val="004F196F"/>
    <w:rsid w:val="004F1EC0"/>
    <w:rsid w:val="004F1F87"/>
    <w:rsid w:val="004F1F90"/>
    <w:rsid w:val="004F2074"/>
    <w:rsid w:val="004F21BF"/>
    <w:rsid w:val="004F23CC"/>
    <w:rsid w:val="004F2401"/>
    <w:rsid w:val="004F2425"/>
    <w:rsid w:val="004F2440"/>
    <w:rsid w:val="004F255D"/>
    <w:rsid w:val="004F2647"/>
    <w:rsid w:val="004F270F"/>
    <w:rsid w:val="004F2915"/>
    <w:rsid w:val="004F2A44"/>
    <w:rsid w:val="004F2D16"/>
    <w:rsid w:val="004F2DAD"/>
    <w:rsid w:val="004F3431"/>
    <w:rsid w:val="004F34F7"/>
    <w:rsid w:val="004F3664"/>
    <w:rsid w:val="004F3675"/>
    <w:rsid w:val="004F3785"/>
    <w:rsid w:val="004F3C11"/>
    <w:rsid w:val="004F4059"/>
    <w:rsid w:val="004F4520"/>
    <w:rsid w:val="004F46FB"/>
    <w:rsid w:val="004F47F5"/>
    <w:rsid w:val="004F4859"/>
    <w:rsid w:val="004F4980"/>
    <w:rsid w:val="004F49BC"/>
    <w:rsid w:val="004F4B2F"/>
    <w:rsid w:val="004F4E82"/>
    <w:rsid w:val="004F50F4"/>
    <w:rsid w:val="004F512E"/>
    <w:rsid w:val="004F51D5"/>
    <w:rsid w:val="004F54A1"/>
    <w:rsid w:val="004F55D6"/>
    <w:rsid w:val="004F562E"/>
    <w:rsid w:val="004F565A"/>
    <w:rsid w:val="004F56D9"/>
    <w:rsid w:val="004F5702"/>
    <w:rsid w:val="004F571B"/>
    <w:rsid w:val="004F5743"/>
    <w:rsid w:val="004F583C"/>
    <w:rsid w:val="004F5914"/>
    <w:rsid w:val="004F5AF0"/>
    <w:rsid w:val="004F5BAF"/>
    <w:rsid w:val="004F5C67"/>
    <w:rsid w:val="004F5CB4"/>
    <w:rsid w:val="004F5FA2"/>
    <w:rsid w:val="004F605D"/>
    <w:rsid w:val="004F64EB"/>
    <w:rsid w:val="004F6502"/>
    <w:rsid w:val="004F6550"/>
    <w:rsid w:val="004F65CD"/>
    <w:rsid w:val="004F65F5"/>
    <w:rsid w:val="004F6830"/>
    <w:rsid w:val="004F6838"/>
    <w:rsid w:val="004F6AE1"/>
    <w:rsid w:val="004F6C12"/>
    <w:rsid w:val="004F6E06"/>
    <w:rsid w:val="004F6E4F"/>
    <w:rsid w:val="004F6F7B"/>
    <w:rsid w:val="004F7002"/>
    <w:rsid w:val="004F70FF"/>
    <w:rsid w:val="004F73BF"/>
    <w:rsid w:val="004F7A74"/>
    <w:rsid w:val="004F7B25"/>
    <w:rsid w:val="004F7B34"/>
    <w:rsid w:val="0050003D"/>
    <w:rsid w:val="00500056"/>
    <w:rsid w:val="00500250"/>
    <w:rsid w:val="00500264"/>
    <w:rsid w:val="0050027A"/>
    <w:rsid w:val="005002FF"/>
    <w:rsid w:val="00500321"/>
    <w:rsid w:val="0050033D"/>
    <w:rsid w:val="0050034F"/>
    <w:rsid w:val="0050036A"/>
    <w:rsid w:val="00500526"/>
    <w:rsid w:val="005005E5"/>
    <w:rsid w:val="005006CA"/>
    <w:rsid w:val="005006D2"/>
    <w:rsid w:val="005007F8"/>
    <w:rsid w:val="00500813"/>
    <w:rsid w:val="00500824"/>
    <w:rsid w:val="00500979"/>
    <w:rsid w:val="005009E4"/>
    <w:rsid w:val="00500A34"/>
    <w:rsid w:val="00500A65"/>
    <w:rsid w:val="00500D82"/>
    <w:rsid w:val="00500DAB"/>
    <w:rsid w:val="00500DC4"/>
    <w:rsid w:val="00500FC7"/>
    <w:rsid w:val="00501144"/>
    <w:rsid w:val="005011B5"/>
    <w:rsid w:val="005013EF"/>
    <w:rsid w:val="00501436"/>
    <w:rsid w:val="005019A5"/>
    <w:rsid w:val="005019E0"/>
    <w:rsid w:val="00501B53"/>
    <w:rsid w:val="00501CC4"/>
    <w:rsid w:val="00501D69"/>
    <w:rsid w:val="00501DB6"/>
    <w:rsid w:val="00501E06"/>
    <w:rsid w:val="00501FF9"/>
    <w:rsid w:val="0050211F"/>
    <w:rsid w:val="0050229B"/>
    <w:rsid w:val="005022E7"/>
    <w:rsid w:val="005024DD"/>
    <w:rsid w:val="005025CD"/>
    <w:rsid w:val="005027C5"/>
    <w:rsid w:val="00502905"/>
    <w:rsid w:val="0050293F"/>
    <w:rsid w:val="00502961"/>
    <w:rsid w:val="00502A93"/>
    <w:rsid w:val="00502A99"/>
    <w:rsid w:val="00502BFB"/>
    <w:rsid w:val="00502D8E"/>
    <w:rsid w:val="00503045"/>
    <w:rsid w:val="005030E1"/>
    <w:rsid w:val="005031CB"/>
    <w:rsid w:val="005036A5"/>
    <w:rsid w:val="00503773"/>
    <w:rsid w:val="005037C9"/>
    <w:rsid w:val="005037F9"/>
    <w:rsid w:val="0050386A"/>
    <w:rsid w:val="00503922"/>
    <w:rsid w:val="005039BE"/>
    <w:rsid w:val="00503A6E"/>
    <w:rsid w:val="00503BC8"/>
    <w:rsid w:val="00503CC5"/>
    <w:rsid w:val="00503D6D"/>
    <w:rsid w:val="00503D98"/>
    <w:rsid w:val="00503E99"/>
    <w:rsid w:val="0050403E"/>
    <w:rsid w:val="00504240"/>
    <w:rsid w:val="0050439B"/>
    <w:rsid w:val="005044A1"/>
    <w:rsid w:val="005045D0"/>
    <w:rsid w:val="00504694"/>
    <w:rsid w:val="005047D6"/>
    <w:rsid w:val="005048AA"/>
    <w:rsid w:val="0050495B"/>
    <w:rsid w:val="00504A73"/>
    <w:rsid w:val="00504B8D"/>
    <w:rsid w:val="00504C18"/>
    <w:rsid w:val="00505021"/>
    <w:rsid w:val="00505077"/>
    <w:rsid w:val="00505236"/>
    <w:rsid w:val="005053E8"/>
    <w:rsid w:val="0050553D"/>
    <w:rsid w:val="005055F5"/>
    <w:rsid w:val="005055F6"/>
    <w:rsid w:val="00505777"/>
    <w:rsid w:val="00505B82"/>
    <w:rsid w:val="00505DA7"/>
    <w:rsid w:val="00506083"/>
    <w:rsid w:val="005063B8"/>
    <w:rsid w:val="00506662"/>
    <w:rsid w:val="00506736"/>
    <w:rsid w:val="005068D6"/>
    <w:rsid w:val="00506970"/>
    <w:rsid w:val="00506B86"/>
    <w:rsid w:val="00506BDD"/>
    <w:rsid w:val="00506C3C"/>
    <w:rsid w:val="00506D9B"/>
    <w:rsid w:val="00506EEC"/>
    <w:rsid w:val="00506EF8"/>
    <w:rsid w:val="00506FD4"/>
    <w:rsid w:val="00507025"/>
    <w:rsid w:val="00507137"/>
    <w:rsid w:val="005071A2"/>
    <w:rsid w:val="005071A4"/>
    <w:rsid w:val="005073FD"/>
    <w:rsid w:val="0050767A"/>
    <w:rsid w:val="0050794D"/>
    <w:rsid w:val="00507CE2"/>
    <w:rsid w:val="00507F13"/>
    <w:rsid w:val="00507F2F"/>
    <w:rsid w:val="005100C3"/>
    <w:rsid w:val="005100D1"/>
    <w:rsid w:val="00510118"/>
    <w:rsid w:val="0051028E"/>
    <w:rsid w:val="00510507"/>
    <w:rsid w:val="005105F3"/>
    <w:rsid w:val="005107FF"/>
    <w:rsid w:val="005108E3"/>
    <w:rsid w:val="00510A05"/>
    <w:rsid w:val="00510C67"/>
    <w:rsid w:val="00510C7C"/>
    <w:rsid w:val="00510CBC"/>
    <w:rsid w:val="00510FA6"/>
    <w:rsid w:val="0051102D"/>
    <w:rsid w:val="00511268"/>
    <w:rsid w:val="005112A5"/>
    <w:rsid w:val="00511578"/>
    <w:rsid w:val="005115EB"/>
    <w:rsid w:val="0051174C"/>
    <w:rsid w:val="005117D0"/>
    <w:rsid w:val="00511C46"/>
    <w:rsid w:val="00511C8D"/>
    <w:rsid w:val="00511D8D"/>
    <w:rsid w:val="00511EF2"/>
    <w:rsid w:val="00511F48"/>
    <w:rsid w:val="00512038"/>
    <w:rsid w:val="00512129"/>
    <w:rsid w:val="00512448"/>
    <w:rsid w:val="005124F2"/>
    <w:rsid w:val="0051253A"/>
    <w:rsid w:val="0051266C"/>
    <w:rsid w:val="005127AC"/>
    <w:rsid w:val="00512874"/>
    <w:rsid w:val="005128D1"/>
    <w:rsid w:val="005128EE"/>
    <w:rsid w:val="00512B33"/>
    <w:rsid w:val="00512B93"/>
    <w:rsid w:val="00512F7E"/>
    <w:rsid w:val="00513029"/>
    <w:rsid w:val="00513040"/>
    <w:rsid w:val="00513111"/>
    <w:rsid w:val="005132D3"/>
    <w:rsid w:val="005132FC"/>
    <w:rsid w:val="00513449"/>
    <w:rsid w:val="0051353A"/>
    <w:rsid w:val="0051358D"/>
    <w:rsid w:val="00513777"/>
    <w:rsid w:val="005138C6"/>
    <w:rsid w:val="0051390F"/>
    <w:rsid w:val="00513B72"/>
    <w:rsid w:val="00513B88"/>
    <w:rsid w:val="00513BAA"/>
    <w:rsid w:val="00513CF7"/>
    <w:rsid w:val="00513F35"/>
    <w:rsid w:val="00513F57"/>
    <w:rsid w:val="005140C2"/>
    <w:rsid w:val="0051454A"/>
    <w:rsid w:val="00514745"/>
    <w:rsid w:val="005147BC"/>
    <w:rsid w:val="00514848"/>
    <w:rsid w:val="00514AC3"/>
    <w:rsid w:val="00514BF0"/>
    <w:rsid w:val="00514CE2"/>
    <w:rsid w:val="00514FD6"/>
    <w:rsid w:val="0051505F"/>
    <w:rsid w:val="00515118"/>
    <w:rsid w:val="005151CA"/>
    <w:rsid w:val="00515277"/>
    <w:rsid w:val="00515370"/>
    <w:rsid w:val="0051544F"/>
    <w:rsid w:val="00515696"/>
    <w:rsid w:val="005156AA"/>
    <w:rsid w:val="005158C2"/>
    <w:rsid w:val="00515C35"/>
    <w:rsid w:val="00515C39"/>
    <w:rsid w:val="00515C76"/>
    <w:rsid w:val="00515CC9"/>
    <w:rsid w:val="00515DEE"/>
    <w:rsid w:val="0051617B"/>
    <w:rsid w:val="005166B5"/>
    <w:rsid w:val="00516770"/>
    <w:rsid w:val="0051682F"/>
    <w:rsid w:val="005169DE"/>
    <w:rsid w:val="00516B72"/>
    <w:rsid w:val="00516CC2"/>
    <w:rsid w:val="00517066"/>
    <w:rsid w:val="0051735D"/>
    <w:rsid w:val="0051754D"/>
    <w:rsid w:val="00517666"/>
    <w:rsid w:val="00517692"/>
    <w:rsid w:val="0051785D"/>
    <w:rsid w:val="00517913"/>
    <w:rsid w:val="00517C7E"/>
    <w:rsid w:val="00517FDC"/>
    <w:rsid w:val="0052005F"/>
    <w:rsid w:val="005200CD"/>
    <w:rsid w:val="00520156"/>
    <w:rsid w:val="00520200"/>
    <w:rsid w:val="00520763"/>
    <w:rsid w:val="005207FF"/>
    <w:rsid w:val="00520812"/>
    <w:rsid w:val="005209FE"/>
    <w:rsid w:val="00520B5E"/>
    <w:rsid w:val="00520C73"/>
    <w:rsid w:val="00520D21"/>
    <w:rsid w:val="00520E2D"/>
    <w:rsid w:val="00520F04"/>
    <w:rsid w:val="00521009"/>
    <w:rsid w:val="00521068"/>
    <w:rsid w:val="005212BB"/>
    <w:rsid w:val="005212CB"/>
    <w:rsid w:val="00521315"/>
    <w:rsid w:val="00521330"/>
    <w:rsid w:val="0052145A"/>
    <w:rsid w:val="005215E6"/>
    <w:rsid w:val="005216AF"/>
    <w:rsid w:val="00521717"/>
    <w:rsid w:val="00521739"/>
    <w:rsid w:val="00521768"/>
    <w:rsid w:val="00521C7C"/>
    <w:rsid w:val="00521CC4"/>
    <w:rsid w:val="00521E94"/>
    <w:rsid w:val="0052200B"/>
    <w:rsid w:val="005224B2"/>
    <w:rsid w:val="00522891"/>
    <w:rsid w:val="00522927"/>
    <w:rsid w:val="00522987"/>
    <w:rsid w:val="00522E83"/>
    <w:rsid w:val="00523211"/>
    <w:rsid w:val="005233B4"/>
    <w:rsid w:val="00523488"/>
    <w:rsid w:val="0052350B"/>
    <w:rsid w:val="00523693"/>
    <w:rsid w:val="00523701"/>
    <w:rsid w:val="005238AD"/>
    <w:rsid w:val="00523A7B"/>
    <w:rsid w:val="00523B23"/>
    <w:rsid w:val="00523D25"/>
    <w:rsid w:val="00523DFA"/>
    <w:rsid w:val="00523F6E"/>
    <w:rsid w:val="0052407B"/>
    <w:rsid w:val="00524084"/>
    <w:rsid w:val="005242EB"/>
    <w:rsid w:val="005244E2"/>
    <w:rsid w:val="0052454B"/>
    <w:rsid w:val="0052456B"/>
    <w:rsid w:val="0052458A"/>
    <w:rsid w:val="00524686"/>
    <w:rsid w:val="005248FE"/>
    <w:rsid w:val="00524965"/>
    <w:rsid w:val="00524972"/>
    <w:rsid w:val="00524E45"/>
    <w:rsid w:val="005252A4"/>
    <w:rsid w:val="0052540B"/>
    <w:rsid w:val="00525449"/>
    <w:rsid w:val="005254BC"/>
    <w:rsid w:val="005254C6"/>
    <w:rsid w:val="005255B9"/>
    <w:rsid w:val="005256FC"/>
    <w:rsid w:val="005258D3"/>
    <w:rsid w:val="00525A11"/>
    <w:rsid w:val="00525A80"/>
    <w:rsid w:val="00525B07"/>
    <w:rsid w:val="00525D27"/>
    <w:rsid w:val="005262FE"/>
    <w:rsid w:val="0052648E"/>
    <w:rsid w:val="00526536"/>
    <w:rsid w:val="005265D1"/>
    <w:rsid w:val="00526A46"/>
    <w:rsid w:val="00526B86"/>
    <w:rsid w:val="00526BA9"/>
    <w:rsid w:val="00526C27"/>
    <w:rsid w:val="00526DCA"/>
    <w:rsid w:val="00526DFF"/>
    <w:rsid w:val="00527236"/>
    <w:rsid w:val="005273BA"/>
    <w:rsid w:val="005273D0"/>
    <w:rsid w:val="00527473"/>
    <w:rsid w:val="005275ED"/>
    <w:rsid w:val="00527A7F"/>
    <w:rsid w:val="00527A9E"/>
    <w:rsid w:val="00527AF1"/>
    <w:rsid w:val="00527CF6"/>
    <w:rsid w:val="00527D9E"/>
    <w:rsid w:val="00527EF9"/>
    <w:rsid w:val="0053000C"/>
    <w:rsid w:val="00530027"/>
    <w:rsid w:val="0053024D"/>
    <w:rsid w:val="005303E8"/>
    <w:rsid w:val="00530481"/>
    <w:rsid w:val="005305FF"/>
    <w:rsid w:val="005307DA"/>
    <w:rsid w:val="0053081E"/>
    <w:rsid w:val="005309CE"/>
    <w:rsid w:val="00530C9B"/>
    <w:rsid w:val="00530E17"/>
    <w:rsid w:val="0053105E"/>
    <w:rsid w:val="0053121B"/>
    <w:rsid w:val="005313D2"/>
    <w:rsid w:val="005319FD"/>
    <w:rsid w:val="00531A59"/>
    <w:rsid w:val="00531B09"/>
    <w:rsid w:val="00531E17"/>
    <w:rsid w:val="00531E2F"/>
    <w:rsid w:val="00532172"/>
    <w:rsid w:val="00532334"/>
    <w:rsid w:val="005323F2"/>
    <w:rsid w:val="005324AF"/>
    <w:rsid w:val="00532647"/>
    <w:rsid w:val="005327F6"/>
    <w:rsid w:val="005329FF"/>
    <w:rsid w:val="00532D55"/>
    <w:rsid w:val="00532E15"/>
    <w:rsid w:val="00532EC1"/>
    <w:rsid w:val="00533361"/>
    <w:rsid w:val="00533725"/>
    <w:rsid w:val="00533727"/>
    <w:rsid w:val="00533823"/>
    <w:rsid w:val="0053383A"/>
    <w:rsid w:val="00533865"/>
    <w:rsid w:val="005338C0"/>
    <w:rsid w:val="00533B56"/>
    <w:rsid w:val="00533BBC"/>
    <w:rsid w:val="0053402C"/>
    <w:rsid w:val="00534090"/>
    <w:rsid w:val="0053472E"/>
    <w:rsid w:val="0053478E"/>
    <w:rsid w:val="005349CF"/>
    <w:rsid w:val="00534ABA"/>
    <w:rsid w:val="00534AC1"/>
    <w:rsid w:val="00534C42"/>
    <w:rsid w:val="00535127"/>
    <w:rsid w:val="005352BE"/>
    <w:rsid w:val="0053538D"/>
    <w:rsid w:val="005355FE"/>
    <w:rsid w:val="005357AD"/>
    <w:rsid w:val="00535846"/>
    <w:rsid w:val="00535857"/>
    <w:rsid w:val="005359D3"/>
    <w:rsid w:val="00535BCE"/>
    <w:rsid w:val="00535C6D"/>
    <w:rsid w:val="00535D6D"/>
    <w:rsid w:val="00535EDF"/>
    <w:rsid w:val="00535FFF"/>
    <w:rsid w:val="0053616F"/>
    <w:rsid w:val="0053618B"/>
    <w:rsid w:val="0053632C"/>
    <w:rsid w:val="005365F5"/>
    <w:rsid w:val="0053672E"/>
    <w:rsid w:val="00536814"/>
    <w:rsid w:val="00536878"/>
    <w:rsid w:val="005368AD"/>
    <w:rsid w:val="005369D4"/>
    <w:rsid w:val="00536C05"/>
    <w:rsid w:val="00536C92"/>
    <w:rsid w:val="00536CA5"/>
    <w:rsid w:val="00536EA0"/>
    <w:rsid w:val="0053700D"/>
    <w:rsid w:val="0053705E"/>
    <w:rsid w:val="005370BC"/>
    <w:rsid w:val="005372A1"/>
    <w:rsid w:val="00537320"/>
    <w:rsid w:val="0053750A"/>
    <w:rsid w:val="00537535"/>
    <w:rsid w:val="0053759F"/>
    <w:rsid w:val="00537688"/>
    <w:rsid w:val="0053786B"/>
    <w:rsid w:val="0053786F"/>
    <w:rsid w:val="005378A4"/>
    <w:rsid w:val="00537A4C"/>
    <w:rsid w:val="00537AF5"/>
    <w:rsid w:val="00537B35"/>
    <w:rsid w:val="00537DE7"/>
    <w:rsid w:val="00537DEE"/>
    <w:rsid w:val="00537EC4"/>
    <w:rsid w:val="00537F24"/>
    <w:rsid w:val="00537FE4"/>
    <w:rsid w:val="0054025A"/>
    <w:rsid w:val="0054027D"/>
    <w:rsid w:val="0054029B"/>
    <w:rsid w:val="005403D2"/>
    <w:rsid w:val="0054051B"/>
    <w:rsid w:val="0054064B"/>
    <w:rsid w:val="00540807"/>
    <w:rsid w:val="0054091A"/>
    <w:rsid w:val="00540E43"/>
    <w:rsid w:val="0054106D"/>
    <w:rsid w:val="005410E3"/>
    <w:rsid w:val="0054111E"/>
    <w:rsid w:val="00541189"/>
    <w:rsid w:val="005411DE"/>
    <w:rsid w:val="00541222"/>
    <w:rsid w:val="00541287"/>
    <w:rsid w:val="00541298"/>
    <w:rsid w:val="00541364"/>
    <w:rsid w:val="00541554"/>
    <w:rsid w:val="005416FC"/>
    <w:rsid w:val="005417ED"/>
    <w:rsid w:val="0054180A"/>
    <w:rsid w:val="00541A39"/>
    <w:rsid w:val="00541A8D"/>
    <w:rsid w:val="00541D4D"/>
    <w:rsid w:val="00541DE1"/>
    <w:rsid w:val="0054214F"/>
    <w:rsid w:val="0054231B"/>
    <w:rsid w:val="005424DA"/>
    <w:rsid w:val="0054266B"/>
    <w:rsid w:val="005429A8"/>
    <w:rsid w:val="00542ADA"/>
    <w:rsid w:val="00542E01"/>
    <w:rsid w:val="00542F33"/>
    <w:rsid w:val="00542F6F"/>
    <w:rsid w:val="005430A4"/>
    <w:rsid w:val="005430DA"/>
    <w:rsid w:val="0054326E"/>
    <w:rsid w:val="00543288"/>
    <w:rsid w:val="005432EF"/>
    <w:rsid w:val="0054369E"/>
    <w:rsid w:val="00543769"/>
    <w:rsid w:val="00543C78"/>
    <w:rsid w:val="00543FDC"/>
    <w:rsid w:val="0054408A"/>
    <w:rsid w:val="00544220"/>
    <w:rsid w:val="00544246"/>
    <w:rsid w:val="00544331"/>
    <w:rsid w:val="005444F5"/>
    <w:rsid w:val="00544531"/>
    <w:rsid w:val="005447F6"/>
    <w:rsid w:val="00544838"/>
    <w:rsid w:val="00544A9C"/>
    <w:rsid w:val="00544AD6"/>
    <w:rsid w:val="00544BFA"/>
    <w:rsid w:val="00544C60"/>
    <w:rsid w:val="00544DA0"/>
    <w:rsid w:val="00544E75"/>
    <w:rsid w:val="005450A5"/>
    <w:rsid w:val="005450E3"/>
    <w:rsid w:val="00545379"/>
    <w:rsid w:val="005454BD"/>
    <w:rsid w:val="00545515"/>
    <w:rsid w:val="00545524"/>
    <w:rsid w:val="00545678"/>
    <w:rsid w:val="005456BF"/>
    <w:rsid w:val="005457E4"/>
    <w:rsid w:val="00545835"/>
    <w:rsid w:val="005458C7"/>
    <w:rsid w:val="00545A83"/>
    <w:rsid w:val="00545B36"/>
    <w:rsid w:val="00545F58"/>
    <w:rsid w:val="00546623"/>
    <w:rsid w:val="00546797"/>
    <w:rsid w:val="00546894"/>
    <w:rsid w:val="005469C2"/>
    <w:rsid w:val="00546C49"/>
    <w:rsid w:val="00546C69"/>
    <w:rsid w:val="00546CDB"/>
    <w:rsid w:val="00546FC9"/>
    <w:rsid w:val="00546FF0"/>
    <w:rsid w:val="00547124"/>
    <w:rsid w:val="00547135"/>
    <w:rsid w:val="0054718D"/>
    <w:rsid w:val="0054720D"/>
    <w:rsid w:val="00547239"/>
    <w:rsid w:val="00547317"/>
    <w:rsid w:val="00547609"/>
    <w:rsid w:val="0054764B"/>
    <w:rsid w:val="00547673"/>
    <w:rsid w:val="005476A8"/>
    <w:rsid w:val="0054773B"/>
    <w:rsid w:val="00547B2C"/>
    <w:rsid w:val="00547C51"/>
    <w:rsid w:val="0055010B"/>
    <w:rsid w:val="00550283"/>
    <w:rsid w:val="00550478"/>
    <w:rsid w:val="00550670"/>
    <w:rsid w:val="00550820"/>
    <w:rsid w:val="00550BA9"/>
    <w:rsid w:val="00550BC3"/>
    <w:rsid w:val="00550C38"/>
    <w:rsid w:val="00550D59"/>
    <w:rsid w:val="00550D66"/>
    <w:rsid w:val="00550F15"/>
    <w:rsid w:val="00550F89"/>
    <w:rsid w:val="00550FB9"/>
    <w:rsid w:val="0055110D"/>
    <w:rsid w:val="0055110F"/>
    <w:rsid w:val="005512B5"/>
    <w:rsid w:val="005513FC"/>
    <w:rsid w:val="005516A1"/>
    <w:rsid w:val="00551838"/>
    <w:rsid w:val="00551A78"/>
    <w:rsid w:val="00551CE6"/>
    <w:rsid w:val="00551E6B"/>
    <w:rsid w:val="00551F19"/>
    <w:rsid w:val="00551F49"/>
    <w:rsid w:val="00551F81"/>
    <w:rsid w:val="00551FFA"/>
    <w:rsid w:val="0055210F"/>
    <w:rsid w:val="005521BA"/>
    <w:rsid w:val="005524E6"/>
    <w:rsid w:val="00552736"/>
    <w:rsid w:val="005529D5"/>
    <w:rsid w:val="00552CD7"/>
    <w:rsid w:val="005533BE"/>
    <w:rsid w:val="0055353A"/>
    <w:rsid w:val="005535D2"/>
    <w:rsid w:val="00553787"/>
    <w:rsid w:val="005538A2"/>
    <w:rsid w:val="00553AD1"/>
    <w:rsid w:val="00553B2A"/>
    <w:rsid w:val="00553DF1"/>
    <w:rsid w:val="00553ED2"/>
    <w:rsid w:val="00553F88"/>
    <w:rsid w:val="0055421A"/>
    <w:rsid w:val="00554577"/>
    <w:rsid w:val="0055460F"/>
    <w:rsid w:val="00554629"/>
    <w:rsid w:val="00554A87"/>
    <w:rsid w:val="00554B30"/>
    <w:rsid w:val="00554B5B"/>
    <w:rsid w:val="00554B7F"/>
    <w:rsid w:val="00554F46"/>
    <w:rsid w:val="00554F6B"/>
    <w:rsid w:val="00554FCC"/>
    <w:rsid w:val="00554FFB"/>
    <w:rsid w:val="00555160"/>
    <w:rsid w:val="0055527E"/>
    <w:rsid w:val="00555634"/>
    <w:rsid w:val="00555745"/>
    <w:rsid w:val="00555828"/>
    <w:rsid w:val="0055586B"/>
    <w:rsid w:val="00555D13"/>
    <w:rsid w:val="00556373"/>
    <w:rsid w:val="0055645A"/>
    <w:rsid w:val="005568DE"/>
    <w:rsid w:val="00556CA0"/>
    <w:rsid w:val="00556CE5"/>
    <w:rsid w:val="00556E20"/>
    <w:rsid w:val="00556F9C"/>
    <w:rsid w:val="00556FB9"/>
    <w:rsid w:val="005570A9"/>
    <w:rsid w:val="0055725B"/>
    <w:rsid w:val="005573E0"/>
    <w:rsid w:val="005573F9"/>
    <w:rsid w:val="005577D6"/>
    <w:rsid w:val="0055783F"/>
    <w:rsid w:val="005579E4"/>
    <w:rsid w:val="00557A62"/>
    <w:rsid w:val="00557A81"/>
    <w:rsid w:val="00557C50"/>
    <w:rsid w:val="00557C7B"/>
    <w:rsid w:val="00557CFB"/>
    <w:rsid w:val="00557F23"/>
    <w:rsid w:val="00560024"/>
    <w:rsid w:val="00560119"/>
    <w:rsid w:val="005601B9"/>
    <w:rsid w:val="005602CA"/>
    <w:rsid w:val="005602D3"/>
    <w:rsid w:val="00560333"/>
    <w:rsid w:val="005606B6"/>
    <w:rsid w:val="005607E9"/>
    <w:rsid w:val="0056088E"/>
    <w:rsid w:val="005608D6"/>
    <w:rsid w:val="005608F7"/>
    <w:rsid w:val="005608FB"/>
    <w:rsid w:val="00560A89"/>
    <w:rsid w:val="00560AA6"/>
    <w:rsid w:val="00560AF0"/>
    <w:rsid w:val="00560C1F"/>
    <w:rsid w:val="00560DAF"/>
    <w:rsid w:val="00560F19"/>
    <w:rsid w:val="005610C8"/>
    <w:rsid w:val="005610DA"/>
    <w:rsid w:val="00561211"/>
    <w:rsid w:val="0056126D"/>
    <w:rsid w:val="0056161B"/>
    <w:rsid w:val="00561703"/>
    <w:rsid w:val="005618ED"/>
    <w:rsid w:val="005618FC"/>
    <w:rsid w:val="00561996"/>
    <w:rsid w:val="00561BAB"/>
    <w:rsid w:val="00561CE7"/>
    <w:rsid w:val="00561D3B"/>
    <w:rsid w:val="00561E6B"/>
    <w:rsid w:val="00562138"/>
    <w:rsid w:val="005621D2"/>
    <w:rsid w:val="005621E0"/>
    <w:rsid w:val="0056229F"/>
    <w:rsid w:val="00562773"/>
    <w:rsid w:val="0056298B"/>
    <w:rsid w:val="005629A5"/>
    <w:rsid w:val="00562AC7"/>
    <w:rsid w:val="00562BA2"/>
    <w:rsid w:val="00562D90"/>
    <w:rsid w:val="00562EDA"/>
    <w:rsid w:val="00562F5B"/>
    <w:rsid w:val="0056301A"/>
    <w:rsid w:val="005631F0"/>
    <w:rsid w:val="00563359"/>
    <w:rsid w:val="0056356C"/>
    <w:rsid w:val="005636AB"/>
    <w:rsid w:val="005637FB"/>
    <w:rsid w:val="005639E0"/>
    <w:rsid w:val="00563A23"/>
    <w:rsid w:val="00563A5A"/>
    <w:rsid w:val="00563C61"/>
    <w:rsid w:val="00563CC8"/>
    <w:rsid w:val="00563CE1"/>
    <w:rsid w:val="00563DCE"/>
    <w:rsid w:val="00563E9A"/>
    <w:rsid w:val="00563ECB"/>
    <w:rsid w:val="00563F47"/>
    <w:rsid w:val="005640BB"/>
    <w:rsid w:val="0056423F"/>
    <w:rsid w:val="0056440F"/>
    <w:rsid w:val="00564451"/>
    <w:rsid w:val="00564511"/>
    <w:rsid w:val="00564818"/>
    <w:rsid w:val="005649C8"/>
    <w:rsid w:val="00564B03"/>
    <w:rsid w:val="00564BE5"/>
    <w:rsid w:val="00564C23"/>
    <w:rsid w:val="005650BC"/>
    <w:rsid w:val="0056515B"/>
    <w:rsid w:val="00565332"/>
    <w:rsid w:val="00565406"/>
    <w:rsid w:val="00565422"/>
    <w:rsid w:val="00565424"/>
    <w:rsid w:val="00565570"/>
    <w:rsid w:val="005655B7"/>
    <w:rsid w:val="005655E2"/>
    <w:rsid w:val="005655E8"/>
    <w:rsid w:val="005656AE"/>
    <w:rsid w:val="005656E4"/>
    <w:rsid w:val="005656EB"/>
    <w:rsid w:val="00565751"/>
    <w:rsid w:val="005657DD"/>
    <w:rsid w:val="005658BA"/>
    <w:rsid w:val="00565945"/>
    <w:rsid w:val="005659C3"/>
    <w:rsid w:val="00565A9E"/>
    <w:rsid w:val="00565B01"/>
    <w:rsid w:val="00565B29"/>
    <w:rsid w:val="00565C5D"/>
    <w:rsid w:val="00565E70"/>
    <w:rsid w:val="00566198"/>
    <w:rsid w:val="00566242"/>
    <w:rsid w:val="00566245"/>
    <w:rsid w:val="00566284"/>
    <w:rsid w:val="00566357"/>
    <w:rsid w:val="005663CA"/>
    <w:rsid w:val="00566432"/>
    <w:rsid w:val="005664CC"/>
    <w:rsid w:val="0056660E"/>
    <w:rsid w:val="0056664B"/>
    <w:rsid w:val="0056687B"/>
    <w:rsid w:val="005668A2"/>
    <w:rsid w:val="00566ACC"/>
    <w:rsid w:val="00566B88"/>
    <w:rsid w:val="00566D0A"/>
    <w:rsid w:val="00566DC7"/>
    <w:rsid w:val="00566E7C"/>
    <w:rsid w:val="00566E81"/>
    <w:rsid w:val="00566EBA"/>
    <w:rsid w:val="00566FA9"/>
    <w:rsid w:val="0056714B"/>
    <w:rsid w:val="005671EF"/>
    <w:rsid w:val="0056724A"/>
    <w:rsid w:val="0056750E"/>
    <w:rsid w:val="00567558"/>
    <w:rsid w:val="00567581"/>
    <w:rsid w:val="00567588"/>
    <w:rsid w:val="005675F0"/>
    <w:rsid w:val="00567992"/>
    <w:rsid w:val="00567C3C"/>
    <w:rsid w:val="00567EE2"/>
    <w:rsid w:val="00567EEB"/>
    <w:rsid w:val="00567FCD"/>
    <w:rsid w:val="00570080"/>
    <w:rsid w:val="0057021E"/>
    <w:rsid w:val="005702F8"/>
    <w:rsid w:val="005702FE"/>
    <w:rsid w:val="0057034F"/>
    <w:rsid w:val="00570769"/>
    <w:rsid w:val="0057077C"/>
    <w:rsid w:val="0057094D"/>
    <w:rsid w:val="00570D12"/>
    <w:rsid w:val="00571107"/>
    <w:rsid w:val="00571231"/>
    <w:rsid w:val="005713D2"/>
    <w:rsid w:val="00571767"/>
    <w:rsid w:val="00571C2F"/>
    <w:rsid w:val="00571C63"/>
    <w:rsid w:val="00571D39"/>
    <w:rsid w:val="00571D85"/>
    <w:rsid w:val="00571D95"/>
    <w:rsid w:val="00571DC7"/>
    <w:rsid w:val="00571E44"/>
    <w:rsid w:val="00571E65"/>
    <w:rsid w:val="0057213E"/>
    <w:rsid w:val="005721BA"/>
    <w:rsid w:val="005721F8"/>
    <w:rsid w:val="0057225D"/>
    <w:rsid w:val="005722E1"/>
    <w:rsid w:val="00572357"/>
    <w:rsid w:val="00572408"/>
    <w:rsid w:val="005725D2"/>
    <w:rsid w:val="005726E5"/>
    <w:rsid w:val="00572704"/>
    <w:rsid w:val="005727DE"/>
    <w:rsid w:val="00572833"/>
    <w:rsid w:val="00572BE8"/>
    <w:rsid w:val="00572C3D"/>
    <w:rsid w:val="00572DFC"/>
    <w:rsid w:val="0057314E"/>
    <w:rsid w:val="00573257"/>
    <w:rsid w:val="00573395"/>
    <w:rsid w:val="00573718"/>
    <w:rsid w:val="00573A83"/>
    <w:rsid w:val="00573B82"/>
    <w:rsid w:val="00573BFA"/>
    <w:rsid w:val="00573E61"/>
    <w:rsid w:val="00573F9A"/>
    <w:rsid w:val="0057411B"/>
    <w:rsid w:val="00574153"/>
    <w:rsid w:val="005741D4"/>
    <w:rsid w:val="0057423F"/>
    <w:rsid w:val="0057426F"/>
    <w:rsid w:val="00574376"/>
    <w:rsid w:val="005743A3"/>
    <w:rsid w:val="0057444E"/>
    <w:rsid w:val="00574525"/>
    <w:rsid w:val="005745E4"/>
    <w:rsid w:val="00574778"/>
    <w:rsid w:val="0057498F"/>
    <w:rsid w:val="005749D0"/>
    <w:rsid w:val="005749DC"/>
    <w:rsid w:val="00574DE9"/>
    <w:rsid w:val="005753D7"/>
    <w:rsid w:val="00575601"/>
    <w:rsid w:val="00575680"/>
    <w:rsid w:val="00575C5B"/>
    <w:rsid w:val="00575CD6"/>
    <w:rsid w:val="00575DF4"/>
    <w:rsid w:val="00575F6D"/>
    <w:rsid w:val="0057623A"/>
    <w:rsid w:val="005762A6"/>
    <w:rsid w:val="005763BD"/>
    <w:rsid w:val="0057672E"/>
    <w:rsid w:val="00576933"/>
    <w:rsid w:val="00576BFB"/>
    <w:rsid w:val="00576EA0"/>
    <w:rsid w:val="005770C0"/>
    <w:rsid w:val="00577176"/>
    <w:rsid w:val="00577263"/>
    <w:rsid w:val="005773B6"/>
    <w:rsid w:val="005773E0"/>
    <w:rsid w:val="0057758E"/>
    <w:rsid w:val="0057765D"/>
    <w:rsid w:val="005777FC"/>
    <w:rsid w:val="00577BA8"/>
    <w:rsid w:val="00577D35"/>
    <w:rsid w:val="00580194"/>
    <w:rsid w:val="0058032F"/>
    <w:rsid w:val="005803B6"/>
    <w:rsid w:val="005803E8"/>
    <w:rsid w:val="0058051C"/>
    <w:rsid w:val="00580525"/>
    <w:rsid w:val="00580558"/>
    <w:rsid w:val="00580727"/>
    <w:rsid w:val="00580767"/>
    <w:rsid w:val="005808EB"/>
    <w:rsid w:val="00580BB3"/>
    <w:rsid w:val="00580D18"/>
    <w:rsid w:val="00580D35"/>
    <w:rsid w:val="00580D37"/>
    <w:rsid w:val="00581063"/>
    <w:rsid w:val="00581231"/>
    <w:rsid w:val="0058129F"/>
    <w:rsid w:val="00581812"/>
    <w:rsid w:val="0058193D"/>
    <w:rsid w:val="00581B07"/>
    <w:rsid w:val="00581C13"/>
    <w:rsid w:val="00581E88"/>
    <w:rsid w:val="00581FA0"/>
    <w:rsid w:val="005822B7"/>
    <w:rsid w:val="00582502"/>
    <w:rsid w:val="00582564"/>
    <w:rsid w:val="0058257F"/>
    <w:rsid w:val="0058259C"/>
    <w:rsid w:val="005825A9"/>
    <w:rsid w:val="005828A1"/>
    <w:rsid w:val="00582B90"/>
    <w:rsid w:val="00582E63"/>
    <w:rsid w:val="00582F05"/>
    <w:rsid w:val="0058302A"/>
    <w:rsid w:val="0058304D"/>
    <w:rsid w:val="005831A7"/>
    <w:rsid w:val="00583321"/>
    <w:rsid w:val="0058341E"/>
    <w:rsid w:val="005834AD"/>
    <w:rsid w:val="005835EB"/>
    <w:rsid w:val="00583A16"/>
    <w:rsid w:val="00583AAC"/>
    <w:rsid w:val="00583B87"/>
    <w:rsid w:val="00583BC6"/>
    <w:rsid w:val="00583C4E"/>
    <w:rsid w:val="00583EFD"/>
    <w:rsid w:val="00583FD6"/>
    <w:rsid w:val="005840B9"/>
    <w:rsid w:val="00584734"/>
    <w:rsid w:val="00584B63"/>
    <w:rsid w:val="00584D90"/>
    <w:rsid w:val="00584DCB"/>
    <w:rsid w:val="00584DCD"/>
    <w:rsid w:val="00584E87"/>
    <w:rsid w:val="00584E9C"/>
    <w:rsid w:val="00584F3A"/>
    <w:rsid w:val="00584F41"/>
    <w:rsid w:val="00585082"/>
    <w:rsid w:val="005853AB"/>
    <w:rsid w:val="005853E6"/>
    <w:rsid w:val="00585748"/>
    <w:rsid w:val="00585962"/>
    <w:rsid w:val="005859C5"/>
    <w:rsid w:val="00585A33"/>
    <w:rsid w:val="00585BDF"/>
    <w:rsid w:val="00585C79"/>
    <w:rsid w:val="00585E60"/>
    <w:rsid w:val="00586096"/>
    <w:rsid w:val="00586144"/>
    <w:rsid w:val="005861BF"/>
    <w:rsid w:val="00586468"/>
    <w:rsid w:val="00586822"/>
    <w:rsid w:val="00586891"/>
    <w:rsid w:val="00586A00"/>
    <w:rsid w:val="00586D12"/>
    <w:rsid w:val="00586D88"/>
    <w:rsid w:val="00586E41"/>
    <w:rsid w:val="00586EAE"/>
    <w:rsid w:val="00586F6D"/>
    <w:rsid w:val="005873F6"/>
    <w:rsid w:val="0058747D"/>
    <w:rsid w:val="005874DA"/>
    <w:rsid w:val="0058764D"/>
    <w:rsid w:val="00587785"/>
    <w:rsid w:val="00587808"/>
    <w:rsid w:val="0058781B"/>
    <w:rsid w:val="0058788D"/>
    <w:rsid w:val="00587AAD"/>
    <w:rsid w:val="00587B80"/>
    <w:rsid w:val="00587BEA"/>
    <w:rsid w:val="00587C23"/>
    <w:rsid w:val="00587C7A"/>
    <w:rsid w:val="00587C9E"/>
    <w:rsid w:val="00587CA6"/>
    <w:rsid w:val="00587E29"/>
    <w:rsid w:val="00587EB8"/>
    <w:rsid w:val="00587F9A"/>
    <w:rsid w:val="00587FE6"/>
    <w:rsid w:val="005902A8"/>
    <w:rsid w:val="005902FD"/>
    <w:rsid w:val="0059052A"/>
    <w:rsid w:val="0059056F"/>
    <w:rsid w:val="00590761"/>
    <w:rsid w:val="00590A4D"/>
    <w:rsid w:val="00590A87"/>
    <w:rsid w:val="00590DB7"/>
    <w:rsid w:val="00590DBF"/>
    <w:rsid w:val="00590F55"/>
    <w:rsid w:val="00590FDD"/>
    <w:rsid w:val="00591219"/>
    <w:rsid w:val="00591426"/>
    <w:rsid w:val="00591698"/>
    <w:rsid w:val="005916B2"/>
    <w:rsid w:val="005917AE"/>
    <w:rsid w:val="00591AB3"/>
    <w:rsid w:val="00591E1E"/>
    <w:rsid w:val="00591E64"/>
    <w:rsid w:val="0059201C"/>
    <w:rsid w:val="005922E8"/>
    <w:rsid w:val="00592437"/>
    <w:rsid w:val="00592756"/>
    <w:rsid w:val="00592B59"/>
    <w:rsid w:val="00592D98"/>
    <w:rsid w:val="005931BA"/>
    <w:rsid w:val="005932BC"/>
    <w:rsid w:val="00593317"/>
    <w:rsid w:val="0059331E"/>
    <w:rsid w:val="00593439"/>
    <w:rsid w:val="005934F9"/>
    <w:rsid w:val="00593517"/>
    <w:rsid w:val="005936E7"/>
    <w:rsid w:val="005936F3"/>
    <w:rsid w:val="00593B87"/>
    <w:rsid w:val="00593B94"/>
    <w:rsid w:val="00593C1C"/>
    <w:rsid w:val="00593E94"/>
    <w:rsid w:val="00593F89"/>
    <w:rsid w:val="00593F8D"/>
    <w:rsid w:val="00593FBD"/>
    <w:rsid w:val="00594143"/>
    <w:rsid w:val="005944EA"/>
    <w:rsid w:val="00594543"/>
    <w:rsid w:val="0059456D"/>
    <w:rsid w:val="00594612"/>
    <w:rsid w:val="00594A96"/>
    <w:rsid w:val="00594AB5"/>
    <w:rsid w:val="00594AC5"/>
    <w:rsid w:val="00594E21"/>
    <w:rsid w:val="00594E92"/>
    <w:rsid w:val="00595231"/>
    <w:rsid w:val="00595540"/>
    <w:rsid w:val="00595549"/>
    <w:rsid w:val="00595873"/>
    <w:rsid w:val="00595CDD"/>
    <w:rsid w:val="00595E83"/>
    <w:rsid w:val="00595EB0"/>
    <w:rsid w:val="00595FA5"/>
    <w:rsid w:val="00595FB0"/>
    <w:rsid w:val="005961DB"/>
    <w:rsid w:val="00596228"/>
    <w:rsid w:val="005964BB"/>
    <w:rsid w:val="0059651C"/>
    <w:rsid w:val="0059663B"/>
    <w:rsid w:val="00596647"/>
    <w:rsid w:val="0059685B"/>
    <w:rsid w:val="00596899"/>
    <w:rsid w:val="00596993"/>
    <w:rsid w:val="005969C7"/>
    <w:rsid w:val="00596A70"/>
    <w:rsid w:val="00596BD3"/>
    <w:rsid w:val="00596BE7"/>
    <w:rsid w:val="00596C3E"/>
    <w:rsid w:val="00596CD0"/>
    <w:rsid w:val="00596D77"/>
    <w:rsid w:val="00596FBE"/>
    <w:rsid w:val="005971CD"/>
    <w:rsid w:val="00597355"/>
    <w:rsid w:val="00597726"/>
    <w:rsid w:val="0059777B"/>
    <w:rsid w:val="005977DD"/>
    <w:rsid w:val="00597C73"/>
    <w:rsid w:val="005A0215"/>
    <w:rsid w:val="005A04BD"/>
    <w:rsid w:val="005A05E4"/>
    <w:rsid w:val="005A0703"/>
    <w:rsid w:val="005A076D"/>
    <w:rsid w:val="005A08CE"/>
    <w:rsid w:val="005A08F4"/>
    <w:rsid w:val="005A0A3F"/>
    <w:rsid w:val="005A0B3C"/>
    <w:rsid w:val="005A0D98"/>
    <w:rsid w:val="005A0FC5"/>
    <w:rsid w:val="005A114F"/>
    <w:rsid w:val="005A11A2"/>
    <w:rsid w:val="005A11AF"/>
    <w:rsid w:val="005A154E"/>
    <w:rsid w:val="005A1686"/>
    <w:rsid w:val="005A1917"/>
    <w:rsid w:val="005A19DE"/>
    <w:rsid w:val="005A1BF5"/>
    <w:rsid w:val="005A1F49"/>
    <w:rsid w:val="005A223D"/>
    <w:rsid w:val="005A2364"/>
    <w:rsid w:val="005A2480"/>
    <w:rsid w:val="005A254C"/>
    <w:rsid w:val="005A29A7"/>
    <w:rsid w:val="005A2B2C"/>
    <w:rsid w:val="005A2B68"/>
    <w:rsid w:val="005A2D6B"/>
    <w:rsid w:val="005A3252"/>
    <w:rsid w:val="005A33F7"/>
    <w:rsid w:val="005A3414"/>
    <w:rsid w:val="005A34AC"/>
    <w:rsid w:val="005A3575"/>
    <w:rsid w:val="005A3A75"/>
    <w:rsid w:val="005A3BCD"/>
    <w:rsid w:val="005A3F4F"/>
    <w:rsid w:val="005A40CF"/>
    <w:rsid w:val="005A411A"/>
    <w:rsid w:val="005A41CD"/>
    <w:rsid w:val="005A4293"/>
    <w:rsid w:val="005A45DA"/>
    <w:rsid w:val="005A46D5"/>
    <w:rsid w:val="005A482A"/>
    <w:rsid w:val="005A4A9C"/>
    <w:rsid w:val="005A4B2C"/>
    <w:rsid w:val="005A4BAE"/>
    <w:rsid w:val="005A4CEA"/>
    <w:rsid w:val="005A4DCF"/>
    <w:rsid w:val="005A4F39"/>
    <w:rsid w:val="005A505B"/>
    <w:rsid w:val="005A51EB"/>
    <w:rsid w:val="005A557D"/>
    <w:rsid w:val="005A5617"/>
    <w:rsid w:val="005A574D"/>
    <w:rsid w:val="005A57DD"/>
    <w:rsid w:val="005A5A72"/>
    <w:rsid w:val="005A5B5C"/>
    <w:rsid w:val="005A5C19"/>
    <w:rsid w:val="005A5F2A"/>
    <w:rsid w:val="005A6116"/>
    <w:rsid w:val="005A6500"/>
    <w:rsid w:val="005A6537"/>
    <w:rsid w:val="005A668D"/>
    <w:rsid w:val="005A6735"/>
    <w:rsid w:val="005A6737"/>
    <w:rsid w:val="005A6A21"/>
    <w:rsid w:val="005A6AE9"/>
    <w:rsid w:val="005A6BE5"/>
    <w:rsid w:val="005A6D7E"/>
    <w:rsid w:val="005A6E93"/>
    <w:rsid w:val="005A6F6D"/>
    <w:rsid w:val="005A7014"/>
    <w:rsid w:val="005A707A"/>
    <w:rsid w:val="005A707B"/>
    <w:rsid w:val="005A71E6"/>
    <w:rsid w:val="005A7252"/>
    <w:rsid w:val="005A731C"/>
    <w:rsid w:val="005A7340"/>
    <w:rsid w:val="005A7AAD"/>
    <w:rsid w:val="005A7F93"/>
    <w:rsid w:val="005A7FDC"/>
    <w:rsid w:val="005B01B1"/>
    <w:rsid w:val="005B0338"/>
    <w:rsid w:val="005B051A"/>
    <w:rsid w:val="005B05CF"/>
    <w:rsid w:val="005B07EA"/>
    <w:rsid w:val="005B0B20"/>
    <w:rsid w:val="005B0B5D"/>
    <w:rsid w:val="005B0BD6"/>
    <w:rsid w:val="005B0CA5"/>
    <w:rsid w:val="005B0CFD"/>
    <w:rsid w:val="005B0D57"/>
    <w:rsid w:val="005B0EB7"/>
    <w:rsid w:val="005B0EFB"/>
    <w:rsid w:val="005B1042"/>
    <w:rsid w:val="005B1060"/>
    <w:rsid w:val="005B12B9"/>
    <w:rsid w:val="005B139F"/>
    <w:rsid w:val="005B14D3"/>
    <w:rsid w:val="005B155A"/>
    <w:rsid w:val="005B15BF"/>
    <w:rsid w:val="005B17C1"/>
    <w:rsid w:val="005B18A4"/>
    <w:rsid w:val="005B1CD9"/>
    <w:rsid w:val="005B1D34"/>
    <w:rsid w:val="005B2040"/>
    <w:rsid w:val="005B20B3"/>
    <w:rsid w:val="005B21D7"/>
    <w:rsid w:val="005B2283"/>
    <w:rsid w:val="005B24C1"/>
    <w:rsid w:val="005B24ED"/>
    <w:rsid w:val="005B28AE"/>
    <w:rsid w:val="005B2AAC"/>
    <w:rsid w:val="005B2B94"/>
    <w:rsid w:val="005B2C61"/>
    <w:rsid w:val="005B2D22"/>
    <w:rsid w:val="005B2E29"/>
    <w:rsid w:val="005B2E6C"/>
    <w:rsid w:val="005B33E0"/>
    <w:rsid w:val="005B3554"/>
    <w:rsid w:val="005B3618"/>
    <w:rsid w:val="005B3737"/>
    <w:rsid w:val="005B37EA"/>
    <w:rsid w:val="005B3A40"/>
    <w:rsid w:val="005B3A42"/>
    <w:rsid w:val="005B3DBC"/>
    <w:rsid w:val="005B3DD1"/>
    <w:rsid w:val="005B3E12"/>
    <w:rsid w:val="005B3E4E"/>
    <w:rsid w:val="005B40D5"/>
    <w:rsid w:val="005B4244"/>
    <w:rsid w:val="005B4264"/>
    <w:rsid w:val="005B4323"/>
    <w:rsid w:val="005B4390"/>
    <w:rsid w:val="005B4445"/>
    <w:rsid w:val="005B465F"/>
    <w:rsid w:val="005B48A1"/>
    <w:rsid w:val="005B48F8"/>
    <w:rsid w:val="005B4AA6"/>
    <w:rsid w:val="005B4CB0"/>
    <w:rsid w:val="005B4F3A"/>
    <w:rsid w:val="005B512A"/>
    <w:rsid w:val="005B51E6"/>
    <w:rsid w:val="005B5426"/>
    <w:rsid w:val="005B5467"/>
    <w:rsid w:val="005B56BB"/>
    <w:rsid w:val="005B57A5"/>
    <w:rsid w:val="005B5867"/>
    <w:rsid w:val="005B587C"/>
    <w:rsid w:val="005B5918"/>
    <w:rsid w:val="005B5949"/>
    <w:rsid w:val="005B59C2"/>
    <w:rsid w:val="005B5AC5"/>
    <w:rsid w:val="005B5D40"/>
    <w:rsid w:val="005B5EFC"/>
    <w:rsid w:val="005B63EA"/>
    <w:rsid w:val="005B6412"/>
    <w:rsid w:val="005B6695"/>
    <w:rsid w:val="005B6698"/>
    <w:rsid w:val="005B6885"/>
    <w:rsid w:val="005B68A7"/>
    <w:rsid w:val="005B6AC3"/>
    <w:rsid w:val="005B6B4D"/>
    <w:rsid w:val="005B6C32"/>
    <w:rsid w:val="005B6CA8"/>
    <w:rsid w:val="005B710D"/>
    <w:rsid w:val="005B71B2"/>
    <w:rsid w:val="005B767F"/>
    <w:rsid w:val="005B7926"/>
    <w:rsid w:val="005B7A5B"/>
    <w:rsid w:val="005B7AD0"/>
    <w:rsid w:val="005B7B65"/>
    <w:rsid w:val="005B7CA9"/>
    <w:rsid w:val="005B7FAD"/>
    <w:rsid w:val="005C0301"/>
    <w:rsid w:val="005C0326"/>
    <w:rsid w:val="005C0389"/>
    <w:rsid w:val="005C03C3"/>
    <w:rsid w:val="005C055E"/>
    <w:rsid w:val="005C0581"/>
    <w:rsid w:val="005C060D"/>
    <w:rsid w:val="005C0830"/>
    <w:rsid w:val="005C0D23"/>
    <w:rsid w:val="005C0F98"/>
    <w:rsid w:val="005C0FA1"/>
    <w:rsid w:val="005C116B"/>
    <w:rsid w:val="005C12DA"/>
    <w:rsid w:val="005C1397"/>
    <w:rsid w:val="005C152C"/>
    <w:rsid w:val="005C15F8"/>
    <w:rsid w:val="005C1615"/>
    <w:rsid w:val="005C1683"/>
    <w:rsid w:val="005C17A0"/>
    <w:rsid w:val="005C1A7C"/>
    <w:rsid w:val="005C1BFB"/>
    <w:rsid w:val="005C1D2B"/>
    <w:rsid w:val="005C1D98"/>
    <w:rsid w:val="005C1DA5"/>
    <w:rsid w:val="005C20F6"/>
    <w:rsid w:val="005C2116"/>
    <w:rsid w:val="005C213D"/>
    <w:rsid w:val="005C218D"/>
    <w:rsid w:val="005C2264"/>
    <w:rsid w:val="005C2294"/>
    <w:rsid w:val="005C22EA"/>
    <w:rsid w:val="005C2383"/>
    <w:rsid w:val="005C23F6"/>
    <w:rsid w:val="005C2559"/>
    <w:rsid w:val="005C2623"/>
    <w:rsid w:val="005C26B6"/>
    <w:rsid w:val="005C26E5"/>
    <w:rsid w:val="005C278F"/>
    <w:rsid w:val="005C27FD"/>
    <w:rsid w:val="005C2873"/>
    <w:rsid w:val="005C296C"/>
    <w:rsid w:val="005C2AC0"/>
    <w:rsid w:val="005C2B1F"/>
    <w:rsid w:val="005C2C8D"/>
    <w:rsid w:val="005C2DBC"/>
    <w:rsid w:val="005C3083"/>
    <w:rsid w:val="005C32D0"/>
    <w:rsid w:val="005C3355"/>
    <w:rsid w:val="005C34FC"/>
    <w:rsid w:val="005C3571"/>
    <w:rsid w:val="005C363C"/>
    <w:rsid w:val="005C365C"/>
    <w:rsid w:val="005C37BD"/>
    <w:rsid w:val="005C37DB"/>
    <w:rsid w:val="005C38D4"/>
    <w:rsid w:val="005C3B5C"/>
    <w:rsid w:val="005C3C7F"/>
    <w:rsid w:val="005C3C88"/>
    <w:rsid w:val="005C3CBE"/>
    <w:rsid w:val="005C3CC6"/>
    <w:rsid w:val="005C3D55"/>
    <w:rsid w:val="005C43A3"/>
    <w:rsid w:val="005C43BA"/>
    <w:rsid w:val="005C4657"/>
    <w:rsid w:val="005C4926"/>
    <w:rsid w:val="005C4B5A"/>
    <w:rsid w:val="005C4B97"/>
    <w:rsid w:val="005C4BCD"/>
    <w:rsid w:val="005C4D06"/>
    <w:rsid w:val="005C4E62"/>
    <w:rsid w:val="005C50F0"/>
    <w:rsid w:val="005C5143"/>
    <w:rsid w:val="005C5639"/>
    <w:rsid w:val="005C5742"/>
    <w:rsid w:val="005C5782"/>
    <w:rsid w:val="005C590B"/>
    <w:rsid w:val="005C5F34"/>
    <w:rsid w:val="005C6055"/>
    <w:rsid w:val="005C6134"/>
    <w:rsid w:val="005C6248"/>
    <w:rsid w:val="005C6289"/>
    <w:rsid w:val="005C6471"/>
    <w:rsid w:val="005C6606"/>
    <w:rsid w:val="005C6808"/>
    <w:rsid w:val="005C6A26"/>
    <w:rsid w:val="005C6BBB"/>
    <w:rsid w:val="005C6C7F"/>
    <w:rsid w:val="005C6E51"/>
    <w:rsid w:val="005C70D9"/>
    <w:rsid w:val="005C70DA"/>
    <w:rsid w:val="005C70F1"/>
    <w:rsid w:val="005C7464"/>
    <w:rsid w:val="005C758F"/>
    <w:rsid w:val="005C760E"/>
    <w:rsid w:val="005C7762"/>
    <w:rsid w:val="005C7794"/>
    <w:rsid w:val="005C77E0"/>
    <w:rsid w:val="005C7A6B"/>
    <w:rsid w:val="005C7BAE"/>
    <w:rsid w:val="005C7BD7"/>
    <w:rsid w:val="005C7D3E"/>
    <w:rsid w:val="005C7E9E"/>
    <w:rsid w:val="005D030C"/>
    <w:rsid w:val="005D040A"/>
    <w:rsid w:val="005D0565"/>
    <w:rsid w:val="005D05C2"/>
    <w:rsid w:val="005D0A68"/>
    <w:rsid w:val="005D0BAC"/>
    <w:rsid w:val="005D0F87"/>
    <w:rsid w:val="005D121B"/>
    <w:rsid w:val="005D1464"/>
    <w:rsid w:val="005D14C0"/>
    <w:rsid w:val="005D14CE"/>
    <w:rsid w:val="005D155C"/>
    <w:rsid w:val="005D156F"/>
    <w:rsid w:val="005D1575"/>
    <w:rsid w:val="005D1662"/>
    <w:rsid w:val="005D1789"/>
    <w:rsid w:val="005D1838"/>
    <w:rsid w:val="005D184D"/>
    <w:rsid w:val="005D1854"/>
    <w:rsid w:val="005D18C9"/>
    <w:rsid w:val="005D18E0"/>
    <w:rsid w:val="005D1B72"/>
    <w:rsid w:val="005D1BE4"/>
    <w:rsid w:val="005D205D"/>
    <w:rsid w:val="005D2096"/>
    <w:rsid w:val="005D2471"/>
    <w:rsid w:val="005D25A3"/>
    <w:rsid w:val="005D269D"/>
    <w:rsid w:val="005D2779"/>
    <w:rsid w:val="005D27A4"/>
    <w:rsid w:val="005D2978"/>
    <w:rsid w:val="005D2B22"/>
    <w:rsid w:val="005D2C22"/>
    <w:rsid w:val="005D2C68"/>
    <w:rsid w:val="005D2DBE"/>
    <w:rsid w:val="005D2DD2"/>
    <w:rsid w:val="005D2E4D"/>
    <w:rsid w:val="005D2EBF"/>
    <w:rsid w:val="005D2F4A"/>
    <w:rsid w:val="005D30BA"/>
    <w:rsid w:val="005D321D"/>
    <w:rsid w:val="005D3242"/>
    <w:rsid w:val="005D332C"/>
    <w:rsid w:val="005D3339"/>
    <w:rsid w:val="005D35BA"/>
    <w:rsid w:val="005D362D"/>
    <w:rsid w:val="005D3653"/>
    <w:rsid w:val="005D3B26"/>
    <w:rsid w:val="005D3B41"/>
    <w:rsid w:val="005D3CFC"/>
    <w:rsid w:val="005D3FD1"/>
    <w:rsid w:val="005D4183"/>
    <w:rsid w:val="005D437D"/>
    <w:rsid w:val="005D4851"/>
    <w:rsid w:val="005D4A12"/>
    <w:rsid w:val="005D4DCD"/>
    <w:rsid w:val="005D4E98"/>
    <w:rsid w:val="005D50F1"/>
    <w:rsid w:val="005D5177"/>
    <w:rsid w:val="005D5637"/>
    <w:rsid w:val="005D5A17"/>
    <w:rsid w:val="005D5AC7"/>
    <w:rsid w:val="005D5C80"/>
    <w:rsid w:val="005D5CB8"/>
    <w:rsid w:val="005D5DDC"/>
    <w:rsid w:val="005D5DEA"/>
    <w:rsid w:val="005D5EF2"/>
    <w:rsid w:val="005D6085"/>
    <w:rsid w:val="005D610C"/>
    <w:rsid w:val="005D6356"/>
    <w:rsid w:val="005D6D24"/>
    <w:rsid w:val="005D712D"/>
    <w:rsid w:val="005D729C"/>
    <w:rsid w:val="005D7460"/>
    <w:rsid w:val="005D74E7"/>
    <w:rsid w:val="005D76D8"/>
    <w:rsid w:val="005D7798"/>
    <w:rsid w:val="005D7811"/>
    <w:rsid w:val="005D7A33"/>
    <w:rsid w:val="005D7D9F"/>
    <w:rsid w:val="005D7DEC"/>
    <w:rsid w:val="005D7EF7"/>
    <w:rsid w:val="005D7F7B"/>
    <w:rsid w:val="005E000B"/>
    <w:rsid w:val="005E0274"/>
    <w:rsid w:val="005E02E7"/>
    <w:rsid w:val="005E02FF"/>
    <w:rsid w:val="005E0369"/>
    <w:rsid w:val="005E0513"/>
    <w:rsid w:val="005E0C27"/>
    <w:rsid w:val="005E0FA7"/>
    <w:rsid w:val="005E10B6"/>
    <w:rsid w:val="005E10E6"/>
    <w:rsid w:val="005E11BE"/>
    <w:rsid w:val="005E1254"/>
    <w:rsid w:val="005E1373"/>
    <w:rsid w:val="005E14C8"/>
    <w:rsid w:val="005E16B4"/>
    <w:rsid w:val="005E1720"/>
    <w:rsid w:val="005E1813"/>
    <w:rsid w:val="005E1A81"/>
    <w:rsid w:val="005E1B3B"/>
    <w:rsid w:val="005E1B53"/>
    <w:rsid w:val="005E1BF9"/>
    <w:rsid w:val="005E1EBA"/>
    <w:rsid w:val="005E1F13"/>
    <w:rsid w:val="005E2093"/>
    <w:rsid w:val="005E20E4"/>
    <w:rsid w:val="005E22C4"/>
    <w:rsid w:val="005E2397"/>
    <w:rsid w:val="005E252B"/>
    <w:rsid w:val="005E2644"/>
    <w:rsid w:val="005E2721"/>
    <w:rsid w:val="005E2973"/>
    <w:rsid w:val="005E2985"/>
    <w:rsid w:val="005E2B83"/>
    <w:rsid w:val="005E2C71"/>
    <w:rsid w:val="005E2DB7"/>
    <w:rsid w:val="005E2EF6"/>
    <w:rsid w:val="005E2F9D"/>
    <w:rsid w:val="005E2FB3"/>
    <w:rsid w:val="005E3224"/>
    <w:rsid w:val="005E32F2"/>
    <w:rsid w:val="005E3303"/>
    <w:rsid w:val="005E38BA"/>
    <w:rsid w:val="005E3BCD"/>
    <w:rsid w:val="005E3CB5"/>
    <w:rsid w:val="005E3CF0"/>
    <w:rsid w:val="005E3D59"/>
    <w:rsid w:val="005E3D83"/>
    <w:rsid w:val="005E4019"/>
    <w:rsid w:val="005E4046"/>
    <w:rsid w:val="005E41BB"/>
    <w:rsid w:val="005E42F5"/>
    <w:rsid w:val="005E441D"/>
    <w:rsid w:val="005E4A87"/>
    <w:rsid w:val="005E4B16"/>
    <w:rsid w:val="005E4DA5"/>
    <w:rsid w:val="005E4DE9"/>
    <w:rsid w:val="005E4FF9"/>
    <w:rsid w:val="005E5011"/>
    <w:rsid w:val="005E503E"/>
    <w:rsid w:val="005E56BB"/>
    <w:rsid w:val="005E583D"/>
    <w:rsid w:val="005E5932"/>
    <w:rsid w:val="005E5935"/>
    <w:rsid w:val="005E59C7"/>
    <w:rsid w:val="005E5ACF"/>
    <w:rsid w:val="005E5E7B"/>
    <w:rsid w:val="005E5F2A"/>
    <w:rsid w:val="005E5FCE"/>
    <w:rsid w:val="005E6095"/>
    <w:rsid w:val="005E610E"/>
    <w:rsid w:val="005E636A"/>
    <w:rsid w:val="005E67EC"/>
    <w:rsid w:val="005E68BE"/>
    <w:rsid w:val="005E6A3F"/>
    <w:rsid w:val="005E6AE5"/>
    <w:rsid w:val="005E6BED"/>
    <w:rsid w:val="005E6DB8"/>
    <w:rsid w:val="005E6E9F"/>
    <w:rsid w:val="005E6F46"/>
    <w:rsid w:val="005E7096"/>
    <w:rsid w:val="005E7228"/>
    <w:rsid w:val="005E7284"/>
    <w:rsid w:val="005E72D4"/>
    <w:rsid w:val="005E7BAC"/>
    <w:rsid w:val="005F0019"/>
    <w:rsid w:val="005F0127"/>
    <w:rsid w:val="005F019D"/>
    <w:rsid w:val="005F0234"/>
    <w:rsid w:val="005F05CA"/>
    <w:rsid w:val="005F0910"/>
    <w:rsid w:val="005F0B5C"/>
    <w:rsid w:val="005F0DD5"/>
    <w:rsid w:val="005F0E5C"/>
    <w:rsid w:val="005F0F85"/>
    <w:rsid w:val="005F0FAF"/>
    <w:rsid w:val="005F1090"/>
    <w:rsid w:val="005F115E"/>
    <w:rsid w:val="005F11C0"/>
    <w:rsid w:val="005F134E"/>
    <w:rsid w:val="005F1362"/>
    <w:rsid w:val="005F1365"/>
    <w:rsid w:val="005F1573"/>
    <w:rsid w:val="005F1899"/>
    <w:rsid w:val="005F1C57"/>
    <w:rsid w:val="005F1C9D"/>
    <w:rsid w:val="005F1DC5"/>
    <w:rsid w:val="005F1EE8"/>
    <w:rsid w:val="005F277F"/>
    <w:rsid w:val="005F2792"/>
    <w:rsid w:val="005F2976"/>
    <w:rsid w:val="005F29A3"/>
    <w:rsid w:val="005F2AB3"/>
    <w:rsid w:val="005F2B59"/>
    <w:rsid w:val="005F2C1F"/>
    <w:rsid w:val="005F2E44"/>
    <w:rsid w:val="005F2E76"/>
    <w:rsid w:val="005F2E80"/>
    <w:rsid w:val="005F2F7C"/>
    <w:rsid w:val="005F2F87"/>
    <w:rsid w:val="005F303A"/>
    <w:rsid w:val="005F30C8"/>
    <w:rsid w:val="005F34FF"/>
    <w:rsid w:val="005F3690"/>
    <w:rsid w:val="005F386A"/>
    <w:rsid w:val="005F387E"/>
    <w:rsid w:val="005F3986"/>
    <w:rsid w:val="005F3A6D"/>
    <w:rsid w:val="005F3A8E"/>
    <w:rsid w:val="005F3AC0"/>
    <w:rsid w:val="005F3C13"/>
    <w:rsid w:val="005F3CCB"/>
    <w:rsid w:val="005F4219"/>
    <w:rsid w:val="005F45CB"/>
    <w:rsid w:val="005F45E0"/>
    <w:rsid w:val="005F4603"/>
    <w:rsid w:val="005F48AC"/>
    <w:rsid w:val="005F4A2B"/>
    <w:rsid w:val="005F4AA5"/>
    <w:rsid w:val="005F4AC9"/>
    <w:rsid w:val="005F4B4C"/>
    <w:rsid w:val="005F4C57"/>
    <w:rsid w:val="005F4DB0"/>
    <w:rsid w:val="005F4F2C"/>
    <w:rsid w:val="005F4F83"/>
    <w:rsid w:val="005F50FE"/>
    <w:rsid w:val="005F516D"/>
    <w:rsid w:val="005F5304"/>
    <w:rsid w:val="005F5426"/>
    <w:rsid w:val="005F549F"/>
    <w:rsid w:val="005F57BB"/>
    <w:rsid w:val="005F580D"/>
    <w:rsid w:val="005F5DA0"/>
    <w:rsid w:val="005F5DFC"/>
    <w:rsid w:val="005F624F"/>
    <w:rsid w:val="005F643E"/>
    <w:rsid w:val="005F65C9"/>
    <w:rsid w:val="005F6690"/>
    <w:rsid w:val="005F6774"/>
    <w:rsid w:val="005F69E0"/>
    <w:rsid w:val="005F6B5F"/>
    <w:rsid w:val="005F6C05"/>
    <w:rsid w:val="005F6D0D"/>
    <w:rsid w:val="005F6DCF"/>
    <w:rsid w:val="005F6DEB"/>
    <w:rsid w:val="005F6FA2"/>
    <w:rsid w:val="005F6FC7"/>
    <w:rsid w:val="005F7381"/>
    <w:rsid w:val="005F7702"/>
    <w:rsid w:val="005F77C7"/>
    <w:rsid w:val="005F79AA"/>
    <w:rsid w:val="005F7AD1"/>
    <w:rsid w:val="005F7B4F"/>
    <w:rsid w:val="005F7BAA"/>
    <w:rsid w:val="005F7BD4"/>
    <w:rsid w:val="005F7C6E"/>
    <w:rsid w:val="006000DD"/>
    <w:rsid w:val="0060026C"/>
    <w:rsid w:val="006002AD"/>
    <w:rsid w:val="0060044B"/>
    <w:rsid w:val="00600469"/>
    <w:rsid w:val="006006BA"/>
    <w:rsid w:val="0060088E"/>
    <w:rsid w:val="006008EB"/>
    <w:rsid w:val="00600A09"/>
    <w:rsid w:val="00600AA1"/>
    <w:rsid w:val="00600AF4"/>
    <w:rsid w:val="00600C40"/>
    <w:rsid w:val="00600C4D"/>
    <w:rsid w:val="00600C50"/>
    <w:rsid w:val="00600D7B"/>
    <w:rsid w:val="00600EEE"/>
    <w:rsid w:val="00600FAA"/>
    <w:rsid w:val="00600FC9"/>
    <w:rsid w:val="0060122F"/>
    <w:rsid w:val="00601375"/>
    <w:rsid w:val="006013D7"/>
    <w:rsid w:val="0060145C"/>
    <w:rsid w:val="006014DB"/>
    <w:rsid w:val="00601564"/>
    <w:rsid w:val="00601587"/>
    <w:rsid w:val="00601594"/>
    <w:rsid w:val="006015BA"/>
    <w:rsid w:val="00601676"/>
    <w:rsid w:val="006017FB"/>
    <w:rsid w:val="0060187B"/>
    <w:rsid w:val="00601B19"/>
    <w:rsid w:val="00601FDB"/>
    <w:rsid w:val="00602026"/>
    <w:rsid w:val="00602079"/>
    <w:rsid w:val="0060216D"/>
    <w:rsid w:val="00602214"/>
    <w:rsid w:val="006022F3"/>
    <w:rsid w:val="006023F6"/>
    <w:rsid w:val="00602579"/>
    <w:rsid w:val="006025E4"/>
    <w:rsid w:val="006026F1"/>
    <w:rsid w:val="00602741"/>
    <w:rsid w:val="00602753"/>
    <w:rsid w:val="00602BA4"/>
    <w:rsid w:val="00602BAE"/>
    <w:rsid w:val="00602BE9"/>
    <w:rsid w:val="00602D0C"/>
    <w:rsid w:val="00602DA2"/>
    <w:rsid w:val="00602FF4"/>
    <w:rsid w:val="0060301E"/>
    <w:rsid w:val="00603228"/>
    <w:rsid w:val="00603774"/>
    <w:rsid w:val="00603901"/>
    <w:rsid w:val="0060394C"/>
    <w:rsid w:val="00603A6B"/>
    <w:rsid w:val="00603C12"/>
    <w:rsid w:val="00603CC6"/>
    <w:rsid w:val="00603E24"/>
    <w:rsid w:val="00603FE9"/>
    <w:rsid w:val="0060415E"/>
    <w:rsid w:val="0060423C"/>
    <w:rsid w:val="006043B5"/>
    <w:rsid w:val="006048E3"/>
    <w:rsid w:val="006049AA"/>
    <w:rsid w:val="00604ACD"/>
    <w:rsid w:val="00604B9D"/>
    <w:rsid w:val="00604BF1"/>
    <w:rsid w:val="00604C15"/>
    <w:rsid w:val="00604DC2"/>
    <w:rsid w:val="00604E9D"/>
    <w:rsid w:val="00604F85"/>
    <w:rsid w:val="00605072"/>
    <w:rsid w:val="006051D7"/>
    <w:rsid w:val="0060575F"/>
    <w:rsid w:val="006058E3"/>
    <w:rsid w:val="00605AFE"/>
    <w:rsid w:val="00605C15"/>
    <w:rsid w:val="00605D1E"/>
    <w:rsid w:val="00605D35"/>
    <w:rsid w:val="00605D71"/>
    <w:rsid w:val="00605D9B"/>
    <w:rsid w:val="00605F65"/>
    <w:rsid w:val="006060C4"/>
    <w:rsid w:val="00606492"/>
    <w:rsid w:val="0060672E"/>
    <w:rsid w:val="006067BF"/>
    <w:rsid w:val="0060689B"/>
    <w:rsid w:val="00606934"/>
    <w:rsid w:val="00606A6C"/>
    <w:rsid w:val="00606E69"/>
    <w:rsid w:val="00606F32"/>
    <w:rsid w:val="00606FF9"/>
    <w:rsid w:val="00607158"/>
    <w:rsid w:val="006072CE"/>
    <w:rsid w:val="0060740B"/>
    <w:rsid w:val="006074B3"/>
    <w:rsid w:val="0060753B"/>
    <w:rsid w:val="00607719"/>
    <w:rsid w:val="0060776A"/>
    <w:rsid w:val="00607AC0"/>
    <w:rsid w:val="00607AC8"/>
    <w:rsid w:val="00607B14"/>
    <w:rsid w:val="00607C13"/>
    <w:rsid w:val="00607C35"/>
    <w:rsid w:val="00607CB2"/>
    <w:rsid w:val="00607FBE"/>
    <w:rsid w:val="00610068"/>
    <w:rsid w:val="006101B7"/>
    <w:rsid w:val="006105EE"/>
    <w:rsid w:val="0061086A"/>
    <w:rsid w:val="00610910"/>
    <w:rsid w:val="00610D9F"/>
    <w:rsid w:val="006110ED"/>
    <w:rsid w:val="00611108"/>
    <w:rsid w:val="006111B4"/>
    <w:rsid w:val="00611535"/>
    <w:rsid w:val="006116C8"/>
    <w:rsid w:val="00611777"/>
    <w:rsid w:val="00611780"/>
    <w:rsid w:val="0061189F"/>
    <w:rsid w:val="00611C80"/>
    <w:rsid w:val="006120EA"/>
    <w:rsid w:val="0061219B"/>
    <w:rsid w:val="00612261"/>
    <w:rsid w:val="00612314"/>
    <w:rsid w:val="00612356"/>
    <w:rsid w:val="00612474"/>
    <w:rsid w:val="00612617"/>
    <w:rsid w:val="00612732"/>
    <w:rsid w:val="0061295E"/>
    <w:rsid w:val="0061299C"/>
    <w:rsid w:val="00612C21"/>
    <w:rsid w:val="00612C9C"/>
    <w:rsid w:val="00612D05"/>
    <w:rsid w:val="00612E8E"/>
    <w:rsid w:val="00612F3B"/>
    <w:rsid w:val="00612F3F"/>
    <w:rsid w:val="00613331"/>
    <w:rsid w:val="00613507"/>
    <w:rsid w:val="0061353C"/>
    <w:rsid w:val="006135A8"/>
    <w:rsid w:val="006137BE"/>
    <w:rsid w:val="00613894"/>
    <w:rsid w:val="00613896"/>
    <w:rsid w:val="00613B9B"/>
    <w:rsid w:val="00613C9C"/>
    <w:rsid w:val="00613D1E"/>
    <w:rsid w:val="00613E4E"/>
    <w:rsid w:val="00613FB6"/>
    <w:rsid w:val="006140C6"/>
    <w:rsid w:val="00614134"/>
    <w:rsid w:val="00614171"/>
    <w:rsid w:val="00614241"/>
    <w:rsid w:val="0061428D"/>
    <w:rsid w:val="006144E4"/>
    <w:rsid w:val="00614640"/>
    <w:rsid w:val="006146A3"/>
    <w:rsid w:val="006148AE"/>
    <w:rsid w:val="00614935"/>
    <w:rsid w:val="00614ABC"/>
    <w:rsid w:val="00614C31"/>
    <w:rsid w:val="00614D2D"/>
    <w:rsid w:val="00614D94"/>
    <w:rsid w:val="0061511E"/>
    <w:rsid w:val="0061518B"/>
    <w:rsid w:val="0061519C"/>
    <w:rsid w:val="00615377"/>
    <w:rsid w:val="00615411"/>
    <w:rsid w:val="0061562D"/>
    <w:rsid w:val="0061566F"/>
    <w:rsid w:val="006156B4"/>
    <w:rsid w:val="0061587A"/>
    <w:rsid w:val="00615976"/>
    <w:rsid w:val="0061599E"/>
    <w:rsid w:val="00615A96"/>
    <w:rsid w:val="00615AC7"/>
    <w:rsid w:val="00615B70"/>
    <w:rsid w:val="00615C84"/>
    <w:rsid w:val="00615D0C"/>
    <w:rsid w:val="00615D17"/>
    <w:rsid w:val="00615DE6"/>
    <w:rsid w:val="00615E97"/>
    <w:rsid w:val="00616201"/>
    <w:rsid w:val="006162A5"/>
    <w:rsid w:val="006162E6"/>
    <w:rsid w:val="006163B0"/>
    <w:rsid w:val="00616719"/>
    <w:rsid w:val="006168D8"/>
    <w:rsid w:val="0061691C"/>
    <w:rsid w:val="006169B1"/>
    <w:rsid w:val="00616AA6"/>
    <w:rsid w:val="006171A5"/>
    <w:rsid w:val="006171F9"/>
    <w:rsid w:val="0061746B"/>
    <w:rsid w:val="006175A8"/>
    <w:rsid w:val="0061768D"/>
    <w:rsid w:val="00617A0E"/>
    <w:rsid w:val="00617B01"/>
    <w:rsid w:val="00617C37"/>
    <w:rsid w:val="00617D9D"/>
    <w:rsid w:val="00617E46"/>
    <w:rsid w:val="00617FFD"/>
    <w:rsid w:val="0062007C"/>
    <w:rsid w:val="00620309"/>
    <w:rsid w:val="0062032F"/>
    <w:rsid w:val="00620481"/>
    <w:rsid w:val="006204B2"/>
    <w:rsid w:val="00620552"/>
    <w:rsid w:val="0062058C"/>
    <w:rsid w:val="00620898"/>
    <w:rsid w:val="006209C4"/>
    <w:rsid w:val="00620AEE"/>
    <w:rsid w:val="00620B5B"/>
    <w:rsid w:val="00621155"/>
    <w:rsid w:val="00621294"/>
    <w:rsid w:val="0062159D"/>
    <w:rsid w:val="00621654"/>
    <w:rsid w:val="00621680"/>
    <w:rsid w:val="00621A4F"/>
    <w:rsid w:val="00621B2E"/>
    <w:rsid w:val="00621CAA"/>
    <w:rsid w:val="00621EC5"/>
    <w:rsid w:val="0062229A"/>
    <w:rsid w:val="00622397"/>
    <w:rsid w:val="006223A1"/>
    <w:rsid w:val="006223E0"/>
    <w:rsid w:val="00622425"/>
    <w:rsid w:val="006224D0"/>
    <w:rsid w:val="0062264D"/>
    <w:rsid w:val="0062264E"/>
    <w:rsid w:val="0062299A"/>
    <w:rsid w:val="006229AE"/>
    <w:rsid w:val="006229EA"/>
    <w:rsid w:val="00622A04"/>
    <w:rsid w:val="00622AA7"/>
    <w:rsid w:val="00622BCE"/>
    <w:rsid w:val="00622C75"/>
    <w:rsid w:val="00622CC8"/>
    <w:rsid w:val="00622D5E"/>
    <w:rsid w:val="00622D90"/>
    <w:rsid w:val="00622E29"/>
    <w:rsid w:val="00622F12"/>
    <w:rsid w:val="00623024"/>
    <w:rsid w:val="006230F5"/>
    <w:rsid w:val="0062310D"/>
    <w:rsid w:val="00623112"/>
    <w:rsid w:val="00623265"/>
    <w:rsid w:val="0062332F"/>
    <w:rsid w:val="00623398"/>
    <w:rsid w:val="006233A5"/>
    <w:rsid w:val="0062340E"/>
    <w:rsid w:val="0062348D"/>
    <w:rsid w:val="00623643"/>
    <w:rsid w:val="006236E6"/>
    <w:rsid w:val="006238F9"/>
    <w:rsid w:val="00623935"/>
    <w:rsid w:val="0062397F"/>
    <w:rsid w:val="0062399A"/>
    <w:rsid w:val="00623D27"/>
    <w:rsid w:val="00623D9D"/>
    <w:rsid w:val="00624018"/>
    <w:rsid w:val="006240C4"/>
    <w:rsid w:val="00624A01"/>
    <w:rsid w:val="00624A92"/>
    <w:rsid w:val="00624AC7"/>
    <w:rsid w:val="00624B3D"/>
    <w:rsid w:val="00624B71"/>
    <w:rsid w:val="00624BC7"/>
    <w:rsid w:val="00624F60"/>
    <w:rsid w:val="00624FAF"/>
    <w:rsid w:val="00624FB7"/>
    <w:rsid w:val="00624FDB"/>
    <w:rsid w:val="00625015"/>
    <w:rsid w:val="0062502D"/>
    <w:rsid w:val="006251CC"/>
    <w:rsid w:val="006252A3"/>
    <w:rsid w:val="00625304"/>
    <w:rsid w:val="0062541A"/>
    <w:rsid w:val="0062581B"/>
    <w:rsid w:val="00625997"/>
    <w:rsid w:val="00625A0B"/>
    <w:rsid w:val="00625B1B"/>
    <w:rsid w:val="00625BE0"/>
    <w:rsid w:val="00625FFC"/>
    <w:rsid w:val="00626025"/>
    <w:rsid w:val="006261DD"/>
    <w:rsid w:val="006261F4"/>
    <w:rsid w:val="0062624C"/>
    <w:rsid w:val="00626390"/>
    <w:rsid w:val="00626664"/>
    <w:rsid w:val="0062672B"/>
    <w:rsid w:val="0062708B"/>
    <w:rsid w:val="00627181"/>
    <w:rsid w:val="006273FB"/>
    <w:rsid w:val="006274D8"/>
    <w:rsid w:val="00627609"/>
    <w:rsid w:val="00627731"/>
    <w:rsid w:val="00627766"/>
    <w:rsid w:val="006277EE"/>
    <w:rsid w:val="00627858"/>
    <w:rsid w:val="00627B4E"/>
    <w:rsid w:val="00627BB7"/>
    <w:rsid w:val="00627BD7"/>
    <w:rsid w:val="00627BFF"/>
    <w:rsid w:val="00627C07"/>
    <w:rsid w:val="00627D29"/>
    <w:rsid w:val="006300E5"/>
    <w:rsid w:val="00630342"/>
    <w:rsid w:val="006305DC"/>
    <w:rsid w:val="006305E0"/>
    <w:rsid w:val="006305EB"/>
    <w:rsid w:val="00630886"/>
    <w:rsid w:val="00630891"/>
    <w:rsid w:val="00630B7C"/>
    <w:rsid w:val="00630C04"/>
    <w:rsid w:val="00630D3A"/>
    <w:rsid w:val="00630F62"/>
    <w:rsid w:val="006314BA"/>
    <w:rsid w:val="00631510"/>
    <w:rsid w:val="0063158C"/>
    <w:rsid w:val="006315E0"/>
    <w:rsid w:val="0063164E"/>
    <w:rsid w:val="0063191D"/>
    <w:rsid w:val="00631A7B"/>
    <w:rsid w:val="00631D1D"/>
    <w:rsid w:val="00632073"/>
    <w:rsid w:val="006320A7"/>
    <w:rsid w:val="0063214A"/>
    <w:rsid w:val="0063239E"/>
    <w:rsid w:val="00632444"/>
    <w:rsid w:val="00632531"/>
    <w:rsid w:val="00632535"/>
    <w:rsid w:val="00632611"/>
    <w:rsid w:val="0063262B"/>
    <w:rsid w:val="00632640"/>
    <w:rsid w:val="006327A9"/>
    <w:rsid w:val="006328FB"/>
    <w:rsid w:val="00632D86"/>
    <w:rsid w:val="00632D8A"/>
    <w:rsid w:val="00632F99"/>
    <w:rsid w:val="00632FBD"/>
    <w:rsid w:val="00632FCB"/>
    <w:rsid w:val="006331B9"/>
    <w:rsid w:val="00633488"/>
    <w:rsid w:val="00633581"/>
    <w:rsid w:val="006336A6"/>
    <w:rsid w:val="00633796"/>
    <w:rsid w:val="006337B5"/>
    <w:rsid w:val="006339AF"/>
    <w:rsid w:val="006339C7"/>
    <w:rsid w:val="00633A09"/>
    <w:rsid w:val="00633C47"/>
    <w:rsid w:val="00633C79"/>
    <w:rsid w:val="00633C90"/>
    <w:rsid w:val="00633D52"/>
    <w:rsid w:val="00633DBD"/>
    <w:rsid w:val="00633E38"/>
    <w:rsid w:val="00633E66"/>
    <w:rsid w:val="00633FFD"/>
    <w:rsid w:val="00634120"/>
    <w:rsid w:val="0063432C"/>
    <w:rsid w:val="006343C8"/>
    <w:rsid w:val="006344F7"/>
    <w:rsid w:val="006345BF"/>
    <w:rsid w:val="006345EC"/>
    <w:rsid w:val="006348F7"/>
    <w:rsid w:val="00634A5C"/>
    <w:rsid w:val="00634CFA"/>
    <w:rsid w:val="00634D58"/>
    <w:rsid w:val="00634E0E"/>
    <w:rsid w:val="00634FA2"/>
    <w:rsid w:val="0063504A"/>
    <w:rsid w:val="0063512D"/>
    <w:rsid w:val="00635156"/>
    <w:rsid w:val="006351A4"/>
    <w:rsid w:val="00635268"/>
    <w:rsid w:val="0063527D"/>
    <w:rsid w:val="006354A5"/>
    <w:rsid w:val="00635526"/>
    <w:rsid w:val="0063583C"/>
    <w:rsid w:val="006358FB"/>
    <w:rsid w:val="00635AE2"/>
    <w:rsid w:val="00635E1E"/>
    <w:rsid w:val="00635F9B"/>
    <w:rsid w:val="00635FAC"/>
    <w:rsid w:val="0063627F"/>
    <w:rsid w:val="00636280"/>
    <w:rsid w:val="006362E3"/>
    <w:rsid w:val="0063670E"/>
    <w:rsid w:val="0063677C"/>
    <w:rsid w:val="00636854"/>
    <w:rsid w:val="00636967"/>
    <w:rsid w:val="00636972"/>
    <w:rsid w:val="00636A52"/>
    <w:rsid w:val="00636B69"/>
    <w:rsid w:val="00636BC2"/>
    <w:rsid w:val="00636C9B"/>
    <w:rsid w:val="00636CE3"/>
    <w:rsid w:val="006370CA"/>
    <w:rsid w:val="006370CF"/>
    <w:rsid w:val="00637175"/>
    <w:rsid w:val="00637223"/>
    <w:rsid w:val="00637296"/>
    <w:rsid w:val="00637383"/>
    <w:rsid w:val="006375E2"/>
    <w:rsid w:val="006376BE"/>
    <w:rsid w:val="00637865"/>
    <w:rsid w:val="006378A9"/>
    <w:rsid w:val="006379DE"/>
    <w:rsid w:val="00637B2A"/>
    <w:rsid w:val="00637D39"/>
    <w:rsid w:val="00637E12"/>
    <w:rsid w:val="0064023D"/>
    <w:rsid w:val="00640290"/>
    <w:rsid w:val="006404C3"/>
    <w:rsid w:val="006404D1"/>
    <w:rsid w:val="00640624"/>
    <w:rsid w:val="00640758"/>
    <w:rsid w:val="0064075D"/>
    <w:rsid w:val="00640822"/>
    <w:rsid w:val="0064090C"/>
    <w:rsid w:val="00640B50"/>
    <w:rsid w:val="00640C1D"/>
    <w:rsid w:val="00640CC0"/>
    <w:rsid w:val="00640D27"/>
    <w:rsid w:val="00640E35"/>
    <w:rsid w:val="00640F43"/>
    <w:rsid w:val="006410AD"/>
    <w:rsid w:val="0064125D"/>
    <w:rsid w:val="006412CA"/>
    <w:rsid w:val="00641698"/>
    <w:rsid w:val="00641870"/>
    <w:rsid w:val="00641A5E"/>
    <w:rsid w:val="00641C20"/>
    <w:rsid w:val="00641F59"/>
    <w:rsid w:val="0064209C"/>
    <w:rsid w:val="006420DA"/>
    <w:rsid w:val="00642151"/>
    <w:rsid w:val="0064233B"/>
    <w:rsid w:val="006423B5"/>
    <w:rsid w:val="00642421"/>
    <w:rsid w:val="00642488"/>
    <w:rsid w:val="00642539"/>
    <w:rsid w:val="00642598"/>
    <w:rsid w:val="006428E4"/>
    <w:rsid w:val="006428FB"/>
    <w:rsid w:val="00642A0A"/>
    <w:rsid w:val="00642A89"/>
    <w:rsid w:val="00642ADD"/>
    <w:rsid w:val="00642B27"/>
    <w:rsid w:val="00642BF0"/>
    <w:rsid w:val="00642CF0"/>
    <w:rsid w:val="00642D0B"/>
    <w:rsid w:val="00642DCC"/>
    <w:rsid w:val="006432CE"/>
    <w:rsid w:val="00643424"/>
    <w:rsid w:val="006436D0"/>
    <w:rsid w:val="006437D0"/>
    <w:rsid w:val="006439D9"/>
    <w:rsid w:val="00643AC1"/>
    <w:rsid w:val="00643BF0"/>
    <w:rsid w:val="00643D16"/>
    <w:rsid w:val="00643D4E"/>
    <w:rsid w:val="00643D62"/>
    <w:rsid w:val="00643EEF"/>
    <w:rsid w:val="0064406E"/>
    <w:rsid w:val="00644125"/>
    <w:rsid w:val="006441E8"/>
    <w:rsid w:val="006447DC"/>
    <w:rsid w:val="0064483E"/>
    <w:rsid w:val="00644A4D"/>
    <w:rsid w:val="00644A5E"/>
    <w:rsid w:val="00644A6C"/>
    <w:rsid w:val="00644AC0"/>
    <w:rsid w:val="00644C25"/>
    <w:rsid w:val="00644C70"/>
    <w:rsid w:val="00644D69"/>
    <w:rsid w:val="00644D76"/>
    <w:rsid w:val="0064527C"/>
    <w:rsid w:val="006452BF"/>
    <w:rsid w:val="00645590"/>
    <w:rsid w:val="006455A1"/>
    <w:rsid w:val="00645799"/>
    <w:rsid w:val="006457A8"/>
    <w:rsid w:val="00645A0B"/>
    <w:rsid w:val="00645A85"/>
    <w:rsid w:val="00645BE5"/>
    <w:rsid w:val="00645DB7"/>
    <w:rsid w:val="00645EA0"/>
    <w:rsid w:val="00645F76"/>
    <w:rsid w:val="00646459"/>
    <w:rsid w:val="0064646D"/>
    <w:rsid w:val="00646470"/>
    <w:rsid w:val="0064651D"/>
    <w:rsid w:val="0064656D"/>
    <w:rsid w:val="006466A0"/>
    <w:rsid w:val="0064685F"/>
    <w:rsid w:val="00646C72"/>
    <w:rsid w:val="00646EB0"/>
    <w:rsid w:val="0064700B"/>
    <w:rsid w:val="006470D7"/>
    <w:rsid w:val="006470DD"/>
    <w:rsid w:val="0064714D"/>
    <w:rsid w:val="0064727D"/>
    <w:rsid w:val="00647523"/>
    <w:rsid w:val="00647601"/>
    <w:rsid w:val="006477DD"/>
    <w:rsid w:val="00647821"/>
    <w:rsid w:val="00647B05"/>
    <w:rsid w:val="00647B32"/>
    <w:rsid w:val="00647C27"/>
    <w:rsid w:val="0065037E"/>
    <w:rsid w:val="00650546"/>
    <w:rsid w:val="00650620"/>
    <w:rsid w:val="00650661"/>
    <w:rsid w:val="006507A2"/>
    <w:rsid w:val="0065081C"/>
    <w:rsid w:val="00650872"/>
    <w:rsid w:val="006508E1"/>
    <w:rsid w:val="00650CFA"/>
    <w:rsid w:val="00650F8A"/>
    <w:rsid w:val="006511E5"/>
    <w:rsid w:val="00651574"/>
    <w:rsid w:val="00651685"/>
    <w:rsid w:val="00651890"/>
    <w:rsid w:val="006519E6"/>
    <w:rsid w:val="00651A92"/>
    <w:rsid w:val="00651C95"/>
    <w:rsid w:val="00651CDE"/>
    <w:rsid w:val="00651D40"/>
    <w:rsid w:val="00652326"/>
    <w:rsid w:val="0065249C"/>
    <w:rsid w:val="00652583"/>
    <w:rsid w:val="00652657"/>
    <w:rsid w:val="0065268B"/>
    <w:rsid w:val="00652722"/>
    <w:rsid w:val="00652829"/>
    <w:rsid w:val="006528CE"/>
    <w:rsid w:val="00652907"/>
    <w:rsid w:val="00652DFD"/>
    <w:rsid w:val="00652E06"/>
    <w:rsid w:val="00652F91"/>
    <w:rsid w:val="00653059"/>
    <w:rsid w:val="006531B0"/>
    <w:rsid w:val="00653338"/>
    <w:rsid w:val="0065386C"/>
    <w:rsid w:val="00653905"/>
    <w:rsid w:val="00653A8A"/>
    <w:rsid w:val="00653AEE"/>
    <w:rsid w:val="00653B44"/>
    <w:rsid w:val="00653B5F"/>
    <w:rsid w:val="00653E5F"/>
    <w:rsid w:val="00653F09"/>
    <w:rsid w:val="00653FC4"/>
    <w:rsid w:val="00654130"/>
    <w:rsid w:val="006541F6"/>
    <w:rsid w:val="006543DF"/>
    <w:rsid w:val="0065463A"/>
    <w:rsid w:val="00654E5E"/>
    <w:rsid w:val="00654E60"/>
    <w:rsid w:val="00654F3D"/>
    <w:rsid w:val="00654F91"/>
    <w:rsid w:val="00655064"/>
    <w:rsid w:val="006550D9"/>
    <w:rsid w:val="00655162"/>
    <w:rsid w:val="00655226"/>
    <w:rsid w:val="006552B3"/>
    <w:rsid w:val="00655361"/>
    <w:rsid w:val="006554C5"/>
    <w:rsid w:val="0065564F"/>
    <w:rsid w:val="006556C6"/>
    <w:rsid w:val="0065571F"/>
    <w:rsid w:val="0065579A"/>
    <w:rsid w:val="00655851"/>
    <w:rsid w:val="0065595D"/>
    <w:rsid w:val="0065596B"/>
    <w:rsid w:val="00655B4C"/>
    <w:rsid w:val="00655B4D"/>
    <w:rsid w:val="00655BB1"/>
    <w:rsid w:val="00655C77"/>
    <w:rsid w:val="00655EFF"/>
    <w:rsid w:val="00655F7C"/>
    <w:rsid w:val="0065614C"/>
    <w:rsid w:val="00656253"/>
    <w:rsid w:val="00656449"/>
    <w:rsid w:val="00656799"/>
    <w:rsid w:val="00656B77"/>
    <w:rsid w:val="00656BC5"/>
    <w:rsid w:val="00656D95"/>
    <w:rsid w:val="00656E5C"/>
    <w:rsid w:val="00656E72"/>
    <w:rsid w:val="00657227"/>
    <w:rsid w:val="006572DB"/>
    <w:rsid w:val="006576B4"/>
    <w:rsid w:val="0065779A"/>
    <w:rsid w:val="006578A1"/>
    <w:rsid w:val="00657ABC"/>
    <w:rsid w:val="00657F65"/>
    <w:rsid w:val="00657FF5"/>
    <w:rsid w:val="00660009"/>
    <w:rsid w:val="00660165"/>
    <w:rsid w:val="006603AD"/>
    <w:rsid w:val="0066085A"/>
    <w:rsid w:val="006609C7"/>
    <w:rsid w:val="00660A69"/>
    <w:rsid w:val="00660A6A"/>
    <w:rsid w:val="00660B90"/>
    <w:rsid w:val="00660CF5"/>
    <w:rsid w:val="00660F16"/>
    <w:rsid w:val="00660F93"/>
    <w:rsid w:val="0066137B"/>
    <w:rsid w:val="0066142F"/>
    <w:rsid w:val="006616FE"/>
    <w:rsid w:val="0066174E"/>
    <w:rsid w:val="0066186A"/>
    <w:rsid w:val="006618EA"/>
    <w:rsid w:val="00661BBB"/>
    <w:rsid w:val="00661C87"/>
    <w:rsid w:val="00661E57"/>
    <w:rsid w:val="00662211"/>
    <w:rsid w:val="00662222"/>
    <w:rsid w:val="006623C1"/>
    <w:rsid w:val="006624B5"/>
    <w:rsid w:val="0066281E"/>
    <w:rsid w:val="00662863"/>
    <w:rsid w:val="006628E4"/>
    <w:rsid w:val="006629DE"/>
    <w:rsid w:val="006629E4"/>
    <w:rsid w:val="00662F69"/>
    <w:rsid w:val="0066331D"/>
    <w:rsid w:val="00663783"/>
    <w:rsid w:val="00663906"/>
    <w:rsid w:val="00663969"/>
    <w:rsid w:val="00663A21"/>
    <w:rsid w:val="00663E0F"/>
    <w:rsid w:val="00663E47"/>
    <w:rsid w:val="00663E9D"/>
    <w:rsid w:val="00663EB2"/>
    <w:rsid w:val="00664117"/>
    <w:rsid w:val="00664182"/>
    <w:rsid w:val="006641E2"/>
    <w:rsid w:val="006644A7"/>
    <w:rsid w:val="00664610"/>
    <w:rsid w:val="00664BDE"/>
    <w:rsid w:val="00664CEB"/>
    <w:rsid w:val="00664D30"/>
    <w:rsid w:val="00664DC7"/>
    <w:rsid w:val="00664DD2"/>
    <w:rsid w:val="00664EBD"/>
    <w:rsid w:val="00665219"/>
    <w:rsid w:val="00665241"/>
    <w:rsid w:val="006652A5"/>
    <w:rsid w:val="0066546C"/>
    <w:rsid w:val="006654AF"/>
    <w:rsid w:val="0066565B"/>
    <w:rsid w:val="0066565C"/>
    <w:rsid w:val="00665692"/>
    <w:rsid w:val="0066572D"/>
    <w:rsid w:val="00665C44"/>
    <w:rsid w:val="00665EA5"/>
    <w:rsid w:val="006660E1"/>
    <w:rsid w:val="00666284"/>
    <w:rsid w:val="00666290"/>
    <w:rsid w:val="0066637C"/>
    <w:rsid w:val="006663C7"/>
    <w:rsid w:val="006664E4"/>
    <w:rsid w:val="006664E9"/>
    <w:rsid w:val="00666550"/>
    <w:rsid w:val="00666636"/>
    <w:rsid w:val="006667F3"/>
    <w:rsid w:val="00667135"/>
    <w:rsid w:val="0066713B"/>
    <w:rsid w:val="00667272"/>
    <w:rsid w:val="006674B3"/>
    <w:rsid w:val="006677BC"/>
    <w:rsid w:val="0066786E"/>
    <w:rsid w:val="00667AEA"/>
    <w:rsid w:val="00667B74"/>
    <w:rsid w:val="00667C18"/>
    <w:rsid w:val="00667E2A"/>
    <w:rsid w:val="00667F5C"/>
    <w:rsid w:val="00667F95"/>
    <w:rsid w:val="00670288"/>
    <w:rsid w:val="006704FA"/>
    <w:rsid w:val="00670687"/>
    <w:rsid w:val="0067068D"/>
    <w:rsid w:val="006708CA"/>
    <w:rsid w:val="00670AA0"/>
    <w:rsid w:val="00670D0A"/>
    <w:rsid w:val="00670DC5"/>
    <w:rsid w:val="00670F6B"/>
    <w:rsid w:val="00670F95"/>
    <w:rsid w:val="00671098"/>
    <w:rsid w:val="006710AA"/>
    <w:rsid w:val="006713B6"/>
    <w:rsid w:val="006713DD"/>
    <w:rsid w:val="006714CF"/>
    <w:rsid w:val="00671652"/>
    <w:rsid w:val="0067175F"/>
    <w:rsid w:val="006717C2"/>
    <w:rsid w:val="006717D8"/>
    <w:rsid w:val="0067198E"/>
    <w:rsid w:val="00671D28"/>
    <w:rsid w:val="00671F09"/>
    <w:rsid w:val="00671FAA"/>
    <w:rsid w:val="0067212B"/>
    <w:rsid w:val="006723AE"/>
    <w:rsid w:val="006723E1"/>
    <w:rsid w:val="0067279C"/>
    <w:rsid w:val="006728DA"/>
    <w:rsid w:val="00672A2B"/>
    <w:rsid w:val="00672C54"/>
    <w:rsid w:val="00673140"/>
    <w:rsid w:val="00673296"/>
    <w:rsid w:val="0067335E"/>
    <w:rsid w:val="00673647"/>
    <w:rsid w:val="006737EE"/>
    <w:rsid w:val="0067394A"/>
    <w:rsid w:val="0067394C"/>
    <w:rsid w:val="00673CF0"/>
    <w:rsid w:val="00673D14"/>
    <w:rsid w:val="00673D25"/>
    <w:rsid w:val="00673D8D"/>
    <w:rsid w:val="00673E03"/>
    <w:rsid w:val="006743D1"/>
    <w:rsid w:val="00674588"/>
    <w:rsid w:val="006746F6"/>
    <w:rsid w:val="00674970"/>
    <w:rsid w:val="00674DDB"/>
    <w:rsid w:val="00674DEA"/>
    <w:rsid w:val="00674F4C"/>
    <w:rsid w:val="00675154"/>
    <w:rsid w:val="00675325"/>
    <w:rsid w:val="00675382"/>
    <w:rsid w:val="00675536"/>
    <w:rsid w:val="0067572E"/>
    <w:rsid w:val="006759CC"/>
    <w:rsid w:val="00675AF1"/>
    <w:rsid w:val="00675BB5"/>
    <w:rsid w:val="00675CEF"/>
    <w:rsid w:val="00675D20"/>
    <w:rsid w:val="00675DA5"/>
    <w:rsid w:val="00675DC9"/>
    <w:rsid w:val="00676015"/>
    <w:rsid w:val="00676061"/>
    <w:rsid w:val="00676178"/>
    <w:rsid w:val="00676375"/>
    <w:rsid w:val="00676650"/>
    <w:rsid w:val="006766D1"/>
    <w:rsid w:val="006768E3"/>
    <w:rsid w:val="00676A07"/>
    <w:rsid w:val="00676F80"/>
    <w:rsid w:val="00677107"/>
    <w:rsid w:val="0067770C"/>
    <w:rsid w:val="0067779F"/>
    <w:rsid w:val="0067792F"/>
    <w:rsid w:val="00677944"/>
    <w:rsid w:val="00677D77"/>
    <w:rsid w:val="00677F6C"/>
    <w:rsid w:val="00680057"/>
    <w:rsid w:val="0068012C"/>
    <w:rsid w:val="006802FE"/>
    <w:rsid w:val="006803B6"/>
    <w:rsid w:val="00680482"/>
    <w:rsid w:val="00680564"/>
    <w:rsid w:val="006805C6"/>
    <w:rsid w:val="00680770"/>
    <w:rsid w:val="00680857"/>
    <w:rsid w:val="0068086E"/>
    <w:rsid w:val="006808DC"/>
    <w:rsid w:val="00680A7C"/>
    <w:rsid w:val="00680C1C"/>
    <w:rsid w:val="00680D8C"/>
    <w:rsid w:val="00680EB2"/>
    <w:rsid w:val="006810AB"/>
    <w:rsid w:val="00681631"/>
    <w:rsid w:val="006816B6"/>
    <w:rsid w:val="00681715"/>
    <w:rsid w:val="0068177C"/>
    <w:rsid w:val="00681BFF"/>
    <w:rsid w:val="00681E06"/>
    <w:rsid w:val="006820EB"/>
    <w:rsid w:val="006820EC"/>
    <w:rsid w:val="00682128"/>
    <w:rsid w:val="0068220C"/>
    <w:rsid w:val="006823C3"/>
    <w:rsid w:val="006824BA"/>
    <w:rsid w:val="00682821"/>
    <w:rsid w:val="00682865"/>
    <w:rsid w:val="00682A5F"/>
    <w:rsid w:val="00682AB1"/>
    <w:rsid w:val="00682B3C"/>
    <w:rsid w:val="00682B99"/>
    <w:rsid w:val="00682CD5"/>
    <w:rsid w:val="00682DC8"/>
    <w:rsid w:val="00682E72"/>
    <w:rsid w:val="00682E9F"/>
    <w:rsid w:val="0068303B"/>
    <w:rsid w:val="00683063"/>
    <w:rsid w:val="006830A0"/>
    <w:rsid w:val="006830FE"/>
    <w:rsid w:val="00683252"/>
    <w:rsid w:val="00683258"/>
    <w:rsid w:val="0068335D"/>
    <w:rsid w:val="006833C4"/>
    <w:rsid w:val="0068343A"/>
    <w:rsid w:val="006834D4"/>
    <w:rsid w:val="00683532"/>
    <w:rsid w:val="006839FB"/>
    <w:rsid w:val="00683BB6"/>
    <w:rsid w:val="00683CFA"/>
    <w:rsid w:val="00683E68"/>
    <w:rsid w:val="00683FA2"/>
    <w:rsid w:val="0068413D"/>
    <w:rsid w:val="00684309"/>
    <w:rsid w:val="006844BA"/>
    <w:rsid w:val="006844ED"/>
    <w:rsid w:val="006845A2"/>
    <w:rsid w:val="0068462A"/>
    <w:rsid w:val="0068468D"/>
    <w:rsid w:val="0068469A"/>
    <w:rsid w:val="00684968"/>
    <w:rsid w:val="00684A3C"/>
    <w:rsid w:val="00684BF8"/>
    <w:rsid w:val="00684D36"/>
    <w:rsid w:val="00684D9B"/>
    <w:rsid w:val="00684DF5"/>
    <w:rsid w:val="00684E22"/>
    <w:rsid w:val="00684EDA"/>
    <w:rsid w:val="00685097"/>
    <w:rsid w:val="006851F0"/>
    <w:rsid w:val="0068579F"/>
    <w:rsid w:val="006858AA"/>
    <w:rsid w:val="006859C4"/>
    <w:rsid w:val="00685ACA"/>
    <w:rsid w:val="00685BCF"/>
    <w:rsid w:val="00685E92"/>
    <w:rsid w:val="00685F1F"/>
    <w:rsid w:val="00685F40"/>
    <w:rsid w:val="00686007"/>
    <w:rsid w:val="0068615E"/>
    <w:rsid w:val="0068679B"/>
    <w:rsid w:val="006868FF"/>
    <w:rsid w:val="00686AF7"/>
    <w:rsid w:val="00686DAD"/>
    <w:rsid w:val="00686F36"/>
    <w:rsid w:val="006871D0"/>
    <w:rsid w:val="0068741C"/>
    <w:rsid w:val="0068751F"/>
    <w:rsid w:val="0068770D"/>
    <w:rsid w:val="00687CB3"/>
    <w:rsid w:val="006900D1"/>
    <w:rsid w:val="00690297"/>
    <w:rsid w:val="006902E1"/>
    <w:rsid w:val="006902E5"/>
    <w:rsid w:val="006904AF"/>
    <w:rsid w:val="006906DE"/>
    <w:rsid w:val="006906E0"/>
    <w:rsid w:val="006907DB"/>
    <w:rsid w:val="006907F1"/>
    <w:rsid w:val="00690925"/>
    <w:rsid w:val="006909CD"/>
    <w:rsid w:val="00690A0C"/>
    <w:rsid w:val="00690A75"/>
    <w:rsid w:val="00690B38"/>
    <w:rsid w:val="00690BCA"/>
    <w:rsid w:val="00690E31"/>
    <w:rsid w:val="0069115A"/>
    <w:rsid w:val="0069120A"/>
    <w:rsid w:val="0069126A"/>
    <w:rsid w:val="006912F1"/>
    <w:rsid w:val="00691387"/>
    <w:rsid w:val="0069139B"/>
    <w:rsid w:val="006913BD"/>
    <w:rsid w:val="0069147D"/>
    <w:rsid w:val="0069164A"/>
    <w:rsid w:val="0069165C"/>
    <w:rsid w:val="006917A5"/>
    <w:rsid w:val="0069193A"/>
    <w:rsid w:val="00691A25"/>
    <w:rsid w:val="00691C55"/>
    <w:rsid w:val="00691DFC"/>
    <w:rsid w:val="006921EE"/>
    <w:rsid w:val="006922B0"/>
    <w:rsid w:val="006924C5"/>
    <w:rsid w:val="006927F2"/>
    <w:rsid w:val="00692A87"/>
    <w:rsid w:val="00692CA6"/>
    <w:rsid w:val="00692F4D"/>
    <w:rsid w:val="006931E1"/>
    <w:rsid w:val="006934D0"/>
    <w:rsid w:val="00693A21"/>
    <w:rsid w:val="00693C65"/>
    <w:rsid w:val="00693C76"/>
    <w:rsid w:val="00694310"/>
    <w:rsid w:val="00694700"/>
    <w:rsid w:val="00694803"/>
    <w:rsid w:val="006948D2"/>
    <w:rsid w:val="00694CE8"/>
    <w:rsid w:val="00694DC8"/>
    <w:rsid w:val="00694E34"/>
    <w:rsid w:val="00694FB4"/>
    <w:rsid w:val="006951E1"/>
    <w:rsid w:val="0069521A"/>
    <w:rsid w:val="0069523B"/>
    <w:rsid w:val="00695297"/>
    <w:rsid w:val="006955F3"/>
    <w:rsid w:val="0069569E"/>
    <w:rsid w:val="006956C6"/>
    <w:rsid w:val="006957AC"/>
    <w:rsid w:val="006958B0"/>
    <w:rsid w:val="006958F1"/>
    <w:rsid w:val="006959DF"/>
    <w:rsid w:val="00695A1E"/>
    <w:rsid w:val="00695C20"/>
    <w:rsid w:val="00695C2C"/>
    <w:rsid w:val="00695D89"/>
    <w:rsid w:val="00695E09"/>
    <w:rsid w:val="00695EFD"/>
    <w:rsid w:val="00696111"/>
    <w:rsid w:val="00696190"/>
    <w:rsid w:val="006963E6"/>
    <w:rsid w:val="00696543"/>
    <w:rsid w:val="006966C7"/>
    <w:rsid w:val="00696847"/>
    <w:rsid w:val="006968AB"/>
    <w:rsid w:val="0069692F"/>
    <w:rsid w:val="00696C68"/>
    <w:rsid w:val="00696DE5"/>
    <w:rsid w:val="00696EE3"/>
    <w:rsid w:val="00697002"/>
    <w:rsid w:val="006970D9"/>
    <w:rsid w:val="0069715D"/>
    <w:rsid w:val="0069719D"/>
    <w:rsid w:val="006971D5"/>
    <w:rsid w:val="00697268"/>
    <w:rsid w:val="0069731A"/>
    <w:rsid w:val="00697392"/>
    <w:rsid w:val="006973E5"/>
    <w:rsid w:val="00697580"/>
    <w:rsid w:val="006975B3"/>
    <w:rsid w:val="00697664"/>
    <w:rsid w:val="00697681"/>
    <w:rsid w:val="0069770C"/>
    <w:rsid w:val="006977C3"/>
    <w:rsid w:val="0069781C"/>
    <w:rsid w:val="00697860"/>
    <w:rsid w:val="00697A43"/>
    <w:rsid w:val="00697D57"/>
    <w:rsid w:val="00697DDB"/>
    <w:rsid w:val="00697E4B"/>
    <w:rsid w:val="00697EFB"/>
    <w:rsid w:val="00697FA3"/>
    <w:rsid w:val="006A018F"/>
    <w:rsid w:val="006A01AA"/>
    <w:rsid w:val="006A03C5"/>
    <w:rsid w:val="006A0427"/>
    <w:rsid w:val="006A0479"/>
    <w:rsid w:val="006A04CA"/>
    <w:rsid w:val="006A051B"/>
    <w:rsid w:val="006A064C"/>
    <w:rsid w:val="006A064D"/>
    <w:rsid w:val="006A084E"/>
    <w:rsid w:val="006A08F2"/>
    <w:rsid w:val="006A0AFE"/>
    <w:rsid w:val="006A0B4D"/>
    <w:rsid w:val="006A0B78"/>
    <w:rsid w:val="006A0F23"/>
    <w:rsid w:val="006A1003"/>
    <w:rsid w:val="006A1160"/>
    <w:rsid w:val="006A12B7"/>
    <w:rsid w:val="006A151A"/>
    <w:rsid w:val="006A15F0"/>
    <w:rsid w:val="006A1777"/>
    <w:rsid w:val="006A1945"/>
    <w:rsid w:val="006A1B2D"/>
    <w:rsid w:val="006A1C9B"/>
    <w:rsid w:val="006A1DD6"/>
    <w:rsid w:val="006A1E0C"/>
    <w:rsid w:val="006A1E62"/>
    <w:rsid w:val="006A1F14"/>
    <w:rsid w:val="006A1F23"/>
    <w:rsid w:val="006A2287"/>
    <w:rsid w:val="006A2354"/>
    <w:rsid w:val="006A23EC"/>
    <w:rsid w:val="006A23F9"/>
    <w:rsid w:val="006A24BF"/>
    <w:rsid w:val="006A2A12"/>
    <w:rsid w:val="006A2B10"/>
    <w:rsid w:val="006A2B83"/>
    <w:rsid w:val="006A2B94"/>
    <w:rsid w:val="006A2E9C"/>
    <w:rsid w:val="006A2EE3"/>
    <w:rsid w:val="006A31A2"/>
    <w:rsid w:val="006A35E0"/>
    <w:rsid w:val="006A377F"/>
    <w:rsid w:val="006A384A"/>
    <w:rsid w:val="006A3875"/>
    <w:rsid w:val="006A3D40"/>
    <w:rsid w:val="006A3E85"/>
    <w:rsid w:val="006A436F"/>
    <w:rsid w:val="006A4BE6"/>
    <w:rsid w:val="006A4F21"/>
    <w:rsid w:val="006A4F28"/>
    <w:rsid w:val="006A4F6B"/>
    <w:rsid w:val="006A4FE9"/>
    <w:rsid w:val="006A50D5"/>
    <w:rsid w:val="006A53C6"/>
    <w:rsid w:val="006A54AB"/>
    <w:rsid w:val="006A561D"/>
    <w:rsid w:val="006A5838"/>
    <w:rsid w:val="006A5A0C"/>
    <w:rsid w:val="006A5AB6"/>
    <w:rsid w:val="006A5B66"/>
    <w:rsid w:val="006A5B85"/>
    <w:rsid w:val="006A5BA0"/>
    <w:rsid w:val="006A5BB1"/>
    <w:rsid w:val="006A5CE9"/>
    <w:rsid w:val="006A5F88"/>
    <w:rsid w:val="006A627D"/>
    <w:rsid w:val="006A6FFF"/>
    <w:rsid w:val="006A72C1"/>
    <w:rsid w:val="006A73DF"/>
    <w:rsid w:val="006A76B4"/>
    <w:rsid w:val="006A787A"/>
    <w:rsid w:val="006A7890"/>
    <w:rsid w:val="006A7B6E"/>
    <w:rsid w:val="006A7D95"/>
    <w:rsid w:val="006A7F82"/>
    <w:rsid w:val="006B0059"/>
    <w:rsid w:val="006B00B5"/>
    <w:rsid w:val="006B024F"/>
    <w:rsid w:val="006B093E"/>
    <w:rsid w:val="006B0AD9"/>
    <w:rsid w:val="006B0B8F"/>
    <w:rsid w:val="006B0C4E"/>
    <w:rsid w:val="006B0CBE"/>
    <w:rsid w:val="006B0E36"/>
    <w:rsid w:val="006B0E93"/>
    <w:rsid w:val="006B11E6"/>
    <w:rsid w:val="006B120D"/>
    <w:rsid w:val="006B1212"/>
    <w:rsid w:val="006B12BB"/>
    <w:rsid w:val="006B13C1"/>
    <w:rsid w:val="006B1455"/>
    <w:rsid w:val="006B15B8"/>
    <w:rsid w:val="006B1940"/>
    <w:rsid w:val="006B1ABA"/>
    <w:rsid w:val="006B1B5A"/>
    <w:rsid w:val="006B1B7A"/>
    <w:rsid w:val="006B1E8B"/>
    <w:rsid w:val="006B1F3A"/>
    <w:rsid w:val="006B209D"/>
    <w:rsid w:val="006B27D9"/>
    <w:rsid w:val="006B2816"/>
    <w:rsid w:val="006B2A34"/>
    <w:rsid w:val="006B2CC7"/>
    <w:rsid w:val="006B2D81"/>
    <w:rsid w:val="006B2E4E"/>
    <w:rsid w:val="006B2F5E"/>
    <w:rsid w:val="006B31D4"/>
    <w:rsid w:val="006B320D"/>
    <w:rsid w:val="006B3285"/>
    <w:rsid w:val="006B3465"/>
    <w:rsid w:val="006B37B0"/>
    <w:rsid w:val="006B37BA"/>
    <w:rsid w:val="006B37ED"/>
    <w:rsid w:val="006B3AF9"/>
    <w:rsid w:val="006B3CEF"/>
    <w:rsid w:val="006B3DA5"/>
    <w:rsid w:val="006B404E"/>
    <w:rsid w:val="006B40EC"/>
    <w:rsid w:val="006B40FE"/>
    <w:rsid w:val="006B4299"/>
    <w:rsid w:val="006B44C5"/>
    <w:rsid w:val="006B47A1"/>
    <w:rsid w:val="006B4841"/>
    <w:rsid w:val="006B49CB"/>
    <w:rsid w:val="006B4CA3"/>
    <w:rsid w:val="006B4CC4"/>
    <w:rsid w:val="006B4EAE"/>
    <w:rsid w:val="006B4ED9"/>
    <w:rsid w:val="006B5367"/>
    <w:rsid w:val="006B555F"/>
    <w:rsid w:val="006B574F"/>
    <w:rsid w:val="006B57F6"/>
    <w:rsid w:val="006B595B"/>
    <w:rsid w:val="006B59EA"/>
    <w:rsid w:val="006B5A4A"/>
    <w:rsid w:val="006B5A70"/>
    <w:rsid w:val="006B5B78"/>
    <w:rsid w:val="006B5D24"/>
    <w:rsid w:val="006B6030"/>
    <w:rsid w:val="006B6242"/>
    <w:rsid w:val="006B640A"/>
    <w:rsid w:val="006B64AE"/>
    <w:rsid w:val="006B6B4C"/>
    <w:rsid w:val="006B6B6A"/>
    <w:rsid w:val="006B6C7C"/>
    <w:rsid w:val="006B6EA4"/>
    <w:rsid w:val="006B6F37"/>
    <w:rsid w:val="006B6F7A"/>
    <w:rsid w:val="006B706E"/>
    <w:rsid w:val="006B714F"/>
    <w:rsid w:val="006B7228"/>
    <w:rsid w:val="006B725A"/>
    <w:rsid w:val="006B757A"/>
    <w:rsid w:val="006B75EB"/>
    <w:rsid w:val="006B77BB"/>
    <w:rsid w:val="006B7EE3"/>
    <w:rsid w:val="006B7F8F"/>
    <w:rsid w:val="006B7FC5"/>
    <w:rsid w:val="006C00CF"/>
    <w:rsid w:val="006C036D"/>
    <w:rsid w:val="006C04A5"/>
    <w:rsid w:val="006C055E"/>
    <w:rsid w:val="006C06FD"/>
    <w:rsid w:val="006C0798"/>
    <w:rsid w:val="006C07B4"/>
    <w:rsid w:val="006C07F6"/>
    <w:rsid w:val="006C0807"/>
    <w:rsid w:val="006C083D"/>
    <w:rsid w:val="006C0844"/>
    <w:rsid w:val="006C097F"/>
    <w:rsid w:val="006C0997"/>
    <w:rsid w:val="006C09E1"/>
    <w:rsid w:val="006C0A7B"/>
    <w:rsid w:val="006C0AB4"/>
    <w:rsid w:val="006C0D13"/>
    <w:rsid w:val="006C107A"/>
    <w:rsid w:val="006C1085"/>
    <w:rsid w:val="006C1127"/>
    <w:rsid w:val="006C131A"/>
    <w:rsid w:val="006C1341"/>
    <w:rsid w:val="006C1344"/>
    <w:rsid w:val="006C1355"/>
    <w:rsid w:val="006C13BE"/>
    <w:rsid w:val="006C187F"/>
    <w:rsid w:val="006C18DB"/>
    <w:rsid w:val="006C190B"/>
    <w:rsid w:val="006C1940"/>
    <w:rsid w:val="006C19BC"/>
    <w:rsid w:val="006C19D5"/>
    <w:rsid w:val="006C1B44"/>
    <w:rsid w:val="006C1B45"/>
    <w:rsid w:val="006C1EE5"/>
    <w:rsid w:val="006C1F77"/>
    <w:rsid w:val="006C20BF"/>
    <w:rsid w:val="006C2211"/>
    <w:rsid w:val="006C2433"/>
    <w:rsid w:val="006C2523"/>
    <w:rsid w:val="006C2664"/>
    <w:rsid w:val="006C2781"/>
    <w:rsid w:val="006C2ACC"/>
    <w:rsid w:val="006C3031"/>
    <w:rsid w:val="006C30CA"/>
    <w:rsid w:val="006C3105"/>
    <w:rsid w:val="006C3305"/>
    <w:rsid w:val="006C351F"/>
    <w:rsid w:val="006C3584"/>
    <w:rsid w:val="006C3607"/>
    <w:rsid w:val="006C38F5"/>
    <w:rsid w:val="006C3990"/>
    <w:rsid w:val="006C39C3"/>
    <w:rsid w:val="006C3A29"/>
    <w:rsid w:val="006C3AEC"/>
    <w:rsid w:val="006C3AEF"/>
    <w:rsid w:val="006C3D7C"/>
    <w:rsid w:val="006C3ED2"/>
    <w:rsid w:val="006C4056"/>
    <w:rsid w:val="006C4189"/>
    <w:rsid w:val="006C41C2"/>
    <w:rsid w:val="006C4233"/>
    <w:rsid w:val="006C4292"/>
    <w:rsid w:val="006C42E7"/>
    <w:rsid w:val="006C42F0"/>
    <w:rsid w:val="006C4422"/>
    <w:rsid w:val="006C4637"/>
    <w:rsid w:val="006C4835"/>
    <w:rsid w:val="006C4A1A"/>
    <w:rsid w:val="006C4B8C"/>
    <w:rsid w:val="006C4BB8"/>
    <w:rsid w:val="006C4C1C"/>
    <w:rsid w:val="006C4C2C"/>
    <w:rsid w:val="006C4F12"/>
    <w:rsid w:val="006C4FF4"/>
    <w:rsid w:val="006C5086"/>
    <w:rsid w:val="006C537B"/>
    <w:rsid w:val="006C5491"/>
    <w:rsid w:val="006C54FF"/>
    <w:rsid w:val="006C5745"/>
    <w:rsid w:val="006C5808"/>
    <w:rsid w:val="006C596A"/>
    <w:rsid w:val="006C5972"/>
    <w:rsid w:val="006C5A65"/>
    <w:rsid w:val="006C5CCA"/>
    <w:rsid w:val="006C5D40"/>
    <w:rsid w:val="006C5DAB"/>
    <w:rsid w:val="006C5E2F"/>
    <w:rsid w:val="006C5E53"/>
    <w:rsid w:val="006C5FDC"/>
    <w:rsid w:val="006C6116"/>
    <w:rsid w:val="006C625F"/>
    <w:rsid w:val="006C660C"/>
    <w:rsid w:val="006C6632"/>
    <w:rsid w:val="006C6638"/>
    <w:rsid w:val="006C6684"/>
    <w:rsid w:val="006C6841"/>
    <w:rsid w:val="006C6935"/>
    <w:rsid w:val="006C6967"/>
    <w:rsid w:val="006C6A63"/>
    <w:rsid w:val="006C6B92"/>
    <w:rsid w:val="006C6BC8"/>
    <w:rsid w:val="006C6D34"/>
    <w:rsid w:val="006C6F8D"/>
    <w:rsid w:val="006C712A"/>
    <w:rsid w:val="006C7349"/>
    <w:rsid w:val="006C7418"/>
    <w:rsid w:val="006C7556"/>
    <w:rsid w:val="006C7578"/>
    <w:rsid w:val="006C771C"/>
    <w:rsid w:val="006C78A6"/>
    <w:rsid w:val="006C78DE"/>
    <w:rsid w:val="006C7920"/>
    <w:rsid w:val="006C796E"/>
    <w:rsid w:val="006C7AB2"/>
    <w:rsid w:val="006C7AB4"/>
    <w:rsid w:val="006C7B83"/>
    <w:rsid w:val="006C7E3F"/>
    <w:rsid w:val="006C7FCF"/>
    <w:rsid w:val="006D006B"/>
    <w:rsid w:val="006D038C"/>
    <w:rsid w:val="006D03C8"/>
    <w:rsid w:val="006D042B"/>
    <w:rsid w:val="006D0585"/>
    <w:rsid w:val="006D0773"/>
    <w:rsid w:val="006D07CA"/>
    <w:rsid w:val="006D0891"/>
    <w:rsid w:val="006D09E0"/>
    <w:rsid w:val="006D1033"/>
    <w:rsid w:val="006D105C"/>
    <w:rsid w:val="006D10B7"/>
    <w:rsid w:val="006D12A5"/>
    <w:rsid w:val="006D131B"/>
    <w:rsid w:val="006D14FB"/>
    <w:rsid w:val="006D157C"/>
    <w:rsid w:val="006D1594"/>
    <w:rsid w:val="006D17C3"/>
    <w:rsid w:val="006D19C0"/>
    <w:rsid w:val="006D1ADF"/>
    <w:rsid w:val="006D2009"/>
    <w:rsid w:val="006D2218"/>
    <w:rsid w:val="006D22F6"/>
    <w:rsid w:val="006D2400"/>
    <w:rsid w:val="006D24A6"/>
    <w:rsid w:val="006D251D"/>
    <w:rsid w:val="006D25AC"/>
    <w:rsid w:val="006D2955"/>
    <w:rsid w:val="006D2DC0"/>
    <w:rsid w:val="006D2DEF"/>
    <w:rsid w:val="006D30E7"/>
    <w:rsid w:val="006D30F5"/>
    <w:rsid w:val="006D3100"/>
    <w:rsid w:val="006D31F5"/>
    <w:rsid w:val="006D3257"/>
    <w:rsid w:val="006D328E"/>
    <w:rsid w:val="006D33B7"/>
    <w:rsid w:val="006D33FB"/>
    <w:rsid w:val="006D36BF"/>
    <w:rsid w:val="006D39B2"/>
    <w:rsid w:val="006D3AB2"/>
    <w:rsid w:val="006D3B41"/>
    <w:rsid w:val="006D3B46"/>
    <w:rsid w:val="006D3C03"/>
    <w:rsid w:val="006D4004"/>
    <w:rsid w:val="006D41D8"/>
    <w:rsid w:val="006D423F"/>
    <w:rsid w:val="006D4319"/>
    <w:rsid w:val="006D443B"/>
    <w:rsid w:val="006D48E7"/>
    <w:rsid w:val="006D4947"/>
    <w:rsid w:val="006D50F2"/>
    <w:rsid w:val="006D5576"/>
    <w:rsid w:val="006D56D9"/>
    <w:rsid w:val="006D5710"/>
    <w:rsid w:val="006D57D0"/>
    <w:rsid w:val="006D58D2"/>
    <w:rsid w:val="006D58E4"/>
    <w:rsid w:val="006D5ABD"/>
    <w:rsid w:val="006D5AC9"/>
    <w:rsid w:val="006D5BD9"/>
    <w:rsid w:val="006D5DE1"/>
    <w:rsid w:val="006D5E05"/>
    <w:rsid w:val="006D5F16"/>
    <w:rsid w:val="006D6108"/>
    <w:rsid w:val="006D6204"/>
    <w:rsid w:val="006D63AD"/>
    <w:rsid w:val="006D6611"/>
    <w:rsid w:val="006D66BE"/>
    <w:rsid w:val="006D66D1"/>
    <w:rsid w:val="006D6764"/>
    <w:rsid w:val="006D67D9"/>
    <w:rsid w:val="006D6C93"/>
    <w:rsid w:val="006D6D63"/>
    <w:rsid w:val="006D7039"/>
    <w:rsid w:val="006D7075"/>
    <w:rsid w:val="006D71D4"/>
    <w:rsid w:val="006D72C1"/>
    <w:rsid w:val="006D736E"/>
    <w:rsid w:val="006D74C3"/>
    <w:rsid w:val="006D74D1"/>
    <w:rsid w:val="006D74DB"/>
    <w:rsid w:val="006D74E1"/>
    <w:rsid w:val="006D7573"/>
    <w:rsid w:val="006D77E4"/>
    <w:rsid w:val="006D7AE8"/>
    <w:rsid w:val="006D7C5F"/>
    <w:rsid w:val="006D7C99"/>
    <w:rsid w:val="006E01C2"/>
    <w:rsid w:val="006E033C"/>
    <w:rsid w:val="006E0340"/>
    <w:rsid w:val="006E06F9"/>
    <w:rsid w:val="006E07A9"/>
    <w:rsid w:val="006E07D2"/>
    <w:rsid w:val="006E083C"/>
    <w:rsid w:val="006E0AC8"/>
    <w:rsid w:val="006E0CA0"/>
    <w:rsid w:val="006E0D4C"/>
    <w:rsid w:val="006E0D91"/>
    <w:rsid w:val="006E0F79"/>
    <w:rsid w:val="006E1026"/>
    <w:rsid w:val="006E1029"/>
    <w:rsid w:val="006E107F"/>
    <w:rsid w:val="006E11A7"/>
    <w:rsid w:val="006E1315"/>
    <w:rsid w:val="006E139D"/>
    <w:rsid w:val="006E15CA"/>
    <w:rsid w:val="006E165C"/>
    <w:rsid w:val="006E1706"/>
    <w:rsid w:val="006E180E"/>
    <w:rsid w:val="006E1956"/>
    <w:rsid w:val="006E1C9B"/>
    <w:rsid w:val="006E22D9"/>
    <w:rsid w:val="006E241F"/>
    <w:rsid w:val="006E2797"/>
    <w:rsid w:val="006E27E1"/>
    <w:rsid w:val="006E2833"/>
    <w:rsid w:val="006E288D"/>
    <w:rsid w:val="006E2938"/>
    <w:rsid w:val="006E2B53"/>
    <w:rsid w:val="006E2BF7"/>
    <w:rsid w:val="006E30CA"/>
    <w:rsid w:val="006E313D"/>
    <w:rsid w:val="006E3560"/>
    <w:rsid w:val="006E3851"/>
    <w:rsid w:val="006E3B23"/>
    <w:rsid w:val="006E3BF3"/>
    <w:rsid w:val="006E3CB2"/>
    <w:rsid w:val="006E3D41"/>
    <w:rsid w:val="006E3DA8"/>
    <w:rsid w:val="006E3DD3"/>
    <w:rsid w:val="006E4267"/>
    <w:rsid w:val="006E4402"/>
    <w:rsid w:val="006E443F"/>
    <w:rsid w:val="006E444B"/>
    <w:rsid w:val="006E4659"/>
    <w:rsid w:val="006E49C2"/>
    <w:rsid w:val="006E49D9"/>
    <w:rsid w:val="006E4AAB"/>
    <w:rsid w:val="006E4ED1"/>
    <w:rsid w:val="006E4F12"/>
    <w:rsid w:val="006E51EF"/>
    <w:rsid w:val="006E5200"/>
    <w:rsid w:val="006E54A1"/>
    <w:rsid w:val="006E54C6"/>
    <w:rsid w:val="006E55BB"/>
    <w:rsid w:val="006E5650"/>
    <w:rsid w:val="006E5941"/>
    <w:rsid w:val="006E59AA"/>
    <w:rsid w:val="006E5A9A"/>
    <w:rsid w:val="006E5C3D"/>
    <w:rsid w:val="006E5DA2"/>
    <w:rsid w:val="006E5DAA"/>
    <w:rsid w:val="006E5EE2"/>
    <w:rsid w:val="006E607F"/>
    <w:rsid w:val="006E6413"/>
    <w:rsid w:val="006E662E"/>
    <w:rsid w:val="006E6631"/>
    <w:rsid w:val="006E68D5"/>
    <w:rsid w:val="006E694C"/>
    <w:rsid w:val="006E6966"/>
    <w:rsid w:val="006E698D"/>
    <w:rsid w:val="006E6C0C"/>
    <w:rsid w:val="006E6D9B"/>
    <w:rsid w:val="006E6F90"/>
    <w:rsid w:val="006E7006"/>
    <w:rsid w:val="006E7145"/>
    <w:rsid w:val="006E7155"/>
    <w:rsid w:val="006E7162"/>
    <w:rsid w:val="006E719A"/>
    <w:rsid w:val="006E72B4"/>
    <w:rsid w:val="006E7668"/>
    <w:rsid w:val="006E7791"/>
    <w:rsid w:val="006E79D9"/>
    <w:rsid w:val="006E7A36"/>
    <w:rsid w:val="006E7AD0"/>
    <w:rsid w:val="006E7C04"/>
    <w:rsid w:val="006E7CEE"/>
    <w:rsid w:val="006E7FAB"/>
    <w:rsid w:val="006F00E7"/>
    <w:rsid w:val="006F01FF"/>
    <w:rsid w:val="006F02AD"/>
    <w:rsid w:val="006F02B6"/>
    <w:rsid w:val="006F04B1"/>
    <w:rsid w:val="006F07AA"/>
    <w:rsid w:val="006F07D0"/>
    <w:rsid w:val="006F095F"/>
    <w:rsid w:val="006F0D1B"/>
    <w:rsid w:val="006F0F6E"/>
    <w:rsid w:val="006F0FBB"/>
    <w:rsid w:val="006F10F9"/>
    <w:rsid w:val="006F149D"/>
    <w:rsid w:val="006F14A3"/>
    <w:rsid w:val="006F1569"/>
    <w:rsid w:val="006F15B9"/>
    <w:rsid w:val="006F182D"/>
    <w:rsid w:val="006F1969"/>
    <w:rsid w:val="006F1A61"/>
    <w:rsid w:val="006F1B22"/>
    <w:rsid w:val="006F1BA4"/>
    <w:rsid w:val="006F2259"/>
    <w:rsid w:val="006F22E7"/>
    <w:rsid w:val="006F239F"/>
    <w:rsid w:val="006F23E1"/>
    <w:rsid w:val="006F2756"/>
    <w:rsid w:val="006F2783"/>
    <w:rsid w:val="006F2BDE"/>
    <w:rsid w:val="006F2D7E"/>
    <w:rsid w:val="006F2F8F"/>
    <w:rsid w:val="006F2FDA"/>
    <w:rsid w:val="006F2FE5"/>
    <w:rsid w:val="006F335E"/>
    <w:rsid w:val="006F33D0"/>
    <w:rsid w:val="006F343C"/>
    <w:rsid w:val="006F3460"/>
    <w:rsid w:val="006F34FE"/>
    <w:rsid w:val="006F3566"/>
    <w:rsid w:val="006F3615"/>
    <w:rsid w:val="006F3679"/>
    <w:rsid w:val="006F3AE0"/>
    <w:rsid w:val="006F3BB3"/>
    <w:rsid w:val="006F3CF6"/>
    <w:rsid w:val="006F3DB9"/>
    <w:rsid w:val="006F3E8F"/>
    <w:rsid w:val="006F3FA3"/>
    <w:rsid w:val="006F4276"/>
    <w:rsid w:val="006F4339"/>
    <w:rsid w:val="006F4347"/>
    <w:rsid w:val="006F4373"/>
    <w:rsid w:val="006F4530"/>
    <w:rsid w:val="006F459F"/>
    <w:rsid w:val="006F46B3"/>
    <w:rsid w:val="006F48BA"/>
    <w:rsid w:val="006F4A81"/>
    <w:rsid w:val="006F4ACD"/>
    <w:rsid w:val="006F4AF9"/>
    <w:rsid w:val="006F4DF9"/>
    <w:rsid w:val="006F4EC3"/>
    <w:rsid w:val="006F4F13"/>
    <w:rsid w:val="006F4F20"/>
    <w:rsid w:val="006F516D"/>
    <w:rsid w:val="006F525D"/>
    <w:rsid w:val="006F54EB"/>
    <w:rsid w:val="006F54FC"/>
    <w:rsid w:val="006F563E"/>
    <w:rsid w:val="006F5A61"/>
    <w:rsid w:val="006F5CC1"/>
    <w:rsid w:val="006F65E1"/>
    <w:rsid w:val="006F661D"/>
    <w:rsid w:val="006F677C"/>
    <w:rsid w:val="006F67A5"/>
    <w:rsid w:val="006F69B5"/>
    <w:rsid w:val="006F6B7A"/>
    <w:rsid w:val="006F6CEA"/>
    <w:rsid w:val="006F6D54"/>
    <w:rsid w:val="006F6D93"/>
    <w:rsid w:val="006F72CA"/>
    <w:rsid w:val="006F7595"/>
    <w:rsid w:val="006F75CF"/>
    <w:rsid w:val="006F75D3"/>
    <w:rsid w:val="006F762D"/>
    <w:rsid w:val="006F7CDC"/>
    <w:rsid w:val="006F7E34"/>
    <w:rsid w:val="006F7F3E"/>
    <w:rsid w:val="0070016D"/>
    <w:rsid w:val="007003D4"/>
    <w:rsid w:val="00700492"/>
    <w:rsid w:val="0070067C"/>
    <w:rsid w:val="007006CD"/>
    <w:rsid w:val="007009D4"/>
    <w:rsid w:val="00700B81"/>
    <w:rsid w:val="007010A6"/>
    <w:rsid w:val="00701195"/>
    <w:rsid w:val="00701306"/>
    <w:rsid w:val="007014B5"/>
    <w:rsid w:val="0070165F"/>
    <w:rsid w:val="0070167E"/>
    <w:rsid w:val="00701B4F"/>
    <w:rsid w:val="00701B5F"/>
    <w:rsid w:val="00701BF9"/>
    <w:rsid w:val="00701CAB"/>
    <w:rsid w:val="00701D6D"/>
    <w:rsid w:val="00701E1B"/>
    <w:rsid w:val="00701ED9"/>
    <w:rsid w:val="00701FC9"/>
    <w:rsid w:val="0070210A"/>
    <w:rsid w:val="007023D2"/>
    <w:rsid w:val="0070243F"/>
    <w:rsid w:val="0070245C"/>
    <w:rsid w:val="007024FC"/>
    <w:rsid w:val="0070263F"/>
    <w:rsid w:val="00702796"/>
    <w:rsid w:val="0070282C"/>
    <w:rsid w:val="007029D4"/>
    <w:rsid w:val="00702A7A"/>
    <w:rsid w:val="00702B00"/>
    <w:rsid w:val="00702C43"/>
    <w:rsid w:val="00702C71"/>
    <w:rsid w:val="00702CBB"/>
    <w:rsid w:val="00702CF7"/>
    <w:rsid w:val="00702ED0"/>
    <w:rsid w:val="00703034"/>
    <w:rsid w:val="00703496"/>
    <w:rsid w:val="007034B1"/>
    <w:rsid w:val="007034C0"/>
    <w:rsid w:val="0070350E"/>
    <w:rsid w:val="00703518"/>
    <w:rsid w:val="00703572"/>
    <w:rsid w:val="007036F8"/>
    <w:rsid w:val="007038C4"/>
    <w:rsid w:val="00703A38"/>
    <w:rsid w:val="00703AAD"/>
    <w:rsid w:val="00703C09"/>
    <w:rsid w:val="00703C40"/>
    <w:rsid w:val="00703EE3"/>
    <w:rsid w:val="00704048"/>
    <w:rsid w:val="0070434A"/>
    <w:rsid w:val="007043C5"/>
    <w:rsid w:val="00704494"/>
    <w:rsid w:val="007045EB"/>
    <w:rsid w:val="007047B8"/>
    <w:rsid w:val="0070487F"/>
    <w:rsid w:val="007048C4"/>
    <w:rsid w:val="00704CC4"/>
    <w:rsid w:val="00705018"/>
    <w:rsid w:val="007050EF"/>
    <w:rsid w:val="00705232"/>
    <w:rsid w:val="00705282"/>
    <w:rsid w:val="007052DF"/>
    <w:rsid w:val="007052F5"/>
    <w:rsid w:val="00705345"/>
    <w:rsid w:val="007053D1"/>
    <w:rsid w:val="007054F0"/>
    <w:rsid w:val="007054F6"/>
    <w:rsid w:val="007057BE"/>
    <w:rsid w:val="007058EF"/>
    <w:rsid w:val="00705B44"/>
    <w:rsid w:val="00705E08"/>
    <w:rsid w:val="00705F04"/>
    <w:rsid w:val="0070602A"/>
    <w:rsid w:val="0070606C"/>
    <w:rsid w:val="00706283"/>
    <w:rsid w:val="00706321"/>
    <w:rsid w:val="0070638D"/>
    <w:rsid w:val="007064F6"/>
    <w:rsid w:val="007067B6"/>
    <w:rsid w:val="007067E1"/>
    <w:rsid w:val="0070699C"/>
    <w:rsid w:val="00706A92"/>
    <w:rsid w:val="00706CBD"/>
    <w:rsid w:val="00706DBD"/>
    <w:rsid w:val="00706DBF"/>
    <w:rsid w:val="00706DF4"/>
    <w:rsid w:val="00707270"/>
    <w:rsid w:val="007073AC"/>
    <w:rsid w:val="00707615"/>
    <w:rsid w:val="00707A59"/>
    <w:rsid w:val="00707C6C"/>
    <w:rsid w:val="00707D1C"/>
    <w:rsid w:val="00707D65"/>
    <w:rsid w:val="00707EAE"/>
    <w:rsid w:val="00707ECA"/>
    <w:rsid w:val="00707FED"/>
    <w:rsid w:val="007101A5"/>
    <w:rsid w:val="00710242"/>
    <w:rsid w:val="00710296"/>
    <w:rsid w:val="0071046B"/>
    <w:rsid w:val="0071049B"/>
    <w:rsid w:val="007104EF"/>
    <w:rsid w:val="00710611"/>
    <w:rsid w:val="00710783"/>
    <w:rsid w:val="00710808"/>
    <w:rsid w:val="0071086F"/>
    <w:rsid w:val="007108A0"/>
    <w:rsid w:val="007109A6"/>
    <w:rsid w:val="00710A1E"/>
    <w:rsid w:val="00710AC6"/>
    <w:rsid w:val="00710C13"/>
    <w:rsid w:val="00710C1D"/>
    <w:rsid w:val="00710CD7"/>
    <w:rsid w:val="00710CE3"/>
    <w:rsid w:val="00710E4E"/>
    <w:rsid w:val="007110A3"/>
    <w:rsid w:val="00711108"/>
    <w:rsid w:val="007111E7"/>
    <w:rsid w:val="00711213"/>
    <w:rsid w:val="007112A1"/>
    <w:rsid w:val="007113A9"/>
    <w:rsid w:val="00711451"/>
    <w:rsid w:val="007115D9"/>
    <w:rsid w:val="00711654"/>
    <w:rsid w:val="0071178A"/>
    <w:rsid w:val="007117BC"/>
    <w:rsid w:val="0071195B"/>
    <w:rsid w:val="00711996"/>
    <w:rsid w:val="00711AD4"/>
    <w:rsid w:val="00711B3B"/>
    <w:rsid w:val="00711BA3"/>
    <w:rsid w:val="00711BC0"/>
    <w:rsid w:val="00711C9D"/>
    <w:rsid w:val="00711CDE"/>
    <w:rsid w:val="00711EA5"/>
    <w:rsid w:val="00712051"/>
    <w:rsid w:val="007121D8"/>
    <w:rsid w:val="007123B3"/>
    <w:rsid w:val="0071254B"/>
    <w:rsid w:val="007125A3"/>
    <w:rsid w:val="007126B4"/>
    <w:rsid w:val="0071282F"/>
    <w:rsid w:val="007128C3"/>
    <w:rsid w:val="00712A50"/>
    <w:rsid w:val="00712AFC"/>
    <w:rsid w:val="00712B71"/>
    <w:rsid w:val="00712E55"/>
    <w:rsid w:val="00712EDA"/>
    <w:rsid w:val="00712FF6"/>
    <w:rsid w:val="00713023"/>
    <w:rsid w:val="007130B9"/>
    <w:rsid w:val="0071322C"/>
    <w:rsid w:val="007132B4"/>
    <w:rsid w:val="0071341D"/>
    <w:rsid w:val="00713722"/>
    <w:rsid w:val="00713779"/>
    <w:rsid w:val="00713989"/>
    <w:rsid w:val="00713C77"/>
    <w:rsid w:val="00713C9C"/>
    <w:rsid w:val="00713D74"/>
    <w:rsid w:val="00713DCF"/>
    <w:rsid w:val="00713E4B"/>
    <w:rsid w:val="00713E9A"/>
    <w:rsid w:val="00713F64"/>
    <w:rsid w:val="00713F6D"/>
    <w:rsid w:val="00713FD8"/>
    <w:rsid w:val="00714004"/>
    <w:rsid w:val="0071413D"/>
    <w:rsid w:val="00714349"/>
    <w:rsid w:val="00714438"/>
    <w:rsid w:val="00714488"/>
    <w:rsid w:val="007144FA"/>
    <w:rsid w:val="00714543"/>
    <w:rsid w:val="0071458E"/>
    <w:rsid w:val="007145C9"/>
    <w:rsid w:val="00714631"/>
    <w:rsid w:val="007147F7"/>
    <w:rsid w:val="007148AD"/>
    <w:rsid w:val="007148D5"/>
    <w:rsid w:val="00714B6E"/>
    <w:rsid w:val="00714B8B"/>
    <w:rsid w:val="00714C46"/>
    <w:rsid w:val="00714D01"/>
    <w:rsid w:val="00714D32"/>
    <w:rsid w:val="00714DB2"/>
    <w:rsid w:val="00714E0B"/>
    <w:rsid w:val="00714E0C"/>
    <w:rsid w:val="0071512F"/>
    <w:rsid w:val="0071516F"/>
    <w:rsid w:val="007156FC"/>
    <w:rsid w:val="007158BA"/>
    <w:rsid w:val="00715C9C"/>
    <w:rsid w:val="00715D0F"/>
    <w:rsid w:val="00715F34"/>
    <w:rsid w:val="00716096"/>
    <w:rsid w:val="00716202"/>
    <w:rsid w:val="00716616"/>
    <w:rsid w:val="007166A3"/>
    <w:rsid w:val="007168CB"/>
    <w:rsid w:val="007168F8"/>
    <w:rsid w:val="007169AC"/>
    <w:rsid w:val="007169DD"/>
    <w:rsid w:val="00716AC2"/>
    <w:rsid w:val="00716BFD"/>
    <w:rsid w:val="00716FF2"/>
    <w:rsid w:val="00717037"/>
    <w:rsid w:val="00717038"/>
    <w:rsid w:val="00717044"/>
    <w:rsid w:val="00717388"/>
    <w:rsid w:val="007173B1"/>
    <w:rsid w:val="00717664"/>
    <w:rsid w:val="00717679"/>
    <w:rsid w:val="00717780"/>
    <w:rsid w:val="0071784A"/>
    <w:rsid w:val="00717970"/>
    <w:rsid w:val="00717973"/>
    <w:rsid w:val="00717B67"/>
    <w:rsid w:val="00717BB6"/>
    <w:rsid w:val="00717C21"/>
    <w:rsid w:val="00717E4F"/>
    <w:rsid w:val="00717EB2"/>
    <w:rsid w:val="00720131"/>
    <w:rsid w:val="007204AB"/>
    <w:rsid w:val="007205C3"/>
    <w:rsid w:val="00720669"/>
    <w:rsid w:val="007206A2"/>
    <w:rsid w:val="007206E1"/>
    <w:rsid w:val="0072089E"/>
    <w:rsid w:val="00720B38"/>
    <w:rsid w:val="00720BCE"/>
    <w:rsid w:val="00720CA7"/>
    <w:rsid w:val="00720D75"/>
    <w:rsid w:val="0072116A"/>
    <w:rsid w:val="007211B3"/>
    <w:rsid w:val="007211E7"/>
    <w:rsid w:val="007212A3"/>
    <w:rsid w:val="007212A6"/>
    <w:rsid w:val="007212BF"/>
    <w:rsid w:val="007212D3"/>
    <w:rsid w:val="007212F8"/>
    <w:rsid w:val="0072147B"/>
    <w:rsid w:val="007214E6"/>
    <w:rsid w:val="007217E7"/>
    <w:rsid w:val="0072181E"/>
    <w:rsid w:val="007218FB"/>
    <w:rsid w:val="00721A87"/>
    <w:rsid w:val="00721BE5"/>
    <w:rsid w:val="00721E40"/>
    <w:rsid w:val="00721F0A"/>
    <w:rsid w:val="00721F21"/>
    <w:rsid w:val="00721F50"/>
    <w:rsid w:val="007220B5"/>
    <w:rsid w:val="00722230"/>
    <w:rsid w:val="00722256"/>
    <w:rsid w:val="00722267"/>
    <w:rsid w:val="00722382"/>
    <w:rsid w:val="00722496"/>
    <w:rsid w:val="007226BA"/>
    <w:rsid w:val="0072273A"/>
    <w:rsid w:val="00722830"/>
    <w:rsid w:val="0072285E"/>
    <w:rsid w:val="007228C1"/>
    <w:rsid w:val="00722AEF"/>
    <w:rsid w:val="00722C62"/>
    <w:rsid w:val="00722D09"/>
    <w:rsid w:val="0072321F"/>
    <w:rsid w:val="00723295"/>
    <w:rsid w:val="007232A5"/>
    <w:rsid w:val="00723305"/>
    <w:rsid w:val="00723344"/>
    <w:rsid w:val="00723345"/>
    <w:rsid w:val="00723609"/>
    <w:rsid w:val="0072382B"/>
    <w:rsid w:val="007238E2"/>
    <w:rsid w:val="0072395C"/>
    <w:rsid w:val="007239B4"/>
    <w:rsid w:val="00723C3F"/>
    <w:rsid w:val="00723CAE"/>
    <w:rsid w:val="00723DB7"/>
    <w:rsid w:val="00723F50"/>
    <w:rsid w:val="007240CB"/>
    <w:rsid w:val="00724199"/>
    <w:rsid w:val="00724446"/>
    <w:rsid w:val="00724584"/>
    <w:rsid w:val="00724602"/>
    <w:rsid w:val="0072469F"/>
    <w:rsid w:val="007247B3"/>
    <w:rsid w:val="0072494E"/>
    <w:rsid w:val="0072495B"/>
    <w:rsid w:val="00724A4C"/>
    <w:rsid w:val="00724AA1"/>
    <w:rsid w:val="00724B83"/>
    <w:rsid w:val="00724D39"/>
    <w:rsid w:val="007255F8"/>
    <w:rsid w:val="007256BD"/>
    <w:rsid w:val="007256CC"/>
    <w:rsid w:val="0072595D"/>
    <w:rsid w:val="00725A19"/>
    <w:rsid w:val="00725A3E"/>
    <w:rsid w:val="00725C0B"/>
    <w:rsid w:val="00725C4E"/>
    <w:rsid w:val="00725C97"/>
    <w:rsid w:val="00725EE1"/>
    <w:rsid w:val="00725F18"/>
    <w:rsid w:val="0072607B"/>
    <w:rsid w:val="00726356"/>
    <w:rsid w:val="007263E6"/>
    <w:rsid w:val="0072646F"/>
    <w:rsid w:val="0072677D"/>
    <w:rsid w:val="00726826"/>
    <w:rsid w:val="007268C7"/>
    <w:rsid w:val="00726962"/>
    <w:rsid w:val="007269A4"/>
    <w:rsid w:val="00726AAB"/>
    <w:rsid w:val="00726BB9"/>
    <w:rsid w:val="00726C46"/>
    <w:rsid w:val="00726F96"/>
    <w:rsid w:val="00727077"/>
    <w:rsid w:val="0072708A"/>
    <w:rsid w:val="0072735A"/>
    <w:rsid w:val="0072739D"/>
    <w:rsid w:val="007273E9"/>
    <w:rsid w:val="00727509"/>
    <w:rsid w:val="007277C8"/>
    <w:rsid w:val="00727851"/>
    <w:rsid w:val="007278EB"/>
    <w:rsid w:val="00727901"/>
    <w:rsid w:val="00727906"/>
    <w:rsid w:val="007279B0"/>
    <w:rsid w:val="00727AE7"/>
    <w:rsid w:val="00727B35"/>
    <w:rsid w:val="00727DCC"/>
    <w:rsid w:val="00727F58"/>
    <w:rsid w:val="007301C1"/>
    <w:rsid w:val="0073027E"/>
    <w:rsid w:val="00730452"/>
    <w:rsid w:val="007304F0"/>
    <w:rsid w:val="0073053B"/>
    <w:rsid w:val="0073060A"/>
    <w:rsid w:val="00730B16"/>
    <w:rsid w:val="00730BCC"/>
    <w:rsid w:val="00730CC4"/>
    <w:rsid w:val="00730EA6"/>
    <w:rsid w:val="0073103C"/>
    <w:rsid w:val="00731066"/>
    <w:rsid w:val="007311EB"/>
    <w:rsid w:val="007313F9"/>
    <w:rsid w:val="0073157B"/>
    <w:rsid w:val="00731612"/>
    <w:rsid w:val="007318B3"/>
    <w:rsid w:val="00731989"/>
    <w:rsid w:val="00731B2A"/>
    <w:rsid w:val="00731C15"/>
    <w:rsid w:val="00731ECD"/>
    <w:rsid w:val="00732045"/>
    <w:rsid w:val="007321C8"/>
    <w:rsid w:val="007322A0"/>
    <w:rsid w:val="007324CE"/>
    <w:rsid w:val="00732738"/>
    <w:rsid w:val="007327D4"/>
    <w:rsid w:val="00732962"/>
    <w:rsid w:val="00732964"/>
    <w:rsid w:val="00732C1A"/>
    <w:rsid w:val="00733044"/>
    <w:rsid w:val="007330FC"/>
    <w:rsid w:val="00733267"/>
    <w:rsid w:val="0073327A"/>
    <w:rsid w:val="0073377B"/>
    <w:rsid w:val="0073396B"/>
    <w:rsid w:val="00733A7B"/>
    <w:rsid w:val="00733CDC"/>
    <w:rsid w:val="00733FCA"/>
    <w:rsid w:val="00734395"/>
    <w:rsid w:val="007344CD"/>
    <w:rsid w:val="0073460F"/>
    <w:rsid w:val="00734985"/>
    <w:rsid w:val="00734B28"/>
    <w:rsid w:val="00734B9A"/>
    <w:rsid w:val="00734C20"/>
    <w:rsid w:val="00734C9B"/>
    <w:rsid w:val="007350A5"/>
    <w:rsid w:val="007350E1"/>
    <w:rsid w:val="00735120"/>
    <w:rsid w:val="007352DF"/>
    <w:rsid w:val="0073547A"/>
    <w:rsid w:val="007355E0"/>
    <w:rsid w:val="00735695"/>
    <w:rsid w:val="00735B3E"/>
    <w:rsid w:val="00735B8F"/>
    <w:rsid w:val="00735C0B"/>
    <w:rsid w:val="007360CB"/>
    <w:rsid w:val="00736229"/>
    <w:rsid w:val="00736398"/>
    <w:rsid w:val="007363AE"/>
    <w:rsid w:val="0073646B"/>
    <w:rsid w:val="007364D5"/>
    <w:rsid w:val="007367FC"/>
    <w:rsid w:val="00736BBD"/>
    <w:rsid w:val="00736BF8"/>
    <w:rsid w:val="00736D1C"/>
    <w:rsid w:val="00737161"/>
    <w:rsid w:val="00737209"/>
    <w:rsid w:val="0073732D"/>
    <w:rsid w:val="00737566"/>
    <w:rsid w:val="007375C3"/>
    <w:rsid w:val="007379AE"/>
    <w:rsid w:val="007379BB"/>
    <w:rsid w:val="007379CB"/>
    <w:rsid w:val="00737BAC"/>
    <w:rsid w:val="00737E14"/>
    <w:rsid w:val="00737E43"/>
    <w:rsid w:val="00737E51"/>
    <w:rsid w:val="00737E6F"/>
    <w:rsid w:val="0074005D"/>
    <w:rsid w:val="00740081"/>
    <w:rsid w:val="00740095"/>
    <w:rsid w:val="0074030C"/>
    <w:rsid w:val="0074090B"/>
    <w:rsid w:val="00740B5A"/>
    <w:rsid w:val="00740B5B"/>
    <w:rsid w:val="00740C63"/>
    <w:rsid w:val="00740FCE"/>
    <w:rsid w:val="007411CD"/>
    <w:rsid w:val="007413CE"/>
    <w:rsid w:val="0074156D"/>
    <w:rsid w:val="00741647"/>
    <w:rsid w:val="00741814"/>
    <w:rsid w:val="0074184D"/>
    <w:rsid w:val="00741BA2"/>
    <w:rsid w:val="00741BB2"/>
    <w:rsid w:val="00741BC9"/>
    <w:rsid w:val="00741C1B"/>
    <w:rsid w:val="00741CF4"/>
    <w:rsid w:val="00741DCC"/>
    <w:rsid w:val="00741DD4"/>
    <w:rsid w:val="00741DD8"/>
    <w:rsid w:val="00741DE2"/>
    <w:rsid w:val="00741E2E"/>
    <w:rsid w:val="00741F75"/>
    <w:rsid w:val="0074202A"/>
    <w:rsid w:val="00742057"/>
    <w:rsid w:val="007420A2"/>
    <w:rsid w:val="007421A1"/>
    <w:rsid w:val="007422FD"/>
    <w:rsid w:val="007422FF"/>
    <w:rsid w:val="0074247A"/>
    <w:rsid w:val="00742607"/>
    <w:rsid w:val="007427FE"/>
    <w:rsid w:val="00742905"/>
    <w:rsid w:val="00742A11"/>
    <w:rsid w:val="00742AC3"/>
    <w:rsid w:val="00742C51"/>
    <w:rsid w:val="00742D04"/>
    <w:rsid w:val="00742D7C"/>
    <w:rsid w:val="00743013"/>
    <w:rsid w:val="00743024"/>
    <w:rsid w:val="00743033"/>
    <w:rsid w:val="00743188"/>
    <w:rsid w:val="0074324D"/>
    <w:rsid w:val="00743445"/>
    <w:rsid w:val="00743674"/>
    <w:rsid w:val="0074398B"/>
    <w:rsid w:val="00743A3A"/>
    <w:rsid w:val="00744021"/>
    <w:rsid w:val="0074405E"/>
    <w:rsid w:val="0074424A"/>
    <w:rsid w:val="00744365"/>
    <w:rsid w:val="00744480"/>
    <w:rsid w:val="007444AC"/>
    <w:rsid w:val="007445E7"/>
    <w:rsid w:val="00744767"/>
    <w:rsid w:val="00744804"/>
    <w:rsid w:val="0074505D"/>
    <w:rsid w:val="0074511B"/>
    <w:rsid w:val="007452CF"/>
    <w:rsid w:val="007453C0"/>
    <w:rsid w:val="00745448"/>
    <w:rsid w:val="0074563D"/>
    <w:rsid w:val="00745663"/>
    <w:rsid w:val="007456D9"/>
    <w:rsid w:val="007456FD"/>
    <w:rsid w:val="0074582F"/>
    <w:rsid w:val="00745912"/>
    <w:rsid w:val="00745A84"/>
    <w:rsid w:val="00745E01"/>
    <w:rsid w:val="00746232"/>
    <w:rsid w:val="007464A2"/>
    <w:rsid w:val="007464E6"/>
    <w:rsid w:val="0074666B"/>
    <w:rsid w:val="00746748"/>
    <w:rsid w:val="007468D6"/>
    <w:rsid w:val="00746900"/>
    <w:rsid w:val="00746A22"/>
    <w:rsid w:val="00746AF5"/>
    <w:rsid w:val="00746BFF"/>
    <w:rsid w:val="00746CAB"/>
    <w:rsid w:val="00746D4B"/>
    <w:rsid w:val="00746D78"/>
    <w:rsid w:val="00746EF3"/>
    <w:rsid w:val="007470DA"/>
    <w:rsid w:val="0074726E"/>
    <w:rsid w:val="007473E1"/>
    <w:rsid w:val="0074757F"/>
    <w:rsid w:val="00747732"/>
    <w:rsid w:val="0074784F"/>
    <w:rsid w:val="00747897"/>
    <w:rsid w:val="00747959"/>
    <w:rsid w:val="007479FE"/>
    <w:rsid w:val="00747ABD"/>
    <w:rsid w:val="00747B32"/>
    <w:rsid w:val="00747B4F"/>
    <w:rsid w:val="00747C82"/>
    <w:rsid w:val="00747E2C"/>
    <w:rsid w:val="00747E47"/>
    <w:rsid w:val="00747E50"/>
    <w:rsid w:val="00747F3C"/>
    <w:rsid w:val="00747FED"/>
    <w:rsid w:val="0075003D"/>
    <w:rsid w:val="0075014E"/>
    <w:rsid w:val="00750192"/>
    <w:rsid w:val="007504D0"/>
    <w:rsid w:val="007504E1"/>
    <w:rsid w:val="00750544"/>
    <w:rsid w:val="007505A4"/>
    <w:rsid w:val="007505BF"/>
    <w:rsid w:val="0075065F"/>
    <w:rsid w:val="007506DE"/>
    <w:rsid w:val="00750804"/>
    <w:rsid w:val="007509AB"/>
    <w:rsid w:val="00750CC7"/>
    <w:rsid w:val="00750DC4"/>
    <w:rsid w:val="00751183"/>
    <w:rsid w:val="007511E1"/>
    <w:rsid w:val="007515DF"/>
    <w:rsid w:val="00751689"/>
    <w:rsid w:val="00751832"/>
    <w:rsid w:val="007519A5"/>
    <w:rsid w:val="007519F0"/>
    <w:rsid w:val="00751AFB"/>
    <w:rsid w:val="00752103"/>
    <w:rsid w:val="007524AA"/>
    <w:rsid w:val="007524D6"/>
    <w:rsid w:val="0075251A"/>
    <w:rsid w:val="007525F8"/>
    <w:rsid w:val="00752898"/>
    <w:rsid w:val="007528B8"/>
    <w:rsid w:val="00752BD7"/>
    <w:rsid w:val="00752ECB"/>
    <w:rsid w:val="00753243"/>
    <w:rsid w:val="007532F3"/>
    <w:rsid w:val="007533AE"/>
    <w:rsid w:val="00753663"/>
    <w:rsid w:val="00753695"/>
    <w:rsid w:val="007536B2"/>
    <w:rsid w:val="00753744"/>
    <w:rsid w:val="007537FF"/>
    <w:rsid w:val="007539E1"/>
    <w:rsid w:val="00753A23"/>
    <w:rsid w:val="00753A93"/>
    <w:rsid w:val="00753ABC"/>
    <w:rsid w:val="00753AD6"/>
    <w:rsid w:val="00753F37"/>
    <w:rsid w:val="0075415E"/>
    <w:rsid w:val="00754588"/>
    <w:rsid w:val="0075470E"/>
    <w:rsid w:val="00754811"/>
    <w:rsid w:val="00754945"/>
    <w:rsid w:val="00754A86"/>
    <w:rsid w:val="00754BBA"/>
    <w:rsid w:val="00754FBD"/>
    <w:rsid w:val="00754FFF"/>
    <w:rsid w:val="00755188"/>
    <w:rsid w:val="00755663"/>
    <w:rsid w:val="0075574D"/>
    <w:rsid w:val="00755C05"/>
    <w:rsid w:val="00755E55"/>
    <w:rsid w:val="007560B6"/>
    <w:rsid w:val="00756118"/>
    <w:rsid w:val="00756147"/>
    <w:rsid w:val="007562DA"/>
    <w:rsid w:val="00756361"/>
    <w:rsid w:val="00756386"/>
    <w:rsid w:val="00756603"/>
    <w:rsid w:val="007567D5"/>
    <w:rsid w:val="007569E5"/>
    <w:rsid w:val="00756A1D"/>
    <w:rsid w:val="00756E12"/>
    <w:rsid w:val="007571DB"/>
    <w:rsid w:val="007573A2"/>
    <w:rsid w:val="007574B4"/>
    <w:rsid w:val="007575C0"/>
    <w:rsid w:val="00757606"/>
    <w:rsid w:val="007576CC"/>
    <w:rsid w:val="00757754"/>
    <w:rsid w:val="0075791F"/>
    <w:rsid w:val="007579C8"/>
    <w:rsid w:val="00757C31"/>
    <w:rsid w:val="00757D2F"/>
    <w:rsid w:val="00757DFC"/>
    <w:rsid w:val="00757FA4"/>
    <w:rsid w:val="00760009"/>
    <w:rsid w:val="0076000E"/>
    <w:rsid w:val="00760708"/>
    <w:rsid w:val="00760976"/>
    <w:rsid w:val="00760B88"/>
    <w:rsid w:val="00760C00"/>
    <w:rsid w:val="00760C41"/>
    <w:rsid w:val="00760D71"/>
    <w:rsid w:val="00760DBB"/>
    <w:rsid w:val="00760E5B"/>
    <w:rsid w:val="00760F09"/>
    <w:rsid w:val="00760F17"/>
    <w:rsid w:val="007610E9"/>
    <w:rsid w:val="00761122"/>
    <w:rsid w:val="007615AA"/>
    <w:rsid w:val="007615FD"/>
    <w:rsid w:val="00761728"/>
    <w:rsid w:val="00761735"/>
    <w:rsid w:val="007618F5"/>
    <w:rsid w:val="0076196E"/>
    <w:rsid w:val="00761984"/>
    <w:rsid w:val="00761A5F"/>
    <w:rsid w:val="00761ACB"/>
    <w:rsid w:val="00761B49"/>
    <w:rsid w:val="00761B75"/>
    <w:rsid w:val="00761C6C"/>
    <w:rsid w:val="00761CDF"/>
    <w:rsid w:val="00761F0C"/>
    <w:rsid w:val="00761F9B"/>
    <w:rsid w:val="00762373"/>
    <w:rsid w:val="00762402"/>
    <w:rsid w:val="0076248A"/>
    <w:rsid w:val="00762695"/>
    <w:rsid w:val="007629E5"/>
    <w:rsid w:val="00762B22"/>
    <w:rsid w:val="00762B72"/>
    <w:rsid w:val="00762B94"/>
    <w:rsid w:val="00762C3B"/>
    <w:rsid w:val="00762D5F"/>
    <w:rsid w:val="00762E8D"/>
    <w:rsid w:val="007631E5"/>
    <w:rsid w:val="0076320D"/>
    <w:rsid w:val="0076324C"/>
    <w:rsid w:val="00763815"/>
    <w:rsid w:val="00763AAD"/>
    <w:rsid w:val="00763CCB"/>
    <w:rsid w:val="0076406D"/>
    <w:rsid w:val="007642B4"/>
    <w:rsid w:val="007648C0"/>
    <w:rsid w:val="007649C4"/>
    <w:rsid w:val="00764A9C"/>
    <w:rsid w:val="00764AE6"/>
    <w:rsid w:val="00764BA7"/>
    <w:rsid w:val="00764C45"/>
    <w:rsid w:val="00764EC5"/>
    <w:rsid w:val="00765130"/>
    <w:rsid w:val="0076569B"/>
    <w:rsid w:val="00765773"/>
    <w:rsid w:val="00765A13"/>
    <w:rsid w:val="00765A4C"/>
    <w:rsid w:val="00765C5B"/>
    <w:rsid w:val="00765D1E"/>
    <w:rsid w:val="00765D76"/>
    <w:rsid w:val="00765F1D"/>
    <w:rsid w:val="00766048"/>
    <w:rsid w:val="00766277"/>
    <w:rsid w:val="0076656A"/>
    <w:rsid w:val="0076663F"/>
    <w:rsid w:val="00766701"/>
    <w:rsid w:val="00766911"/>
    <w:rsid w:val="00766970"/>
    <w:rsid w:val="007669CC"/>
    <w:rsid w:val="007669D7"/>
    <w:rsid w:val="00766A3A"/>
    <w:rsid w:val="00766B06"/>
    <w:rsid w:val="00767157"/>
    <w:rsid w:val="007671BD"/>
    <w:rsid w:val="0076735C"/>
    <w:rsid w:val="00767481"/>
    <w:rsid w:val="00767793"/>
    <w:rsid w:val="007679D8"/>
    <w:rsid w:val="00767D78"/>
    <w:rsid w:val="00767FEA"/>
    <w:rsid w:val="0077032E"/>
    <w:rsid w:val="00770384"/>
    <w:rsid w:val="0077046B"/>
    <w:rsid w:val="007705D3"/>
    <w:rsid w:val="00770697"/>
    <w:rsid w:val="00770803"/>
    <w:rsid w:val="00770891"/>
    <w:rsid w:val="0077094B"/>
    <w:rsid w:val="00770952"/>
    <w:rsid w:val="00770A4B"/>
    <w:rsid w:val="00770A57"/>
    <w:rsid w:val="00770B51"/>
    <w:rsid w:val="00770B8D"/>
    <w:rsid w:val="00770C3D"/>
    <w:rsid w:val="00770C5A"/>
    <w:rsid w:val="00770D24"/>
    <w:rsid w:val="00770DB1"/>
    <w:rsid w:val="00770E00"/>
    <w:rsid w:val="00770F41"/>
    <w:rsid w:val="00771013"/>
    <w:rsid w:val="00771063"/>
    <w:rsid w:val="00771304"/>
    <w:rsid w:val="00771307"/>
    <w:rsid w:val="00771319"/>
    <w:rsid w:val="00771356"/>
    <w:rsid w:val="0077136A"/>
    <w:rsid w:val="007713E8"/>
    <w:rsid w:val="0077144D"/>
    <w:rsid w:val="007716EA"/>
    <w:rsid w:val="00771794"/>
    <w:rsid w:val="007717E1"/>
    <w:rsid w:val="007718DB"/>
    <w:rsid w:val="00771BDB"/>
    <w:rsid w:val="00771CCF"/>
    <w:rsid w:val="00771E9A"/>
    <w:rsid w:val="00771EDF"/>
    <w:rsid w:val="00771F7D"/>
    <w:rsid w:val="007724FD"/>
    <w:rsid w:val="00772662"/>
    <w:rsid w:val="00772686"/>
    <w:rsid w:val="00772887"/>
    <w:rsid w:val="007729C5"/>
    <w:rsid w:val="00772ABB"/>
    <w:rsid w:val="00772B36"/>
    <w:rsid w:val="00772BB0"/>
    <w:rsid w:val="00772BE7"/>
    <w:rsid w:val="00772C3E"/>
    <w:rsid w:val="00773068"/>
    <w:rsid w:val="007731F2"/>
    <w:rsid w:val="0077328E"/>
    <w:rsid w:val="00773461"/>
    <w:rsid w:val="0077360F"/>
    <w:rsid w:val="007736E8"/>
    <w:rsid w:val="0077378E"/>
    <w:rsid w:val="007737E6"/>
    <w:rsid w:val="007738A6"/>
    <w:rsid w:val="007739D2"/>
    <w:rsid w:val="00773A16"/>
    <w:rsid w:val="00773B77"/>
    <w:rsid w:val="0077402F"/>
    <w:rsid w:val="00774030"/>
    <w:rsid w:val="00774072"/>
    <w:rsid w:val="00774386"/>
    <w:rsid w:val="0077444E"/>
    <w:rsid w:val="0077464D"/>
    <w:rsid w:val="00774883"/>
    <w:rsid w:val="007749FD"/>
    <w:rsid w:val="00774A97"/>
    <w:rsid w:val="00774ACE"/>
    <w:rsid w:val="007754E0"/>
    <w:rsid w:val="007756C6"/>
    <w:rsid w:val="00775823"/>
    <w:rsid w:val="00775F57"/>
    <w:rsid w:val="007761BB"/>
    <w:rsid w:val="00776323"/>
    <w:rsid w:val="0077636C"/>
    <w:rsid w:val="00776417"/>
    <w:rsid w:val="00776470"/>
    <w:rsid w:val="00776556"/>
    <w:rsid w:val="00776584"/>
    <w:rsid w:val="00776875"/>
    <w:rsid w:val="007769EF"/>
    <w:rsid w:val="00776ABD"/>
    <w:rsid w:val="00776B6C"/>
    <w:rsid w:val="00776B72"/>
    <w:rsid w:val="00776B8B"/>
    <w:rsid w:val="00776D4F"/>
    <w:rsid w:val="00776DD3"/>
    <w:rsid w:val="00776DDC"/>
    <w:rsid w:val="007770F9"/>
    <w:rsid w:val="00777179"/>
    <w:rsid w:val="0077723B"/>
    <w:rsid w:val="007772C0"/>
    <w:rsid w:val="007772D1"/>
    <w:rsid w:val="00777307"/>
    <w:rsid w:val="0077751F"/>
    <w:rsid w:val="007778B4"/>
    <w:rsid w:val="00777945"/>
    <w:rsid w:val="00777B3A"/>
    <w:rsid w:val="00777CF1"/>
    <w:rsid w:val="00777D31"/>
    <w:rsid w:val="00777D40"/>
    <w:rsid w:val="00777D83"/>
    <w:rsid w:val="0078041A"/>
    <w:rsid w:val="007806B1"/>
    <w:rsid w:val="00780B4E"/>
    <w:rsid w:val="00780B8D"/>
    <w:rsid w:val="00780B8E"/>
    <w:rsid w:val="00780C56"/>
    <w:rsid w:val="007813ED"/>
    <w:rsid w:val="00781521"/>
    <w:rsid w:val="00781578"/>
    <w:rsid w:val="007815EF"/>
    <w:rsid w:val="00781649"/>
    <w:rsid w:val="007817A6"/>
    <w:rsid w:val="0078191F"/>
    <w:rsid w:val="00781A82"/>
    <w:rsid w:val="00781B1C"/>
    <w:rsid w:val="00781C93"/>
    <w:rsid w:val="00781EF8"/>
    <w:rsid w:val="00781F76"/>
    <w:rsid w:val="0078215A"/>
    <w:rsid w:val="007823D6"/>
    <w:rsid w:val="00782543"/>
    <w:rsid w:val="0078254E"/>
    <w:rsid w:val="00782628"/>
    <w:rsid w:val="007826AB"/>
    <w:rsid w:val="00782790"/>
    <w:rsid w:val="00782A25"/>
    <w:rsid w:val="00782D1E"/>
    <w:rsid w:val="00782EA1"/>
    <w:rsid w:val="0078316E"/>
    <w:rsid w:val="007833B9"/>
    <w:rsid w:val="00783704"/>
    <w:rsid w:val="00783755"/>
    <w:rsid w:val="007837CC"/>
    <w:rsid w:val="007838B2"/>
    <w:rsid w:val="00783974"/>
    <w:rsid w:val="00783C23"/>
    <w:rsid w:val="00783DBF"/>
    <w:rsid w:val="00783E66"/>
    <w:rsid w:val="007840E2"/>
    <w:rsid w:val="007844BE"/>
    <w:rsid w:val="007845A5"/>
    <w:rsid w:val="0078465C"/>
    <w:rsid w:val="00784717"/>
    <w:rsid w:val="007847BC"/>
    <w:rsid w:val="007848C5"/>
    <w:rsid w:val="00784D40"/>
    <w:rsid w:val="00784F5A"/>
    <w:rsid w:val="007850AF"/>
    <w:rsid w:val="007853B2"/>
    <w:rsid w:val="0078569F"/>
    <w:rsid w:val="00785803"/>
    <w:rsid w:val="00785815"/>
    <w:rsid w:val="007858AB"/>
    <w:rsid w:val="00785AFD"/>
    <w:rsid w:val="00785EB4"/>
    <w:rsid w:val="0078609A"/>
    <w:rsid w:val="007862FC"/>
    <w:rsid w:val="007863F6"/>
    <w:rsid w:val="00786442"/>
    <w:rsid w:val="0078667D"/>
    <w:rsid w:val="00786705"/>
    <w:rsid w:val="0078675B"/>
    <w:rsid w:val="007867A6"/>
    <w:rsid w:val="00786828"/>
    <w:rsid w:val="00786855"/>
    <w:rsid w:val="00786BF2"/>
    <w:rsid w:val="00786F85"/>
    <w:rsid w:val="00787061"/>
    <w:rsid w:val="0078731A"/>
    <w:rsid w:val="00787487"/>
    <w:rsid w:val="007874C6"/>
    <w:rsid w:val="00787965"/>
    <w:rsid w:val="00787A8B"/>
    <w:rsid w:val="00787ABC"/>
    <w:rsid w:val="00787C68"/>
    <w:rsid w:val="00787D36"/>
    <w:rsid w:val="00787E55"/>
    <w:rsid w:val="00787F5F"/>
    <w:rsid w:val="00790011"/>
    <w:rsid w:val="007902E8"/>
    <w:rsid w:val="007902FD"/>
    <w:rsid w:val="00790340"/>
    <w:rsid w:val="0079058C"/>
    <w:rsid w:val="00790599"/>
    <w:rsid w:val="00790669"/>
    <w:rsid w:val="007906F1"/>
    <w:rsid w:val="00790845"/>
    <w:rsid w:val="007908B8"/>
    <w:rsid w:val="0079098E"/>
    <w:rsid w:val="007909F2"/>
    <w:rsid w:val="00790B6F"/>
    <w:rsid w:val="00790D9E"/>
    <w:rsid w:val="00790E1C"/>
    <w:rsid w:val="00790EDA"/>
    <w:rsid w:val="00790FC9"/>
    <w:rsid w:val="0079111B"/>
    <w:rsid w:val="00791349"/>
    <w:rsid w:val="00791C55"/>
    <w:rsid w:val="00791CD9"/>
    <w:rsid w:val="00791D67"/>
    <w:rsid w:val="00791D7C"/>
    <w:rsid w:val="00791D85"/>
    <w:rsid w:val="00791DAF"/>
    <w:rsid w:val="00791DCA"/>
    <w:rsid w:val="00791E16"/>
    <w:rsid w:val="00791F88"/>
    <w:rsid w:val="00792004"/>
    <w:rsid w:val="0079232E"/>
    <w:rsid w:val="0079233A"/>
    <w:rsid w:val="00792400"/>
    <w:rsid w:val="007924CA"/>
    <w:rsid w:val="007924E3"/>
    <w:rsid w:val="0079256F"/>
    <w:rsid w:val="0079277E"/>
    <w:rsid w:val="007927B9"/>
    <w:rsid w:val="00792BA0"/>
    <w:rsid w:val="00792C33"/>
    <w:rsid w:val="00792C9A"/>
    <w:rsid w:val="00792E86"/>
    <w:rsid w:val="00792E96"/>
    <w:rsid w:val="00792EA8"/>
    <w:rsid w:val="00792FE4"/>
    <w:rsid w:val="00793051"/>
    <w:rsid w:val="007930D7"/>
    <w:rsid w:val="00793163"/>
    <w:rsid w:val="00793199"/>
    <w:rsid w:val="007931A5"/>
    <w:rsid w:val="00793525"/>
    <w:rsid w:val="007936FC"/>
    <w:rsid w:val="00793813"/>
    <w:rsid w:val="00793D77"/>
    <w:rsid w:val="00793E15"/>
    <w:rsid w:val="00793E8A"/>
    <w:rsid w:val="007940AF"/>
    <w:rsid w:val="0079413E"/>
    <w:rsid w:val="007941AE"/>
    <w:rsid w:val="0079471A"/>
    <w:rsid w:val="007948D2"/>
    <w:rsid w:val="007949AB"/>
    <w:rsid w:val="00794ABD"/>
    <w:rsid w:val="00794B26"/>
    <w:rsid w:val="00794C04"/>
    <w:rsid w:val="00794C2C"/>
    <w:rsid w:val="00794C30"/>
    <w:rsid w:val="00794CBF"/>
    <w:rsid w:val="00794D3D"/>
    <w:rsid w:val="00794EE9"/>
    <w:rsid w:val="0079504E"/>
    <w:rsid w:val="007950CC"/>
    <w:rsid w:val="00795115"/>
    <w:rsid w:val="00795199"/>
    <w:rsid w:val="00795365"/>
    <w:rsid w:val="0079567E"/>
    <w:rsid w:val="00795704"/>
    <w:rsid w:val="00795BF7"/>
    <w:rsid w:val="00795EAC"/>
    <w:rsid w:val="00795FA7"/>
    <w:rsid w:val="0079613C"/>
    <w:rsid w:val="007961D5"/>
    <w:rsid w:val="007961F4"/>
    <w:rsid w:val="00796439"/>
    <w:rsid w:val="0079681E"/>
    <w:rsid w:val="00796A10"/>
    <w:rsid w:val="00796A6F"/>
    <w:rsid w:val="00796B6C"/>
    <w:rsid w:val="00796C5D"/>
    <w:rsid w:val="00796E64"/>
    <w:rsid w:val="00796E84"/>
    <w:rsid w:val="00796F59"/>
    <w:rsid w:val="00797019"/>
    <w:rsid w:val="00797060"/>
    <w:rsid w:val="0079717D"/>
    <w:rsid w:val="0079722E"/>
    <w:rsid w:val="00797247"/>
    <w:rsid w:val="00797258"/>
    <w:rsid w:val="007973A5"/>
    <w:rsid w:val="0079776A"/>
    <w:rsid w:val="0079778E"/>
    <w:rsid w:val="007979FF"/>
    <w:rsid w:val="00797B06"/>
    <w:rsid w:val="00797B9C"/>
    <w:rsid w:val="007A0041"/>
    <w:rsid w:val="007A0301"/>
    <w:rsid w:val="007A0483"/>
    <w:rsid w:val="007A04D9"/>
    <w:rsid w:val="007A088C"/>
    <w:rsid w:val="007A08FB"/>
    <w:rsid w:val="007A0C27"/>
    <w:rsid w:val="007A0D07"/>
    <w:rsid w:val="007A0D97"/>
    <w:rsid w:val="007A0F14"/>
    <w:rsid w:val="007A0F2C"/>
    <w:rsid w:val="007A1065"/>
    <w:rsid w:val="007A107B"/>
    <w:rsid w:val="007A11FD"/>
    <w:rsid w:val="007A1528"/>
    <w:rsid w:val="007A15A3"/>
    <w:rsid w:val="007A16C8"/>
    <w:rsid w:val="007A18D7"/>
    <w:rsid w:val="007A1CE6"/>
    <w:rsid w:val="007A1D5A"/>
    <w:rsid w:val="007A1D86"/>
    <w:rsid w:val="007A216C"/>
    <w:rsid w:val="007A21CF"/>
    <w:rsid w:val="007A2277"/>
    <w:rsid w:val="007A253E"/>
    <w:rsid w:val="007A2781"/>
    <w:rsid w:val="007A2793"/>
    <w:rsid w:val="007A28A1"/>
    <w:rsid w:val="007A2A97"/>
    <w:rsid w:val="007A2AF3"/>
    <w:rsid w:val="007A2B38"/>
    <w:rsid w:val="007A2C6E"/>
    <w:rsid w:val="007A2CDC"/>
    <w:rsid w:val="007A2EFE"/>
    <w:rsid w:val="007A2F32"/>
    <w:rsid w:val="007A2F38"/>
    <w:rsid w:val="007A34E0"/>
    <w:rsid w:val="007A3669"/>
    <w:rsid w:val="007A3715"/>
    <w:rsid w:val="007A371B"/>
    <w:rsid w:val="007A3832"/>
    <w:rsid w:val="007A3883"/>
    <w:rsid w:val="007A38E7"/>
    <w:rsid w:val="007A39A6"/>
    <w:rsid w:val="007A3A0F"/>
    <w:rsid w:val="007A3C29"/>
    <w:rsid w:val="007A3DBE"/>
    <w:rsid w:val="007A3E60"/>
    <w:rsid w:val="007A3F00"/>
    <w:rsid w:val="007A3F56"/>
    <w:rsid w:val="007A3F6C"/>
    <w:rsid w:val="007A4000"/>
    <w:rsid w:val="007A4009"/>
    <w:rsid w:val="007A407D"/>
    <w:rsid w:val="007A4386"/>
    <w:rsid w:val="007A43D1"/>
    <w:rsid w:val="007A464F"/>
    <w:rsid w:val="007A4C0C"/>
    <w:rsid w:val="007A4C7C"/>
    <w:rsid w:val="007A4E2A"/>
    <w:rsid w:val="007A5024"/>
    <w:rsid w:val="007A5086"/>
    <w:rsid w:val="007A5091"/>
    <w:rsid w:val="007A5110"/>
    <w:rsid w:val="007A53D5"/>
    <w:rsid w:val="007A5454"/>
    <w:rsid w:val="007A57C4"/>
    <w:rsid w:val="007A5950"/>
    <w:rsid w:val="007A5B0B"/>
    <w:rsid w:val="007A5F64"/>
    <w:rsid w:val="007A60D9"/>
    <w:rsid w:val="007A6196"/>
    <w:rsid w:val="007A63D5"/>
    <w:rsid w:val="007A63E7"/>
    <w:rsid w:val="007A6693"/>
    <w:rsid w:val="007A6780"/>
    <w:rsid w:val="007A689A"/>
    <w:rsid w:val="007A68EA"/>
    <w:rsid w:val="007A69AE"/>
    <w:rsid w:val="007A6B7D"/>
    <w:rsid w:val="007A6CB4"/>
    <w:rsid w:val="007A6EA4"/>
    <w:rsid w:val="007A6EE3"/>
    <w:rsid w:val="007A6EF1"/>
    <w:rsid w:val="007A6EF3"/>
    <w:rsid w:val="007A6F23"/>
    <w:rsid w:val="007A713B"/>
    <w:rsid w:val="007A7394"/>
    <w:rsid w:val="007A7629"/>
    <w:rsid w:val="007A785C"/>
    <w:rsid w:val="007A79FE"/>
    <w:rsid w:val="007A7A91"/>
    <w:rsid w:val="007A7EA3"/>
    <w:rsid w:val="007A7FF8"/>
    <w:rsid w:val="007B00CB"/>
    <w:rsid w:val="007B02D2"/>
    <w:rsid w:val="007B0327"/>
    <w:rsid w:val="007B0377"/>
    <w:rsid w:val="007B0772"/>
    <w:rsid w:val="007B080F"/>
    <w:rsid w:val="007B0B11"/>
    <w:rsid w:val="007B1027"/>
    <w:rsid w:val="007B1071"/>
    <w:rsid w:val="007B10C8"/>
    <w:rsid w:val="007B165E"/>
    <w:rsid w:val="007B1691"/>
    <w:rsid w:val="007B174F"/>
    <w:rsid w:val="007B1838"/>
    <w:rsid w:val="007B1863"/>
    <w:rsid w:val="007B1A91"/>
    <w:rsid w:val="007B1AD3"/>
    <w:rsid w:val="007B1B6D"/>
    <w:rsid w:val="007B1DFE"/>
    <w:rsid w:val="007B1F30"/>
    <w:rsid w:val="007B1FA3"/>
    <w:rsid w:val="007B2061"/>
    <w:rsid w:val="007B22E0"/>
    <w:rsid w:val="007B261C"/>
    <w:rsid w:val="007B28CA"/>
    <w:rsid w:val="007B2924"/>
    <w:rsid w:val="007B29F5"/>
    <w:rsid w:val="007B2A7F"/>
    <w:rsid w:val="007B2B17"/>
    <w:rsid w:val="007B2D21"/>
    <w:rsid w:val="007B2D97"/>
    <w:rsid w:val="007B2F23"/>
    <w:rsid w:val="007B2F3C"/>
    <w:rsid w:val="007B319B"/>
    <w:rsid w:val="007B3249"/>
    <w:rsid w:val="007B326C"/>
    <w:rsid w:val="007B32CE"/>
    <w:rsid w:val="007B32E9"/>
    <w:rsid w:val="007B340D"/>
    <w:rsid w:val="007B3421"/>
    <w:rsid w:val="007B34DD"/>
    <w:rsid w:val="007B358D"/>
    <w:rsid w:val="007B387D"/>
    <w:rsid w:val="007B393D"/>
    <w:rsid w:val="007B3D37"/>
    <w:rsid w:val="007B3E41"/>
    <w:rsid w:val="007B40FB"/>
    <w:rsid w:val="007B4170"/>
    <w:rsid w:val="007B4242"/>
    <w:rsid w:val="007B46EE"/>
    <w:rsid w:val="007B47C5"/>
    <w:rsid w:val="007B4942"/>
    <w:rsid w:val="007B4B8E"/>
    <w:rsid w:val="007B4C08"/>
    <w:rsid w:val="007B4C0D"/>
    <w:rsid w:val="007B50EF"/>
    <w:rsid w:val="007B52EB"/>
    <w:rsid w:val="007B5333"/>
    <w:rsid w:val="007B539B"/>
    <w:rsid w:val="007B5401"/>
    <w:rsid w:val="007B55EB"/>
    <w:rsid w:val="007B5A87"/>
    <w:rsid w:val="007B5BD6"/>
    <w:rsid w:val="007B5CF5"/>
    <w:rsid w:val="007B5D9A"/>
    <w:rsid w:val="007B5ECF"/>
    <w:rsid w:val="007B5F76"/>
    <w:rsid w:val="007B5FB4"/>
    <w:rsid w:val="007B60A6"/>
    <w:rsid w:val="007B6193"/>
    <w:rsid w:val="007B65C9"/>
    <w:rsid w:val="007B6612"/>
    <w:rsid w:val="007B66EA"/>
    <w:rsid w:val="007B6B2B"/>
    <w:rsid w:val="007B6B70"/>
    <w:rsid w:val="007B6EBE"/>
    <w:rsid w:val="007B730D"/>
    <w:rsid w:val="007B7326"/>
    <w:rsid w:val="007B732E"/>
    <w:rsid w:val="007B7556"/>
    <w:rsid w:val="007B77D2"/>
    <w:rsid w:val="007B77E2"/>
    <w:rsid w:val="007B7949"/>
    <w:rsid w:val="007B798E"/>
    <w:rsid w:val="007B7AC1"/>
    <w:rsid w:val="007B7CED"/>
    <w:rsid w:val="007B7D30"/>
    <w:rsid w:val="007B7EA2"/>
    <w:rsid w:val="007B7FB5"/>
    <w:rsid w:val="007C0460"/>
    <w:rsid w:val="007C0669"/>
    <w:rsid w:val="007C06D8"/>
    <w:rsid w:val="007C07E8"/>
    <w:rsid w:val="007C0985"/>
    <w:rsid w:val="007C0C69"/>
    <w:rsid w:val="007C0D3F"/>
    <w:rsid w:val="007C0DEE"/>
    <w:rsid w:val="007C0FA9"/>
    <w:rsid w:val="007C121C"/>
    <w:rsid w:val="007C13B1"/>
    <w:rsid w:val="007C1497"/>
    <w:rsid w:val="007C1A6E"/>
    <w:rsid w:val="007C1AAA"/>
    <w:rsid w:val="007C1ADD"/>
    <w:rsid w:val="007C1B19"/>
    <w:rsid w:val="007C1F77"/>
    <w:rsid w:val="007C2148"/>
    <w:rsid w:val="007C21E6"/>
    <w:rsid w:val="007C2413"/>
    <w:rsid w:val="007C245C"/>
    <w:rsid w:val="007C25AE"/>
    <w:rsid w:val="007C28A9"/>
    <w:rsid w:val="007C295C"/>
    <w:rsid w:val="007C2C36"/>
    <w:rsid w:val="007C2D09"/>
    <w:rsid w:val="007C2D98"/>
    <w:rsid w:val="007C2EC3"/>
    <w:rsid w:val="007C2F6E"/>
    <w:rsid w:val="007C30BC"/>
    <w:rsid w:val="007C3152"/>
    <w:rsid w:val="007C333B"/>
    <w:rsid w:val="007C338F"/>
    <w:rsid w:val="007C339C"/>
    <w:rsid w:val="007C3437"/>
    <w:rsid w:val="007C349B"/>
    <w:rsid w:val="007C3750"/>
    <w:rsid w:val="007C3783"/>
    <w:rsid w:val="007C3914"/>
    <w:rsid w:val="007C394D"/>
    <w:rsid w:val="007C3CEA"/>
    <w:rsid w:val="007C3D92"/>
    <w:rsid w:val="007C3DB9"/>
    <w:rsid w:val="007C3E98"/>
    <w:rsid w:val="007C41C5"/>
    <w:rsid w:val="007C41E2"/>
    <w:rsid w:val="007C420E"/>
    <w:rsid w:val="007C4452"/>
    <w:rsid w:val="007C448D"/>
    <w:rsid w:val="007C4650"/>
    <w:rsid w:val="007C484B"/>
    <w:rsid w:val="007C490E"/>
    <w:rsid w:val="007C495A"/>
    <w:rsid w:val="007C4BA9"/>
    <w:rsid w:val="007C4C90"/>
    <w:rsid w:val="007C4D1A"/>
    <w:rsid w:val="007C4E57"/>
    <w:rsid w:val="007C5179"/>
    <w:rsid w:val="007C5699"/>
    <w:rsid w:val="007C58C5"/>
    <w:rsid w:val="007C5A8F"/>
    <w:rsid w:val="007C5B38"/>
    <w:rsid w:val="007C5C45"/>
    <w:rsid w:val="007C5E2C"/>
    <w:rsid w:val="007C5E94"/>
    <w:rsid w:val="007C5F5D"/>
    <w:rsid w:val="007C6394"/>
    <w:rsid w:val="007C6AD0"/>
    <w:rsid w:val="007C6C4A"/>
    <w:rsid w:val="007C6C61"/>
    <w:rsid w:val="007C6EB6"/>
    <w:rsid w:val="007C708E"/>
    <w:rsid w:val="007C7099"/>
    <w:rsid w:val="007C712F"/>
    <w:rsid w:val="007C7254"/>
    <w:rsid w:val="007C7429"/>
    <w:rsid w:val="007C74C4"/>
    <w:rsid w:val="007C7593"/>
    <w:rsid w:val="007C76D6"/>
    <w:rsid w:val="007C76E8"/>
    <w:rsid w:val="007C779E"/>
    <w:rsid w:val="007C7AF2"/>
    <w:rsid w:val="007C7DC3"/>
    <w:rsid w:val="007C7E70"/>
    <w:rsid w:val="007C7EFF"/>
    <w:rsid w:val="007C7F71"/>
    <w:rsid w:val="007D0143"/>
    <w:rsid w:val="007D01E5"/>
    <w:rsid w:val="007D01E6"/>
    <w:rsid w:val="007D035E"/>
    <w:rsid w:val="007D0396"/>
    <w:rsid w:val="007D05BC"/>
    <w:rsid w:val="007D0644"/>
    <w:rsid w:val="007D0754"/>
    <w:rsid w:val="007D09A5"/>
    <w:rsid w:val="007D0E8F"/>
    <w:rsid w:val="007D1193"/>
    <w:rsid w:val="007D1299"/>
    <w:rsid w:val="007D130B"/>
    <w:rsid w:val="007D15AB"/>
    <w:rsid w:val="007D15AF"/>
    <w:rsid w:val="007D15CD"/>
    <w:rsid w:val="007D1634"/>
    <w:rsid w:val="007D174E"/>
    <w:rsid w:val="007D1769"/>
    <w:rsid w:val="007D179B"/>
    <w:rsid w:val="007D17A9"/>
    <w:rsid w:val="007D1801"/>
    <w:rsid w:val="007D181C"/>
    <w:rsid w:val="007D1B3C"/>
    <w:rsid w:val="007D1BC7"/>
    <w:rsid w:val="007D1EF5"/>
    <w:rsid w:val="007D1F5C"/>
    <w:rsid w:val="007D1FE0"/>
    <w:rsid w:val="007D2008"/>
    <w:rsid w:val="007D2070"/>
    <w:rsid w:val="007D20BB"/>
    <w:rsid w:val="007D20EC"/>
    <w:rsid w:val="007D2475"/>
    <w:rsid w:val="007D24EC"/>
    <w:rsid w:val="007D261E"/>
    <w:rsid w:val="007D26FA"/>
    <w:rsid w:val="007D2BA1"/>
    <w:rsid w:val="007D2F61"/>
    <w:rsid w:val="007D2FB5"/>
    <w:rsid w:val="007D3004"/>
    <w:rsid w:val="007D301D"/>
    <w:rsid w:val="007D301E"/>
    <w:rsid w:val="007D33E0"/>
    <w:rsid w:val="007D38BD"/>
    <w:rsid w:val="007D3C03"/>
    <w:rsid w:val="007D3D0E"/>
    <w:rsid w:val="007D3D11"/>
    <w:rsid w:val="007D3D16"/>
    <w:rsid w:val="007D3D33"/>
    <w:rsid w:val="007D3DCE"/>
    <w:rsid w:val="007D4062"/>
    <w:rsid w:val="007D41C2"/>
    <w:rsid w:val="007D425C"/>
    <w:rsid w:val="007D442F"/>
    <w:rsid w:val="007D44A7"/>
    <w:rsid w:val="007D45B8"/>
    <w:rsid w:val="007D45C6"/>
    <w:rsid w:val="007D46CA"/>
    <w:rsid w:val="007D4815"/>
    <w:rsid w:val="007D48C4"/>
    <w:rsid w:val="007D49E2"/>
    <w:rsid w:val="007D4D9B"/>
    <w:rsid w:val="007D4E6A"/>
    <w:rsid w:val="007D4F02"/>
    <w:rsid w:val="007D5204"/>
    <w:rsid w:val="007D5389"/>
    <w:rsid w:val="007D54EB"/>
    <w:rsid w:val="007D5501"/>
    <w:rsid w:val="007D5807"/>
    <w:rsid w:val="007D58C4"/>
    <w:rsid w:val="007D590B"/>
    <w:rsid w:val="007D5BB7"/>
    <w:rsid w:val="007D61CB"/>
    <w:rsid w:val="007D61FB"/>
    <w:rsid w:val="007D648E"/>
    <w:rsid w:val="007D656B"/>
    <w:rsid w:val="007D65EB"/>
    <w:rsid w:val="007D674C"/>
    <w:rsid w:val="007D681B"/>
    <w:rsid w:val="007D6B7B"/>
    <w:rsid w:val="007D6C07"/>
    <w:rsid w:val="007D6C23"/>
    <w:rsid w:val="007D6C45"/>
    <w:rsid w:val="007D6C58"/>
    <w:rsid w:val="007D6CF1"/>
    <w:rsid w:val="007D7131"/>
    <w:rsid w:val="007D7164"/>
    <w:rsid w:val="007D716B"/>
    <w:rsid w:val="007D7174"/>
    <w:rsid w:val="007D718C"/>
    <w:rsid w:val="007D7371"/>
    <w:rsid w:val="007D7834"/>
    <w:rsid w:val="007D784C"/>
    <w:rsid w:val="007D789D"/>
    <w:rsid w:val="007D7930"/>
    <w:rsid w:val="007D7BEC"/>
    <w:rsid w:val="007D7CE3"/>
    <w:rsid w:val="007D7CFC"/>
    <w:rsid w:val="007D7EF2"/>
    <w:rsid w:val="007D7F1D"/>
    <w:rsid w:val="007D7FD4"/>
    <w:rsid w:val="007DEF97"/>
    <w:rsid w:val="007E00BF"/>
    <w:rsid w:val="007E00C9"/>
    <w:rsid w:val="007E027B"/>
    <w:rsid w:val="007E02EE"/>
    <w:rsid w:val="007E0482"/>
    <w:rsid w:val="007E051A"/>
    <w:rsid w:val="007E05EA"/>
    <w:rsid w:val="007E0616"/>
    <w:rsid w:val="007E070D"/>
    <w:rsid w:val="007E0798"/>
    <w:rsid w:val="007E0C03"/>
    <w:rsid w:val="007E11CD"/>
    <w:rsid w:val="007E1293"/>
    <w:rsid w:val="007E15AB"/>
    <w:rsid w:val="007E15FB"/>
    <w:rsid w:val="007E1709"/>
    <w:rsid w:val="007E1B72"/>
    <w:rsid w:val="007E1D8B"/>
    <w:rsid w:val="007E1E31"/>
    <w:rsid w:val="007E20F8"/>
    <w:rsid w:val="007E245C"/>
    <w:rsid w:val="007E2471"/>
    <w:rsid w:val="007E24B2"/>
    <w:rsid w:val="007E2BAB"/>
    <w:rsid w:val="007E2D7D"/>
    <w:rsid w:val="007E2FB4"/>
    <w:rsid w:val="007E3095"/>
    <w:rsid w:val="007E3106"/>
    <w:rsid w:val="007E33A3"/>
    <w:rsid w:val="007E3CCB"/>
    <w:rsid w:val="007E3EE3"/>
    <w:rsid w:val="007E407F"/>
    <w:rsid w:val="007E4186"/>
    <w:rsid w:val="007E438C"/>
    <w:rsid w:val="007E4444"/>
    <w:rsid w:val="007E44EB"/>
    <w:rsid w:val="007E4836"/>
    <w:rsid w:val="007E4D71"/>
    <w:rsid w:val="007E4EBF"/>
    <w:rsid w:val="007E4F75"/>
    <w:rsid w:val="007E506B"/>
    <w:rsid w:val="007E5365"/>
    <w:rsid w:val="007E5470"/>
    <w:rsid w:val="007E5567"/>
    <w:rsid w:val="007E570F"/>
    <w:rsid w:val="007E57DE"/>
    <w:rsid w:val="007E582F"/>
    <w:rsid w:val="007E5902"/>
    <w:rsid w:val="007E5963"/>
    <w:rsid w:val="007E59C4"/>
    <w:rsid w:val="007E5D3E"/>
    <w:rsid w:val="007E5E3F"/>
    <w:rsid w:val="007E5F6C"/>
    <w:rsid w:val="007E640F"/>
    <w:rsid w:val="007E6705"/>
    <w:rsid w:val="007E6719"/>
    <w:rsid w:val="007E685C"/>
    <w:rsid w:val="007E68D0"/>
    <w:rsid w:val="007E68ED"/>
    <w:rsid w:val="007E69B0"/>
    <w:rsid w:val="007E69ED"/>
    <w:rsid w:val="007E6BD1"/>
    <w:rsid w:val="007E6C5D"/>
    <w:rsid w:val="007E6CFE"/>
    <w:rsid w:val="007E6FA2"/>
    <w:rsid w:val="007E708F"/>
    <w:rsid w:val="007E73B9"/>
    <w:rsid w:val="007E792A"/>
    <w:rsid w:val="007E79DA"/>
    <w:rsid w:val="007E7B23"/>
    <w:rsid w:val="007E7B2D"/>
    <w:rsid w:val="007F0165"/>
    <w:rsid w:val="007F016E"/>
    <w:rsid w:val="007F0221"/>
    <w:rsid w:val="007F034B"/>
    <w:rsid w:val="007F0535"/>
    <w:rsid w:val="007F0538"/>
    <w:rsid w:val="007F05CE"/>
    <w:rsid w:val="007F0682"/>
    <w:rsid w:val="007F07B9"/>
    <w:rsid w:val="007F0928"/>
    <w:rsid w:val="007F0A0D"/>
    <w:rsid w:val="007F0B01"/>
    <w:rsid w:val="007F0BE5"/>
    <w:rsid w:val="007F0D54"/>
    <w:rsid w:val="007F1072"/>
    <w:rsid w:val="007F13BF"/>
    <w:rsid w:val="007F1529"/>
    <w:rsid w:val="007F15CE"/>
    <w:rsid w:val="007F16A4"/>
    <w:rsid w:val="007F16C7"/>
    <w:rsid w:val="007F181D"/>
    <w:rsid w:val="007F187F"/>
    <w:rsid w:val="007F1976"/>
    <w:rsid w:val="007F19D9"/>
    <w:rsid w:val="007F1DE7"/>
    <w:rsid w:val="007F1E65"/>
    <w:rsid w:val="007F1E88"/>
    <w:rsid w:val="007F1EF6"/>
    <w:rsid w:val="007F1FB7"/>
    <w:rsid w:val="007F20CD"/>
    <w:rsid w:val="007F248B"/>
    <w:rsid w:val="007F274E"/>
    <w:rsid w:val="007F27EE"/>
    <w:rsid w:val="007F29CF"/>
    <w:rsid w:val="007F2A95"/>
    <w:rsid w:val="007F2B2D"/>
    <w:rsid w:val="007F2B41"/>
    <w:rsid w:val="007F2CD7"/>
    <w:rsid w:val="007F2CFB"/>
    <w:rsid w:val="007F2DF6"/>
    <w:rsid w:val="007F3034"/>
    <w:rsid w:val="007F30BB"/>
    <w:rsid w:val="007F3239"/>
    <w:rsid w:val="007F3309"/>
    <w:rsid w:val="007F33CE"/>
    <w:rsid w:val="007F3568"/>
    <w:rsid w:val="007F3638"/>
    <w:rsid w:val="007F3651"/>
    <w:rsid w:val="007F384A"/>
    <w:rsid w:val="007F3B48"/>
    <w:rsid w:val="007F3B4D"/>
    <w:rsid w:val="007F3C24"/>
    <w:rsid w:val="007F3D19"/>
    <w:rsid w:val="007F422D"/>
    <w:rsid w:val="007F4324"/>
    <w:rsid w:val="007F44D9"/>
    <w:rsid w:val="007F469E"/>
    <w:rsid w:val="007F483E"/>
    <w:rsid w:val="007F4872"/>
    <w:rsid w:val="007F4AC2"/>
    <w:rsid w:val="007F4DBA"/>
    <w:rsid w:val="007F4E79"/>
    <w:rsid w:val="007F50E4"/>
    <w:rsid w:val="007F519C"/>
    <w:rsid w:val="007F5207"/>
    <w:rsid w:val="007F52D1"/>
    <w:rsid w:val="007F534D"/>
    <w:rsid w:val="007F54A2"/>
    <w:rsid w:val="007F54FE"/>
    <w:rsid w:val="007F5535"/>
    <w:rsid w:val="007F5D32"/>
    <w:rsid w:val="007F5EED"/>
    <w:rsid w:val="007F5F2D"/>
    <w:rsid w:val="007F5F90"/>
    <w:rsid w:val="007F60C9"/>
    <w:rsid w:val="007F61C0"/>
    <w:rsid w:val="007F6348"/>
    <w:rsid w:val="007F63D6"/>
    <w:rsid w:val="007F6570"/>
    <w:rsid w:val="007F685E"/>
    <w:rsid w:val="007F6875"/>
    <w:rsid w:val="007F68CB"/>
    <w:rsid w:val="007F6A70"/>
    <w:rsid w:val="007F6BD4"/>
    <w:rsid w:val="007F72DC"/>
    <w:rsid w:val="007F7340"/>
    <w:rsid w:val="007F7425"/>
    <w:rsid w:val="007F759E"/>
    <w:rsid w:val="007F7698"/>
    <w:rsid w:val="007F7937"/>
    <w:rsid w:val="007F795F"/>
    <w:rsid w:val="007F7A9E"/>
    <w:rsid w:val="007F7F70"/>
    <w:rsid w:val="007F7FB1"/>
    <w:rsid w:val="00800002"/>
    <w:rsid w:val="00800148"/>
    <w:rsid w:val="0080039D"/>
    <w:rsid w:val="008004A1"/>
    <w:rsid w:val="0080069C"/>
    <w:rsid w:val="008006FD"/>
    <w:rsid w:val="00800730"/>
    <w:rsid w:val="00800CB0"/>
    <w:rsid w:val="00800CEE"/>
    <w:rsid w:val="00800E32"/>
    <w:rsid w:val="00800EE3"/>
    <w:rsid w:val="00800F0C"/>
    <w:rsid w:val="00801064"/>
    <w:rsid w:val="008010A7"/>
    <w:rsid w:val="0080116E"/>
    <w:rsid w:val="00801441"/>
    <w:rsid w:val="0080148D"/>
    <w:rsid w:val="00801552"/>
    <w:rsid w:val="00801554"/>
    <w:rsid w:val="0080156B"/>
    <w:rsid w:val="008018B3"/>
    <w:rsid w:val="00801A3A"/>
    <w:rsid w:val="00801A91"/>
    <w:rsid w:val="00801ADF"/>
    <w:rsid w:val="00801AFB"/>
    <w:rsid w:val="00801B0E"/>
    <w:rsid w:val="00801EEB"/>
    <w:rsid w:val="00801F53"/>
    <w:rsid w:val="00801F65"/>
    <w:rsid w:val="0080200B"/>
    <w:rsid w:val="00802173"/>
    <w:rsid w:val="00802439"/>
    <w:rsid w:val="00802757"/>
    <w:rsid w:val="008029AC"/>
    <w:rsid w:val="008029C9"/>
    <w:rsid w:val="00802D93"/>
    <w:rsid w:val="0080348F"/>
    <w:rsid w:val="008035A9"/>
    <w:rsid w:val="008035E5"/>
    <w:rsid w:val="00803761"/>
    <w:rsid w:val="00803B7D"/>
    <w:rsid w:val="00803B9B"/>
    <w:rsid w:val="00803C4F"/>
    <w:rsid w:val="00804114"/>
    <w:rsid w:val="00804634"/>
    <w:rsid w:val="008047D5"/>
    <w:rsid w:val="008047E8"/>
    <w:rsid w:val="0080491F"/>
    <w:rsid w:val="00804A81"/>
    <w:rsid w:val="00804AE5"/>
    <w:rsid w:val="00804AF8"/>
    <w:rsid w:val="00804BF7"/>
    <w:rsid w:val="00804F51"/>
    <w:rsid w:val="0080527D"/>
    <w:rsid w:val="008052FF"/>
    <w:rsid w:val="0080531E"/>
    <w:rsid w:val="00805351"/>
    <w:rsid w:val="00805373"/>
    <w:rsid w:val="00805599"/>
    <w:rsid w:val="008055B9"/>
    <w:rsid w:val="008055E5"/>
    <w:rsid w:val="0080561A"/>
    <w:rsid w:val="00805713"/>
    <w:rsid w:val="0080577E"/>
    <w:rsid w:val="00805970"/>
    <w:rsid w:val="00805ADA"/>
    <w:rsid w:val="00805AE2"/>
    <w:rsid w:val="00805C3D"/>
    <w:rsid w:val="00805CBE"/>
    <w:rsid w:val="008063A4"/>
    <w:rsid w:val="008065D4"/>
    <w:rsid w:val="008066B8"/>
    <w:rsid w:val="00806826"/>
    <w:rsid w:val="00806974"/>
    <w:rsid w:val="00806985"/>
    <w:rsid w:val="00806A12"/>
    <w:rsid w:val="00806CDA"/>
    <w:rsid w:val="00806DCF"/>
    <w:rsid w:val="00806F1D"/>
    <w:rsid w:val="00806FFC"/>
    <w:rsid w:val="00807483"/>
    <w:rsid w:val="008074CC"/>
    <w:rsid w:val="008074D1"/>
    <w:rsid w:val="0080779E"/>
    <w:rsid w:val="008077ED"/>
    <w:rsid w:val="008078EC"/>
    <w:rsid w:val="0080793E"/>
    <w:rsid w:val="00807A51"/>
    <w:rsid w:val="00807A86"/>
    <w:rsid w:val="00807B44"/>
    <w:rsid w:val="00807B6F"/>
    <w:rsid w:val="00807D14"/>
    <w:rsid w:val="00807D37"/>
    <w:rsid w:val="00807E93"/>
    <w:rsid w:val="00810172"/>
    <w:rsid w:val="008102DB"/>
    <w:rsid w:val="0081033E"/>
    <w:rsid w:val="008103F5"/>
    <w:rsid w:val="0081042E"/>
    <w:rsid w:val="0081054D"/>
    <w:rsid w:val="008105D9"/>
    <w:rsid w:val="00810762"/>
    <w:rsid w:val="00810822"/>
    <w:rsid w:val="00810858"/>
    <w:rsid w:val="008108B6"/>
    <w:rsid w:val="008108D4"/>
    <w:rsid w:val="00810986"/>
    <w:rsid w:val="00810BB0"/>
    <w:rsid w:val="00810D82"/>
    <w:rsid w:val="00810DBD"/>
    <w:rsid w:val="00810DE7"/>
    <w:rsid w:val="00810EFF"/>
    <w:rsid w:val="00810FB7"/>
    <w:rsid w:val="00811145"/>
    <w:rsid w:val="008112AD"/>
    <w:rsid w:val="0081130A"/>
    <w:rsid w:val="00811314"/>
    <w:rsid w:val="008117A9"/>
    <w:rsid w:val="008118E7"/>
    <w:rsid w:val="00811A37"/>
    <w:rsid w:val="00811A39"/>
    <w:rsid w:val="00811B51"/>
    <w:rsid w:val="00811C8F"/>
    <w:rsid w:val="00811DDD"/>
    <w:rsid w:val="00811E63"/>
    <w:rsid w:val="00811E6C"/>
    <w:rsid w:val="00811ED0"/>
    <w:rsid w:val="00811FE1"/>
    <w:rsid w:val="00811FFE"/>
    <w:rsid w:val="008120A3"/>
    <w:rsid w:val="0081291B"/>
    <w:rsid w:val="00812A10"/>
    <w:rsid w:val="00812EB8"/>
    <w:rsid w:val="00812F22"/>
    <w:rsid w:val="00812F32"/>
    <w:rsid w:val="00813457"/>
    <w:rsid w:val="00813622"/>
    <w:rsid w:val="00813A97"/>
    <w:rsid w:val="00813ACD"/>
    <w:rsid w:val="00813D3B"/>
    <w:rsid w:val="00813D75"/>
    <w:rsid w:val="00813DCF"/>
    <w:rsid w:val="00813DFF"/>
    <w:rsid w:val="00813F74"/>
    <w:rsid w:val="00813FA7"/>
    <w:rsid w:val="00813FAB"/>
    <w:rsid w:val="008141CF"/>
    <w:rsid w:val="008141F1"/>
    <w:rsid w:val="008142AC"/>
    <w:rsid w:val="0081498C"/>
    <w:rsid w:val="0081499C"/>
    <w:rsid w:val="00814AE1"/>
    <w:rsid w:val="00814B21"/>
    <w:rsid w:val="00814B47"/>
    <w:rsid w:val="00814BD8"/>
    <w:rsid w:val="00814D5A"/>
    <w:rsid w:val="00814DBD"/>
    <w:rsid w:val="00814DC5"/>
    <w:rsid w:val="00814DEE"/>
    <w:rsid w:val="00814E75"/>
    <w:rsid w:val="00814E79"/>
    <w:rsid w:val="0081500F"/>
    <w:rsid w:val="0081560D"/>
    <w:rsid w:val="00815B37"/>
    <w:rsid w:val="00815D31"/>
    <w:rsid w:val="00815DAC"/>
    <w:rsid w:val="00815E5C"/>
    <w:rsid w:val="0081601F"/>
    <w:rsid w:val="00816064"/>
    <w:rsid w:val="0081636F"/>
    <w:rsid w:val="008163EC"/>
    <w:rsid w:val="0081643D"/>
    <w:rsid w:val="00816486"/>
    <w:rsid w:val="00816551"/>
    <w:rsid w:val="00816632"/>
    <w:rsid w:val="008166E0"/>
    <w:rsid w:val="008169E8"/>
    <w:rsid w:val="008169F7"/>
    <w:rsid w:val="00816B23"/>
    <w:rsid w:val="00816BC8"/>
    <w:rsid w:val="00816E37"/>
    <w:rsid w:val="008171F3"/>
    <w:rsid w:val="008174B2"/>
    <w:rsid w:val="0081777B"/>
    <w:rsid w:val="008177E6"/>
    <w:rsid w:val="008179CA"/>
    <w:rsid w:val="008179D9"/>
    <w:rsid w:val="00817B60"/>
    <w:rsid w:val="00817CDC"/>
    <w:rsid w:val="00817CFF"/>
    <w:rsid w:val="00817F19"/>
    <w:rsid w:val="00817F76"/>
    <w:rsid w:val="0082000D"/>
    <w:rsid w:val="0082018A"/>
    <w:rsid w:val="00820197"/>
    <w:rsid w:val="0082037E"/>
    <w:rsid w:val="00820832"/>
    <w:rsid w:val="00820841"/>
    <w:rsid w:val="00820C9C"/>
    <w:rsid w:val="00820CC0"/>
    <w:rsid w:val="00820F55"/>
    <w:rsid w:val="008212ED"/>
    <w:rsid w:val="008213B4"/>
    <w:rsid w:val="00821481"/>
    <w:rsid w:val="008214C8"/>
    <w:rsid w:val="00821572"/>
    <w:rsid w:val="00821611"/>
    <w:rsid w:val="0082181F"/>
    <w:rsid w:val="0082184E"/>
    <w:rsid w:val="00821BAE"/>
    <w:rsid w:val="00821F3F"/>
    <w:rsid w:val="00821FFB"/>
    <w:rsid w:val="00822160"/>
    <w:rsid w:val="00822310"/>
    <w:rsid w:val="00822597"/>
    <w:rsid w:val="00822637"/>
    <w:rsid w:val="0082266F"/>
    <w:rsid w:val="008226C0"/>
    <w:rsid w:val="00822779"/>
    <w:rsid w:val="00822C4E"/>
    <w:rsid w:val="00822D37"/>
    <w:rsid w:val="00822D63"/>
    <w:rsid w:val="00822DFF"/>
    <w:rsid w:val="00822E65"/>
    <w:rsid w:val="00822F0F"/>
    <w:rsid w:val="008233FC"/>
    <w:rsid w:val="00823794"/>
    <w:rsid w:val="008237F4"/>
    <w:rsid w:val="00823DAC"/>
    <w:rsid w:val="00823F67"/>
    <w:rsid w:val="00824022"/>
    <w:rsid w:val="00824265"/>
    <w:rsid w:val="00824316"/>
    <w:rsid w:val="00824370"/>
    <w:rsid w:val="00824531"/>
    <w:rsid w:val="0082459D"/>
    <w:rsid w:val="00824626"/>
    <w:rsid w:val="008246C7"/>
    <w:rsid w:val="0082483A"/>
    <w:rsid w:val="008248A0"/>
    <w:rsid w:val="00824A81"/>
    <w:rsid w:val="00824BFC"/>
    <w:rsid w:val="00824C8E"/>
    <w:rsid w:val="00824D70"/>
    <w:rsid w:val="00824E9E"/>
    <w:rsid w:val="00824EB1"/>
    <w:rsid w:val="00824F87"/>
    <w:rsid w:val="00824F8E"/>
    <w:rsid w:val="00825082"/>
    <w:rsid w:val="00825184"/>
    <w:rsid w:val="008252A4"/>
    <w:rsid w:val="008252AB"/>
    <w:rsid w:val="008254DB"/>
    <w:rsid w:val="008257B8"/>
    <w:rsid w:val="00825830"/>
    <w:rsid w:val="00825AB9"/>
    <w:rsid w:val="00825DC5"/>
    <w:rsid w:val="00825F58"/>
    <w:rsid w:val="00825FA0"/>
    <w:rsid w:val="00826005"/>
    <w:rsid w:val="008260ED"/>
    <w:rsid w:val="008263F1"/>
    <w:rsid w:val="00826685"/>
    <w:rsid w:val="00826891"/>
    <w:rsid w:val="0082699D"/>
    <w:rsid w:val="00826BB3"/>
    <w:rsid w:val="00826D94"/>
    <w:rsid w:val="00826DCC"/>
    <w:rsid w:val="00826E40"/>
    <w:rsid w:val="00826E6B"/>
    <w:rsid w:val="008270D7"/>
    <w:rsid w:val="00827408"/>
    <w:rsid w:val="008275FD"/>
    <w:rsid w:val="00827D09"/>
    <w:rsid w:val="00827E9C"/>
    <w:rsid w:val="00827EDD"/>
    <w:rsid w:val="00827F1F"/>
    <w:rsid w:val="00827F72"/>
    <w:rsid w:val="0083034B"/>
    <w:rsid w:val="00830804"/>
    <w:rsid w:val="008308B5"/>
    <w:rsid w:val="00830A04"/>
    <w:rsid w:val="00830BA1"/>
    <w:rsid w:val="00830EB2"/>
    <w:rsid w:val="008310DF"/>
    <w:rsid w:val="00831397"/>
    <w:rsid w:val="0083143B"/>
    <w:rsid w:val="00831473"/>
    <w:rsid w:val="00831510"/>
    <w:rsid w:val="00831569"/>
    <w:rsid w:val="00831652"/>
    <w:rsid w:val="008316FB"/>
    <w:rsid w:val="008317C2"/>
    <w:rsid w:val="00831847"/>
    <w:rsid w:val="00831875"/>
    <w:rsid w:val="00831945"/>
    <w:rsid w:val="00831AB3"/>
    <w:rsid w:val="00831AD1"/>
    <w:rsid w:val="00831BE6"/>
    <w:rsid w:val="00831E9B"/>
    <w:rsid w:val="00831ED9"/>
    <w:rsid w:val="00831F89"/>
    <w:rsid w:val="0083202E"/>
    <w:rsid w:val="0083210E"/>
    <w:rsid w:val="0083238B"/>
    <w:rsid w:val="008324CA"/>
    <w:rsid w:val="00832B58"/>
    <w:rsid w:val="00832D2E"/>
    <w:rsid w:val="00832EDD"/>
    <w:rsid w:val="0083304F"/>
    <w:rsid w:val="00833121"/>
    <w:rsid w:val="0083344A"/>
    <w:rsid w:val="008334C9"/>
    <w:rsid w:val="0083357E"/>
    <w:rsid w:val="00833714"/>
    <w:rsid w:val="00833728"/>
    <w:rsid w:val="00833822"/>
    <w:rsid w:val="008338B4"/>
    <w:rsid w:val="00833E97"/>
    <w:rsid w:val="00834122"/>
    <w:rsid w:val="008341D5"/>
    <w:rsid w:val="00834258"/>
    <w:rsid w:val="00834526"/>
    <w:rsid w:val="00834965"/>
    <w:rsid w:val="00834CBC"/>
    <w:rsid w:val="00834CD1"/>
    <w:rsid w:val="00834D0A"/>
    <w:rsid w:val="00834D95"/>
    <w:rsid w:val="00834E32"/>
    <w:rsid w:val="00834E9A"/>
    <w:rsid w:val="00834FDC"/>
    <w:rsid w:val="008351FC"/>
    <w:rsid w:val="008352C5"/>
    <w:rsid w:val="008352CD"/>
    <w:rsid w:val="00835695"/>
    <w:rsid w:val="0083589E"/>
    <w:rsid w:val="008358A6"/>
    <w:rsid w:val="008359FB"/>
    <w:rsid w:val="00835A31"/>
    <w:rsid w:val="00835C56"/>
    <w:rsid w:val="00835C96"/>
    <w:rsid w:val="00835D1E"/>
    <w:rsid w:val="0083603F"/>
    <w:rsid w:val="008360B8"/>
    <w:rsid w:val="008360FC"/>
    <w:rsid w:val="0083619A"/>
    <w:rsid w:val="00836AC4"/>
    <w:rsid w:val="00836B9F"/>
    <w:rsid w:val="00836BA5"/>
    <w:rsid w:val="00836BD3"/>
    <w:rsid w:val="00836D88"/>
    <w:rsid w:val="00836E81"/>
    <w:rsid w:val="00836FC1"/>
    <w:rsid w:val="00837621"/>
    <w:rsid w:val="008377C1"/>
    <w:rsid w:val="00837846"/>
    <w:rsid w:val="00837C2A"/>
    <w:rsid w:val="00837C90"/>
    <w:rsid w:val="00837EAC"/>
    <w:rsid w:val="00837EB1"/>
    <w:rsid w:val="00837FA5"/>
    <w:rsid w:val="008401DC"/>
    <w:rsid w:val="00840262"/>
    <w:rsid w:val="00840263"/>
    <w:rsid w:val="00840323"/>
    <w:rsid w:val="0084042B"/>
    <w:rsid w:val="00840581"/>
    <w:rsid w:val="008407F7"/>
    <w:rsid w:val="008409A9"/>
    <w:rsid w:val="008409BB"/>
    <w:rsid w:val="00840C4C"/>
    <w:rsid w:val="00840CAA"/>
    <w:rsid w:val="00840F38"/>
    <w:rsid w:val="00840F42"/>
    <w:rsid w:val="00841209"/>
    <w:rsid w:val="00841213"/>
    <w:rsid w:val="00841549"/>
    <w:rsid w:val="008415C3"/>
    <w:rsid w:val="0084184A"/>
    <w:rsid w:val="00841857"/>
    <w:rsid w:val="00841E8E"/>
    <w:rsid w:val="008422B9"/>
    <w:rsid w:val="008423F2"/>
    <w:rsid w:val="00842718"/>
    <w:rsid w:val="0084282A"/>
    <w:rsid w:val="00842A30"/>
    <w:rsid w:val="00842C2C"/>
    <w:rsid w:val="00842C8D"/>
    <w:rsid w:val="00842D9B"/>
    <w:rsid w:val="00842E6B"/>
    <w:rsid w:val="00842E89"/>
    <w:rsid w:val="00842F71"/>
    <w:rsid w:val="008430A2"/>
    <w:rsid w:val="00843179"/>
    <w:rsid w:val="0084336B"/>
    <w:rsid w:val="008433B0"/>
    <w:rsid w:val="00843488"/>
    <w:rsid w:val="008437B0"/>
    <w:rsid w:val="0084386A"/>
    <w:rsid w:val="0084396A"/>
    <w:rsid w:val="00843AB1"/>
    <w:rsid w:val="00843AE0"/>
    <w:rsid w:val="00843B3B"/>
    <w:rsid w:val="00843B8C"/>
    <w:rsid w:val="00843B95"/>
    <w:rsid w:val="00843C1A"/>
    <w:rsid w:val="00843C69"/>
    <w:rsid w:val="00843E0E"/>
    <w:rsid w:val="00843E95"/>
    <w:rsid w:val="008441EC"/>
    <w:rsid w:val="00844253"/>
    <w:rsid w:val="0084426F"/>
    <w:rsid w:val="008442D8"/>
    <w:rsid w:val="008442EA"/>
    <w:rsid w:val="00844360"/>
    <w:rsid w:val="00844405"/>
    <w:rsid w:val="00844589"/>
    <w:rsid w:val="00844645"/>
    <w:rsid w:val="0084465D"/>
    <w:rsid w:val="0084467E"/>
    <w:rsid w:val="00844794"/>
    <w:rsid w:val="00844836"/>
    <w:rsid w:val="00844895"/>
    <w:rsid w:val="008448E2"/>
    <w:rsid w:val="00844981"/>
    <w:rsid w:val="008449C4"/>
    <w:rsid w:val="00844A2D"/>
    <w:rsid w:val="00844AA1"/>
    <w:rsid w:val="00844E33"/>
    <w:rsid w:val="00844FE7"/>
    <w:rsid w:val="008451E3"/>
    <w:rsid w:val="00845306"/>
    <w:rsid w:val="008455BA"/>
    <w:rsid w:val="00845607"/>
    <w:rsid w:val="00845780"/>
    <w:rsid w:val="008457F0"/>
    <w:rsid w:val="00845862"/>
    <w:rsid w:val="00845969"/>
    <w:rsid w:val="00845BB3"/>
    <w:rsid w:val="00845C53"/>
    <w:rsid w:val="00845DA6"/>
    <w:rsid w:val="00845E22"/>
    <w:rsid w:val="00845F37"/>
    <w:rsid w:val="00845FF5"/>
    <w:rsid w:val="00846001"/>
    <w:rsid w:val="0084615D"/>
    <w:rsid w:val="008461FE"/>
    <w:rsid w:val="00846248"/>
    <w:rsid w:val="008462AC"/>
    <w:rsid w:val="008462FC"/>
    <w:rsid w:val="0084642A"/>
    <w:rsid w:val="008464CE"/>
    <w:rsid w:val="008465C0"/>
    <w:rsid w:val="008465C4"/>
    <w:rsid w:val="0084666E"/>
    <w:rsid w:val="00846710"/>
    <w:rsid w:val="00846958"/>
    <w:rsid w:val="00846CB0"/>
    <w:rsid w:val="00846EE1"/>
    <w:rsid w:val="00846F90"/>
    <w:rsid w:val="008476D8"/>
    <w:rsid w:val="008478ED"/>
    <w:rsid w:val="008479D6"/>
    <w:rsid w:val="00847A7D"/>
    <w:rsid w:val="00847BCC"/>
    <w:rsid w:val="00847C2D"/>
    <w:rsid w:val="00847D2D"/>
    <w:rsid w:val="00847E62"/>
    <w:rsid w:val="00847EFB"/>
    <w:rsid w:val="00850294"/>
    <w:rsid w:val="00850376"/>
    <w:rsid w:val="0085039D"/>
    <w:rsid w:val="00850407"/>
    <w:rsid w:val="00850855"/>
    <w:rsid w:val="008508AA"/>
    <w:rsid w:val="008508C9"/>
    <w:rsid w:val="0085097B"/>
    <w:rsid w:val="00850B21"/>
    <w:rsid w:val="00850BCA"/>
    <w:rsid w:val="00850EEB"/>
    <w:rsid w:val="00850EFB"/>
    <w:rsid w:val="00851033"/>
    <w:rsid w:val="0085109B"/>
    <w:rsid w:val="008510F6"/>
    <w:rsid w:val="008511B5"/>
    <w:rsid w:val="00851412"/>
    <w:rsid w:val="00851491"/>
    <w:rsid w:val="0085153C"/>
    <w:rsid w:val="00851599"/>
    <w:rsid w:val="008516F2"/>
    <w:rsid w:val="00851728"/>
    <w:rsid w:val="008518CD"/>
    <w:rsid w:val="008519AE"/>
    <w:rsid w:val="00851A1A"/>
    <w:rsid w:val="00851D6B"/>
    <w:rsid w:val="00851DFF"/>
    <w:rsid w:val="00851F65"/>
    <w:rsid w:val="00851FFE"/>
    <w:rsid w:val="00852396"/>
    <w:rsid w:val="00852674"/>
    <w:rsid w:val="00852B65"/>
    <w:rsid w:val="00852C1A"/>
    <w:rsid w:val="00852E98"/>
    <w:rsid w:val="00852F8C"/>
    <w:rsid w:val="00853084"/>
    <w:rsid w:val="008530E5"/>
    <w:rsid w:val="00853142"/>
    <w:rsid w:val="008531B5"/>
    <w:rsid w:val="00853293"/>
    <w:rsid w:val="00853520"/>
    <w:rsid w:val="0085366E"/>
    <w:rsid w:val="00853701"/>
    <w:rsid w:val="00853886"/>
    <w:rsid w:val="008538B7"/>
    <w:rsid w:val="00853A0C"/>
    <w:rsid w:val="00853BAB"/>
    <w:rsid w:val="00853ED2"/>
    <w:rsid w:val="00853F81"/>
    <w:rsid w:val="008540A6"/>
    <w:rsid w:val="00854254"/>
    <w:rsid w:val="00854420"/>
    <w:rsid w:val="00854481"/>
    <w:rsid w:val="00854648"/>
    <w:rsid w:val="008548BC"/>
    <w:rsid w:val="00854AA7"/>
    <w:rsid w:val="00854B0B"/>
    <w:rsid w:val="00854CA7"/>
    <w:rsid w:val="00854FCC"/>
    <w:rsid w:val="008550F4"/>
    <w:rsid w:val="008551B2"/>
    <w:rsid w:val="00855319"/>
    <w:rsid w:val="0085532E"/>
    <w:rsid w:val="00855737"/>
    <w:rsid w:val="0085578C"/>
    <w:rsid w:val="00855BC9"/>
    <w:rsid w:val="00855BDE"/>
    <w:rsid w:val="00855C13"/>
    <w:rsid w:val="00855C16"/>
    <w:rsid w:val="00855E0A"/>
    <w:rsid w:val="00855FDC"/>
    <w:rsid w:val="00856141"/>
    <w:rsid w:val="00856394"/>
    <w:rsid w:val="00856709"/>
    <w:rsid w:val="0085685C"/>
    <w:rsid w:val="008568C5"/>
    <w:rsid w:val="008569B1"/>
    <w:rsid w:val="00856B8E"/>
    <w:rsid w:val="00856BAC"/>
    <w:rsid w:val="00856C32"/>
    <w:rsid w:val="00856C7C"/>
    <w:rsid w:val="00856DBA"/>
    <w:rsid w:val="00857119"/>
    <w:rsid w:val="00857591"/>
    <w:rsid w:val="0085766C"/>
    <w:rsid w:val="00857B40"/>
    <w:rsid w:val="00857B68"/>
    <w:rsid w:val="00857B83"/>
    <w:rsid w:val="00857CA5"/>
    <w:rsid w:val="00857E88"/>
    <w:rsid w:val="00857EA3"/>
    <w:rsid w:val="00857F3C"/>
    <w:rsid w:val="00857F7A"/>
    <w:rsid w:val="00860480"/>
    <w:rsid w:val="0086052B"/>
    <w:rsid w:val="00860557"/>
    <w:rsid w:val="008605AB"/>
    <w:rsid w:val="008605E2"/>
    <w:rsid w:val="00860730"/>
    <w:rsid w:val="008607A7"/>
    <w:rsid w:val="0086081D"/>
    <w:rsid w:val="008609D0"/>
    <w:rsid w:val="00860C5C"/>
    <w:rsid w:val="00860CE3"/>
    <w:rsid w:val="00860EA1"/>
    <w:rsid w:val="00860F1F"/>
    <w:rsid w:val="008610CB"/>
    <w:rsid w:val="00861258"/>
    <w:rsid w:val="008612DB"/>
    <w:rsid w:val="00861370"/>
    <w:rsid w:val="0086159B"/>
    <w:rsid w:val="008617C9"/>
    <w:rsid w:val="008619B6"/>
    <w:rsid w:val="00861A5F"/>
    <w:rsid w:val="00861AB8"/>
    <w:rsid w:val="00861AF6"/>
    <w:rsid w:val="00861B57"/>
    <w:rsid w:val="00861C9C"/>
    <w:rsid w:val="00861E1E"/>
    <w:rsid w:val="00861EA5"/>
    <w:rsid w:val="00861EBE"/>
    <w:rsid w:val="00861FD9"/>
    <w:rsid w:val="0086216E"/>
    <w:rsid w:val="0086220F"/>
    <w:rsid w:val="008624AC"/>
    <w:rsid w:val="0086268A"/>
    <w:rsid w:val="0086275B"/>
    <w:rsid w:val="00862790"/>
    <w:rsid w:val="0086279E"/>
    <w:rsid w:val="00862833"/>
    <w:rsid w:val="00862889"/>
    <w:rsid w:val="00862977"/>
    <w:rsid w:val="00862AC4"/>
    <w:rsid w:val="00862BF5"/>
    <w:rsid w:val="00862CA7"/>
    <w:rsid w:val="00862CD6"/>
    <w:rsid w:val="00862D89"/>
    <w:rsid w:val="00862D95"/>
    <w:rsid w:val="008630F4"/>
    <w:rsid w:val="008633AC"/>
    <w:rsid w:val="008634E3"/>
    <w:rsid w:val="008635F4"/>
    <w:rsid w:val="00863818"/>
    <w:rsid w:val="00863C71"/>
    <w:rsid w:val="00864163"/>
    <w:rsid w:val="00864627"/>
    <w:rsid w:val="00864635"/>
    <w:rsid w:val="00864678"/>
    <w:rsid w:val="008646EF"/>
    <w:rsid w:val="00864B03"/>
    <w:rsid w:val="00864B1B"/>
    <w:rsid w:val="00864C1A"/>
    <w:rsid w:val="00864C86"/>
    <w:rsid w:val="00864C93"/>
    <w:rsid w:val="00864D55"/>
    <w:rsid w:val="00864FCB"/>
    <w:rsid w:val="00865217"/>
    <w:rsid w:val="00865361"/>
    <w:rsid w:val="008656D4"/>
    <w:rsid w:val="00865876"/>
    <w:rsid w:val="008658AA"/>
    <w:rsid w:val="00865CBD"/>
    <w:rsid w:val="00866202"/>
    <w:rsid w:val="008662A8"/>
    <w:rsid w:val="00866538"/>
    <w:rsid w:val="008665D0"/>
    <w:rsid w:val="0086672B"/>
    <w:rsid w:val="00866881"/>
    <w:rsid w:val="008668F7"/>
    <w:rsid w:val="00866D99"/>
    <w:rsid w:val="00866DA3"/>
    <w:rsid w:val="00866E37"/>
    <w:rsid w:val="00866E5F"/>
    <w:rsid w:val="00866F9E"/>
    <w:rsid w:val="00867028"/>
    <w:rsid w:val="00867127"/>
    <w:rsid w:val="00867207"/>
    <w:rsid w:val="008672E2"/>
    <w:rsid w:val="0086739C"/>
    <w:rsid w:val="0086782F"/>
    <w:rsid w:val="0086784F"/>
    <w:rsid w:val="0086793D"/>
    <w:rsid w:val="00867A88"/>
    <w:rsid w:val="00867B1C"/>
    <w:rsid w:val="00867BEE"/>
    <w:rsid w:val="00867FC2"/>
    <w:rsid w:val="0087021E"/>
    <w:rsid w:val="0087032C"/>
    <w:rsid w:val="00870338"/>
    <w:rsid w:val="008705B0"/>
    <w:rsid w:val="008706BD"/>
    <w:rsid w:val="00870B78"/>
    <w:rsid w:val="00870BB4"/>
    <w:rsid w:val="00870E4E"/>
    <w:rsid w:val="00871191"/>
    <w:rsid w:val="008712C0"/>
    <w:rsid w:val="008713D6"/>
    <w:rsid w:val="008714CB"/>
    <w:rsid w:val="00871643"/>
    <w:rsid w:val="0087164D"/>
    <w:rsid w:val="00871ABC"/>
    <w:rsid w:val="00871BA6"/>
    <w:rsid w:val="00871DAF"/>
    <w:rsid w:val="00871EFE"/>
    <w:rsid w:val="0087218D"/>
    <w:rsid w:val="00872311"/>
    <w:rsid w:val="008724E8"/>
    <w:rsid w:val="00872614"/>
    <w:rsid w:val="008726B5"/>
    <w:rsid w:val="008726EC"/>
    <w:rsid w:val="0087281D"/>
    <w:rsid w:val="0087299D"/>
    <w:rsid w:val="00872A9C"/>
    <w:rsid w:val="00872C5B"/>
    <w:rsid w:val="00872C80"/>
    <w:rsid w:val="00872CC1"/>
    <w:rsid w:val="00872D4F"/>
    <w:rsid w:val="00872E16"/>
    <w:rsid w:val="008730BC"/>
    <w:rsid w:val="008732D8"/>
    <w:rsid w:val="00873377"/>
    <w:rsid w:val="00873409"/>
    <w:rsid w:val="0087355A"/>
    <w:rsid w:val="00873577"/>
    <w:rsid w:val="00873A57"/>
    <w:rsid w:val="00873CB7"/>
    <w:rsid w:val="00873DF7"/>
    <w:rsid w:val="00873E60"/>
    <w:rsid w:val="00873E70"/>
    <w:rsid w:val="00873EC1"/>
    <w:rsid w:val="00873F99"/>
    <w:rsid w:val="0087409F"/>
    <w:rsid w:val="00874175"/>
    <w:rsid w:val="00874194"/>
    <w:rsid w:val="008742B7"/>
    <w:rsid w:val="00874560"/>
    <w:rsid w:val="00874831"/>
    <w:rsid w:val="0087483A"/>
    <w:rsid w:val="008748B8"/>
    <w:rsid w:val="00874D58"/>
    <w:rsid w:val="00875023"/>
    <w:rsid w:val="008750D2"/>
    <w:rsid w:val="00875203"/>
    <w:rsid w:val="00875477"/>
    <w:rsid w:val="008757AE"/>
    <w:rsid w:val="008757EA"/>
    <w:rsid w:val="00875911"/>
    <w:rsid w:val="00875A3B"/>
    <w:rsid w:val="00875AB5"/>
    <w:rsid w:val="00875C91"/>
    <w:rsid w:val="00875E0A"/>
    <w:rsid w:val="00875F85"/>
    <w:rsid w:val="00875FE7"/>
    <w:rsid w:val="00876029"/>
    <w:rsid w:val="008760CB"/>
    <w:rsid w:val="008762D3"/>
    <w:rsid w:val="008763EA"/>
    <w:rsid w:val="00876569"/>
    <w:rsid w:val="0087671C"/>
    <w:rsid w:val="00876778"/>
    <w:rsid w:val="0087682D"/>
    <w:rsid w:val="008769AC"/>
    <w:rsid w:val="00876A18"/>
    <w:rsid w:val="00876C22"/>
    <w:rsid w:val="00876C6B"/>
    <w:rsid w:val="00876DC9"/>
    <w:rsid w:val="00876E01"/>
    <w:rsid w:val="008770BA"/>
    <w:rsid w:val="008770C2"/>
    <w:rsid w:val="00877110"/>
    <w:rsid w:val="00877125"/>
    <w:rsid w:val="0087721A"/>
    <w:rsid w:val="0087740D"/>
    <w:rsid w:val="0087748E"/>
    <w:rsid w:val="00877525"/>
    <w:rsid w:val="008775F6"/>
    <w:rsid w:val="008777C2"/>
    <w:rsid w:val="0087781D"/>
    <w:rsid w:val="0087789E"/>
    <w:rsid w:val="00877B33"/>
    <w:rsid w:val="00877B46"/>
    <w:rsid w:val="00877C44"/>
    <w:rsid w:val="00877D50"/>
    <w:rsid w:val="00880312"/>
    <w:rsid w:val="00880343"/>
    <w:rsid w:val="0088065A"/>
    <w:rsid w:val="008807F3"/>
    <w:rsid w:val="00880918"/>
    <w:rsid w:val="00880B34"/>
    <w:rsid w:val="00880D63"/>
    <w:rsid w:val="00880FAA"/>
    <w:rsid w:val="008812A6"/>
    <w:rsid w:val="008812FD"/>
    <w:rsid w:val="00881511"/>
    <w:rsid w:val="00881538"/>
    <w:rsid w:val="0088166B"/>
    <w:rsid w:val="008817A8"/>
    <w:rsid w:val="00881D64"/>
    <w:rsid w:val="00881DF4"/>
    <w:rsid w:val="008820B5"/>
    <w:rsid w:val="008821B1"/>
    <w:rsid w:val="00882448"/>
    <w:rsid w:val="008826EF"/>
    <w:rsid w:val="00882884"/>
    <w:rsid w:val="008829A4"/>
    <w:rsid w:val="00882BBD"/>
    <w:rsid w:val="00882D14"/>
    <w:rsid w:val="00882F0B"/>
    <w:rsid w:val="00882F1D"/>
    <w:rsid w:val="00882FF5"/>
    <w:rsid w:val="008835E6"/>
    <w:rsid w:val="0088365A"/>
    <w:rsid w:val="0088373E"/>
    <w:rsid w:val="008837C3"/>
    <w:rsid w:val="00883860"/>
    <w:rsid w:val="008838EF"/>
    <w:rsid w:val="00883941"/>
    <w:rsid w:val="00883987"/>
    <w:rsid w:val="008839BD"/>
    <w:rsid w:val="00883A4D"/>
    <w:rsid w:val="00883AF0"/>
    <w:rsid w:val="00883B21"/>
    <w:rsid w:val="00883F8F"/>
    <w:rsid w:val="00883FCC"/>
    <w:rsid w:val="0088403A"/>
    <w:rsid w:val="0088404B"/>
    <w:rsid w:val="00884235"/>
    <w:rsid w:val="008843EA"/>
    <w:rsid w:val="00884713"/>
    <w:rsid w:val="00884BBB"/>
    <w:rsid w:val="00884C5C"/>
    <w:rsid w:val="00884CC4"/>
    <w:rsid w:val="00884D04"/>
    <w:rsid w:val="00884D23"/>
    <w:rsid w:val="00884D46"/>
    <w:rsid w:val="00884D64"/>
    <w:rsid w:val="00884D6A"/>
    <w:rsid w:val="00884E11"/>
    <w:rsid w:val="00884F98"/>
    <w:rsid w:val="0088520F"/>
    <w:rsid w:val="00885285"/>
    <w:rsid w:val="008853C3"/>
    <w:rsid w:val="0088547C"/>
    <w:rsid w:val="00885985"/>
    <w:rsid w:val="0088598A"/>
    <w:rsid w:val="00885A14"/>
    <w:rsid w:val="00885AC5"/>
    <w:rsid w:val="00885BC8"/>
    <w:rsid w:val="00885C5A"/>
    <w:rsid w:val="00885EA3"/>
    <w:rsid w:val="00885FD7"/>
    <w:rsid w:val="00885FE0"/>
    <w:rsid w:val="008861E0"/>
    <w:rsid w:val="00886413"/>
    <w:rsid w:val="0088653E"/>
    <w:rsid w:val="008865D2"/>
    <w:rsid w:val="00886699"/>
    <w:rsid w:val="00886731"/>
    <w:rsid w:val="008867DA"/>
    <w:rsid w:val="008868DB"/>
    <w:rsid w:val="00886C2D"/>
    <w:rsid w:val="0088709A"/>
    <w:rsid w:val="008871CB"/>
    <w:rsid w:val="0088729D"/>
    <w:rsid w:val="008872A1"/>
    <w:rsid w:val="00887310"/>
    <w:rsid w:val="008878EC"/>
    <w:rsid w:val="00887AA3"/>
    <w:rsid w:val="00887CDB"/>
    <w:rsid w:val="00887E27"/>
    <w:rsid w:val="0089007F"/>
    <w:rsid w:val="0089019C"/>
    <w:rsid w:val="008901D9"/>
    <w:rsid w:val="0089021D"/>
    <w:rsid w:val="00890231"/>
    <w:rsid w:val="0089024F"/>
    <w:rsid w:val="008904C1"/>
    <w:rsid w:val="00890771"/>
    <w:rsid w:val="008908B8"/>
    <w:rsid w:val="00890A96"/>
    <w:rsid w:val="00890B91"/>
    <w:rsid w:val="00890CEE"/>
    <w:rsid w:val="00890D3A"/>
    <w:rsid w:val="00890E73"/>
    <w:rsid w:val="0089121A"/>
    <w:rsid w:val="0089131B"/>
    <w:rsid w:val="008915CF"/>
    <w:rsid w:val="008917A8"/>
    <w:rsid w:val="0089199F"/>
    <w:rsid w:val="00891AC6"/>
    <w:rsid w:val="00891BA4"/>
    <w:rsid w:val="00891C32"/>
    <w:rsid w:val="00891D24"/>
    <w:rsid w:val="00891D7F"/>
    <w:rsid w:val="00891EBE"/>
    <w:rsid w:val="00891FA9"/>
    <w:rsid w:val="00892222"/>
    <w:rsid w:val="00892265"/>
    <w:rsid w:val="008922FD"/>
    <w:rsid w:val="0089233E"/>
    <w:rsid w:val="00892363"/>
    <w:rsid w:val="008924C4"/>
    <w:rsid w:val="00892680"/>
    <w:rsid w:val="008926BE"/>
    <w:rsid w:val="00892836"/>
    <w:rsid w:val="00892A57"/>
    <w:rsid w:val="00892EB4"/>
    <w:rsid w:val="008931AB"/>
    <w:rsid w:val="008932AC"/>
    <w:rsid w:val="008932C4"/>
    <w:rsid w:val="0089330E"/>
    <w:rsid w:val="008933E3"/>
    <w:rsid w:val="0089340F"/>
    <w:rsid w:val="00893430"/>
    <w:rsid w:val="00893509"/>
    <w:rsid w:val="00893892"/>
    <w:rsid w:val="0089390E"/>
    <w:rsid w:val="00893A8E"/>
    <w:rsid w:val="00893AC8"/>
    <w:rsid w:val="00893CC4"/>
    <w:rsid w:val="00893E27"/>
    <w:rsid w:val="008940E6"/>
    <w:rsid w:val="008941D3"/>
    <w:rsid w:val="00894367"/>
    <w:rsid w:val="0089447A"/>
    <w:rsid w:val="00894494"/>
    <w:rsid w:val="008944E9"/>
    <w:rsid w:val="008945F7"/>
    <w:rsid w:val="00894634"/>
    <w:rsid w:val="0089463D"/>
    <w:rsid w:val="008947D2"/>
    <w:rsid w:val="008950F2"/>
    <w:rsid w:val="008952FD"/>
    <w:rsid w:val="0089535B"/>
    <w:rsid w:val="0089548B"/>
    <w:rsid w:val="0089554F"/>
    <w:rsid w:val="008955E6"/>
    <w:rsid w:val="00895657"/>
    <w:rsid w:val="008959D7"/>
    <w:rsid w:val="00895AE2"/>
    <w:rsid w:val="00895AEC"/>
    <w:rsid w:val="00895B24"/>
    <w:rsid w:val="00895B5F"/>
    <w:rsid w:val="0089601A"/>
    <w:rsid w:val="0089637C"/>
    <w:rsid w:val="008964C8"/>
    <w:rsid w:val="00896575"/>
    <w:rsid w:val="00896712"/>
    <w:rsid w:val="00896870"/>
    <w:rsid w:val="008969BD"/>
    <w:rsid w:val="00896A21"/>
    <w:rsid w:val="00896B20"/>
    <w:rsid w:val="00896BDC"/>
    <w:rsid w:val="00896E9B"/>
    <w:rsid w:val="0089739B"/>
    <w:rsid w:val="008975E1"/>
    <w:rsid w:val="008977D9"/>
    <w:rsid w:val="00897998"/>
    <w:rsid w:val="008979C3"/>
    <w:rsid w:val="00897A59"/>
    <w:rsid w:val="00897AA2"/>
    <w:rsid w:val="00897BA9"/>
    <w:rsid w:val="00897C1F"/>
    <w:rsid w:val="00897D5E"/>
    <w:rsid w:val="00897DC3"/>
    <w:rsid w:val="00897E16"/>
    <w:rsid w:val="00897E50"/>
    <w:rsid w:val="008A00EA"/>
    <w:rsid w:val="008A0157"/>
    <w:rsid w:val="008A03A5"/>
    <w:rsid w:val="008A03AB"/>
    <w:rsid w:val="008A0565"/>
    <w:rsid w:val="008A060A"/>
    <w:rsid w:val="008A06E9"/>
    <w:rsid w:val="008A0A9D"/>
    <w:rsid w:val="008A0B17"/>
    <w:rsid w:val="008A10AC"/>
    <w:rsid w:val="008A1105"/>
    <w:rsid w:val="008A11F5"/>
    <w:rsid w:val="008A127E"/>
    <w:rsid w:val="008A1317"/>
    <w:rsid w:val="008A13BD"/>
    <w:rsid w:val="008A1596"/>
    <w:rsid w:val="008A15AC"/>
    <w:rsid w:val="008A1702"/>
    <w:rsid w:val="008A1704"/>
    <w:rsid w:val="008A1733"/>
    <w:rsid w:val="008A1EDF"/>
    <w:rsid w:val="008A1FBA"/>
    <w:rsid w:val="008A207C"/>
    <w:rsid w:val="008A21E0"/>
    <w:rsid w:val="008A22B5"/>
    <w:rsid w:val="008A249C"/>
    <w:rsid w:val="008A255D"/>
    <w:rsid w:val="008A2695"/>
    <w:rsid w:val="008A26CC"/>
    <w:rsid w:val="008A27F5"/>
    <w:rsid w:val="008A27FF"/>
    <w:rsid w:val="008A28F5"/>
    <w:rsid w:val="008A2AD8"/>
    <w:rsid w:val="008A2C59"/>
    <w:rsid w:val="008A2DA3"/>
    <w:rsid w:val="008A2DC9"/>
    <w:rsid w:val="008A2DCF"/>
    <w:rsid w:val="008A2EBA"/>
    <w:rsid w:val="008A2F0A"/>
    <w:rsid w:val="008A2FF1"/>
    <w:rsid w:val="008A300A"/>
    <w:rsid w:val="008A32AC"/>
    <w:rsid w:val="008A32D4"/>
    <w:rsid w:val="008A33C8"/>
    <w:rsid w:val="008A34C9"/>
    <w:rsid w:val="008A367F"/>
    <w:rsid w:val="008A3732"/>
    <w:rsid w:val="008A37AF"/>
    <w:rsid w:val="008A39FA"/>
    <w:rsid w:val="008A3AB0"/>
    <w:rsid w:val="008A3B11"/>
    <w:rsid w:val="008A3BA9"/>
    <w:rsid w:val="008A3D62"/>
    <w:rsid w:val="008A3EBB"/>
    <w:rsid w:val="008A41DC"/>
    <w:rsid w:val="008A448D"/>
    <w:rsid w:val="008A467E"/>
    <w:rsid w:val="008A480B"/>
    <w:rsid w:val="008A4A55"/>
    <w:rsid w:val="008A4B15"/>
    <w:rsid w:val="008A506F"/>
    <w:rsid w:val="008A5224"/>
    <w:rsid w:val="008A528A"/>
    <w:rsid w:val="008A5298"/>
    <w:rsid w:val="008A52B6"/>
    <w:rsid w:val="008A535A"/>
    <w:rsid w:val="008A56EB"/>
    <w:rsid w:val="008A5893"/>
    <w:rsid w:val="008A5A05"/>
    <w:rsid w:val="008A60BB"/>
    <w:rsid w:val="008A6186"/>
    <w:rsid w:val="008A6278"/>
    <w:rsid w:val="008A6347"/>
    <w:rsid w:val="008A64C2"/>
    <w:rsid w:val="008A6665"/>
    <w:rsid w:val="008A67EC"/>
    <w:rsid w:val="008A6A25"/>
    <w:rsid w:val="008A6A76"/>
    <w:rsid w:val="008A6B3F"/>
    <w:rsid w:val="008A6BFF"/>
    <w:rsid w:val="008A6CB7"/>
    <w:rsid w:val="008A7011"/>
    <w:rsid w:val="008A7209"/>
    <w:rsid w:val="008A720F"/>
    <w:rsid w:val="008A746C"/>
    <w:rsid w:val="008A77EB"/>
    <w:rsid w:val="008A799A"/>
    <w:rsid w:val="008A7C72"/>
    <w:rsid w:val="008A7E2A"/>
    <w:rsid w:val="008A7EB7"/>
    <w:rsid w:val="008B0157"/>
    <w:rsid w:val="008B0195"/>
    <w:rsid w:val="008B03C4"/>
    <w:rsid w:val="008B04F2"/>
    <w:rsid w:val="008B07B0"/>
    <w:rsid w:val="008B07CA"/>
    <w:rsid w:val="008B084D"/>
    <w:rsid w:val="008B08C8"/>
    <w:rsid w:val="008B0979"/>
    <w:rsid w:val="008B0D0E"/>
    <w:rsid w:val="008B0FEB"/>
    <w:rsid w:val="008B1088"/>
    <w:rsid w:val="008B1127"/>
    <w:rsid w:val="008B12BB"/>
    <w:rsid w:val="008B1411"/>
    <w:rsid w:val="008B1760"/>
    <w:rsid w:val="008B17A2"/>
    <w:rsid w:val="008B1C8C"/>
    <w:rsid w:val="008B1DBD"/>
    <w:rsid w:val="008B2149"/>
    <w:rsid w:val="008B25F2"/>
    <w:rsid w:val="008B2643"/>
    <w:rsid w:val="008B2660"/>
    <w:rsid w:val="008B2AD1"/>
    <w:rsid w:val="008B2EDC"/>
    <w:rsid w:val="008B2EE5"/>
    <w:rsid w:val="008B2FAE"/>
    <w:rsid w:val="008B32B4"/>
    <w:rsid w:val="008B32C2"/>
    <w:rsid w:val="008B3317"/>
    <w:rsid w:val="008B3747"/>
    <w:rsid w:val="008B3821"/>
    <w:rsid w:val="008B38AF"/>
    <w:rsid w:val="008B3A1C"/>
    <w:rsid w:val="008B3AAE"/>
    <w:rsid w:val="008B3E4D"/>
    <w:rsid w:val="008B3FB3"/>
    <w:rsid w:val="008B4072"/>
    <w:rsid w:val="008B414B"/>
    <w:rsid w:val="008B4320"/>
    <w:rsid w:val="008B43FF"/>
    <w:rsid w:val="008B456C"/>
    <w:rsid w:val="008B46D5"/>
    <w:rsid w:val="008B4779"/>
    <w:rsid w:val="008B47BC"/>
    <w:rsid w:val="008B4A25"/>
    <w:rsid w:val="008B4B87"/>
    <w:rsid w:val="008B4C52"/>
    <w:rsid w:val="008B4CC6"/>
    <w:rsid w:val="008B4E0E"/>
    <w:rsid w:val="008B4EA5"/>
    <w:rsid w:val="008B4F9E"/>
    <w:rsid w:val="008B4FB9"/>
    <w:rsid w:val="008B5094"/>
    <w:rsid w:val="008B50EA"/>
    <w:rsid w:val="008B5116"/>
    <w:rsid w:val="008B5135"/>
    <w:rsid w:val="008B52F7"/>
    <w:rsid w:val="008B548E"/>
    <w:rsid w:val="008B559F"/>
    <w:rsid w:val="008B5715"/>
    <w:rsid w:val="008B57CC"/>
    <w:rsid w:val="008B5A2D"/>
    <w:rsid w:val="008B5AE4"/>
    <w:rsid w:val="008B5BC2"/>
    <w:rsid w:val="008B5BD9"/>
    <w:rsid w:val="008B5CA8"/>
    <w:rsid w:val="008B5F2C"/>
    <w:rsid w:val="008B602E"/>
    <w:rsid w:val="008B60BB"/>
    <w:rsid w:val="008B60CD"/>
    <w:rsid w:val="008B616E"/>
    <w:rsid w:val="008B653D"/>
    <w:rsid w:val="008B6678"/>
    <w:rsid w:val="008B6732"/>
    <w:rsid w:val="008B67F2"/>
    <w:rsid w:val="008B681B"/>
    <w:rsid w:val="008B6876"/>
    <w:rsid w:val="008B68EC"/>
    <w:rsid w:val="008B6C37"/>
    <w:rsid w:val="008B6D05"/>
    <w:rsid w:val="008B6DB3"/>
    <w:rsid w:val="008B711E"/>
    <w:rsid w:val="008B71E0"/>
    <w:rsid w:val="008B72CA"/>
    <w:rsid w:val="008B73C9"/>
    <w:rsid w:val="008B755B"/>
    <w:rsid w:val="008B78FC"/>
    <w:rsid w:val="008B7CD2"/>
    <w:rsid w:val="008B7DCD"/>
    <w:rsid w:val="008C01D4"/>
    <w:rsid w:val="008C0332"/>
    <w:rsid w:val="008C0370"/>
    <w:rsid w:val="008C042F"/>
    <w:rsid w:val="008C057B"/>
    <w:rsid w:val="008C076E"/>
    <w:rsid w:val="008C0991"/>
    <w:rsid w:val="008C0A77"/>
    <w:rsid w:val="008C0CAC"/>
    <w:rsid w:val="008C0D3C"/>
    <w:rsid w:val="008C0E2C"/>
    <w:rsid w:val="008C0FB8"/>
    <w:rsid w:val="008C119F"/>
    <w:rsid w:val="008C11E4"/>
    <w:rsid w:val="008C1263"/>
    <w:rsid w:val="008C136E"/>
    <w:rsid w:val="008C13B4"/>
    <w:rsid w:val="008C13CA"/>
    <w:rsid w:val="008C1425"/>
    <w:rsid w:val="008C14FD"/>
    <w:rsid w:val="008C1526"/>
    <w:rsid w:val="008C1557"/>
    <w:rsid w:val="008C178B"/>
    <w:rsid w:val="008C1AD3"/>
    <w:rsid w:val="008C1B8C"/>
    <w:rsid w:val="008C216C"/>
    <w:rsid w:val="008C22F8"/>
    <w:rsid w:val="008C2306"/>
    <w:rsid w:val="008C250F"/>
    <w:rsid w:val="008C26CD"/>
    <w:rsid w:val="008C26D1"/>
    <w:rsid w:val="008C270D"/>
    <w:rsid w:val="008C27C4"/>
    <w:rsid w:val="008C2B7F"/>
    <w:rsid w:val="008C2DEF"/>
    <w:rsid w:val="008C2EF9"/>
    <w:rsid w:val="008C30EA"/>
    <w:rsid w:val="008C321E"/>
    <w:rsid w:val="008C32D2"/>
    <w:rsid w:val="008C3327"/>
    <w:rsid w:val="008C3363"/>
    <w:rsid w:val="008C35A2"/>
    <w:rsid w:val="008C36AC"/>
    <w:rsid w:val="008C38EA"/>
    <w:rsid w:val="008C3946"/>
    <w:rsid w:val="008C39DD"/>
    <w:rsid w:val="008C3A45"/>
    <w:rsid w:val="008C3A46"/>
    <w:rsid w:val="008C3E23"/>
    <w:rsid w:val="008C3E96"/>
    <w:rsid w:val="008C3EAE"/>
    <w:rsid w:val="008C3F78"/>
    <w:rsid w:val="008C3F9D"/>
    <w:rsid w:val="008C3FA9"/>
    <w:rsid w:val="008C40AD"/>
    <w:rsid w:val="008C4370"/>
    <w:rsid w:val="008C4785"/>
    <w:rsid w:val="008C47EE"/>
    <w:rsid w:val="008C4937"/>
    <w:rsid w:val="008C4953"/>
    <w:rsid w:val="008C49C3"/>
    <w:rsid w:val="008C4A60"/>
    <w:rsid w:val="008C4E44"/>
    <w:rsid w:val="008C5492"/>
    <w:rsid w:val="008C54C0"/>
    <w:rsid w:val="008C56E0"/>
    <w:rsid w:val="008C58AA"/>
    <w:rsid w:val="008C58CE"/>
    <w:rsid w:val="008C5AF3"/>
    <w:rsid w:val="008C5CC6"/>
    <w:rsid w:val="008C6255"/>
    <w:rsid w:val="008C62B0"/>
    <w:rsid w:val="008C6396"/>
    <w:rsid w:val="008C646D"/>
    <w:rsid w:val="008C6531"/>
    <w:rsid w:val="008C669A"/>
    <w:rsid w:val="008C684B"/>
    <w:rsid w:val="008C6868"/>
    <w:rsid w:val="008C688D"/>
    <w:rsid w:val="008C6A1D"/>
    <w:rsid w:val="008C6A8D"/>
    <w:rsid w:val="008C6ABD"/>
    <w:rsid w:val="008C6B11"/>
    <w:rsid w:val="008C6BE9"/>
    <w:rsid w:val="008C6E08"/>
    <w:rsid w:val="008C6E0F"/>
    <w:rsid w:val="008C6F18"/>
    <w:rsid w:val="008C6F88"/>
    <w:rsid w:val="008C71FB"/>
    <w:rsid w:val="008C7215"/>
    <w:rsid w:val="008C726D"/>
    <w:rsid w:val="008C7685"/>
    <w:rsid w:val="008C7776"/>
    <w:rsid w:val="008C7978"/>
    <w:rsid w:val="008C7AE1"/>
    <w:rsid w:val="008C7D72"/>
    <w:rsid w:val="008C7DCB"/>
    <w:rsid w:val="008C7F0F"/>
    <w:rsid w:val="008D0068"/>
    <w:rsid w:val="008D007A"/>
    <w:rsid w:val="008D0153"/>
    <w:rsid w:val="008D01C0"/>
    <w:rsid w:val="008D071D"/>
    <w:rsid w:val="008D07DE"/>
    <w:rsid w:val="008D0817"/>
    <w:rsid w:val="008D0831"/>
    <w:rsid w:val="008D08AC"/>
    <w:rsid w:val="008D0D89"/>
    <w:rsid w:val="008D0E40"/>
    <w:rsid w:val="008D0E7C"/>
    <w:rsid w:val="008D0EFF"/>
    <w:rsid w:val="008D0F7B"/>
    <w:rsid w:val="008D10FB"/>
    <w:rsid w:val="008D119C"/>
    <w:rsid w:val="008D127D"/>
    <w:rsid w:val="008D127E"/>
    <w:rsid w:val="008D12D0"/>
    <w:rsid w:val="008D12EF"/>
    <w:rsid w:val="008D1538"/>
    <w:rsid w:val="008D1853"/>
    <w:rsid w:val="008D1881"/>
    <w:rsid w:val="008D1B53"/>
    <w:rsid w:val="008D1B71"/>
    <w:rsid w:val="008D1C46"/>
    <w:rsid w:val="008D1E7C"/>
    <w:rsid w:val="008D1E7F"/>
    <w:rsid w:val="008D20E5"/>
    <w:rsid w:val="008D210A"/>
    <w:rsid w:val="008D222D"/>
    <w:rsid w:val="008D2288"/>
    <w:rsid w:val="008D2367"/>
    <w:rsid w:val="008D2403"/>
    <w:rsid w:val="008D2612"/>
    <w:rsid w:val="008D264C"/>
    <w:rsid w:val="008D266F"/>
    <w:rsid w:val="008D270D"/>
    <w:rsid w:val="008D2720"/>
    <w:rsid w:val="008D278F"/>
    <w:rsid w:val="008D2A11"/>
    <w:rsid w:val="008D3108"/>
    <w:rsid w:val="008D3162"/>
    <w:rsid w:val="008D316F"/>
    <w:rsid w:val="008D31E9"/>
    <w:rsid w:val="008D33CF"/>
    <w:rsid w:val="008D3846"/>
    <w:rsid w:val="008D3A2C"/>
    <w:rsid w:val="008D3A74"/>
    <w:rsid w:val="008D3ECB"/>
    <w:rsid w:val="008D3F6F"/>
    <w:rsid w:val="008D427A"/>
    <w:rsid w:val="008D434B"/>
    <w:rsid w:val="008D443F"/>
    <w:rsid w:val="008D4698"/>
    <w:rsid w:val="008D49F6"/>
    <w:rsid w:val="008D4A76"/>
    <w:rsid w:val="008D4DD5"/>
    <w:rsid w:val="008D4F26"/>
    <w:rsid w:val="008D4FEC"/>
    <w:rsid w:val="008D527C"/>
    <w:rsid w:val="008D5407"/>
    <w:rsid w:val="008D5657"/>
    <w:rsid w:val="008D577B"/>
    <w:rsid w:val="008D5AFC"/>
    <w:rsid w:val="008D5B02"/>
    <w:rsid w:val="008D5EBD"/>
    <w:rsid w:val="008D5F63"/>
    <w:rsid w:val="008D61A8"/>
    <w:rsid w:val="008D64C6"/>
    <w:rsid w:val="008D66A6"/>
    <w:rsid w:val="008D6752"/>
    <w:rsid w:val="008D67BA"/>
    <w:rsid w:val="008D686E"/>
    <w:rsid w:val="008D69E7"/>
    <w:rsid w:val="008D6ACB"/>
    <w:rsid w:val="008D6E7D"/>
    <w:rsid w:val="008D6FC1"/>
    <w:rsid w:val="008D724F"/>
    <w:rsid w:val="008D7460"/>
    <w:rsid w:val="008D77D0"/>
    <w:rsid w:val="008D7A78"/>
    <w:rsid w:val="008D7D61"/>
    <w:rsid w:val="008D7F7C"/>
    <w:rsid w:val="008D7FBF"/>
    <w:rsid w:val="008E0140"/>
    <w:rsid w:val="008E0252"/>
    <w:rsid w:val="008E0349"/>
    <w:rsid w:val="008E03C9"/>
    <w:rsid w:val="008E054F"/>
    <w:rsid w:val="008E056A"/>
    <w:rsid w:val="008E05C1"/>
    <w:rsid w:val="008E0622"/>
    <w:rsid w:val="008E0640"/>
    <w:rsid w:val="008E0688"/>
    <w:rsid w:val="008E079F"/>
    <w:rsid w:val="008E0896"/>
    <w:rsid w:val="008E0939"/>
    <w:rsid w:val="008E0B8D"/>
    <w:rsid w:val="008E0BEF"/>
    <w:rsid w:val="008E1548"/>
    <w:rsid w:val="008E1851"/>
    <w:rsid w:val="008E1929"/>
    <w:rsid w:val="008E1A91"/>
    <w:rsid w:val="008E1A9C"/>
    <w:rsid w:val="008E1AF3"/>
    <w:rsid w:val="008E1B1A"/>
    <w:rsid w:val="008E1B61"/>
    <w:rsid w:val="008E1CCF"/>
    <w:rsid w:val="008E1E6B"/>
    <w:rsid w:val="008E1F53"/>
    <w:rsid w:val="008E20B9"/>
    <w:rsid w:val="008E23F4"/>
    <w:rsid w:val="008E2402"/>
    <w:rsid w:val="008E25CA"/>
    <w:rsid w:val="008E266D"/>
    <w:rsid w:val="008E29B6"/>
    <w:rsid w:val="008E2CBC"/>
    <w:rsid w:val="008E2D9D"/>
    <w:rsid w:val="008E2E99"/>
    <w:rsid w:val="008E2F0C"/>
    <w:rsid w:val="008E313A"/>
    <w:rsid w:val="008E32E7"/>
    <w:rsid w:val="008E38A3"/>
    <w:rsid w:val="008E395D"/>
    <w:rsid w:val="008E3CC5"/>
    <w:rsid w:val="008E3DD8"/>
    <w:rsid w:val="008E3E23"/>
    <w:rsid w:val="008E3FBF"/>
    <w:rsid w:val="008E417D"/>
    <w:rsid w:val="008E41A5"/>
    <w:rsid w:val="008E42F6"/>
    <w:rsid w:val="008E439E"/>
    <w:rsid w:val="008E4485"/>
    <w:rsid w:val="008E47D1"/>
    <w:rsid w:val="008E484B"/>
    <w:rsid w:val="008E4887"/>
    <w:rsid w:val="008E48A8"/>
    <w:rsid w:val="008E48C5"/>
    <w:rsid w:val="008E491B"/>
    <w:rsid w:val="008E4A3E"/>
    <w:rsid w:val="008E4AF0"/>
    <w:rsid w:val="008E547B"/>
    <w:rsid w:val="008E57FE"/>
    <w:rsid w:val="008E5BAE"/>
    <w:rsid w:val="008E5DF8"/>
    <w:rsid w:val="008E6150"/>
    <w:rsid w:val="008E632F"/>
    <w:rsid w:val="008E649F"/>
    <w:rsid w:val="008E692E"/>
    <w:rsid w:val="008E6A11"/>
    <w:rsid w:val="008E6B6D"/>
    <w:rsid w:val="008E7005"/>
    <w:rsid w:val="008E72D0"/>
    <w:rsid w:val="008E7474"/>
    <w:rsid w:val="008E751B"/>
    <w:rsid w:val="008E7669"/>
    <w:rsid w:val="008E7873"/>
    <w:rsid w:val="008E78B0"/>
    <w:rsid w:val="008E78B1"/>
    <w:rsid w:val="008E7D47"/>
    <w:rsid w:val="008E7D4B"/>
    <w:rsid w:val="008E7EAB"/>
    <w:rsid w:val="008E7EC3"/>
    <w:rsid w:val="008F011D"/>
    <w:rsid w:val="008F0141"/>
    <w:rsid w:val="008F0250"/>
    <w:rsid w:val="008F0497"/>
    <w:rsid w:val="008F0562"/>
    <w:rsid w:val="008F066C"/>
    <w:rsid w:val="008F07EA"/>
    <w:rsid w:val="008F098A"/>
    <w:rsid w:val="008F0A74"/>
    <w:rsid w:val="008F0C21"/>
    <w:rsid w:val="008F0FC2"/>
    <w:rsid w:val="008F1159"/>
    <w:rsid w:val="008F11F4"/>
    <w:rsid w:val="008F12B4"/>
    <w:rsid w:val="008F13BD"/>
    <w:rsid w:val="008F18FD"/>
    <w:rsid w:val="008F1952"/>
    <w:rsid w:val="008F2463"/>
    <w:rsid w:val="008F254D"/>
    <w:rsid w:val="008F254F"/>
    <w:rsid w:val="008F270A"/>
    <w:rsid w:val="008F29CE"/>
    <w:rsid w:val="008F2B9D"/>
    <w:rsid w:val="008F2E5A"/>
    <w:rsid w:val="008F3011"/>
    <w:rsid w:val="008F3034"/>
    <w:rsid w:val="008F3054"/>
    <w:rsid w:val="008F310B"/>
    <w:rsid w:val="008F3190"/>
    <w:rsid w:val="008F322B"/>
    <w:rsid w:val="008F33A5"/>
    <w:rsid w:val="008F34CB"/>
    <w:rsid w:val="008F3519"/>
    <w:rsid w:val="008F3617"/>
    <w:rsid w:val="008F3896"/>
    <w:rsid w:val="008F38E3"/>
    <w:rsid w:val="008F3AD3"/>
    <w:rsid w:val="008F3B9B"/>
    <w:rsid w:val="008F3CA7"/>
    <w:rsid w:val="008F3CA9"/>
    <w:rsid w:val="008F3DAD"/>
    <w:rsid w:val="008F3E64"/>
    <w:rsid w:val="008F3FB8"/>
    <w:rsid w:val="008F4326"/>
    <w:rsid w:val="008F443F"/>
    <w:rsid w:val="008F45DC"/>
    <w:rsid w:val="008F46D0"/>
    <w:rsid w:val="008F4792"/>
    <w:rsid w:val="008F4AA7"/>
    <w:rsid w:val="008F4B5C"/>
    <w:rsid w:val="008F4C6E"/>
    <w:rsid w:val="008F518F"/>
    <w:rsid w:val="008F53CD"/>
    <w:rsid w:val="008F5415"/>
    <w:rsid w:val="008F5719"/>
    <w:rsid w:val="008F58A1"/>
    <w:rsid w:val="008F593B"/>
    <w:rsid w:val="008F59B2"/>
    <w:rsid w:val="008F5BCE"/>
    <w:rsid w:val="008F5DE5"/>
    <w:rsid w:val="008F5E42"/>
    <w:rsid w:val="008F5FB4"/>
    <w:rsid w:val="008F60CB"/>
    <w:rsid w:val="008F6381"/>
    <w:rsid w:val="008F63B1"/>
    <w:rsid w:val="008F649F"/>
    <w:rsid w:val="008F65C2"/>
    <w:rsid w:val="008F6682"/>
    <w:rsid w:val="008F678A"/>
    <w:rsid w:val="008F6973"/>
    <w:rsid w:val="008F6C8C"/>
    <w:rsid w:val="008F6D41"/>
    <w:rsid w:val="008F6E6A"/>
    <w:rsid w:val="008F6E87"/>
    <w:rsid w:val="008F6EEC"/>
    <w:rsid w:val="008F6F5F"/>
    <w:rsid w:val="008F73CF"/>
    <w:rsid w:val="008F763F"/>
    <w:rsid w:val="008F7721"/>
    <w:rsid w:val="008F786A"/>
    <w:rsid w:val="008F797E"/>
    <w:rsid w:val="008F7AA7"/>
    <w:rsid w:val="008F7DE0"/>
    <w:rsid w:val="008F7E80"/>
    <w:rsid w:val="008F7ED6"/>
    <w:rsid w:val="008F7F6A"/>
    <w:rsid w:val="009000B0"/>
    <w:rsid w:val="009000DA"/>
    <w:rsid w:val="0090018B"/>
    <w:rsid w:val="009001BC"/>
    <w:rsid w:val="00900453"/>
    <w:rsid w:val="00900648"/>
    <w:rsid w:val="009006ED"/>
    <w:rsid w:val="00900723"/>
    <w:rsid w:val="00900777"/>
    <w:rsid w:val="009007CF"/>
    <w:rsid w:val="0090082E"/>
    <w:rsid w:val="00900947"/>
    <w:rsid w:val="009009BB"/>
    <w:rsid w:val="00900BB7"/>
    <w:rsid w:val="00900C64"/>
    <w:rsid w:val="00900DB4"/>
    <w:rsid w:val="00900EB4"/>
    <w:rsid w:val="00900EB8"/>
    <w:rsid w:val="00900FBA"/>
    <w:rsid w:val="00901081"/>
    <w:rsid w:val="00901227"/>
    <w:rsid w:val="009012C6"/>
    <w:rsid w:val="0090146D"/>
    <w:rsid w:val="0090149D"/>
    <w:rsid w:val="009014C7"/>
    <w:rsid w:val="009015D6"/>
    <w:rsid w:val="009016CE"/>
    <w:rsid w:val="009017DE"/>
    <w:rsid w:val="0090184F"/>
    <w:rsid w:val="00901A7D"/>
    <w:rsid w:val="00901AAE"/>
    <w:rsid w:val="00901B5D"/>
    <w:rsid w:val="00901B94"/>
    <w:rsid w:val="00901C69"/>
    <w:rsid w:val="00902015"/>
    <w:rsid w:val="00902567"/>
    <w:rsid w:val="00902620"/>
    <w:rsid w:val="00902622"/>
    <w:rsid w:val="00902BCB"/>
    <w:rsid w:val="00902DB0"/>
    <w:rsid w:val="00902E5B"/>
    <w:rsid w:val="00902E8A"/>
    <w:rsid w:val="00902EB3"/>
    <w:rsid w:val="0090327F"/>
    <w:rsid w:val="0090365C"/>
    <w:rsid w:val="0090383E"/>
    <w:rsid w:val="009039AC"/>
    <w:rsid w:val="00903CBE"/>
    <w:rsid w:val="00903D00"/>
    <w:rsid w:val="00903D74"/>
    <w:rsid w:val="00903FD9"/>
    <w:rsid w:val="00903FF0"/>
    <w:rsid w:val="00904266"/>
    <w:rsid w:val="00904272"/>
    <w:rsid w:val="009042C2"/>
    <w:rsid w:val="0090471D"/>
    <w:rsid w:val="00904723"/>
    <w:rsid w:val="009048AF"/>
    <w:rsid w:val="00904A0B"/>
    <w:rsid w:val="00904BCC"/>
    <w:rsid w:val="00904C01"/>
    <w:rsid w:val="00904CF5"/>
    <w:rsid w:val="0090514D"/>
    <w:rsid w:val="00905259"/>
    <w:rsid w:val="009054B5"/>
    <w:rsid w:val="0090556C"/>
    <w:rsid w:val="00905601"/>
    <w:rsid w:val="00905633"/>
    <w:rsid w:val="0090578E"/>
    <w:rsid w:val="00905801"/>
    <w:rsid w:val="00905AF2"/>
    <w:rsid w:val="00905BB4"/>
    <w:rsid w:val="00905C21"/>
    <w:rsid w:val="00905E29"/>
    <w:rsid w:val="00905EAE"/>
    <w:rsid w:val="009060A4"/>
    <w:rsid w:val="009060C4"/>
    <w:rsid w:val="009061EA"/>
    <w:rsid w:val="00906284"/>
    <w:rsid w:val="00906304"/>
    <w:rsid w:val="009063F0"/>
    <w:rsid w:val="00906495"/>
    <w:rsid w:val="009064D1"/>
    <w:rsid w:val="0090663A"/>
    <w:rsid w:val="00906796"/>
    <w:rsid w:val="0090699B"/>
    <w:rsid w:val="009069C5"/>
    <w:rsid w:val="00906B96"/>
    <w:rsid w:val="00906C42"/>
    <w:rsid w:val="00906C91"/>
    <w:rsid w:val="00906C95"/>
    <w:rsid w:val="00906D43"/>
    <w:rsid w:val="00906DD8"/>
    <w:rsid w:val="00906F82"/>
    <w:rsid w:val="00906FD9"/>
    <w:rsid w:val="00907230"/>
    <w:rsid w:val="00907249"/>
    <w:rsid w:val="009073EA"/>
    <w:rsid w:val="0090746B"/>
    <w:rsid w:val="009074C4"/>
    <w:rsid w:val="0090758C"/>
    <w:rsid w:val="009075D6"/>
    <w:rsid w:val="009075FB"/>
    <w:rsid w:val="00907624"/>
    <w:rsid w:val="0090763B"/>
    <w:rsid w:val="00907656"/>
    <w:rsid w:val="0090785A"/>
    <w:rsid w:val="00907897"/>
    <w:rsid w:val="009078DE"/>
    <w:rsid w:val="009079B2"/>
    <w:rsid w:val="00907AF8"/>
    <w:rsid w:val="00907DE9"/>
    <w:rsid w:val="00907E47"/>
    <w:rsid w:val="00907F03"/>
    <w:rsid w:val="00910105"/>
    <w:rsid w:val="009101DB"/>
    <w:rsid w:val="009104FD"/>
    <w:rsid w:val="00910575"/>
    <w:rsid w:val="009106F7"/>
    <w:rsid w:val="00910769"/>
    <w:rsid w:val="00910786"/>
    <w:rsid w:val="00910843"/>
    <w:rsid w:val="00910957"/>
    <w:rsid w:val="009109D8"/>
    <w:rsid w:val="00910A80"/>
    <w:rsid w:val="00910B4C"/>
    <w:rsid w:val="00910B75"/>
    <w:rsid w:val="00910B8F"/>
    <w:rsid w:val="00910BD1"/>
    <w:rsid w:val="0091106E"/>
    <w:rsid w:val="009110FE"/>
    <w:rsid w:val="00911185"/>
    <w:rsid w:val="009111B8"/>
    <w:rsid w:val="00911208"/>
    <w:rsid w:val="00911318"/>
    <w:rsid w:val="00911435"/>
    <w:rsid w:val="009114A5"/>
    <w:rsid w:val="009115EF"/>
    <w:rsid w:val="009116DD"/>
    <w:rsid w:val="00911868"/>
    <w:rsid w:val="009119D2"/>
    <w:rsid w:val="00912346"/>
    <w:rsid w:val="00912375"/>
    <w:rsid w:val="0091258A"/>
    <w:rsid w:val="009125E3"/>
    <w:rsid w:val="009127C8"/>
    <w:rsid w:val="00912882"/>
    <w:rsid w:val="00912A35"/>
    <w:rsid w:val="00912A49"/>
    <w:rsid w:val="00912C57"/>
    <w:rsid w:val="00912D1C"/>
    <w:rsid w:val="00913019"/>
    <w:rsid w:val="009131FB"/>
    <w:rsid w:val="00913285"/>
    <w:rsid w:val="009132D5"/>
    <w:rsid w:val="0091331F"/>
    <w:rsid w:val="00913544"/>
    <w:rsid w:val="00913545"/>
    <w:rsid w:val="009136F9"/>
    <w:rsid w:val="009137FD"/>
    <w:rsid w:val="009138CB"/>
    <w:rsid w:val="009138ED"/>
    <w:rsid w:val="00913A20"/>
    <w:rsid w:val="00913AA0"/>
    <w:rsid w:val="00913AC9"/>
    <w:rsid w:val="00913CC0"/>
    <w:rsid w:val="00913D59"/>
    <w:rsid w:val="00913EF1"/>
    <w:rsid w:val="00913F1E"/>
    <w:rsid w:val="00913FB2"/>
    <w:rsid w:val="009140C4"/>
    <w:rsid w:val="00914262"/>
    <w:rsid w:val="009142C8"/>
    <w:rsid w:val="00914336"/>
    <w:rsid w:val="009144A9"/>
    <w:rsid w:val="009145D5"/>
    <w:rsid w:val="0091468B"/>
    <w:rsid w:val="00914715"/>
    <w:rsid w:val="009148EF"/>
    <w:rsid w:val="00914B1F"/>
    <w:rsid w:val="00914C2D"/>
    <w:rsid w:val="00914C9B"/>
    <w:rsid w:val="00914CDA"/>
    <w:rsid w:val="00914D7C"/>
    <w:rsid w:val="00914E60"/>
    <w:rsid w:val="00914FD5"/>
    <w:rsid w:val="00915086"/>
    <w:rsid w:val="0091526F"/>
    <w:rsid w:val="00915287"/>
    <w:rsid w:val="0091538C"/>
    <w:rsid w:val="009153D2"/>
    <w:rsid w:val="00915432"/>
    <w:rsid w:val="0091556A"/>
    <w:rsid w:val="0091564E"/>
    <w:rsid w:val="00915A79"/>
    <w:rsid w:val="00915B46"/>
    <w:rsid w:val="00915BED"/>
    <w:rsid w:val="00915FC2"/>
    <w:rsid w:val="00915FD5"/>
    <w:rsid w:val="00916054"/>
    <w:rsid w:val="00916074"/>
    <w:rsid w:val="00916256"/>
    <w:rsid w:val="00916286"/>
    <w:rsid w:val="0091629D"/>
    <w:rsid w:val="009163EB"/>
    <w:rsid w:val="00916595"/>
    <w:rsid w:val="00916619"/>
    <w:rsid w:val="0091671D"/>
    <w:rsid w:val="00916823"/>
    <w:rsid w:val="00916836"/>
    <w:rsid w:val="009169DC"/>
    <w:rsid w:val="00916C47"/>
    <w:rsid w:val="00916C4D"/>
    <w:rsid w:val="00916DBB"/>
    <w:rsid w:val="00916EB1"/>
    <w:rsid w:val="00916F2B"/>
    <w:rsid w:val="00916FCC"/>
    <w:rsid w:val="0091708A"/>
    <w:rsid w:val="0091710C"/>
    <w:rsid w:val="009171AD"/>
    <w:rsid w:val="009173AD"/>
    <w:rsid w:val="00917519"/>
    <w:rsid w:val="00917569"/>
    <w:rsid w:val="00917587"/>
    <w:rsid w:val="009176A2"/>
    <w:rsid w:val="00917914"/>
    <w:rsid w:val="0091797E"/>
    <w:rsid w:val="00917F81"/>
    <w:rsid w:val="009200C9"/>
    <w:rsid w:val="0092016F"/>
    <w:rsid w:val="00920174"/>
    <w:rsid w:val="00920448"/>
    <w:rsid w:val="009205FB"/>
    <w:rsid w:val="0092064F"/>
    <w:rsid w:val="0092071A"/>
    <w:rsid w:val="00920797"/>
    <w:rsid w:val="00920A1A"/>
    <w:rsid w:val="00920B88"/>
    <w:rsid w:val="00920BFE"/>
    <w:rsid w:val="00920C71"/>
    <w:rsid w:val="00920D51"/>
    <w:rsid w:val="00920DC3"/>
    <w:rsid w:val="00920DF5"/>
    <w:rsid w:val="00920EB7"/>
    <w:rsid w:val="0092146C"/>
    <w:rsid w:val="00921532"/>
    <w:rsid w:val="0092174B"/>
    <w:rsid w:val="0092176F"/>
    <w:rsid w:val="00921913"/>
    <w:rsid w:val="009219D2"/>
    <w:rsid w:val="00921A4E"/>
    <w:rsid w:val="00921B89"/>
    <w:rsid w:val="00921BEF"/>
    <w:rsid w:val="00921E37"/>
    <w:rsid w:val="00922152"/>
    <w:rsid w:val="00922330"/>
    <w:rsid w:val="0092250A"/>
    <w:rsid w:val="00922511"/>
    <w:rsid w:val="009225EE"/>
    <w:rsid w:val="009226DB"/>
    <w:rsid w:val="00922772"/>
    <w:rsid w:val="009227C2"/>
    <w:rsid w:val="00922F07"/>
    <w:rsid w:val="00922F8C"/>
    <w:rsid w:val="00923136"/>
    <w:rsid w:val="00923181"/>
    <w:rsid w:val="0092330F"/>
    <w:rsid w:val="0092334A"/>
    <w:rsid w:val="00923360"/>
    <w:rsid w:val="00923463"/>
    <w:rsid w:val="009235BD"/>
    <w:rsid w:val="00923761"/>
    <w:rsid w:val="009237FA"/>
    <w:rsid w:val="00923F0F"/>
    <w:rsid w:val="00923F32"/>
    <w:rsid w:val="0092416A"/>
    <w:rsid w:val="0092425A"/>
    <w:rsid w:val="00924386"/>
    <w:rsid w:val="00924463"/>
    <w:rsid w:val="009245B1"/>
    <w:rsid w:val="00925108"/>
    <w:rsid w:val="00925132"/>
    <w:rsid w:val="009251C2"/>
    <w:rsid w:val="00925238"/>
    <w:rsid w:val="0092536C"/>
    <w:rsid w:val="009256B6"/>
    <w:rsid w:val="00925AC2"/>
    <w:rsid w:val="00925ACF"/>
    <w:rsid w:val="00925B50"/>
    <w:rsid w:val="00925CBE"/>
    <w:rsid w:val="00925E4F"/>
    <w:rsid w:val="00925FE4"/>
    <w:rsid w:val="00926135"/>
    <w:rsid w:val="00926147"/>
    <w:rsid w:val="0092615D"/>
    <w:rsid w:val="00926276"/>
    <w:rsid w:val="00926546"/>
    <w:rsid w:val="009265A1"/>
    <w:rsid w:val="009266C7"/>
    <w:rsid w:val="00926998"/>
    <w:rsid w:val="00926AC5"/>
    <w:rsid w:val="00926F13"/>
    <w:rsid w:val="00926F87"/>
    <w:rsid w:val="0092708A"/>
    <w:rsid w:val="0092719C"/>
    <w:rsid w:val="009273F4"/>
    <w:rsid w:val="00927688"/>
    <w:rsid w:val="00927700"/>
    <w:rsid w:val="009278FD"/>
    <w:rsid w:val="00927BFD"/>
    <w:rsid w:val="00927D48"/>
    <w:rsid w:val="00930232"/>
    <w:rsid w:val="0093036E"/>
    <w:rsid w:val="0093053B"/>
    <w:rsid w:val="009306B3"/>
    <w:rsid w:val="00930713"/>
    <w:rsid w:val="00930A6A"/>
    <w:rsid w:val="00930DD1"/>
    <w:rsid w:val="00930EE1"/>
    <w:rsid w:val="00930FBE"/>
    <w:rsid w:val="00930FE5"/>
    <w:rsid w:val="00931224"/>
    <w:rsid w:val="00931225"/>
    <w:rsid w:val="009313AE"/>
    <w:rsid w:val="009313B1"/>
    <w:rsid w:val="00931453"/>
    <w:rsid w:val="0093175F"/>
    <w:rsid w:val="00931C55"/>
    <w:rsid w:val="00931D0E"/>
    <w:rsid w:val="00931EAB"/>
    <w:rsid w:val="00932125"/>
    <w:rsid w:val="009322E0"/>
    <w:rsid w:val="00932552"/>
    <w:rsid w:val="009329A7"/>
    <w:rsid w:val="00932AE5"/>
    <w:rsid w:val="00932B69"/>
    <w:rsid w:val="009330FE"/>
    <w:rsid w:val="00933275"/>
    <w:rsid w:val="009333D3"/>
    <w:rsid w:val="009333FF"/>
    <w:rsid w:val="00933423"/>
    <w:rsid w:val="009338F3"/>
    <w:rsid w:val="0093399B"/>
    <w:rsid w:val="009339B6"/>
    <w:rsid w:val="009339C1"/>
    <w:rsid w:val="00933A79"/>
    <w:rsid w:val="00933A90"/>
    <w:rsid w:val="00933B4C"/>
    <w:rsid w:val="00933C86"/>
    <w:rsid w:val="00933DC4"/>
    <w:rsid w:val="0093431B"/>
    <w:rsid w:val="00934659"/>
    <w:rsid w:val="009346D6"/>
    <w:rsid w:val="009346DC"/>
    <w:rsid w:val="00934743"/>
    <w:rsid w:val="009347C8"/>
    <w:rsid w:val="0093487E"/>
    <w:rsid w:val="009348CA"/>
    <w:rsid w:val="00934B86"/>
    <w:rsid w:val="00934BB6"/>
    <w:rsid w:val="00934FFE"/>
    <w:rsid w:val="00935188"/>
    <w:rsid w:val="009351A6"/>
    <w:rsid w:val="009351C0"/>
    <w:rsid w:val="0093538B"/>
    <w:rsid w:val="009354D5"/>
    <w:rsid w:val="00935856"/>
    <w:rsid w:val="00935E25"/>
    <w:rsid w:val="00935FB5"/>
    <w:rsid w:val="009361A0"/>
    <w:rsid w:val="00936239"/>
    <w:rsid w:val="00936308"/>
    <w:rsid w:val="00936405"/>
    <w:rsid w:val="009364B4"/>
    <w:rsid w:val="0093655E"/>
    <w:rsid w:val="009366D2"/>
    <w:rsid w:val="009368A4"/>
    <w:rsid w:val="009368A8"/>
    <w:rsid w:val="009368F4"/>
    <w:rsid w:val="009369F6"/>
    <w:rsid w:val="00936B64"/>
    <w:rsid w:val="00936B7D"/>
    <w:rsid w:val="00936BD2"/>
    <w:rsid w:val="00936D5F"/>
    <w:rsid w:val="00936DD0"/>
    <w:rsid w:val="00936F88"/>
    <w:rsid w:val="00936FBD"/>
    <w:rsid w:val="0093711A"/>
    <w:rsid w:val="0093725D"/>
    <w:rsid w:val="009373EB"/>
    <w:rsid w:val="009375AB"/>
    <w:rsid w:val="00937678"/>
    <w:rsid w:val="009376E5"/>
    <w:rsid w:val="009379C4"/>
    <w:rsid w:val="00937C6A"/>
    <w:rsid w:val="00937C92"/>
    <w:rsid w:val="00937D86"/>
    <w:rsid w:val="00937F08"/>
    <w:rsid w:val="00937F64"/>
    <w:rsid w:val="00937FC5"/>
    <w:rsid w:val="009402F6"/>
    <w:rsid w:val="0094041A"/>
    <w:rsid w:val="00940480"/>
    <w:rsid w:val="009405A4"/>
    <w:rsid w:val="00940A20"/>
    <w:rsid w:val="00940D32"/>
    <w:rsid w:val="00940ED6"/>
    <w:rsid w:val="00940F45"/>
    <w:rsid w:val="00941207"/>
    <w:rsid w:val="009413C9"/>
    <w:rsid w:val="009413DD"/>
    <w:rsid w:val="009415B8"/>
    <w:rsid w:val="0094165C"/>
    <w:rsid w:val="0094178B"/>
    <w:rsid w:val="0094190D"/>
    <w:rsid w:val="00941AAC"/>
    <w:rsid w:val="00941DFF"/>
    <w:rsid w:val="00941E83"/>
    <w:rsid w:val="00941F31"/>
    <w:rsid w:val="00942265"/>
    <w:rsid w:val="00942354"/>
    <w:rsid w:val="0094260D"/>
    <w:rsid w:val="00942681"/>
    <w:rsid w:val="00942683"/>
    <w:rsid w:val="00942781"/>
    <w:rsid w:val="009427D7"/>
    <w:rsid w:val="009429BA"/>
    <w:rsid w:val="00942B95"/>
    <w:rsid w:val="00942C9E"/>
    <w:rsid w:val="0094301F"/>
    <w:rsid w:val="0094336D"/>
    <w:rsid w:val="009433B7"/>
    <w:rsid w:val="0094345C"/>
    <w:rsid w:val="00943548"/>
    <w:rsid w:val="00943582"/>
    <w:rsid w:val="00943704"/>
    <w:rsid w:val="00943A7E"/>
    <w:rsid w:val="00943E42"/>
    <w:rsid w:val="00943E5D"/>
    <w:rsid w:val="00943E9E"/>
    <w:rsid w:val="0094405F"/>
    <w:rsid w:val="00944331"/>
    <w:rsid w:val="00944415"/>
    <w:rsid w:val="0094441C"/>
    <w:rsid w:val="00944596"/>
    <w:rsid w:val="009445B9"/>
    <w:rsid w:val="00944728"/>
    <w:rsid w:val="009449B4"/>
    <w:rsid w:val="00944AE1"/>
    <w:rsid w:val="00944AF3"/>
    <w:rsid w:val="00944B93"/>
    <w:rsid w:val="00944CDB"/>
    <w:rsid w:val="00944D11"/>
    <w:rsid w:val="00944DD0"/>
    <w:rsid w:val="00944F7F"/>
    <w:rsid w:val="0094515F"/>
    <w:rsid w:val="0094517F"/>
    <w:rsid w:val="009453A2"/>
    <w:rsid w:val="009453E8"/>
    <w:rsid w:val="009455DD"/>
    <w:rsid w:val="00945664"/>
    <w:rsid w:val="009456E3"/>
    <w:rsid w:val="00945835"/>
    <w:rsid w:val="00945AD1"/>
    <w:rsid w:val="00945B16"/>
    <w:rsid w:val="00945DED"/>
    <w:rsid w:val="00945F05"/>
    <w:rsid w:val="0094602A"/>
    <w:rsid w:val="0094604B"/>
    <w:rsid w:val="0094608F"/>
    <w:rsid w:val="0094612E"/>
    <w:rsid w:val="009463A8"/>
    <w:rsid w:val="00946401"/>
    <w:rsid w:val="0094642A"/>
    <w:rsid w:val="0094657E"/>
    <w:rsid w:val="0094675D"/>
    <w:rsid w:val="00946D19"/>
    <w:rsid w:val="00946E7C"/>
    <w:rsid w:val="00946ECB"/>
    <w:rsid w:val="00946FDF"/>
    <w:rsid w:val="00947258"/>
    <w:rsid w:val="00947268"/>
    <w:rsid w:val="0094750E"/>
    <w:rsid w:val="00947562"/>
    <w:rsid w:val="009476C5"/>
    <w:rsid w:val="009478C9"/>
    <w:rsid w:val="00947B7E"/>
    <w:rsid w:val="00947C94"/>
    <w:rsid w:val="00947C9C"/>
    <w:rsid w:val="00947CAD"/>
    <w:rsid w:val="00947DBC"/>
    <w:rsid w:val="009500F2"/>
    <w:rsid w:val="009506B7"/>
    <w:rsid w:val="009507C8"/>
    <w:rsid w:val="009507E0"/>
    <w:rsid w:val="0095084E"/>
    <w:rsid w:val="00950A9F"/>
    <w:rsid w:val="00950B41"/>
    <w:rsid w:val="00950CE7"/>
    <w:rsid w:val="00950ECF"/>
    <w:rsid w:val="00950F3E"/>
    <w:rsid w:val="009510DE"/>
    <w:rsid w:val="0095115E"/>
    <w:rsid w:val="0095118A"/>
    <w:rsid w:val="00951355"/>
    <w:rsid w:val="009514D8"/>
    <w:rsid w:val="009516A4"/>
    <w:rsid w:val="0095176A"/>
    <w:rsid w:val="00951B54"/>
    <w:rsid w:val="00951CC7"/>
    <w:rsid w:val="009522C1"/>
    <w:rsid w:val="00952468"/>
    <w:rsid w:val="009525D3"/>
    <w:rsid w:val="0095290C"/>
    <w:rsid w:val="00952A17"/>
    <w:rsid w:val="00952ABC"/>
    <w:rsid w:val="00952B25"/>
    <w:rsid w:val="00952C85"/>
    <w:rsid w:val="00952D3F"/>
    <w:rsid w:val="00952E0A"/>
    <w:rsid w:val="00952E5C"/>
    <w:rsid w:val="00952E84"/>
    <w:rsid w:val="00952FDE"/>
    <w:rsid w:val="00953069"/>
    <w:rsid w:val="009530EA"/>
    <w:rsid w:val="009531D4"/>
    <w:rsid w:val="009531E3"/>
    <w:rsid w:val="0095324D"/>
    <w:rsid w:val="00953292"/>
    <w:rsid w:val="0095331E"/>
    <w:rsid w:val="009534B6"/>
    <w:rsid w:val="00953577"/>
    <w:rsid w:val="009535DD"/>
    <w:rsid w:val="00953A96"/>
    <w:rsid w:val="00953B12"/>
    <w:rsid w:val="00953B82"/>
    <w:rsid w:val="00953D5A"/>
    <w:rsid w:val="00953E4B"/>
    <w:rsid w:val="00954286"/>
    <w:rsid w:val="009542C9"/>
    <w:rsid w:val="00954543"/>
    <w:rsid w:val="009545DE"/>
    <w:rsid w:val="009546B3"/>
    <w:rsid w:val="00954767"/>
    <w:rsid w:val="0095487A"/>
    <w:rsid w:val="0095489C"/>
    <w:rsid w:val="009548FB"/>
    <w:rsid w:val="0095491C"/>
    <w:rsid w:val="00954A19"/>
    <w:rsid w:val="00954BBA"/>
    <w:rsid w:val="0095517D"/>
    <w:rsid w:val="0095523D"/>
    <w:rsid w:val="0095538B"/>
    <w:rsid w:val="00955562"/>
    <w:rsid w:val="00955622"/>
    <w:rsid w:val="0095565C"/>
    <w:rsid w:val="0095578A"/>
    <w:rsid w:val="009558C6"/>
    <w:rsid w:val="00956065"/>
    <w:rsid w:val="009560A6"/>
    <w:rsid w:val="0095649A"/>
    <w:rsid w:val="009564CC"/>
    <w:rsid w:val="00956576"/>
    <w:rsid w:val="009567E5"/>
    <w:rsid w:val="00956927"/>
    <w:rsid w:val="0095694A"/>
    <w:rsid w:val="00956B9B"/>
    <w:rsid w:val="00956F36"/>
    <w:rsid w:val="00956FC6"/>
    <w:rsid w:val="00957049"/>
    <w:rsid w:val="00957053"/>
    <w:rsid w:val="00957190"/>
    <w:rsid w:val="009571E8"/>
    <w:rsid w:val="009571F1"/>
    <w:rsid w:val="0095720A"/>
    <w:rsid w:val="00957339"/>
    <w:rsid w:val="00957436"/>
    <w:rsid w:val="00957AF7"/>
    <w:rsid w:val="00957B7E"/>
    <w:rsid w:val="00957D6E"/>
    <w:rsid w:val="00957E18"/>
    <w:rsid w:val="00957EBC"/>
    <w:rsid w:val="009600B0"/>
    <w:rsid w:val="00960113"/>
    <w:rsid w:val="0096063C"/>
    <w:rsid w:val="00960672"/>
    <w:rsid w:val="00960AC0"/>
    <w:rsid w:val="00960ACA"/>
    <w:rsid w:val="00960ADC"/>
    <w:rsid w:val="00960C4F"/>
    <w:rsid w:val="00960CF6"/>
    <w:rsid w:val="00960D9D"/>
    <w:rsid w:val="00960E13"/>
    <w:rsid w:val="00960ECD"/>
    <w:rsid w:val="00960FB6"/>
    <w:rsid w:val="00961107"/>
    <w:rsid w:val="00961368"/>
    <w:rsid w:val="0096151E"/>
    <w:rsid w:val="009615D5"/>
    <w:rsid w:val="009616FF"/>
    <w:rsid w:val="00961764"/>
    <w:rsid w:val="00961927"/>
    <w:rsid w:val="00961954"/>
    <w:rsid w:val="009619AC"/>
    <w:rsid w:val="00961AB7"/>
    <w:rsid w:val="00961ABD"/>
    <w:rsid w:val="00961C3B"/>
    <w:rsid w:val="00961C48"/>
    <w:rsid w:val="00961E3E"/>
    <w:rsid w:val="00961E78"/>
    <w:rsid w:val="00961FC4"/>
    <w:rsid w:val="0096217C"/>
    <w:rsid w:val="00962342"/>
    <w:rsid w:val="00962441"/>
    <w:rsid w:val="00962722"/>
    <w:rsid w:val="00962928"/>
    <w:rsid w:val="00962A71"/>
    <w:rsid w:val="00962D00"/>
    <w:rsid w:val="00963033"/>
    <w:rsid w:val="0096315E"/>
    <w:rsid w:val="00963236"/>
    <w:rsid w:val="0096323A"/>
    <w:rsid w:val="00963277"/>
    <w:rsid w:val="00963352"/>
    <w:rsid w:val="009633BF"/>
    <w:rsid w:val="00963444"/>
    <w:rsid w:val="009638D2"/>
    <w:rsid w:val="009639CF"/>
    <w:rsid w:val="00963BCC"/>
    <w:rsid w:val="00963BD4"/>
    <w:rsid w:val="00963D1E"/>
    <w:rsid w:val="00963D92"/>
    <w:rsid w:val="00963FC6"/>
    <w:rsid w:val="00963FF0"/>
    <w:rsid w:val="00964163"/>
    <w:rsid w:val="009642BC"/>
    <w:rsid w:val="009642CD"/>
    <w:rsid w:val="009643E6"/>
    <w:rsid w:val="00964440"/>
    <w:rsid w:val="00964523"/>
    <w:rsid w:val="00964747"/>
    <w:rsid w:val="00964771"/>
    <w:rsid w:val="00964799"/>
    <w:rsid w:val="009647B4"/>
    <w:rsid w:val="009647B6"/>
    <w:rsid w:val="0096490A"/>
    <w:rsid w:val="00964973"/>
    <w:rsid w:val="00964B53"/>
    <w:rsid w:val="00964B60"/>
    <w:rsid w:val="00964C3F"/>
    <w:rsid w:val="00964C63"/>
    <w:rsid w:val="00964C6C"/>
    <w:rsid w:val="00964CE1"/>
    <w:rsid w:val="00964D2C"/>
    <w:rsid w:val="00964DFD"/>
    <w:rsid w:val="00964E46"/>
    <w:rsid w:val="00965176"/>
    <w:rsid w:val="00965240"/>
    <w:rsid w:val="00965392"/>
    <w:rsid w:val="009654C9"/>
    <w:rsid w:val="00965627"/>
    <w:rsid w:val="009657F1"/>
    <w:rsid w:val="009657FF"/>
    <w:rsid w:val="00965847"/>
    <w:rsid w:val="0096587E"/>
    <w:rsid w:val="0096595A"/>
    <w:rsid w:val="00965A3E"/>
    <w:rsid w:val="00965C46"/>
    <w:rsid w:val="00965C48"/>
    <w:rsid w:val="00965CF2"/>
    <w:rsid w:val="00965E5D"/>
    <w:rsid w:val="00965F21"/>
    <w:rsid w:val="00966136"/>
    <w:rsid w:val="0096614D"/>
    <w:rsid w:val="00966228"/>
    <w:rsid w:val="009664DF"/>
    <w:rsid w:val="00966531"/>
    <w:rsid w:val="00966594"/>
    <w:rsid w:val="009665BA"/>
    <w:rsid w:val="0096663D"/>
    <w:rsid w:val="00966687"/>
    <w:rsid w:val="00966736"/>
    <w:rsid w:val="00966989"/>
    <w:rsid w:val="009669D5"/>
    <w:rsid w:val="00966C39"/>
    <w:rsid w:val="00966D9D"/>
    <w:rsid w:val="00966E4A"/>
    <w:rsid w:val="00966F88"/>
    <w:rsid w:val="00967041"/>
    <w:rsid w:val="00967141"/>
    <w:rsid w:val="009671BF"/>
    <w:rsid w:val="0096726A"/>
    <w:rsid w:val="00967499"/>
    <w:rsid w:val="009676F1"/>
    <w:rsid w:val="00967700"/>
    <w:rsid w:val="0096775C"/>
    <w:rsid w:val="009678A8"/>
    <w:rsid w:val="009678BB"/>
    <w:rsid w:val="00967CB4"/>
    <w:rsid w:val="00967E2A"/>
    <w:rsid w:val="00967E8D"/>
    <w:rsid w:val="00967F8B"/>
    <w:rsid w:val="00970054"/>
    <w:rsid w:val="00970267"/>
    <w:rsid w:val="00970340"/>
    <w:rsid w:val="009706B7"/>
    <w:rsid w:val="009708CA"/>
    <w:rsid w:val="00970918"/>
    <w:rsid w:val="0097099E"/>
    <w:rsid w:val="00970A43"/>
    <w:rsid w:val="00970B16"/>
    <w:rsid w:val="00970BD4"/>
    <w:rsid w:val="00970E0D"/>
    <w:rsid w:val="00970FA5"/>
    <w:rsid w:val="0097140E"/>
    <w:rsid w:val="009715BC"/>
    <w:rsid w:val="00971761"/>
    <w:rsid w:val="00971792"/>
    <w:rsid w:val="0097184A"/>
    <w:rsid w:val="0097189F"/>
    <w:rsid w:val="00971B1D"/>
    <w:rsid w:val="00971B75"/>
    <w:rsid w:val="00971C67"/>
    <w:rsid w:val="00971D8C"/>
    <w:rsid w:val="00971DAE"/>
    <w:rsid w:val="00971FA0"/>
    <w:rsid w:val="0097216F"/>
    <w:rsid w:val="00972499"/>
    <w:rsid w:val="009725C5"/>
    <w:rsid w:val="009725DC"/>
    <w:rsid w:val="00972639"/>
    <w:rsid w:val="009727C6"/>
    <w:rsid w:val="00972818"/>
    <w:rsid w:val="00972836"/>
    <w:rsid w:val="00972A01"/>
    <w:rsid w:val="00972ADD"/>
    <w:rsid w:val="00972BAC"/>
    <w:rsid w:val="00972C3B"/>
    <w:rsid w:val="00972DD2"/>
    <w:rsid w:val="00973057"/>
    <w:rsid w:val="0097352D"/>
    <w:rsid w:val="009735B7"/>
    <w:rsid w:val="0097368E"/>
    <w:rsid w:val="0097383B"/>
    <w:rsid w:val="009739EB"/>
    <w:rsid w:val="009739F3"/>
    <w:rsid w:val="00973A54"/>
    <w:rsid w:val="00973D55"/>
    <w:rsid w:val="00973ECB"/>
    <w:rsid w:val="009745E1"/>
    <w:rsid w:val="0097469B"/>
    <w:rsid w:val="00974903"/>
    <w:rsid w:val="00974A3E"/>
    <w:rsid w:val="00974B97"/>
    <w:rsid w:val="00974D50"/>
    <w:rsid w:val="00974D75"/>
    <w:rsid w:val="00974E6F"/>
    <w:rsid w:val="00975018"/>
    <w:rsid w:val="00975066"/>
    <w:rsid w:val="00975185"/>
    <w:rsid w:val="009751AF"/>
    <w:rsid w:val="009752DF"/>
    <w:rsid w:val="00975326"/>
    <w:rsid w:val="009753FB"/>
    <w:rsid w:val="009755E3"/>
    <w:rsid w:val="0097564D"/>
    <w:rsid w:val="00975793"/>
    <w:rsid w:val="00975808"/>
    <w:rsid w:val="00975923"/>
    <w:rsid w:val="00975AC0"/>
    <w:rsid w:val="00975B11"/>
    <w:rsid w:val="00975C25"/>
    <w:rsid w:val="00975DEA"/>
    <w:rsid w:val="00975E03"/>
    <w:rsid w:val="00975EFC"/>
    <w:rsid w:val="00975F25"/>
    <w:rsid w:val="00975F2E"/>
    <w:rsid w:val="00975F9D"/>
    <w:rsid w:val="00975FFE"/>
    <w:rsid w:val="00976000"/>
    <w:rsid w:val="00976042"/>
    <w:rsid w:val="00976265"/>
    <w:rsid w:val="009765E7"/>
    <w:rsid w:val="009766AD"/>
    <w:rsid w:val="009766BF"/>
    <w:rsid w:val="00976838"/>
    <w:rsid w:val="0097684B"/>
    <w:rsid w:val="009768C2"/>
    <w:rsid w:val="00976B6F"/>
    <w:rsid w:val="00977273"/>
    <w:rsid w:val="0097730E"/>
    <w:rsid w:val="00977546"/>
    <w:rsid w:val="009775F5"/>
    <w:rsid w:val="0097766E"/>
    <w:rsid w:val="00977C52"/>
    <w:rsid w:val="00977CDF"/>
    <w:rsid w:val="009800F3"/>
    <w:rsid w:val="00980215"/>
    <w:rsid w:val="009802FD"/>
    <w:rsid w:val="0098043F"/>
    <w:rsid w:val="00980721"/>
    <w:rsid w:val="009809AA"/>
    <w:rsid w:val="00980C69"/>
    <w:rsid w:val="0098102C"/>
    <w:rsid w:val="00981038"/>
    <w:rsid w:val="0098106E"/>
    <w:rsid w:val="009810BD"/>
    <w:rsid w:val="009812C1"/>
    <w:rsid w:val="00981445"/>
    <w:rsid w:val="00981511"/>
    <w:rsid w:val="009816A5"/>
    <w:rsid w:val="009817F6"/>
    <w:rsid w:val="009818B6"/>
    <w:rsid w:val="009818C0"/>
    <w:rsid w:val="00981A59"/>
    <w:rsid w:val="00981C2D"/>
    <w:rsid w:val="00981D1C"/>
    <w:rsid w:val="00981E1C"/>
    <w:rsid w:val="00981FA6"/>
    <w:rsid w:val="00982058"/>
    <w:rsid w:val="00982118"/>
    <w:rsid w:val="009821AC"/>
    <w:rsid w:val="00982285"/>
    <w:rsid w:val="009828E1"/>
    <w:rsid w:val="009829AB"/>
    <w:rsid w:val="00982A08"/>
    <w:rsid w:val="00982C62"/>
    <w:rsid w:val="00982C91"/>
    <w:rsid w:val="00982CBE"/>
    <w:rsid w:val="00982F76"/>
    <w:rsid w:val="00982FA3"/>
    <w:rsid w:val="00983138"/>
    <w:rsid w:val="0098324E"/>
    <w:rsid w:val="0098336D"/>
    <w:rsid w:val="0098351B"/>
    <w:rsid w:val="009839E9"/>
    <w:rsid w:val="00983A82"/>
    <w:rsid w:val="00983D1B"/>
    <w:rsid w:val="00983FED"/>
    <w:rsid w:val="00984071"/>
    <w:rsid w:val="009840FD"/>
    <w:rsid w:val="009844D5"/>
    <w:rsid w:val="00984701"/>
    <w:rsid w:val="00984847"/>
    <w:rsid w:val="009849F8"/>
    <w:rsid w:val="00984BEC"/>
    <w:rsid w:val="00984D91"/>
    <w:rsid w:val="00984E53"/>
    <w:rsid w:val="00984E7F"/>
    <w:rsid w:val="009850CA"/>
    <w:rsid w:val="009850E7"/>
    <w:rsid w:val="009852DB"/>
    <w:rsid w:val="0098548A"/>
    <w:rsid w:val="009858BA"/>
    <w:rsid w:val="00985A4A"/>
    <w:rsid w:val="00985B9B"/>
    <w:rsid w:val="00985CD8"/>
    <w:rsid w:val="00985EB8"/>
    <w:rsid w:val="00985ED4"/>
    <w:rsid w:val="00985FB3"/>
    <w:rsid w:val="00986016"/>
    <w:rsid w:val="0098605B"/>
    <w:rsid w:val="00986249"/>
    <w:rsid w:val="00986518"/>
    <w:rsid w:val="00986566"/>
    <w:rsid w:val="00986654"/>
    <w:rsid w:val="00986666"/>
    <w:rsid w:val="0098673C"/>
    <w:rsid w:val="009867BE"/>
    <w:rsid w:val="00986CC1"/>
    <w:rsid w:val="00986CFD"/>
    <w:rsid w:val="00986D58"/>
    <w:rsid w:val="00986DCA"/>
    <w:rsid w:val="00986F4E"/>
    <w:rsid w:val="00987173"/>
    <w:rsid w:val="00987191"/>
    <w:rsid w:val="00987413"/>
    <w:rsid w:val="0098753D"/>
    <w:rsid w:val="00987645"/>
    <w:rsid w:val="0098778E"/>
    <w:rsid w:val="009877F2"/>
    <w:rsid w:val="009877FE"/>
    <w:rsid w:val="009879D3"/>
    <w:rsid w:val="00987A5A"/>
    <w:rsid w:val="00987C57"/>
    <w:rsid w:val="00987CB4"/>
    <w:rsid w:val="0099006F"/>
    <w:rsid w:val="0099046F"/>
    <w:rsid w:val="00990697"/>
    <w:rsid w:val="00990776"/>
    <w:rsid w:val="0099097E"/>
    <w:rsid w:val="00990D6D"/>
    <w:rsid w:val="00990EA6"/>
    <w:rsid w:val="00990F03"/>
    <w:rsid w:val="00990F9D"/>
    <w:rsid w:val="009910ED"/>
    <w:rsid w:val="00991194"/>
    <w:rsid w:val="009912F6"/>
    <w:rsid w:val="009913E3"/>
    <w:rsid w:val="00991428"/>
    <w:rsid w:val="0099151F"/>
    <w:rsid w:val="009915A5"/>
    <w:rsid w:val="009916BA"/>
    <w:rsid w:val="00991721"/>
    <w:rsid w:val="009917A2"/>
    <w:rsid w:val="0099196A"/>
    <w:rsid w:val="00991E23"/>
    <w:rsid w:val="00992035"/>
    <w:rsid w:val="00992057"/>
    <w:rsid w:val="009920C9"/>
    <w:rsid w:val="00992113"/>
    <w:rsid w:val="00992166"/>
    <w:rsid w:val="009921E6"/>
    <w:rsid w:val="009921FC"/>
    <w:rsid w:val="00992247"/>
    <w:rsid w:val="009924D1"/>
    <w:rsid w:val="00992507"/>
    <w:rsid w:val="0099272B"/>
    <w:rsid w:val="00992A0E"/>
    <w:rsid w:val="00992A1E"/>
    <w:rsid w:val="00992A94"/>
    <w:rsid w:val="00992BBF"/>
    <w:rsid w:val="00992E65"/>
    <w:rsid w:val="00992F44"/>
    <w:rsid w:val="00993236"/>
    <w:rsid w:val="00993277"/>
    <w:rsid w:val="009932F3"/>
    <w:rsid w:val="00993307"/>
    <w:rsid w:val="00993733"/>
    <w:rsid w:val="009937C5"/>
    <w:rsid w:val="00993889"/>
    <w:rsid w:val="0099399E"/>
    <w:rsid w:val="00993A69"/>
    <w:rsid w:val="00993B44"/>
    <w:rsid w:val="00993BB4"/>
    <w:rsid w:val="00993BF3"/>
    <w:rsid w:val="00993C20"/>
    <w:rsid w:val="00993E1D"/>
    <w:rsid w:val="00993EA0"/>
    <w:rsid w:val="00993ECE"/>
    <w:rsid w:val="00993EFC"/>
    <w:rsid w:val="00993F0B"/>
    <w:rsid w:val="00994016"/>
    <w:rsid w:val="0099413C"/>
    <w:rsid w:val="00994191"/>
    <w:rsid w:val="009941EF"/>
    <w:rsid w:val="00994230"/>
    <w:rsid w:val="0099426D"/>
    <w:rsid w:val="0099447C"/>
    <w:rsid w:val="009944B2"/>
    <w:rsid w:val="00994545"/>
    <w:rsid w:val="00994602"/>
    <w:rsid w:val="009946C1"/>
    <w:rsid w:val="0099479E"/>
    <w:rsid w:val="0099489C"/>
    <w:rsid w:val="009949A4"/>
    <w:rsid w:val="00994AC9"/>
    <w:rsid w:val="00994ADD"/>
    <w:rsid w:val="00994C9E"/>
    <w:rsid w:val="00994FDC"/>
    <w:rsid w:val="0099501E"/>
    <w:rsid w:val="009951D8"/>
    <w:rsid w:val="00995355"/>
    <w:rsid w:val="0099552F"/>
    <w:rsid w:val="00995588"/>
    <w:rsid w:val="009955B5"/>
    <w:rsid w:val="0099581A"/>
    <w:rsid w:val="0099586F"/>
    <w:rsid w:val="009959E2"/>
    <w:rsid w:val="00995D8E"/>
    <w:rsid w:val="009960E7"/>
    <w:rsid w:val="009963A1"/>
    <w:rsid w:val="0099659E"/>
    <w:rsid w:val="00996728"/>
    <w:rsid w:val="0099681E"/>
    <w:rsid w:val="009968F7"/>
    <w:rsid w:val="009968F8"/>
    <w:rsid w:val="00996CFA"/>
    <w:rsid w:val="00996F7A"/>
    <w:rsid w:val="00997023"/>
    <w:rsid w:val="009970AD"/>
    <w:rsid w:val="0099719E"/>
    <w:rsid w:val="00997477"/>
    <w:rsid w:val="00997624"/>
    <w:rsid w:val="00997B76"/>
    <w:rsid w:val="009A00B1"/>
    <w:rsid w:val="009A0169"/>
    <w:rsid w:val="009A029A"/>
    <w:rsid w:val="009A03B7"/>
    <w:rsid w:val="009A0592"/>
    <w:rsid w:val="009A05C9"/>
    <w:rsid w:val="009A05FD"/>
    <w:rsid w:val="009A0639"/>
    <w:rsid w:val="009A0C7E"/>
    <w:rsid w:val="009A0F5A"/>
    <w:rsid w:val="009A0FB2"/>
    <w:rsid w:val="009A1481"/>
    <w:rsid w:val="009A1490"/>
    <w:rsid w:val="009A15FE"/>
    <w:rsid w:val="009A1826"/>
    <w:rsid w:val="009A18B7"/>
    <w:rsid w:val="009A1B56"/>
    <w:rsid w:val="009A1C45"/>
    <w:rsid w:val="009A1C96"/>
    <w:rsid w:val="009A1DED"/>
    <w:rsid w:val="009A1FEA"/>
    <w:rsid w:val="009A2060"/>
    <w:rsid w:val="009A2136"/>
    <w:rsid w:val="009A22F0"/>
    <w:rsid w:val="009A2345"/>
    <w:rsid w:val="009A235C"/>
    <w:rsid w:val="009A2491"/>
    <w:rsid w:val="009A2630"/>
    <w:rsid w:val="009A28EB"/>
    <w:rsid w:val="009A2DA6"/>
    <w:rsid w:val="009A2F84"/>
    <w:rsid w:val="009A307F"/>
    <w:rsid w:val="009A3130"/>
    <w:rsid w:val="009A3146"/>
    <w:rsid w:val="009A3309"/>
    <w:rsid w:val="009A330A"/>
    <w:rsid w:val="009A3691"/>
    <w:rsid w:val="009A36DE"/>
    <w:rsid w:val="009A37E7"/>
    <w:rsid w:val="009A3867"/>
    <w:rsid w:val="009A39FB"/>
    <w:rsid w:val="009A3A59"/>
    <w:rsid w:val="009A3C93"/>
    <w:rsid w:val="009A3E24"/>
    <w:rsid w:val="009A3F00"/>
    <w:rsid w:val="009A3FD0"/>
    <w:rsid w:val="009A3FF3"/>
    <w:rsid w:val="009A4357"/>
    <w:rsid w:val="009A45B3"/>
    <w:rsid w:val="009A45C3"/>
    <w:rsid w:val="009A4705"/>
    <w:rsid w:val="009A4BB0"/>
    <w:rsid w:val="009A4F59"/>
    <w:rsid w:val="009A4F7A"/>
    <w:rsid w:val="009A4F86"/>
    <w:rsid w:val="009A514F"/>
    <w:rsid w:val="009A51C7"/>
    <w:rsid w:val="009A5356"/>
    <w:rsid w:val="009A5397"/>
    <w:rsid w:val="009A5579"/>
    <w:rsid w:val="009A5721"/>
    <w:rsid w:val="009A58E9"/>
    <w:rsid w:val="009A59EC"/>
    <w:rsid w:val="009A5A6E"/>
    <w:rsid w:val="009A5C4C"/>
    <w:rsid w:val="009A5C56"/>
    <w:rsid w:val="009A5CA8"/>
    <w:rsid w:val="009A5DC1"/>
    <w:rsid w:val="009A5E3F"/>
    <w:rsid w:val="009A6093"/>
    <w:rsid w:val="009A61B9"/>
    <w:rsid w:val="009A637C"/>
    <w:rsid w:val="009A6862"/>
    <w:rsid w:val="009A68AA"/>
    <w:rsid w:val="009A692D"/>
    <w:rsid w:val="009A6B68"/>
    <w:rsid w:val="009A6B83"/>
    <w:rsid w:val="009A6BC7"/>
    <w:rsid w:val="009A6ED0"/>
    <w:rsid w:val="009A6F12"/>
    <w:rsid w:val="009A706A"/>
    <w:rsid w:val="009A70CB"/>
    <w:rsid w:val="009A70D0"/>
    <w:rsid w:val="009A7128"/>
    <w:rsid w:val="009A71AB"/>
    <w:rsid w:val="009A7213"/>
    <w:rsid w:val="009A7605"/>
    <w:rsid w:val="009A76E3"/>
    <w:rsid w:val="009A7745"/>
    <w:rsid w:val="009A7862"/>
    <w:rsid w:val="009A7872"/>
    <w:rsid w:val="009A79E0"/>
    <w:rsid w:val="009A79EB"/>
    <w:rsid w:val="009A7B28"/>
    <w:rsid w:val="009A7BDF"/>
    <w:rsid w:val="009A7C3D"/>
    <w:rsid w:val="009A7E26"/>
    <w:rsid w:val="009A7E5A"/>
    <w:rsid w:val="009B0121"/>
    <w:rsid w:val="009B0156"/>
    <w:rsid w:val="009B0295"/>
    <w:rsid w:val="009B04F1"/>
    <w:rsid w:val="009B0533"/>
    <w:rsid w:val="009B05BA"/>
    <w:rsid w:val="009B0720"/>
    <w:rsid w:val="009B0848"/>
    <w:rsid w:val="009B0976"/>
    <w:rsid w:val="009B0B42"/>
    <w:rsid w:val="009B0BE5"/>
    <w:rsid w:val="009B0D46"/>
    <w:rsid w:val="009B1067"/>
    <w:rsid w:val="009B145C"/>
    <w:rsid w:val="009B1682"/>
    <w:rsid w:val="009B1767"/>
    <w:rsid w:val="009B184B"/>
    <w:rsid w:val="009B19FF"/>
    <w:rsid w:val="009B1AD0"/>
    <w:rsid w:val="009B1ADA"/>
    <w:rsid w:val="009B1B0E"/>
    <w:rsid w:val="009B1B8C"/>
    <w:rsid w:val="009B1D59"/>
    <w:rsid w:val="009B1E7F"/>
    <w:rsid w:val="009B2202"/>
    <w:rsid w:val="009B2295"/>
    <w:rsid w:val="009B2596"/>
    <w:rsid w:val="009B2A43"/>
    <w:rsid w:val="009B2B6D"/>
    <w:rsid w:val="009B2B7B"/>
    <w:rsid w:val="009B2BB5"/>
    <w:rsid w:val="009B2D77"/>
    <w:rsid w:val="009B2E5E"/>
    <w:rsid w:val="009B2F72"/>
    <w:rsid w:val="009B2FC0"/>
    <w:rsid w:val="009B2FE8"/>
    <w:rsid w:val="009B321E"/>
    <w:rsid w:val="009B33BF"/>
    <w:rsid w:val="009B3401"/>
    <w:rsid w:val="009B3580"/>
    <w:rsid w:val="009B3768"/>
    <w:rsid w:val="009B3A1B"/>
    <w:rsid w:val="009B3EBF"/>
    <w:rsid w:val="009B41D8"/>
    <w:rsid w:val="009B42B6"/>
    <w:rsid w:val="009B42CC"/>
    <w:rsid w:val="009B4310"/>
    <w:rsid w:val="009B43D6"/>
    <w:rsid w:val="009B43EE"/>
    <w:rsid w:val="009B45B9"/>
    <w:rsid w:val="009B45F0"/>
    <w:rsid w:val="009B48F6"/>
    <w:rsid w:val="009B49FB"/>
    <w:rsid w:val="009B4CA2"/>
    <w:rsid w:val="009B4CE1"/>
    <w:rsid w:val="009B4E52"/>
    <w:rsid w:val="009B5081"/>
    <w:rsid w:val="009B50FB"/>
    <w:rsid w:val="009B51EE"/>
    <w:rsid w:val="009B5329"/>
    <w:rsid w:val="009B589E"/>
    <w:rsid w:val="009B58AE"/>
    <w:rsid w:val="009B5A77"/>
    <w:rsid w:val="009B5DCC"/>
    <w:rsid w:val="009B5EEF"/>
    <w:rsid w:val="009B60D7"/>
    <w:rsid w:val="009B6263"/>
    <w:rsid w:val="009B6756"/>
    <w:rsid w:val="009B6787"/>
    <w:rsid w:val="009B67EB"/>
    <w:rsid w:val="009B67FF"/>
    <w:rsid w:val="009B683A"/>
    <w:rsid w:val="009B68D1"/>
    <w:rsid w:val="009B6985"/>
    <w:rsid w:val="009B69B3"/>
    <w:rsid w:val="009B6A09"/>
    <w:rsid w:val="009B6A43"/>
    <w:rsid w:val="009B6AF0"/>
    <w:rsid w:val="009B6C5A"/>
    <w:rsid w:val="009B6D92"/>
    <w:rsid w:val="009B6DA9"/>
    <w:rsid w:val="009B6ECA"/>
    <w:rsid w:val="009B7011"/>
    <w:rsid w:val="009B7016"/>
    <w:rsid w:val="009B70DD"/>
    <w:rsid w:val="009B71E4"/>
    <w:rsid w:val="009B72A7"/>
    <w:rsid w:val="009B75CC"/>
    <w:rsid w:val="009B7A38"/>
    <w:rsid w:val="009B7C74"/>
    <w:rsid w:val="009B7DB9"/>
    <w:rsid w:val="009C034A"/>
    <w:rsid w:val="009C03B0"/>
    <w:rsid w:val="009C04EE"/>
    <w:rsid w:val="009C06A7"/>
    <w:rsid w:val="009C087E"/>
    <w:rsid w:val="009C0A54"/>
    <w:rsid w:val="009C0B1D"/>
    <w:rsid w:val="009C0CD4"/>
    <w:rsid w:val="009C0CEC"/>
    <w:rsid w:val="009C0F01"/>
    <w:rsid w:val="009C15E7"/>
    <w:rsid w:val="009C1636"/>
    <w:rsid w:val="009C176D"/>
    <w:rsid w:val="009C17C8"/>
    <w:rsid w:val="009C17CD"/>
    <w:rsid w:val="009C1868"/>
    <w:rsid w:val="009C1A27"/>
    <w:rsid w:val="009C1CFD"/>
    <w:rsid w:val="009C1E0A"/>
    <w:rsid w:val="009C1E2E"/>
    <w:rsid w:val="009C2170"/>
    <w:rsid w:val="009C21B9"/>
    <w:rsid w:val="009C2430"/>
    <w:rsid w:val="009C2496"/>
    <w:rsid w:val="009C25BC"/>
    <w:rsid w:val="009C2792"/>
    <w:rsid w:val="009C2BDF"/>
    <w:rsid w:val="009C2D3D"/>
    <w:rsid w:val="009C2E01"/>
    <w:rsid w:val="009C2F1E"/>
    <w:rsid w:val="009C32C6"/>
    <w:rsid w:val="009C3345"/>
    <w:rsid w:val="009C34B6"/>
    <w:rsid w:val="009C352A"/>
    <w:rsid w:val="009C3667"/>
    <w:rsid w:val="009C3811"/>
    <w:rsid w:val="009C385B"/>
    <w:rsid w:val="009C3D1E"/>
    <w:rsid w:val="009C3E3C"/>
    <w:rsid w:val="009C3EB0"/>
    <w:rsid w:val="009C3EF7"/>
    <w:rsid w:val="009C426F"/>
    <w:rsid w:val="009C4353"/>
    <w:rsid w:val="009C457C"/>
    <w:rsid w:val="009C46CA"/>
    <w:rsid w:val="009C49C2"/>
    <w:rsid w:val="009C4C39"/>
    <w:rsid w:val="009C4E2D"/>
    <w:rsid w:val="009C4E8F"/>
    <w:rsid w:val="009C500C"/>
    <w:rsid w:val="009C5029"/>
    <w:rsid w:val="009C52B3"/>
    <w:rsid w:val="009C554E"/>
    <w:rsid w:val="009C578C"/>
    <w:rsid w:val="009C5804"/>
    <w:rsid w:val="009C585E"/>
    <w:rsid w:val="009C586D"/>
    <w:rsid w:val="009C5B31"/>
    <w:rsid w:val="009C5C91"/>
    <w:rsid w:val="009C5D7A"/>
    <w:rsid w:val="009C6100"/>
    <w:rsid w:val="009C62C0"/>
    <w:rsid w:val="009C62D5"/>
    <w:rsid w:val="009C65DE"/>
    <w:rsid w:val="009C6638"/>
    <w:rsid w:val="009C67EB"/>
    <w:rsid w:val="009C6926"/>
    <w:rsid w:val="009C694B"/>
    <w:rsid w:val="009C69BA"/>
    <w:rsid w:val="009C6A88"/>
    <w:rsid w:val="009C6BAA"/>
    <w:rsid w:val="009C6E36"/>
    <w:rsid w:val="009C6FD9"/>
    <w:rsid w:val="009C71FA"/>
    <w:rsid w:val="009C728E"/>
    <w:rsid w:val="009C73A5"/>
    <w:rsid w:val="009C765D"/>
    <w:rsid w:val="009C7660"/>
    <w:rsid w:val="009C7778"/>
    <w:rsid w:val="009C783C"/>
    <w:rsid w:val="009C7850"/>
    <w:rsid w:val="009C795E"/>
    <w:rsid w:val="009C7ADA"/>
    <w:rsid w:val="009C7BCD"/>
    <w:rsid w:val="009C7C61"/>
    <w:rsid w:val="009C7EFE"/>
    <w:rsid w:val="009D000A"/>
    <w:rsid w:val="009D0083"/>
    <w:rsid w:val="009D00B8"/>
    <w:rsid w:val="009D011E"/>
    <w:rsid w:val="009D02F4"/>
    <w:rsid w:val="009D055E"/>
    <w:rsid w:val="009D05B0"/>
    <w:rsid w:val="009D05DB"/>
    <w:rsid w:val="009D0725"/>
    <w:rsid w:val="009D084E"/>
    <w:rsid w:val="009D098A"/>
    <w:rsid w:val="009D0B6D"/>
    <w:rsid w:val="009D0CBF"/>
    <w:rsid w:val="009D0E29"/>
    <w:rsid w:val="009D0F1E"/>
    <w:rsid w:val="009D1291"/>
    <w:rsid w:val="009D135E"/>
    <w:rsid w:val="009D1595"/>
    <w:rsid w:val="009D15FE"/>
    <w:rsid w:val="009D1664"/>
    <w:rsid w:val="009D1772"/>
    <w:rsid w:val="009D17C8"/>
    <w:rsid w:val="009D199B"/>
    <w:rsid w:val="009D1A11"/>
    <w:rsid w:val="009D1A65"/>
    <w:rsid w:val="009D1A86"/>
    <w:rsid w:val="009D1A9E"/>
    <w:rsid w:val="009D1BEF"/>
    <w:rsid w:val="009D1C54"/>
    <w:rsid w:val="009D1E12"/>
    <w:rsid w:val="009D1FDD"/>
    <w:rsid w:val="009D2025"/>
    <w:rsid w:val="009D2295"/>
    <w:rsid w:val="009D2439"/>
    <w:rsid w:val="009D245D"/>
    <w:rsid w:val="009D2627"/>
    <w:rsid w:val="009D26C5"/>
    <w:rsid w:val="009D2770"/>
    <w:rsid w:val="009D27E0"/>
    <w:rsid w:val="009D287F"/>
    <w:rsid w:val="009D298A"/>
    <w:rsid w:val="009D2A45"/>
    <w:rsid w:val="009D2AD4"/>
    <w:rsid w:val="009D2BB8"/>
    <w:rsid w:val="009D2DA9"/>
    <w:rsid w:val="009D2E93"/>
    <w:rsid w:val="009D2EA9"/>
    <w:rsid w:val="009D3038"/>
    <w:rsid w:val="009D312B"/>
    <w:rsid w:val="009D34C0"/>
    <w:rsid w:val="009D34E4"/>
    <w:rsid w:val="009D34F9"/>
    <w:rsid w:val="009D35FB"/>
    <w:rsid w:val="009D3918"/>
    <w:rsid w:val="009D3936"/>
    <w:rsid w:val="009D3CEC"/>
    <w:rsid w:val="009D3CFF"/>
    <w:rsid w:val="009D3DD9"/>
    <w:rsid w:val="009D40A5"/>
    <w:rsid w:val="009D4318"/>
    <w:rsid w:val="009D4625"/>
    <w:rsid w:val="009D46A7"/>
    <w:rsid w:val="009D4863"/>
    <w:rsid w:val="009D4B25"/>
    <w:rsid w:val="009D4B5E"/>
    <w:rsid w:val="009D4BBE"/>
    <w:rsid w:val="009D4E16"/>
    <w:rsid w:val="009D4F6D"/>
    <w:rsid w:val="009D5253"/>
    <w:rsid w:val="009D567E"/>
    <w:rsid w:val="009D5685"/>
    <w:rsid w:val="009D5893"/>
    <w:rsid w:val="009D59FF"/>
    <w:rsid w:val="009D5A5B"/>
    <w:rsid w:val="009D5D04"/>
    <w:rsid w:val="009D5D40"/>
    <w:rsid w:val="009D613D"/>
    <w:rsid w:val="009D6347"/>
    <w:rsid w:val="009D6393"/>
    <w:rsid w:val="009D65EC"/>
    <w:rsid w:val="009D6620"/>
    <w:rsid w:val="009D6A50"/>
    <w:rsid w:val="009D6B4D"/>
    <w:rsid w:val="009D6C54"/>
    <w:rsid w:val="009D71C0"/>
    <w:rsid w:val="009D72B0"/>
    <w:rsid w:val="009D742F"/>
    <w:rsid w:val="009D743C"/>
    <w:rsid w:val="009D747D"/>
    <w:rsid w:val="009D7490"/>
    <w:rsid w:val="009D7681"/>
    <w:rsid w:val="009D77CE"/>
    <w:rsid w:val="009D7B33"/>
    <w:rsid w:val="009D7CF8"/>
    <w:rsid w:val="009D7D28"/>
    <w:rsid w:val="009D7DE3"/>
    <w:rsid w:val="009D7DF8"/>
    <w:rsid w:val="009D7E60"/>
    <w:rsid w:val="009D81AA"/>
    <w:rsid w:val="009E004A"/>
    <w:rsid w:val="009E00EE"/>
    <w:rsid w:val="009E0229"/>
    <w:rsid w:val="009E0269"/>
    <w:rsid w:val="009E02D9"/>
    <w:rsid w:val="009E0382"/>
    <w:rsid w:val="009E057C"/>
    <w:rsid w:val="009E066B"/>
    <w:rsid w:val="009E0712"/>
    <w:rsid w:val="009E080A"/>
    <w:rsid w:val="009E0A24"/>
    <w:rsid w:val="009E0B50"/>
    <w:rsid w:val="009E0D5B"/>
    <w:rsid w:val="009E116F"/>
    <w:rsid w:val="009E1192"/>
    <w:rsid w:val="009E1244"/>
    <w:rsid w:val="009E1394"/>
    <w:rsid w:val="009E1448"/>
    <w:rsid w:val="009E148D"/>
    <w:rsid w:val="009E150C"/>
    <w:rsid w:val="009E1515"/>
    <w:rsid w:val="009E1918"/>
    <w:rsid w:val="009E1A33"/>
    <w:rsid w:val="009E1ADA"/>
    <w:rsid w:val="009E1B76"/>
    <w:rsid w:val="009E1CFF"/>
    <w:rsid w:val="009E1D97"/>
    <w:rsid w:val="009E1F45"/>
    <w:rsid w:val="009E1FD0"/>
    <w:rsid w:val="009E1FEE"/>
    <w:rsid w:val="009E2006"/>
    <w:rsid w:val="009E210C"/>
    <w:rsid w:val="009E2169"/>
    <w:rsid w:val="009E21F6"/>
    <w:rsid w:val="009E2333"/>
    <w:rsid w:val="009E2384"/>
    <w:rsid w:val="009E2396"/>
    <w:rsid w:val="009E23EA"/>
    <w:rsid w:val="009E240E"/>
    <w:rsid w:val="009E2480"/>
    <w:rsid w:val="009E24A4"/>
    <w:rsid w:val="009E26A0"/>
    <w:rsid w:val="009E27E3"/>
    <w:rsid w:val="009E29AE"/>
    <w:rsid w:val="009E2B87"/>
    <w:rsid w:val="009E2C95"/>
    <w:rsid w:val="009E2D24"/>
    <w:rsid w:val="009E2EA0"/>
    <w:rsid w:val="009E305F"/>
    <w:rsid w:val="009E35AD"/>
    <w:rsid w:val="009E36FF"/>
    <w:rsid w:val="009E3707"/>
    <w:rsid w:val="009E37D3"/>
    <w:rsid w:val="009E3EB0"/>
    <w:rsid w:val="009E3F25"/>
    <w:rsid w:val="009E4207"/>
    <w:rsid w:val="009E422F"/>
    <w:rsid w:val="009E43AD"/>
    <w:rsid w:val="009E4467"/>
    <w:rsid w:val="009E4538"/>
    <w:rsid w:val="009E457D"/>
    <w:rsid w:val="009E4620"/>
    <w:rsid w:val="009E478E"/>
    <w:rsid w:val="009E4A11"/>
    <w:rsid w:val="009E4BF4"/>
    <w:rsid w:val="009E4CA4"/>
    <w:rsid w:val="009E4DBD"/>
    <w:rsid w:val="009E4DFF"/>
    <w:rsid w:val="009E4EF1"/>
    <w:rsid w:val="009E4FAE"/>
    <w:rsid w:val="009E5028"/>
    <w:rsid w:val="009E50BB"/>
    <w:rsid w:val="009E50FB"/>
    <w:rsid w:val="009E51C9"/>
    <w:rsid w:val="009E5280"/>
    <w:rsid w:val="009E5384"/>
    <w:rsid w:val="009E5386"/>
    <w:rsid w:val="009E5790"/>
    <w:rsid w:val="009E588A"/>
    <w:rsid w:val="009E5DD1"/>
    <w:rsid w:val="009E5E0A"/>
    <w:rsid w:val="009E5E2D"/>
    <w:rsid w:val="009E5E43"/>
    <w:rsid w:val="009E5F47"/>
    <w:rsid w:val="009E5F4D"/>
    <w:rsid w:val="009E5FF4"/>
    <w:rsid w:val="009E60AD"/>
    <w:rsid w:val="009E61A8"/>
    <w:rsid w:val="009E6217"/>
    <w:rsid w:val="009E6392"/>
    <w:rsid w:val="009E644D"/>
    <w:rsid w:val="009E65CE"/>
    <w:rsid w:val="009E66DD"/>
    <w:rsid w:val="009E68C8"/>
    <w:rsid w:val="009E68F1"/>
    <w:rsid w:val="009E68F4"/>
    <w:rsid w:val="009E6AB5"/>
    <w:rsid w:val="009E6DAB"/>
    <w:rsid w:val="009E6EB2"/>
    <w:rsid w:val="009E6ED6"/>
    <w:rsid w:val="009E6F4B"/>
    <w:rsid w:val="009E6F86"/>
    <w:rsid w:val="009E703C"/>
    <w:rsid w:val="009E7079"/>
    <w:rsid w:val="009E7098"/>
    <w:rsid w:val="009E71D2"/>
    <w:rsid w:val="009E7395"/>
    <w:rsid w:val="009E7448"/>
    <w:rsid w:val="009E7495"/>
    <w:rsid w:val="009E74D9"/>
    <w:rsid w:val="009E757D"/>
    <w:rsid w:val="009E75BC"/>
    <w:rsid w:val="009E7743"/>
    <w:rsid w:val="009E7E4C"/>
    <w:rsid w:val="009F042F"/>
    <w:rsid w:val="009F05A2"/>
    <w:rsid w:val="009F066F"/>
    <w:rsid w:val="009F06A0"/>
    <w:rsid w:val="009F0719"/>
    <w:rsid w:val="009F08F5"/>
    <w:rsid w:val="009F0956"/>
    <w:rsid w:val="009F0987"/>
    <w:rsid w:val="009F09FE"/>
    <w:rsid w:val="009F0A13"/>
    <w:rsid w:val="009F0DF8"/>
    <w:rsid w:val="009F0EE5"/>
    <w:rsid w:val="009F10F7"/>
    <w:rsid w:val="009F1264"/>
    <w:rsid w:val="009F14AE"/>
    <w:rsid w:val="009F1696"/>
    <w:rsid w:val="009F1AD4"/>
    <w:rsid w:val="009F1B5D"/>
    <w:rsid w:val="009F1BDA"/>
    <w:rsid w:val="009F1DC2"/>
    <w:rsid w:val="009F1DDF"/>
    <w:rsid w:val="009F245B"/>
    <w:rsid w:val="009F25E6"/>
    <w:rsid w:val="009F2618"/>
    <w:rsid w:val="009F26EF"/>
    <w:rsid w:val="009F2BD9"/>
    <w:rsid w:val="009F2BE8"/>
    <w:rsid w:val="009F2E09"/>
    <w:rsid w:val="009F2E33"/>
    <w:rsid w:val="009F2F09"/>
    <w:rsid w:val="009F2F83"/>
    <w:rsid w:val="009F3185"/>
    <w:rsid w:val="009F32C2"/>
    <w:rsid w:val="009F3371"/>
    <w:rsid w:val="009F3942"/>
    <w:rsid w:val="009F39A7"/>
    <w:rsid w:val="009F3D9C"/>
    <w:rsid w:val="009F3E18"/>
    <w:rsid w:val="009F4001"/>
    <w:rsid w:val="009F402F"/>
    <w:rsid w:val="009F40B7"/>
    <w:rsid w:val="009F411D"/>
    <w:rsid w:val="009F4188"/>
    <w:rsid w:val="009F4302"/>
    <w:rsid w:val="009F4393"/>
    <w:rsid w:val="009F444E"/>
    <w:rsid w:val="009F445C"/>
    <w:rsid w:val="009F4A7A"/>
    <w:rsid w:val="009F4BA0"/>
    <w:rsid w:val="009F4BE9"/>
    <w:rsid w:val="009F4CD3"/>
    <w:rsid w:val="009F4DC4"/>
    <w:rsid w:val="009F4ECB"/>
    <w:rsid w:val="009F50F9"/>
    <w:rsid w:val="009F5176"/>
    <w:rsid w:val="009F53E5"/>
    <w:rsid w:val="009F53F0"/>
    <w:rsid w:val="009F54BB"/>
    <w:rsid w:val="009F55C8"/>
    <w:rsid w:val="009F5785"/>
    <w:rsid w:val="009F5992"/>
    <w:rsid w:val="009F59DD"/>
    <w:rsid w:val="009F5C30"/>
    <w:rsid w:val="009F5D7C"/>
    <w:rsid w:val="009F5E0F"/>
    <w:rsid w:val="009F5EAA"/>
    <w:rsid w:val="009F626A"/>
    <w:rsid w:val="009F62D3"/>
    <w:rsid w:val="009F6463"/>
    <w:rsid w:val="009F6510"/>
    <w:rsid w:val="009F65AB"/>
    <w:rsid w:val="009F6650"/>
    <w:rsid w:val="009F68F7"/>
    <w:rsid w:val="009F6ABB"/>
    <w:rsid w:val="009F719C"/>
    <w:rsid w:val="009F721C"/>
    <w:rsid w:val="009F72BE"/>
    <w:rsid w:val="009F7ACB"/>
    <w:rsid w:val="009F7B40"/>
    <w:rsid w:val="009F7C58"/>
    <w:rsid w:val="009F7EC2"/>
    <w:rsid w:val="00A00112"/>
    <w:rsid w:val="00A00439"/>
    <w:rsid w:val="00A004CB"/>
    <w:rsid w:val="00A00651"/>
    <w:rsid w:val="00A008B5"/>
    <w:rsid w:val="00A00B92"/>
    <w:rsid w:val="00A00BCD"/>
    <w:rsid w:val="00A00CBF"/>
    <w:rsid w:val="00A00CCE"/>
    <w:rsid w:val="00A00E41"/>
    <w:rsid w:val="00A00E57"/>
    <w:rsid w:val="00A00F97"/>
    <w:rsid w:val="00A01050"/>
    <w:rsid w:val="00A0138D"/>
    <w:rsid w:val="00A013A3"/>
    <w:rsid w:val="00A01420"/>
    <w:rsid w:val="00A017B4"/>
    <w:rsid w:val="00A01C53"/>
    <w:rsid w:val="00A01D38"/>
    <w:rsid w:val="00A01D49"/>
    <w:rsid w:val="00A01F03"/>
    <w:rsid w:val="00A01FDC"/>
    <w:rsid w:val="00A0209D"/>
    <w:rsid w:val="00A02414"/>
    <w:rsid w:val="00A02482"/>
    <w:rsid w:val="00A025B9"/>
    <w:rsid w:val="00A028B5"/>
    <w:rsid w:val="00A029FC"/>
    <w:rsid w:val="00A02D27"/>
    <w:rsid w:val="00A02D88"/>
    <w:rsid w:val="00A03058"/>
    <w:rsid w:val="00A033EC"/>
    <w:rsid w:val="00A033EE"/>
    <w:rsid w:val="00A0355C"/>
    <w:rsid w:val="00A036EB"/>
    <w:rsid w:val="00A03713"/>
    <w:rsid w:val="00A03766"/>
    <w:rsid w:val="00A03A05"/>
    <w:rsid w:val="00A03A13"/>
    <w:rsid w:val="00A03B3C"/>
    <w:rsid w:val="00A03C46"/>
    <w:rsid w:val="00A03DF6"/>
    <w:rsid w:val="00A040CD"/>
    <w:rsid w:val="00A04128"/>
    <w:rsid w:val="00A041EB"/>
    <w:rsid w:val="00A04429"/>
    <w:rsid w:val="00A04505"/>
    <w:rsid w:val="00A048A3"/>
    <w:rsid w:val="00A04950"/>
    <w:rsid w:val="00A04BDF"/>
    <w:rsid w:val="00A04EF1"/>
    <w:rsid w:val="00A04EF5"/>
    <w:rsid w:val="00A0510E"/>
    <w:rsid w:val="00A0513C"/>
    <w:rsid w:val="00A05283"/>
    <w:rsid w:val="00A053BD"/>
    <w:rsid w:val="00A0573B"/>
    <w:rsid w:val="00A05A95"/>
    <w:rsid w:val="00A05AC4"/>
    <w:rsid w:val="00A06446"/>
    <w:rsid w:val="00A06493"/>
    <w:rsid w:val="00A06697"/>
    <w:rsid w:val="00A06702"/>
    <w:rsid w:val="00A0686A"/>
    <w:rsid w:val="00A06A7E"/>
    <w:rsid w:val="00A06C40"/>
    <w:rsid w:val="00A06C5B"/>
    <w:rsid w:val="00A06DD0"/>
    <w:rsid w:val="00A07133"/>
    <w:rsid w:val="00A07223"/>
    <w:rsid w:val="00A0733A"/>
    <w:rsid w:val="00A07506"/>
    <w:rsid w:val="00A07542"/>
    <w:rsid w:val="00A07600"/>
    <w:rsid w:val="00A07798"/>
    <w:rsid w:val="00A0794B"/>
    <w:rsid w:val="00A079D4"/>
    <w:rsid w:val="00A07CD4"/>
    <w:rsid w:val="00A07D7C"/>
    <w:rsid w:val="00A07EAD"/>
    <w:rsid w:val="00A10294"/>
    <w:rsid w:val="00A10295"/>
    <w:rsid w:val="00A102CA"/>
    <w:rsid w:val="00A103E0"/>
    <w:rsid w:val="00A10586"/>
    <w:rsid w:val="00A1060E"/>
    <w:rsid w:val="00A109F6"/>
    <w:rsid w:val="00A10A48"/>
    <w:rsid w:val="00A10BE8"/>
    <w:rsid w:val="00A10CFB"/>
    <w:rsid w:val="00A110DA"/>
    <w:rsid w:val="00A11150"/>
    <w:rsid w:val="00A1116A"/>
    <w:rsid w:val="00A112E4"/>
    <w:rsid w:val="00A1132B"/>
    <w:rsid w:val="00A115B3"/>
    <w:rsid w:val="00A11621"/>
    <w:rsid w:val="00A11794"/>
    <w:rsid w:val="00A11930"/>
    <w:rsid w:val="00A119FA"/>
    <w:rsid w:val="00A11B54"/>
    <w:rsid w:val="00A11CDC"/>
    <w:rsid w:val="00A11EE6"/>
    <w:rsid w:val="00A11F88"/>
    <w:rsid w:val="00A12005"/>
    <w:rsid w:val="00A120E1"/>
    <w:rsid w:val="00A12265"/>
    <w:rsid w:val="00A1238C"/>
    <w:rsid w:val="00A124AE"/>
    <w:rsid w:val="00A12562"/>
    <w:rsid w:val="00A125B5"/>
    <w:rsid w:val="00A1263D"/>
    <w:rsid w:val="00A12664"/>
    <w:rsid w:val="00A1275B"/>
    <w:rsid w:val="00A1297B"/>
    <w:rsid w:val="00A12A72"/>
    <w:rsid w:val="00A12A74"/>
    <w:rsid w:val="00A12AA8"/>
    <w:rsid w:val="00A12AF2"/>
    <w:rsid w:val="00A12D8A"/>
    <w:rsid w:val="00A12DB0"/>
    <w:rsid w:val="00A12E6C"/>
    <w:rsid w:val="00A12E97"/>
    <w:rsid w:val="00A12F68"/>
    <w:rsid w:val="00A132C6"/>
    <w:rsid w:val="00A13436"/>
    <w:rsid w:val="00A13592"/>
    <w:rsid w:val="00A136D0"/>
    <w:rsid w:val="00A13804"/>
    <w:rsid w:val="00A13A13"/>
    <w:rsid w:val="00A13BCA"/>
    <w:rsid w:val="00A13D1A"/>
    <w:rsid w:val="00A13DF8"/>
    <w:rsid w:val="00A13E31"/>
    <w:rsid w:val="00A13F97"/>
    <w:rsid w:val="00A14368"/>
    <w:rsid w:val="00A14512"/>
    <w:rsid w:val="00A14D6F"/>
    <w:rsid w:val="00A14DC2"/>
    <w:rsid w:val="00A14DD6"/>
    <w:rsid w:val="00A14DFF"/>
    <w:rsid w:val="00A14F79"/>
    <w:rsid w:val="00A1508C"/>
    <w:rsid w:val="00A150F6"/>
    <w:rsid w:val="00A152AA"/>
    <w:rsid w:val="00A155AA"/>
    <w:rsid w:val="00A1569E"/>
    <w:rsid w:val="00A15738"/>
    <w:rsid w:val="00A157BF"/>
    <w:rsid w:val="00A15D5E"/>
    <w:rsid w:val="00A15E29"/>
    <w:rsid w:val="00A16098"/>
    <w:rsid w:val="00A161F8"/>
    <w:rsid w:val="00A16466"/>
    <w:rsid w:val="00A16539"/>
    <w:rsid w:val="00A16649"/>
    <w:rsid w:val="00A167BD"/>
    <w:rsid w:val="00A16858"/>
    <w:rsid w:val="00A16881"/>
    <w:rsid w:val="00A1690B"/>
    <w:rsid w:val="00A169FA"/>
    <w:rsid w:val="00A16A1F"/>
    <w:rsid w:val="00A16C4F"/>
    <w:rsid w:val="00A16C99"/>
    <w:rsid w:val="00A16ECE"/>
    <w:rsid w:val="00A16F41"/>
    <w:rsid w:val="00A16F79"/>
    <w:rsid w:val="00A171B4"/>
    <w:rsid w:val="00A171BB"/>
    <w:rsid w:val="00A171DD"/>
    <w:rsid w:val="00A1725D"/>
    <w:rsid w:val="00A173F4"/>
    <w:rsid w:val="00A17460"/>
    <w:rsid w:val="00A1766A"/>
    <w:rsid w:val="00A17893"/>
    <w:rsid w:val="00A17D4C"/>
    <w:rsid w:val="00A200F4"/>
    <w:rsid w:val="00A203D3"/>
    <w:rsid w:val="00A205EA"/>
    <w:rsid w:val="00A206C9"/>
    <w:rsid w:val="00A2082C"/>
    <w:rsid w:val="00A2090B"/>
    <w:rsid w:val="00A20C27"/>
    <w:rsid w:val="00A20D61"/>
    <w:rsid w:val="00A20DDD"/>
    <w:rsid w:val="00A20DFA"/>
    <w:rsid w:val="00A20E7D"/>
    <w:rsid w:val="00A20F5C"/>
    <w:rsid w:val="00A21064"/>
    <w:rsid w:val="00A211A6"/>
    <w:rsid w:val="00A211E7"/>
    <w:rsid w:val="00A213AF"/>
    <w:rsid w:val="00A2147F"/>
    <w:rsid w:val="00A216BC"/>
    <w:rsid w:val="00A217B0"/>
    <w:rsid w:val="00A21DBF"/>
    <w:rsid w:val="00A21F71"/>
    <w:rsid w:val="00A221BA"/>
    <w:rsid w:val="00A227EB"/>
    <w:rsid w:val="00A22890"/>
    <w:rsid w:val="00A2295E"/>
    <w:rsid w:val="00A22A23"/>
    <w:rsid w:val="00A22B60"/>
    <w:rsid w:val="00A22BF1"/>
    <w:rsid w:val="00A22DCE"/>
    <w:rsid w:val="00A22F35"/>
    <w:rsid w:val="00A231B1"/>
    <w:rsid w:val="00A233FB"/>
    <w:rsid w:val="00A2341D"/>
    <w:rsid w:val="00A23931"/>
    <w:rsid w:val="00A23933"/>
    <w:rsid w:val="00A23F91"/>
    <w:rsid w:val="00A23FD6"/>
    <w:rsid w:val="00A24072"/>
    <w:rsid w:val="00A241BD"/>
    <w:rsid w:val="00A241E6"/>
    <w:rsid w:val="00A24208"/>
    <w:rsid w:val="00A242F8"/>
    <w:rsid w:val="00A24A99"/>
    <w:rsid w:val="00A24AD6"/>
    <w:rsid w:val="00A24C3D"/>
    <w:rsid w:val="00A24CBD"/>
    <w:rsid w:val="00A24D4B"/>
    <w:rsid w:val="00A24EEE"/>
    <w:rsid w:val="00A25188"/>
    <w:rsid w:val="00A25317"/>
    <w:rsid w:val="00A25706"/>
    <w:rsid w:val="00A259E2"/>
    <w:rsid w:val="00A25A40"/>
    <w:rsid w:val="00A25AAC"/>
    <w:rsid w:val="00A25AB2"/>
    <w:rsid w:val="00A25D17"/>
    <w:rsid w:val="00A25D84"/>
    <w:rsid w:val="00A25F95"/>
    <w:rsid w:val="00A26029"/>
    <w:rsid w:val="00A2611B"/>
    <w:rsid w:val="00A262E4"/>
    <w:rsid w:val="00A26833"/>
    <w:rsid w:val="00A268EA"/>
    <w:rsid w:val="00A26B57"/>
    <w:rsid w:val="00A270D4"/>
    <w:rsid w:val="00A27332"/>
    <w:rsid w:val="00A2769E"/>
    <w:rsid w:val="00A277CF"/>
    <w:rsid w:val="00A278D6"/>
    <w:rsid w:val="00A27909"/>
    <w:rsid w:val="00A2797B"/>
    <w:rsid w:val="00A27A37"/>
    <w:rsid w:val="00A27C1A"/>
    <w:rsid w:val="00A27E7E"/>
    <w:rsid w:val="00A302ED"/>
    <w:rsid w:val="00A30427"/>
    <w:rsid w:val="00A30784"/>
    <w:rsid w:val="00A30840"/>
    <w:rsid w:val="00A30AA8"/>
    <w:rsid w:val="00A30DAE"/>
    <w:rsid w:val="00A30E5E"/>
    <w:rsid w:val="00A30EE3"/>
    <w:rsid w:val="00A31231"/>
    <w:rsid w:val="00A3142E"/>
    <w:rsid w:val="00A31670"/>
    <w:rsid w:val="00A31801"/>
    <w:rsid w:val="00A318DF"/>
    <w:rsid w:val="00A31CAD"/>
    <w:rsid w:val="00A31CE0"/>
    <w:rsid w:val="00A31DE4"/>
    <w:rsid w:val="00A31E31"/>
    <w:rsid w:val="00A31F7A"/>
    <w:rsid w:val="00A31FA9"/>
    <w:rsid w:val="00A32072"/>
    <w:rsid w:val="00A321B6"/>
    <w:rsid w:val="00A32338"/>
    <w:rsid w:val="00A32647"/>
    <w:rsid w:val="00A3268E"/>
    <w:rsid w:val="00A32A74"/>
    <w:rsid w:val="00A32BB3"/>
    <w:rsid w:val="00A32BF6"/>
    <w:rsid w:val="00A32C04"/>
    <w:rsid w:val="00A33151"/>
    <w:rsid w:val="00A333BF"/>
    <w:rsid w:val="00A3353E"/>
    <w:rsid w:val="00A336FB"/>
    <w:rsid w:val="00A33787"/>
    <w:rsid w:val="00A33825"/>
    <w:rsid w:val="00A3398F"/>
    <w:rsid w:val="00A339A8"/>
    <w:rsid w:val="00A33D84"/>
    <w:rsid w:val="00A33EFF"/>
    <w:rsid w:val="00A33FD6"/>
    <w:rsid w:val="00A34045"/>
    <w:rsid w:val="00A34097"/>
    <w:rsid w:val="00A342E4"/>
    <w:rsid w:val="00A34A9D"/>
    <w:rsid w:val="00A34FF5"/>
    <w:rsid w:val="00A3513D"/>
    <w:rsid w:val="00A35186"/>
    <w:rsid w:val="00A354E3"/>
    <w:rsid w:val="00A35583"/>
    <w:rsid w:val="00A35B47"/>
    <w:rsid w:val="00A35B6E"/>
    <w:rsid w:val="00A35CB2"/>
    <w:rsid w:val="00A35F12"/>
    <w:rsid w:val="00A35F8C"/>
    <w:rsid w:val="00A3603D"/>
    <w:rsid w:val="00A36314"/>
    <w:rsid w:val="00A363AA"/>
    <w:rsid w:val="00A363EF"/>
    <w:rsid w:val="00A36550"/>
    <w:rsid w:val="00A3669A"/>
    <w:rsid w:val="00A36873"/>
    <w:rsid w:val="00A3694F"/>
    <w:rsid w:val="00A36AEE"/>
    <w:rsid w:val="00A36B3F"/>
    <w:rsid w:val="00A36B82"/>
    <w:rsid w:val="00A36CC7"/>
    <w:rsid w:val="00A36DFE"/>
    <w:rsid w:val="00A36EC1"/>
    <w:rsid w:val="00A370FD"/>
    <w:rsid w:val="00A37456"/>
    <w:rsid w:val="00A37534"/>
    <w:rsid w:val="00A37605"/>
    <w:rsid w:val="00A37707"/>
    <w:rsid w:val="00A3772A"/>
    <w:rsid w:val="00A37817"/>
    <w:rsid w:val="00A3798C"/>
    <w:rsid w:val="00A37A20"/>
    <w:rsid w:val="00A37BE1"/>
    <w:rsid w:val="00A37CC1"/>
    <w:rsid w:val="00A37DD9"/>
    <w:rsid w:val="00A37E2B"/>
    <w:rsid w:val="00A37E80"/>
    <w:rsid w:val="00A37F69"/>
    <w:rsid w:val="00A4002D"/>
    <w:rsid w:val="00A40043"/>
    <w:rsid w:val="00A400C7"/>
    <w:rsid w:val="00A40374"/>
    <w:rsid w:val="00A405F4"/>
    <w:rsid w:val="00A40731"/>
    <w:rsid w:val="00A4074F"/>
    <w:rsid w:val="00A4086A"/>
    <w:rsid w:val="00A40A6C"/>
    <w:rsid w:val="00A40B17"/>
    <w:rsid w:val="00A40B31"/>
    <w:rsid w:val="00A40D3C"/>
    <w:rsid w:val="00A40ED7"/>
    <w:rsid w:val="00A40F83"/>
    <w:rsid w:val="00A412BA"/>
    <w:rsid w:val="00A4135B"/>
    <w:rsid w:val="00A41416"/>
    <w:rsid w:val="00A4168B"/>
    <w:rsid w:val="00A416BE"/>
    <w:rsid w:val="00A41753"/>
    <w:rsid w:val="00A417B0"/>
    <w:rsid w:val="00A41865"/>
    <w:rsid w:val="00A4188D"/>
    <w:rsid w:val="00A418C4"/>
    <w:rsid w:val="00A41984"/>
    <w:rsid w:val="00A41D27"/>
    <w:rsid w:val="00A41FE2"/>
    <w:rsid w:val="00A4200D"/>
    <w:rsid w:val="00A42089"/>
    <w:rsid w:val="00A422C5"/>
    <w:rsid w:val="00A424BF"/>
    <w:rsid w:val="00A4250D"/>
    <w:rsid w:val="00A4258E"/>
    <w:rsid w:val="00A425EE"/>
    <w:rsid w:val="00A425F6"/>
    <w:rsid w:val="00A42A20"/>
    <w:rsid w:val="00A42B95"/>
    <w:rsid w:val="00A42BEC"/>
    <w:rsid w:val="00A42C08"/>
    <w:rsid w:val="00A42D17"/>
    <w:rsid w:val="00A42D8B"/>
    <w:rsid w:val="00A42F34"/>
    <w:rsid w:val="00A431AB"/>
    <w:rsid w:val="00A4325D"/>
    <w:rsid w:val="00A432D1"/>
    <w:rsid w:val="00A433BA"/>
    <w:rsid w:val="00A43440"/>
    <w:rsid w:val="00A434F2"/>
    <w:rsid w:val="00A435B5"/>
    <w:rsid w:val="00A436EB"/>
    <w:rsid w:val="00A43716"/>
    <w:rsid w:val="00A438FA"/>
    <w:rsid w:val="00A43929"/>
    <w:rsid w:val="00A43965"/>
    <w:rsid w:val="00A43B9D"/>
    <w:rsid w:val="00A43CBD"/>
    <w:rsid w:val="00A43FD3"/>
    <w:rsid w:val="00A44082"/>
    <w:rsid w:val="00A44089"/>
    <w:rsid w:val="00A441C9"/>
    <w:rsid w:val="00A442C5"/>
    <w:rsid w:val="00A4462E"/>
    <w:rsid w:val="00A44680"/>
    <w:rsid w:val="00A44712"/>
    <w:rsid w:val="00A4477F"/>
    <w:rsid w:val="00A448C5"/>
    <w:rsid w:val="00A44972"/>
    <w:rsid w:val="00A449EE"/>
    <w:rsid w:val="00A44AF5"/>
    <w:rsid w:val="00A44B8B"/>
    <w:rsid w:val="00A44CE3"/>
    <w:rsid w:val="00A44E93"/>
    <w:rsid w:val="00A44EDE"/>
    <w:rsid w:val="00A451A7"/>
    <w:rsid w:val="00A4528F"/>
    <w:rsid w:val="00A45336"/>
    <w:rsid w:val="00A45478"/>
    <w:rsid w:val="00A45713"/>
    <w:rsid w:val="00A45799"/>
    <w:rsid w:val="00A45803"/>
    <w:rsid w:val="00A45819"/>
    <w:rsid w:val="00A45932"/>
    <w:rsid w:val="00A45A15"/>
    <w:rsid w:val="00A45B08"/>
    <w:rsid w:val="00A45C41"/>
    <w:rsid w:val="00A45D0C"/>
    <w:rsid w:val="00A45EC4"/>
    <w:rsid w:val="00A46181"/>
    <w:rsid w:val="00A461F6"/>
    <w:rsid w:val="00A461FF"/>
    <w:rsid w:val="00A4665F"/>
    <w:rsid w:val="00A4687D"/>
    <w:rsid w:val="00A469E1"/>
    <w:rsid w:val="00A46A49"/>
    <w:rsid w:val="00A46B0F"/>
    <w:rsid w:val="00A46D1F"/>
    <w:rsid w:val="00A46EC6"/>
    <w:rsid w:val="00A46F97"/>
    <w:rsid w:val="00A47212"/>
    <w:rsid w:val="00A474EA"/>
    <w:rsid w:val="00A476ED"/>
    <w:rsid w:val="00A479C2"/>
    <w:rsid w:val="00A47A76"/>
    <w:rsid w:val="00A47BEC"/>
    <w:rsid w:val="00A47BF7"/>
    <w:rsid w:val="00A47CED"/>
    <w:rsid w:val="00A4AE17"/>
    <w:rsid w:val="00A501B2"/>
    <w:rsid w:val="00A5034A"/>
    <w:rsid w:val="00A50469"/>
    <w:rsid w:val="00A504E8"/>
    <w:rsid w:val="00A505F1"/>
    <w:rsid w:val="00A506FF"/>
    <w:rsid w:val="00A50858"/>
    <w:rsid w:val="00A5095B"/>
    <w:rsid w:val="00A50B89"/>
    <w:rsid w:val="00A50CFB"/>
    <w:rsid w:val="00A50FE6"/>
    <w:rsid w:val="00A50FFA"/>
    <w:rsid w:val="00A510A1"/>
    <w:rsid w:val="00A51241"/>
    <w:rsid w:val="00A512A4"/>
    <w:rsid w:val="00A512B4"/>
    <w:rsid w:val="00A51420"/>
    <w:rsid w:val="00A51491"/>
    <w:rsid w:val="00A51606"/>
    <w:rsid w:val="00A51642"/>
    <w:rsid w:val="00A51CFC"/>
    <w:rsid w:val="00A521F3"/>
    <w:rsid w:val="00A52253"/>
    <w:rsid w:val="00A5252A"/>
    <w:rsid w:val="00A5257A"/>
    <w:rsid w:val="00A528D6"/>
    <w:rsid w:val="00A52C53"/>
    <w:rsid w:val="00A52D29"/>
    <w:rsid w:val="00A52E4B"/>
    <w:rsid w:val="00A530F0"/>
    <w:rsid w:val="00A53399"/>
    <w:rsid w:val="00A5343D"/>
    <w:rsid w:val="00A5350A"/>
    <w:rsid w:val="00A537E8"/>
    <w:rsid w:val="00A53962"/>
    <w:rsid w:val="00A539D1"/>
    <w:rsid w:val="00A53C65"/>
    <w:rsid w:val="00A53C70"/>
    <w:rsid w:val="00A53D7D"/>
    <w:rsid w:val="00A53E27"/>
    <w:rsid w:val="00A53E6E"/>
    <w:rsid w:val="00A54197"/>
    <w:rsid w:val="00A543CA"/>
    <w:rsid w:val="00A54419"/>
    <w:rsid w:val="00A54512"/>
    <w:rsid w:val="00A5457E"/>
    <w:rsid w:val="00A54765"/>
    <w:rsid w:val="00A547B3"/>
    <w:rsid w:val="00A5491E"/>
    <w:rsid w:val="00A54953"/>
    <w:rsid w:val="00A54A58"/>
    <w:rsid w:val="00A54AB8"/>
    <w:rsid w:val="00A54ACA"/>
    <w:rsid w:val="00A54C30"/>
    <w:rsid w:val="00A54D79"/>
    <w:rsid w:val="00A54DAE"/>
    <w:rsid w:val="00A54E96"/>
    <w:rsid w:val="00A550EE"/>
    <w:rsid w:val="00A55423"/>
    <w:rsid w:val="00A55519"/>
    <w:rsid w:val="00A55524"/>
    <w:rsid w:val="00A556BC"/>
    <w:rsid w:val="00A55774"/>
    <w:rsid w:val="00A55C23"/>
    <w:rsid w:val="00A55F54"/>
    <w:rsid w:val="00A55F6B"/>
    <w:rsid w:val="00A55FAA"/>
    <w:rsid w:val="00A561C0"/>
    <w:rsid w:val="00A5631F"/>
    <w:rsid w:val="00A5632E"/>
    <w:rsid w:val="00A5637B"/>
    <w:rsid w:val="00A56A0D"/>
    <w:rsid w:val="00A56D3B"/>
    <w:rsid w:val="00A56FFC"/>
    <w:rsid w:val="00A570CC"/>
    <w:rsid w:val="00A571EC"/>
    <w:rsid w:val="00A571EE"/>
    <w:rsid w:val="00A57311"/>
    <w:rsid w:val="00A57450"/>
    <w:rsid w:val="00A57479"/>
    <w:rsid w:val="00A574E6"/>
    <w:rsid w:val="00A575C0"/>
    <w:rsid w:val="00A57690"/>
    <w:rsid w:val="00A577D9"/>
    <w:rsid w:val="00A57A30"/>
    <w:rsid w:val="00A57B53"/>
    <w:rsid w:val="00A57B93"/>
    <w:rsid w:val="00A57C08"/>
    <w:rsid w:val="00A57CA4"/>
    <w:rsid w:val="00A600D9"/>
    <w:rsid w:val="00A604CD"/>
    <w:rsid w:val="00A60787"/>
    <w:rsid w:val="00A6078C"/>
    <w:rsid w:val="00A607E3"/>
    <w:rsid w:val="00A609B3"/>
    <w:rsid w:val="00A60A54"/>
    <w:rsid w:val="00A60A9B"/>
    <w:rsid w:val="00A60C65"/>
    <w:rsid w:val="00A60DD1"/>
    <w:rsid w:val="00A612FC"/>
    <w:rsid w:val="00A6135F"/>
    <w:rsid w:val="00A6147B"/>
    <w:rsid w:val="00A61543"/>
    <w:rsid w:val="00A61869"/>
    <w:rsid w:val="00A61919"/>
    <w:rsid w:val="00A6191A"/>
    <w:rsid w:val="00A61928"/>
    <w:rsid w:val="00A619BE"/>
    <w:rsid w:val="00A62194"/>
    <w:rsid w:val="00A6234E"/>
    <w:rsid w:val="00A62512"/>
    <w:rsid w:val="00A6269C"/>
    <w:rsid w:val="00A626E9"/>
    <w:rsid w:val="00A62AD1"/>
    <w:rsid w:val="00A62DD2"/>
    <w:rsid w:val="00A6307C"/>
    <w:rsid w:val="00A631BF"/>
    <w:rsid w:val="00A6324F"/>
    <w:rsid w:val="00A635E2"/>
    <w:rsid w:val="00A637A0"/>
    <w:rsid w:val="00A6394A"/>
    <w:rsid w:val="00A63A81"/>
    <w:rsid w:val="00A63BED"/>
    <w:rsid w:val="00A63D4A"/>
    <w:rsid w:val="00A63ECD"/>
    <w:rsid w:val="00A63F4C"/>
    <w:rsid w:val="00A63FC6"/>
    <w:rsid w:val="00A64093"/>
    <w:rsid w:val="00A640EB"/>
    <w:rsid w:val="00A64241"/>
    <w:rsid w:val="00A645FC"/>
    <w:rsid w:val="00A64752"/>
    <w:rsid w:val="00A64815"/>
    <w:rsid w:val="00A64AE1"/>
    <w:rsid w:val="00A64B30"/>
    <w:rsid w:val="00A64C38"/>
    <w:rsid w:val="00A64CD1"/>
    <w:rsid w:val="00A64D2F"/>
    <w:rsid w:val="00A64DFC"/>
    <w:rsid w:val="00A64E95"/>
    <w:rsid w:val="00A64EE1"/>
    <w:rsid w:val="00A65043"/>
    <w:rsid w:val="00A654A4"/>
    <w:rsid w:val="00A655AD"/>
    <w:rsid w:val="00A655D1"/>
    <w:rsid w:val="00A65618"/>
    <w:rsid w:val="00A656C3"/>
    <w:rsid w:val="00A65824"/>
    <w:rsid w:val="00A65829"/>
    <w:rsid w:val="00A65AC2"/>
    <w:rsid w:val="00A65BCD"/>
    <w:rsid w:val="00A65BE1"/>
    <w:rsid w:val="00A65C16"/>
    <w:rsid w:val="00A65C3C"/>
    <w:rsid w:val="00A65EA1"/>
    <w:rsid w:val="00A65F11"/>
    <w:rsid w:val="00A65FDA"/>
    <w:rsid w:val="00A66110"/>
    <w:rsid w:val="00A6612B"/>
    <w:rsid w:val="00A6633B"/>
    <w:rsid w:val="00A66435"/>
    <w:rsid w:val="00A664EB"/>
    <w:rsid w:val="00A66513"/>
    <w:rsid w:val="00A66992"/>
    <w:rsid w:val="00A66AB3"/>
    <w:rsid w:val="00A66B08"/>
    <w:rsid w:val="00A66D8D"/>
    <w:rsid w:val="00A66DB3"/>
    <w:rsid w:val="00A66DF9"/>
    <w:rsid w:val="00A670E0"/>
    <w:rsid w:val="00A671BB"/>
    <w:rsid w:val="00A6725C"/>
    <w:rsid w:val="00A6732D"/>
    <w:rsid w:val="00A6738E"/>
    <w:rsid w:val="00A673F0"/>
    <w:rsid w:val="00A674B1"/>
    <w:rsid w:val="00A67618"/>
    <w:rsid w:val="00A6764E"/>
    <w:rsid w:val="00A67845"/>
    <w:rsid w:val="00A678B8"/>
    <w:rsid w:val="00A67914"/>
    <w:rsid w:val="00A67FD1"/>
    <w:rsid w:val="00A70017"/>
    <w:rsid w:val="00A70259"/>
    <w:rsid w:val="00A703B2"/>
    <w:rsid w:val="00A703FE"/>
    <w:rsid w:val="00A70473"/>
    <w:rsid w:val="00A704C0"/>
    <w:rsid w:val="00A704E4"/>
    <w:rsid w:val="00A70659"/>
    <w:rsid w:val="00A706CF"/>
    <w:rsid w:val="00A70756"/>
    <w:rsid w:val="00A707CB"/>
    <w:rsid w:val="00A70870"/>
    <w:rsid w:val="00A709DD"/>
    <w:rsid w:val="00A709FF"/>
    <w:rsid w:val="00A70D4B"/>
    <w:rsid w:val="00A70ED9"/>
    <w:rsid w:val="00A711F1"/>
    <w:rsid w:val="00A7136A"/>
    <w:rsid w:val="00A715EE"/>
    <w:rsid w:val="00A71800"/>
    <w:rsid w:val="00A7191F"/>
    <w:rsid w:val="00A71C0E"/>
    <w:rsid w:val="00A71C44"/>
    <w:rsid w:val="00A71C45"/>
    <w:rsid w:val="00A71DA7"/>
    <w:rsid w:val="00A71DAC"/>
    <w:rsid w:val="00A71E73"/>
    <w:rsid w:val="00A720C2"/>
    <w:rsid w:val="00A721D2"/>
    <w:rsid w:val="00A72296"/>
    <w:rsid w:val="00A725E2"/>
    <w:rsid w:val="00A727FA"/>
    <w:rsid w:val="00A7293A"/>
    <w:rsid w:val="00A72C5F"/>
    <w:rsid w:val="00A72C6C"/>
    <w:rsid w:val="00A72D76"/>
    <w:rsid w:val="00A72DBE"/>
    <w:rsid w:val="00A73053"/>
    <w:rsid w:val="00A730AD"/>
    <w:rsid w:val="00A7323A"/>
    <w:rsid w:val="00A732A8"/>
    <w:rsid w:val="00A735EC"/>
    <w:rsid w:val="00A7370A"/>
    <w:rsid w:val="00A7388E"/>
    <w:rsid w:val="00A739BC"/>
    <w:rsid w:val="00A73AC7"/>
    <w:rsid w:val="00A73B92"/>
    <w:rsid w:val="00A73BAC"/>
    <w:rsid w:val="00A73F39"/>
    <w:rsid w:val="00A73F4D"/>
    <w:rsid w:val="00A73F5A"/>
    <w:rsid w:val="00A74435"/>
    <w:rsid w:val="00A744EC"/>
    <w:rsid w:val="00A74544"/>
    <w:rsid w:val="00A74548"/>
    <w:rsid w:val="00A745F0"/>
    <w:rsid w:val="00A7488C"/>
    <w:rsid w:val="00A74B5F"/>
    <w:rsid w:val="00A74BBD"/>
    <w:rsid w:val="00A74CA6"/>
    <w:rsid w:val="00A74D7D"/>
    <w:rsid w:val="00A74DF0"/>
    <w:rsid w:val="00A74DF2"/>
    <w:rsid w:val="00A74E4D"/>
    <w:rsid w:val="00A74F56"/>
    <w:rsid w:val="00A7520E"/>
    <w:rsid w:val="00A753A2"/>
    <w:rsid w:val="00A7546F"/>
    <w:rsid w:val="00A75483"/>
    <w:rsid w:val="00A7559C"/>
    <w:rsid w:val="00A755E3"/>
    <w:rsid w:val="00A75701"/>
    <w:rsid w:val="00A75744"/>
    <w:rsid w:val="00A7592E"/>
    <w:rsid w:val="00A75954"/>
    <w:rsid w:val="00A75A8C"/>
    <w:rsid w:val="00A75B39"/>
    <w:rsid w:val="00A75D57"/>
    <w:rsid w:val="00A75EBD"/>
    <w:rsid w:val="00A75F3D"/>
    <w:rsid w:val="00A75FD8"/>
    <w:rsid w:val="00A760B3"/>
    <w:rsid w:val="00A7613B"/>
    <w:rsid w:val="00A76314"/>
    <w:rsid w:val="00A765D5"/>
    <w:rsid w:val="00A7661F"/>
    <w:rsid w:val="00A76920"/>
    <w:rsid w:val="00A76B12"/>
    <w:rsid w:val="00A76C1F"/>
    <w:rsid w:val="00A76FFA"/>
    <w:rsid w:val="00A771FF"/>
    <w:rsid w:val="00A77261"/>
    <w:rsid w:val="00A773D1"/>
    <w:rsid w:val="00A7746F"/>
    <w:rsid w:val="00A774D1"/>
    <w:rsid w:val="00A774FE"/>
    <w:rsid w:val="00A7755A"/>
    <w:rsid w:val="00A775F6"/>
    <w:rsid w:val="00A778CA"/>
    <w:rsid w:val="00A77A6E"/>
    <w:rsid w:val="00A77C74"/>
    <w:rsid w:val="00A77E84"/>
    <w:rsid w:val="00A8003F"/>
    <w:rsid w:val="00A803FC"/>
    <w:rsid w:val="00A8071A"/>
    <w:rsid w:val="00A809B1"/>
    <w:rsid w:val="00A80A7A"/>
    <w:rsid w:val="00A80B54"/>
    <w:rsid w:val="00A80C79"/>
    <w:rsid w:val="00A80DD9"/>
    <w:rsid w:val="00A80ED2"/>
    <w:rsid w:val="00A80FCA"/>
    <w:rsid w:val="00A811CA"/>
    <w:rsid w:val="00A81472"/>
    <w:rsid w:val="00A815EA"/>
    <w:rsid w:val="00A81995"/>
    <w:rsid w:val="00A81A0C"/>
    <w:rsid w:val="00A81B43"/>
    <w:rsid w:val="00A81CBC"/>
    <w:rsid w:val="00A81D5F"/>
    <w:rsid w:val="00A81F0D"/>
    <w:rsid w:val="00A82506"/>
    <w:rsid w:val="00A82676"/>
    <w:rsid w:val="00A82A76"/>
    <w:rsid w:val="00A82DB7"/>
    <w:rsid w:val="00A82E01"/>
    <w:rsid w:val="00A82F76"/>
    <w:rsid w:val="00A83007"/>
    <w:rsid w:val="00A83142"/>
    <w:rsid w:val="00A83166"/>
    <w:rsid w:val="00A8338B"/>
    <w:rsid w:val="00A83484"/>
    <w:rsid w:val="00A834F2"/>
    <w:rsid w:val="00A837CE"/>
    <w:rsid w:val="00A837FB"/>
    <w:rsid w:val="00A83A0D"/>
    <w:rsid w:val="00A83BE3"/>
    <w:rsid w:val="00A83C74"/>
    <w:rsid w:val="00A83D72"/>
    <w:rsid w:val="00A83DB5"/>
    <w:rsid w:val="00A83DD2"/>
    <w:rsid w:val="00A83E66"/>
    <w:rsid w:val="00A83FBA"/>
    <w:rsid w:val="00A8403C"/>
    <w:rsid w:val="00A84115"/>
    <w:rsid w:val="00A84357"/>
    <w:rsid w:val="00A84636"/>
    <w:rsid w:val="00A846FE"/>
    <w:rsid w:val="00A849E1"/>
    <w:rsid w:val="00A84BB5"/>
    <w:rsid w:val="00A84C92"/>
    <w:rsid w:val="00A84CD6"/>
    <w:rsid w:val="00A84FE1"/>
    <w:rsid w:val="00A85080"/>
    <w:rsid w:val="00A850EA"/>
    <w:rsid w:val="00A8520B"/>
    <w:rsid w:val="00A852B7"/>
    <w:rsid w:val="00A85849"/>
    <w:rsid w:val="00A8594F"/>
    <w:rsid w:val="00A85A8B"/>
    <w:rsid w:val="00A85C99"/>
    <w:rsid w:val="00A85E10"/>
    <w:rsid w:val="00A860A3"/>
    <w:rsid w:val="00A860F7"/>
    <w:rsid w:val="00A86331"/>
    <w:rsid w:val="00A86406"/>
    <w:rsid w:val="00A86518"/>
    <w:rsid w:val="00A8656C"/>
    <w:rsid w:val="00A86853"/>
    <w:rsid w:val="00A86993"/>
    <w:rsid w:val="00A869BB"/>
    <w:rsid w:val="00A869E6"/>
    <w:rsid w:val="00A86B1E"/>
    <w:rsid w:val="00A86B75"/>
    <w:rsid w:val="00A86BAD"/>
    <w:rsid w:val="00A86C10"/>
    <w:rsid w:val="00A86C3F"/>
    <w:rsid w:val="00A86CEB"/>
    <w:rsid w:val="00A86D40"/>
    <w:rsid w:val="00A86DF9"/>
    <w:rsid w:val="00A86E75"/>
    <w:rsid w:val="00A86F22"/>
    <w:rsid w:val="00A86F33"/>
    <w:rsid w:val="00A87145"/>
    <w:rsid w:val="00A871A1"/>
    <w:rsid w:val="00A87429"/>
    <w:rsid w:val="00A8769C"/>
    <w:rsid w:val="00A876E8"/>
    <w:rsid w:val="00A8784B"/>
    <w:rsid w:val="00A878AB"/>
    <w:rsid w:val="00A879D4"/>
    <w:rsid w:val="00A87E87"/>
    <w:rsid w:val="00A87F0A"/>
    <w:rsid w:val="00A87F24"/>
    <w:rsid w:val="00A90042"/>
    <w:rsid w:val="00A90194"/>
    <w:rsid w:val="00A902B4"/>
    <w:rsid w:val="00A902E1"/>
    <w:rsid w:val="00A902F6"/>
    <w:rsid w:val="00A90328"/>
    <w:rsid w:val="00A90392"/>
    <w:rsid w:val="00A903AA"/>
    <w:rsid w:val="00A9065F"/>
    <w:rsid w:val="00A906F7"/>
    <w:rsid w:val="00A9074E"/>
    <w:rsid w:val="00A90B0E"/>
    <w:rsid w:val="00A90F05"/>
    <w:rsid w:val="00A910EC"/>
    <w:rsid w:val="00A91189"/>
    <w:rsid w:val="00A91248"/>
    <w:rsid w:val="00A912D9"/>
    <w:rsid w:val="00A914F8"/>
    <w:rsid w:val="00A917BA"/>
    <w:rsid w:val="00A917E1"/>
    <w:rsid w:val="00A91AA1"/>
    <w:rsid w:val="00A91C6C"/>
    <w:rsid w:val="00A91C8C"/>
    <w:rsid w:val="00A91D9C"/>
    <w:rsid w:val="00A91F0D"/>
    <w:rsid w:val="00A91FD4"/>
    <w:rsid w:val="00A9231E"/>
    <w:rsid w:val="00A9235A"/>
    <w:rsid w:val="00A9238A"/>
    <w:rsid w:val="00A923F3"/>
    <w:rsid w:val="00A92432"/>
    <w:rsid w:val="00A9272A"/>
    <w:rsid w:val="00A9293C"/>
    <w:rsid w:val="00A92985"/>
    <w:rsid w:val="00A92A55"/>
    <w:rsid w:val="00A92AB1"/>
    <w:rsid w:val="00A92B43"/>
    <w:rsid w:val="00A92C1B"/>
    <w:rsid w:val="00A92CBF"/>
    <w:rsid w:val="00A92F00"/>
    <w:rsid w:val="00A92F2B"/>
    <w:rsid w:val="00A92FF7"/>
    <w:rsid w:val="00A93069"/>
    <w:rsid w:val="00A93082"/>
    <w:rsid w:val="00A9350E"/>
    <w:rsid w:val="00A935D1"/>
    <w:rsid w:val="00A93A8B"/>
    <w:rsid w:val="00A93BD0"/>
    <w:rsid w:val="00A93D47"/>
    <w:rsid w:val="00A94082"/>
    <w:rsid w:val="00A94155"/>
    <w:rsid w:val="00A94171"/>
    <w:rsid w:val="00A9428D"/>
    <w:rsid w:val="00A945B9"/>
    <w:rsid w:val="00A9468F"/>
    <w:rsid w:val="00A9495C"/>
    <w:rsid w:val="00A9498D"/>
    <w:rsid w:val="00A94A22"/>
    <w:rsid w:val="00A94C96"/>
    <w:rsid w:val="00A94CCC"/>
    <w:rsid w:val="00A94D00"/>
    <w:rsid w:val="00A94E79"/>
    <w:rsid w:val="00A94F7A"/>
    <w:rsid w:val="00A9509C"/>
    <w:rsid w:val="00A9511A"/>
    <w:rsid w:val="00A952AE"/>
    <w:rsid w:val="00A95335"/>
    <w:rsid w:val="00A95530"/>
    <w:rsid w:val="00A9566B"/>
    <w:rsid w:val="00A95773"/>
    <w:rsid w:val="00A95822"/>
    <w:rsid w:val="00A95C49"/>
    <w:rsid w:val="00A960E0"/>
    <w:rsid w:val="00A9624B"/>
    <w:rsid w:val="00A9657F"/>
    <w:rsid w:val="00A965B7"/>
    <w:rsid w:val="00A96907"/>
    <w:rsid w:val="00A96C67"/>
    <w:rsid w:val="00A96DF1"/>
    <w:rsid w:val="00A96EDC"/>
    <w:rsid w:val="00A970C4"/>
    <w:rsid w:val="00A9797D"/>
    <w:rsid w:val="00A979D4"/>
    <w:rsid w:val="00A97B0E"/>
    <w:rsid w:val="00A97C5C"/>
    <w:rsid w:val="00A97C92"/>
    <w:rsid w:val="00A97D8E"/>
    <w:rsid w:val="00A97FE2"/>
    <w:rsid w:val="00AA015F"/>
    <w:rsid w:val="00AA0177"/>
    <w:rsid w:val="00AA02A8"/>
    <w:rsid w:val="00AA0353"/>
    <w:rsid w:val="00AA03C9"/>
    <w:rsid w:val="00AA040B"/>
    <w:rsid w:val="00AA0491"/>
    <w:rsid w:val="00AA06A4"/>
    <w:rsid w:val="00AA0918"/>
    <w:rsid w:val="00AA0952"/>
    <w:rsid w:val="00AA0A4A"/>
    <w:rsid w:val="00AA0B8A"/>
    <w:rsid w:val="00AA0C3A"/>
    <w:rsid w:val="00AA0D5E"/>
    <w:rsid w:val="00AA0F12"/>
    <w:rsid w:val="00AA100B"/>
    <w:rsid w:val="00AA118D"/>
    <w:rsid w:val="00AA11AB"/>
    <w:rsid w:val="00AA12C0"/>
    <w:rsid w:val="00AA155D"/>
    <w:rsid w:val="00AA163A"/>
    <w:rsid w:val="00AA1723"/>
    <w:rsid w:val="00AA17CA"/>
    <w:rsid w:val="00AA190D"/>
    <w:rsid w:val="00AA1AE7"/>
    <w:rsid w:val="00AA1FB0"/>
    <w:rsid w:val="00AA1FDD"/>
    <w:rsid w:val="00AA1FE0"/>
    <w:rsid w:val="00AA21AB"/>
    <w:rsid w:val="00AA22C3"/>
    <w:rsid w:val="00AA230D"/>
    <w:rsid w:val="00AA257B"/>
    <w:rsid w:val="00AA2898"/>
    <w:rsid w:val="00AA289D"/>
    <w:rsid w:val="00AA2969"/>
    <w:rsid w:val="00AA2A08"/>
    <w:rsid w:val="00AA2BF5"/>
    <w:rsid w:val="00AA2DA3"/>
    <w:rsid w:val="00AA2E7B"/>
    <w:rsid w:val="00AA2EB2"/>
    <w:rsid w:val="00AA2EB4"/>
    <w:rsid w:val="00AA30A2"/>
    <w:rsid w:val="00AA321A"/>
    <w:rsid w:val="00AA32A6"/>
    <w:rsid w:val="00AA32BA"/>
    <w:rsid w:val="00AA3854"/>
    <w:rsid w:val="00AA3BCC"/>
    <w:rsid w:val="00AA3D40"/>
    <w:rsid w:val="00AA43E6"/>
    <w:rsid w:val="00AA449F"/>
    <w:rsid w:val="00AA44B3"/>
    <w:rsid w:val="00AA45A3"/>
    <w:rsid w:val="00AA45CC"/>
    <w:rsid w:val="00AA4838"/>
    <w:rsid w:val="00AA4941"/>
    <w:rsid w:val="00AA4947"/>
    <w:rsid w:val="00AA49E9"/>
    <w:rsid w:val="00AA4AA8"/>
    <w:rsid w:val="00AA4C36"/>
    <w:rsid w:val="00AA4EC0"/>
    <w:rsid w:val="00AA50AA"/>
    <w:rsid w:val="00AA50D9"/>
    <w:rsid w:val="00AA5170"/>
    <w:rsid w:val="00AA528B"/>
    <w:rsid w:val="00AA52A4"/>
    <w:rsid w:val="00AA5475"/>
    <w:rsid w:val="00AA5583"/>
    <w:rsid w:val="00AA5616"/>
    <w:rsid w:val="00AA56AB"/>
    <w:rsid w:val="00AA577C"/>
    <w:rsid w:val="00AA5876"/>
    <w:rsid w:val="00AA59F6"/>
    <w:rsid w:val="00AA5AC8"/>
    <w:rsid w:val="00AA5AF9"/>
    <w:rsid w:val="00AA5B8B"/>
    <w:rsid w:val="00AA5BBA"/>
    <w:rsid w:val="00AA5C9D"/>
    <w:rsid w:val="00AA5D6C"/>
    <w:rsid w:val="00AA5DC8"/>
    <w:rsid w:val="00AA5E4C"/>
    <w:rsid w:val="00AA5F27"/>
    <w:rsid w:val="00AA6090"/>
    <w:rsid w:val="00AA617A"/>
    <w:rsid w:val="00AA665F"/>
    <w:rsid w:val="00AA6992"/>
    <w:rsid w:val="00AA6A8A"/>
    <w:rsid w:val="00AA6B3F"/>
    <w:rsid w:val="00AA6DD8"/>
    <w:rsid w:val="00AA6FA3"/>
    <w:rsid w:val="00AA7058"/>
    <w:rsid w:val="00AA70BB"/>
    <w:rsid w:val="00AA72BA"/>
    <w:rsid w:val="00AA7479"/>
    <w:rsid w:val="00AA757C"/>
    <w:rsid w:val="00AA758D"/>
    <w:rsid w:val="00AA768B"/>
    <w:rsid w:val="00AA78FE"/>
    <w:rsid w:val="00AA7948"/>
    <w:rsid w:val="00AA7D34"/>
    <w:rsid w:val="00AA7DAC"/>
    <w:rsid w:val="00AA7DAF"/>
    <w:rsid w:val="00AA7E10"/>
    <w:rsid w:val="00AA7F10"/>
    <w:rsid w:val="00AB0160"/>
    <w:rsid w:val="00AB030B"/>
    <w:rsid w:val="00AB0391"/>
    <w:rsid w:val="00AB03CD"/>
    <w:rsid w:val="00AB0418"/>
    <w:rsid w:val="00AB04A8"/>
    <w:rsid w:val="00AB04BF"/>
    <w:rsid w:val="00AB04CD"/>
    <w:rsid w:val="00AB05D5"/>
    <w:rsid w:val="00AB07F3"/>
    <w:rsid w:val="00AB0B49"/>
    <w:rsid w:val="00AB0D69"/>
    <w:rsid w:val="00AB0FD4"/>
    <w:rsid w:val="00AB14E2"/>
    <w:rsid w:val="00AB14F8"/>
    <w:rsid w:val="00AB168B"/>
    <w:rsid w:val="00AB1A60"/>
    <w:rsid w:val="00AB1A71"/>
    <w:rsid w:val="00AB1BDC"/>
    <w:rsid w:val="00AB1C1A"/>
    <w:rsid w:val="00AB1FBA"/>
    <w:rsid w:val="00AB2151"/>
    <w:rsid w:val="00AB2244"/>
    <w:rsid w:val="00AB2289"/>
    <w:rsid w:val="00AB29AD"/>
    <w:rsid w:val="00AB2AB7"/>
    <w:rsid w:val="00AB2C59"/>
    <w:rsid w:val="00AB2C8A"/>
    <w:rsid w:val="00AB2EE8"/>
    <w:rsid w:val="00AB3076"/>
    <w:rsid w:val="00AB32C6"/>
    <w:rsid w:val="00AB3617"/>
    <w:rsid w:val="00AB38F0"/>
    <w:rsid w:val="00AB3999"/>
    <w:rsid w:val="00AB3AC9"/>
    <w:rsid w:val="00AB3D31"/>
    <w:rsid w:val="00AB3EC4"/>
    <w:rsid w:val="00AB40B8"/>
    <w:rsid w:val="00AB40C8"/>
    <w:rsid w:val="00AB4277"/>
    <w:rsid w:val="00AB42B6"/>
    <w:rsid w:val="00AB42D2"/>
    <w:rsid w:val="00AB43E1"/>
    <w:rsid w:val="00AB463E"/>
    <w:rsid w:val="00AB464B"/>
    <w:rsid w:val="00AB47B7"/>
    <w:rsid w:val="00AB47D6"/>
    <w:rsid w:val="00AB486E"/>
    <w:rsid w:val="00AB4965"/>
    <w:rsid w:val="00AB49CC"/>
    <w:rsid w:val="00AB49E4"/>
    <w:rsid w:val="00AB4B1A"/>
    <w:rsid w:val="00AB4CB2"/>
    <w:rsid w:val="00AB4D67"/>
    <w:rsid w:val="00AB4F1E"/>
    <w:rsid w:val="00AB4FC5"/>
    <w:rsid w:val="00AB502C"/>
    <w:rsid w:val="00AB545D"/>
    <w:rsid w:val="00AB54D7"/>
    <w:rsid w:val="00AB5597"/>
    <w:rsid w:val="00AB55ED"/>
    <w:rsid w:val="00AB57D3"/>
    <w:rsid w:val="00AB58CB"/>
    <w:rsid w:val="00AB5C40"/>
    <w:rsid w:val="00AB5D3D"/>
    <w:rsid w:val="00AB5DF1"/>
    <w:rsid w:val="00AB5E21"/>
    <w:rsid w:val="00AB6301"/>
    <w:rsid w:val="00AB63C6"/>
    <w:rsid w:val="00AB6563"/>
    <w:rsid w:val="00AB657C"/>
    <w:rsid w:val="00AB6590"/>
    <w:rsid w:val="00AB6704"/>
    <w:rsid w:val="00AB6857"/>
    <w:rsid w:val="00AB6886"/>
    <w:rsid w:val="00AB68F3"/>
    <w:rsid w:val="00AB6AE4"/>
    <w:rsid w:val="00AB6C6C"/>
    <w:rsid w:val="00AB6E00"/>
    <w:rsid w:val="00AB6F37"/>
    <w:rsid w:val="00AB723E"/>
    <w:rsid w:val="00AB72F1"/>
    <w:rsid w:val="00AB7621"/>
    <w:rsid w:val="00AB769E"/>
    <w:rsid w:val="00AB7A12"/>
    <w:rsid w:val="00AB7A14"/>
    <w:rsid w:val="00AB7C0B"/>
    <w:rsid w:val="00AB7D55"/>
    <w:rsid w:val="00AC0059"/>
    <w:rsid w:val="00AC02F6"/>
    <w:rsid w:val="00AC04BB"/>
    <w:rsid w:val="00AC04D2"/>
    <w:rsid w:val="00AC050E"/>
    <w:rsid w:val="00AC0541"/>
    <w:rsid w:val="00AC0681"/>
    <w:rsid w:val="00AC072F"/>
    <w:rsid w:val="00AC084B"/>
    <w:rsid w:val="00AC08F2"/>
    <w:rsid w:val="00AC0B00"/>
    <w:rsid w:val="00AC0EDA"/>
    <w:rsid w:val="00AC1501"/>
    <w:rsid w:val="00AC154B"/>
    <w:rsid w:val="00AC1560"/>
    <w:rsid w:val="00AC1652"/>
    <w:rsid w:val="00AC1A9A"/>
    <w:rsid w:val="00AC1B2E"/>
    <w:rsid w:val="00AC1B72"/>
    <w:rsid w:val="00AC1BEB"/>
    <w:rsid w:val="00AC206F"/>
    <w:rsid w:val="00AC23C0"/>
    <w:rsid w:val="00AC23D7"/>
    <w:rsid w:val="00AC2563"/>
    <w:rsid w:val="00AC262B"/>
    <w:rsid w:val="00AC26FE"/>
    <w:rsid w:val="00AC2A0F"/>
    <w:rsid w:val="00AC2CF1"/>
    <w:rsid w:val="00AC320C"/>
    <w:rsid w:val="00AC350D"/>
    <w:rsid w:val="00AC3568"/>
    <w:rsid w:val="00AC3684"/>
    <w:rsid w:val="00AC370B"/>
    <w:rsid w:val="00AC3735"/>
    <w:rsid w:val="00AC3742"/>
    <w:rsid w:val="00AC3B1D"/>
    <w:rsid w:val="00AC3BA2"/>
    <w:rsid w:val="00AC3BAB"/>
    <w:rsid w:val="00AC3CF2"/>
    <w:rsid w:val="00AC3D8E"/>
    <w:rsid w:val="00AC426E"/>
    <w:rsid w:val="00AC443A"/>
    <w:rsid w:val="00AC44D9"/>
    <w:rsid w:val="00AC47EC"/>
    <w:rsid w:val="00AC4805"/>
    <w:rsid w:val="00AC4BF6"/>
    <w:rsid w:val="00AC4D2E"/>
    <w:rsid w:val="00AC4D39"/>
    <w:rsid w:val="00AC4E5D"/>
    <w:rsid w:val="00AC4ED0"/>
    <w:rsid w:val="00AC507D"/>
    <w:rsid w:val="00AC51DA"/>
    <w:rsid w:val="00AC5270"/>
    <w:rsid w:val="00AC567E"/>
    <w:rsid w:val="00AC58A3"/>
    <w:rsid w:val="00AC58E9"/>
    <w:rsid w:val="00AC5A30"/>
    <w:rsid w:val="00AC5A31"/>
    <w:rsid w:val="00AC5BF4"/>
    <w:rsid w:val="00AC5C99"/>
    <w:rsid w:val="00AC5CD8"/>
    <w:rsid w:val="00AC6061"/>
    <w:rsid w:val="00AC60E4"/>
    <w:rsid w:val="00AC649C"/>
    <w:rsid w:val="00AC6630"/>
    <w:rsid w:val="00AC6756"/>
    <w:rsid w:val="00AC67E8"/>
    <w:rsid w:val="00AC6862"/>
    <w:rsid w:val="00AC6AFD"/>
    <w:rsid w:val="00AC6C53"/>
    <w:rsid w:val="00AC6CCF"/>
    <w:rsid w:val="00AC6D87"/>
    <w:rsid w:val="00AC6DD7"/>
    <w:rsid w:val="00AC6DF1"/>
    <w:rsid w:val="00AC6E85"/>
    <w:rsid w:val="00AC6EBE"/>
    <w:rsid w:val="00AC6FC1"/>
    <w:rsid w:val="00AC7225"/>
    <w:rsid w:val="00AC7284"/>
    <w:rsid w:val="00AC7304"/>
    <w:rsid w:val="00AC7336"/>
    <w:rsid w:val="00AC7467"/>
    <w:rsid w:val="00AC749C"/>
    <w:rsid w:val="00AC756C"/>
    <w:rsid w:val="00AC7C59"/>
    <w:rsid w:val="00AC7CE6"/>
    <w:rsid w:val="00AD003B"/>
    <w:rsid w:val="00AD00CC"/>
    <w:rsid w:val="00AD00DB"/>
    <w:rsid w:val="00AD016C"/>
    <w:rsid w:val="00AD0209"/>
    <w:rsid w:val="00AD0315"/>
    <w:rsid w:val="00AD0551"/>
    <w:rsid w:val="00AD0828"/>
    <w:rsid w:val="00AD0835"/>
    <w:rsid w:val="00AD0B13"/>
    <w:rsid w:val="00AD0B69"/>
    <w:rsid w:val="00AD0C80"/>
    <w:rsid w:val="00AD0E69"/>
    <w:rsid w:val="00AD103D"/>
    <w:rsid w:val="00AD128E"/>
    <w:rsid w:val="00AD159C"/>
    <w:rsid w:val="00AD17FA"/>
    <w:rsid w:val="00AD1999"/>
    <w:rsid w:val="00AD19EC"/>
    <w:rsid w:val="00AD2301"/>
    <w:rsid w:val="00AD2376"/>
    <w:rsid w:val="00AD2717"/>
    <w:rsid w:val="00AD27EA"/>
    <w:rsid w:val="00AD2964"/>
    <w:rsid w:val="00AD29E8"/>
    <w:rsid w:val="00AD2B3D"/>
    <w:rsid w:val="00AD2D0B"/>
    <w:rsid w:val="00AD341E"/>
    <w:rsid w:val="00AD3691"/>
    <w:rsid w:val="00AD3981"/>
    <w:rsid w:val="00AD3DC4"/>
    <w:rsid w:val="00AD401F"/>
    <w:rsid w:val="00AD4026"/>
    <w:rsid w:val="00AD42B4"/>
    <w:rsid w:val="00AD4409"/>
    <w:rsid w:val="00AD484D"/>
    <w:rsid w:val="00AD496C"/>
    <w:rsid w:val="00AD4AF1"/>
    <w:rsid w:val="00AD4E6D"/>
    <w:rsid w:val="00AD4F8D"/>
    <w:rsid w:val="00AD4FF4"/>
    <w:rsid w:val="00AD506C"/>
    <w:rsid w:val="00AD50DB"/>
    <w:rsid w:val="00AD50F7"/>
    <w:rsid w:val="00AD531D"/>
    <w:rsid w:val="00AD53A0"/>
    <w:rsid w:val="00AD5555"/>
    <w:rsid w:val="00AD593C"/>
    <w:rsid w:val="00AD5BCA"/>
    <w:rsid w:val="00AD5CFD"/>
    <w:rsid w:val="00AD600C"/>
    <w:rsid w:val="00AD60D4"/>
    <w:rsid w:val="00AD63A4"/>
    <w:rsid w:val="00AD63A5"/>
    <w:rsid w:val="00AD63A6"/>
    <w:rsid w:val="00AD63D6"/>
    <w:rsid w:val="00AD63F1"/>
    <w:rsid w:val="00AD67C2"/>
    <w:rsid w:val="00AD67E6"/>
    <w:rsid w:val="00AD68BA"/>
    <w:rsid w:val="00AD68D5"/>
    <w:rsid w:val="00AD6A38"/>
    <w:rsid w:val="00AD6A7D"/>
    <w:rsid w:val="00AD6B40"/>
    <w:rsid w:val="00AD6BC3"/>
    <w:rsid w:val="00AD6CC6"/>
    <w:rsid w:val="00AD6CD5"/>
    <w:rsid w:val="00AD6DD9"/>
    <w:rsid w:val="00AD6E43"/>
    <w:rsid w:val="00AD6E70"/>
    <w:rsid w:val="00AD70AD"/>
    <w:rsid w:val="00AD70E3"/>
    <w:rsid w:val="00AD717D"/>
    <w:rsid w:val="00AD72C0"/>
    <w:rsid w:val="00AD733B"/>
    <w:rsid w:val="00AD7344"/>
    <w:rsid w:val="00AD7B0D"/>
    <w:rsid w:val="00AD7CA7"/>
    <w:rsid w:val="00AD7E84"/>
    <w:rsid w:val="00AD7FEA"/>
    <w:rsid w:val="00AE0024"/>
    <w:rsid w:val="00AE0040"/>
    <w:rsid w:val="00AE01C6"/>
    <w:rsid w:val="00AE01F5"/>
    <w:rsid w:val="00AE03D3"/>
    <w:rsid w:val="00AE0538"/>
    <w:rsid w:val="00AE0678"/>
    <w:rsid w:val="00AE07DF"/>
    <w:rsid w:val="00AE08B5"/>
    <w:rsid w:val="00AE0E0F"/>
    <w:rsid w:val="00AE0E4E"/>
    <w:rsid w:val="00AE0ECE"/>
    <w:rsid w:val="00AE0FA9"/>
    <w:rsid w:val="00AE0FCF"/>
    <w:rsid w:val="00AE1432"/>
    <w:rsid w:val="00AE17C0"/>
    <w:rsid w:val="00AE17E8"/>
    <w:rsid w:val="00AE184D"/>
    <w:rsid w:val="00AE1912"/>
    <w:rsid w:val="00AE1C03"/>
    <w:rsid w:val="00AE1C38"/>
    <w:rsid w:val="00AE1D18"/>
    <w:rsid w:val="00AE1DFC"/>
    <w:rsid w:val="00AE1E74"/>
    <w:rsid w:val="00AE1EB1"/>
    <w:rsid w:val="00AE1F6A"/>
    <w:rsid w:val="00AE222D"/>
    <w:rsid w:val="00AE23E3"/>
    <w:rsid w:val="00AE25B0"/>
    <w:rsid w:val="00AE26AA"/>
    <w:rsid w:val="00AE2A4A"/>
    <w:rsid w:val="00AE2D07"/>
    <w:rsid w:val="00AE2DDA"/>
    <w:rsid w:val="00AE2DE4"/>
    <w:rsid w:val="00AE2E82"/>
    <w:rsid w:val="00AE2F65"/>
    <w:rsid w:val="00AE3135"/>
    <w:rsid w:val="00AE317E"/>
    <w:rsid w:val="00AE3313"/>
    <w:rsid w:val="00AE35A5"/>
    <w:rsid w:val="00AE35E4"/>
    <w:rsid w:val="00AE38BD"/>
    <w:rsid w:val="00AE3AD7"/>
    <w:rsid w:val="00AE4125"/>
    <w:rsid w:val="00AE4459"/>
    <w:rsid w:val="00AE461F"/>
    <w:rsid w:val="00AE46B5"/>
    <w:rsid w:val="00AE47C7"/>
    <w:rsid w:val="00AE47CB"/>
    <w:rsid w:val="00AE4A62"/>
    <w:rsid w:val="00AE4B4F"/>
    <w:rsid w:val="00AE4D9F"/>
    <w:rsid w:val="00AE4E2A"/>
    <w:rsid w:val="00AE4E34"/>
    <w:rsid w:val="00AE4E91"/>
    <w:rsid w:val="00AE4ECF"/>
    <w:rsid w:val="00AE50E1"/>
    <w:rsid w:val="00AE5145"/>
    <w:rsid w:val="00AE522C"/>
    <w:rsid w:val="00AE5231"/>
    <w:rsid w:val="00AE534C"/>
    <w:rsid w:val="00AE546F"/>
    <w:rsid w:val="00AE55D9"/>
    <w:rsid w:val="00AE56B2"/>
    <w:rsid w:val="00AE591B"/>
    <w:rsid w:val="00AE5B4A"/>
    <w:rsid w:val="00AE5C0E"/>
    <w:rsid w:val="00AE5CF9"/>
    <w:rsid w:val="00AE5DB6"/>
    <w:rsid w:val="00AE648D"/>
    <w:rsid w:val="00AE66DF"/>
    <w:rsid w:val="00AE672B"/>
    <w:rsid w:val="00AE6A64"/>
    <w:rsid w:val="00AE6A74"/>
    <w:rsid w:val="00AE6C3C"/>
    <w:rsid w:val="00AE6C47"/>
    <w:rsid w:val="00AE6D2D"/>
    <w:rsid w:val="00AE6E2F"/>
    <w:rsid w:val="00AE6E72"/>
    <w:rsid w:val="00AE6EBC"/>
    <w:rsid w:val="00AE702E"/>
    <w:rsid w:val="00AE7279"/>
    <w:rsid w:val="00AE7284"/>
    <w:rsid w:val="00AE730F"/>
    <w:rsid w:val="00AE73E0"/>
    <w:rsid w:val="00AE7783"/>
    <w:rsid w:val="00AE782D"/>
    <w:rsid w:val="00AE7963"/>
    <w:rsid w:val="00AE7D76"/>
    <w:rsid w:val="00AF03C0"/>
    <w:rsid w:val="00AF0430"/>
    <w:rsid w:val="00AF049B"/>
    <w:rsid w:val="00AF0660"/>
    <w:rsid w:val="00AF067F"/>
    <w:rsid w:val="00AF0A37"/>
    <w:rsid w:val="00AF0A52"/>
    <w:rsid w:val="00AF0D08"/>
    <w:rsid w:val="00AF0E1A"/>
    <w:rsid w:val="00AF0E29"/>
    <w:rsid w:val="00AF12C4"/>
    <w:rsid w:val="00AF13B6"/>
    <w:rsid w:val="00AF14FF"/>
    <w:rsid w:val="00AF166F"/>
    <w:rsid w:val="00AF1696"/>
    <w:rsid w:val="00AF17D8"/>
    <w:rsid w:val="00AF18F3"/>
    <w:rsid w:val="00AF19EA"/>
    <w:rsid w:val="00AF1B36"/>
    <w:rsid w:val="00AF1C03"/>
    <w:rsid w:val="00AF1D9A"/>
    <w:rsid w:val="00AF1DE3"/>
    <w:rsid w:val="00AF21C4"/>
    <w:rsid w:val="00AF2469"/>
    <w:rsid w:val="00AF2490"/>
    <w:rsid w:val="00AF254B"/>
    <w:rsid w:val="00AF274E"/>
    <w:rsid w:val="00AF28BB"/>
    <w:rsid w:val="00AF29D7"/>
    <w:rsid w:val="00AF2A29"/>
    <w:rsid w:val="00AF2B5C"/>
    <w:rsid w:val="00AF2BAD"/>
    <w:rsid w:val="00AF2C6F"/>
    <w:rsid w:val="00AF2EDB"/>
    <w:rsid w:val="00AF2F24"/>
    <w:rsid w:val="00AF3014"/>
    <w:rsid w:val="00AF3211"/>
    <w:rsid w:val="00AF3215"/>
    <w:rsid w:val="00AF34A3"/>
    <w:rsid w:val="00AF371E"/>
    <w:rsid w:val="00AF38B9"/>
    <w:rsid w:val="00AF399F"/>
    <w:rsid w:val="00AF39AF"/>
    <w:rsid w:val="00AF3C13"/>
    <w:rsid w:val="00AF3E3B"/>
    <w:rsid w:val="00AF3E5A"/>
    <w:rsid w:val="00AF3FB2"/>
    <w:rsid w:val="00AF40E7"/>
    <w:rsid w:val="00AF4106"/>
    <w:rsid w:val="00AF43B6"/>
    <w:rsid w:val="00AF4503"/>
    <w:rsid w:val="00AF45BA"/>
    <w:rsid w:val="00AF46FE"/>
    <w:rsid w:val="00AF4719"/>
    <w:rsid w:val="00AF486F"/>
    <w:rsid w:val="00AF4A01"/>
    <w:rsid w:val="00AF4AF2"/>
    <w:rsid w:val="00AF4B2A"/>
    <w:rsid w:val="00AF4E29"/>
    <w:rsid w:val="00AF4F3B"/>
    <w:rsid w:val="00AF50B3"/>
    <w:rsid w:val="00AF5265"/>
    <w:rsid w:val="00AF52EE"/>
    <w:rsid w:val="00AF53CB"/>
    <w:rsid w:val="00AF548B"/>
    <w:rsid w:val="00AF5569"/>
    <w:rsid w:val="00AF55E0"/>
    <w:rsid w:val="00AF563A"/>
    <w:rsid w:val="00AF5666"/>
    <w:rsid w:val="00AF56C9"/>
    <w:rsid w:val="00AF5755"/>
    <w:rsid w:val="00AF5781"/>
    <w:rsid w:val="00AF57FC"/>
    <w:rsid w:val="00AF5870"/>
    <w:rsid w:val="00AF5BC4"/>
    <w:rsid w:val="00AF5C03"/>
    <w:rsid w:val="00AF5DA0"/>
    <w:rsid w:val="00AF5F29"/>
    <w:rsid w:val="00AF6053"/>
    <w:rsid w:val="00AF6249"/>
    <w:rsid w:val="00AF62BD"/>
    <w:rsid w:val="00AF62F3"/>
    <w:rsid w:val="00AF6404"/>
    <w:rsid w:val="00AF659B"/>
    <w:rsid w:val="00AF6619"/>
    <w:rsid w:val="00AF6712"/>
    <w:rsid w:val="00AF6894"/>
    <w:rsid w:val="00AF69A2"/>
    <w:rsid w:val="00AF6A27"/>
    <w:rsid w:val="00AF6A2E"/>
    <w:rsid w:val="00AF6A54"/>
    <w:rsid w:val="00AF6CFD"/>
    <w:rsid w:val="00AF6E45"/>
    <w:rsid w:val="00AF6EDA"/>
    <w:rsid w:val="00AF6FC6"/>
    <w:rsid w:val="00AF704C"/>
    <w:rsid w:val="00AF7083"/>
    <w:rsid w:val="00AF7105"/>
    <w:rsid w:val="00AF74B2"/>
    <w:rsid w:val="00AF76F8"/>
    <w:rsid w:val="00AF78A0"/>
    <w:rsid w:val="00AF78E0"/>
    <w:rsid w:val="00AF7953"/>
    <w:rsid w:val="00AF7976"/>
    <w:rsid w:val="00AF7AB4"/>
    <w:rsid w:val="00AF7CBC"/>
    <w:rsid w:val="00AF7DC1"/>
    <w:rsid w:val="00B000AE"/>
    <w:rsid w:val="00B002DD"/>
    <w:rsid w:val="00B0040B"/>
    <w:rsid w:val="00B0048D"/>
    <w:rsid w:val="00B005BC"/>
    <w:rsid w:val="00B0067C"/>
    <w:rsid w:val="00B006F1"/>
    <w:rsid w:val="00B007CF"/>
    <w:rsid w:val="00B007DD"/>
    <w:rsid w:val="00B00830"/>
    <w:rsid w:val="00B00A66"/>
    <w:rsid w:val="00B00AB5"/>
    <w:rsid w:val="00B00CC0"/>
    <w:rsid w:val="00B00D19"/>
    <w:rsid w:val="00B00D65"/>
    <w:rsid w:val="00B00DB1"/>
    <w:rsid w:val="00B00DED"/>
    <w:rsid w:val="00B00DF3"/>
    <w:rsid w:val="00B00E45"/>
    <w:rsid w:val="00B00E86"/>
    <w:rsid w:val="00B00F5C"/>
    <w:rsid w:val="00B00FBE"/>
    <w:rsid w:val="00B00FDC"/>
    <w:rsid w:val="00B01124"/>
    <w:rsid w:val="00B0112B"/>
    <w:rsid w:val="00B01406"/>
    <w:rsid w:val="00B0160B"/>
    <w:rsid w:val="00B01621"/>
    <w:rsid w:val="00B01745"/>
    <w:rsid w:val="00B017D3"/>
    <w:rsid w:val="00B017E9"/>
    <w:rsid w:val="00B0184B"/>
    <w:rsid w:val="00B01953"/>
    <w:rsid w:val="00B019C1"/>
    <w:rsid w:val="00B019C3"/>
    <w:rsid w:val="00B01C1F"/>
    <w:rsid w:val="00B01E3F"/>
    <w:rsid w:val="00B01F1A"/>
    <w:rsid w:val="00B01F38"/>
    <w:rsid w:val="00B02151"/>
    <w:rsid w:val="00B0225C"/>
    <w:rsid w:val="00B022A0"/>
    <w:rsid w:val="00B022B5"/>
    <w:rsid w:val="00B0236E"/>
    <w:rsid w:val="00B02506"/>
    <w:rsid w:val="00B028AC"/>
    <w:rsid w:val="00B0297F"/>
    <w:rsid w:val="00B02ACE"/>
    <w:rsid w:val="00B02ADC"/>
    <w:rsid w:val="00B02F51"/>
    <w:rsid w:val="00B030ED"/>
    <w:rsid w:val="00B031CF"/>
    <w:rsid w:val="00B0325C"/>
    <w:rsid w:val="00B03357"/>
    <w:rsid w:val="00B0377D"/>
    <w:rsid w:val="00B037A6"/>
    <w:rsid w:val="00B037DA"/>
    <w:rsid w:val="00B03911"/>
    <w:rsid w:val="00B03913"/>
    <w:rsid w:val="00B039D2"/>
    <w:rsid w:val="00B03C71"/>
    <w:rsid w:val="00B03CD4"/>
    <w:rsid w:val="00B03D74"/>
    <w:rsid w:val="00B0443C"/>
    <w:rsid w:val="00B04661"/>
    <w:rsid w:val="00B0469D"/>
    <w:rsid w:val="00B04704"/>
    <w:rsid w:val="00B04801"/>
    <w:rsid w:val="00B04813"/>
    <w:rsid w:val="00B04820"/>
    <w:rsid w:val="00B04834"/>
    <w:rsid w:val="00B04CEA"/>
    <w:rsid w:val="00B04EEE"/>
    <w:rsid w:val="00B04F61"/>
    <w:rsid w:val="00B04F71"/>
    <w:rsid w:val="00B04F82"/>
    <w:rsid w:val="00B0506F"/>
    <w:rsid w:val="00B05108"/>
    <w:rsid w:val="00B05233"/>
    <w:rsid w:val="00B053E7"/>
    <w:rsid w:val="00B05413"/>
    <w:rsid w:val="00B0550C"/>
    <w:rsid w:val="00B05600"/>
    <w:rsid w:val="00B05607"/>
    <w:rsid w:val="00B057E6"/>
    <w:rsid w:val="00B05A08"/>
    <w:rsid w:val="00B05A9C"/>
    <w:rsid w:val="00B05BDA"/>
    <w:rsid w:val="00B05E67"/>
    <w:rsid w:val="00B05F14"/>
    <w:rsid w:val="00B0632F"/>
    <w:rsid w:val="00B063C6"/>
    <w:rsid w:val="00B063E9"/>
    <w:rsid w:val="00B0652A"/>
    <w:rsid w:val="00B065B9"/>
    <w:rsid w:val="00B06722"/>
    <w:rsid w:val="00B06737"/>
    <w:rsid w:val="00B0674C"/>
    <w:rsid w:val="00B067E0"/>
    <w:rsid w:val="00B06EBF"/>
    <w:rsid w:val="00B06EE6"/>
    <w:rsid w:val="00B06FAB"/>
    <w:rsid w:val="00B072FF"/>
    <w:rsid w:val="00B07357"/>
    <w:rsid w:val="00B074C7"/>
    <w:rsid w:val="00B07631"/>
    <w:rsid w:val="00B0784C"/>
    <w:rsid w:val="00B07905"/>
    <w:rsid w:val="00B0790F"/>
    <w:rsid w:val="00B07CCF"/>
    <w:rsid w:val="00B07CE9"/>
    <w:rsid w:val="00B100BF"/>
    <w:rsid w:val="00B10141"/>
    <w:rsid w:val="00B101D5"/>
    <w:rsid w:val="00B101DC"/>
    <w:rsid w:val="00B10268"/>
    <w:rsid w:val="00B1038F"/>
    <w:rsid w:val="00B104D6"/>
    <w:rsid w:val="00B10633"/>
    <w:rsid w:val="00B109EF"/>
    <w:rsid w:val="00B10B08"/>
    <w:rsid w:val="00B10E27"/>
    <w:rsid w:val="00B10FC6"/>
    <w:rsid w:val="00B11139"/>
    <w:rsid w:val="00B11425"/>
    <w:rsid w:val="00B117B9"/>
    <w:rsid w:val="00B11A78"/>
    <w:rsid w:val="00B11ACB"/>
    <w:rsid w:val="00B11CEB"/>
    <w:rsid w:val="00B11CFB"/>
    <w:rsid w:val="00B11F95"/>
    <w:rsid w:val="00B11F9E"/>
    <w:rsid w:val="00B12111"/>
    <w:rsid w:val="00B12132"/>
    <w:rsid w:val="00B122AE"/>
    <w:rsid w:val="00B125C7"/>
    <w:rsid w:val="00B12A5A"/>
    <w:rsid w:val="00B12B9F"/>
    <w:rsid w:val="00B12BA7"/>
    <w:rsid w:val="00B12E23"/>
    <w:rsid w:val="00B12F11"/>
    <w:rsid w:val="00B1365F"/>
    <w:rsid w:val="00B13739"/>
    <w:rsid w:val="00B137DF"/>
    <w:rsid w:val="00B13D17"/>
    <w:rsid w:val="00B13E18"/>
    <w:rsid w:val="00B13E48"/>
    <w:rsid w:val="00B14109"/>
    <w:rsid w:val="00B1419C"/>
    <w:rsid w:val="00B1428A"/>
    <w:rsid w:val="00B14410"/>
    <w:rsid w:val="00B147D5"/>
    <w:rsid w:val="00B1486D"/>
    <w:rsid w:val="00B14B7F"/>
    <w:rsid w:val="00B14E88"/>
    <w:rsid w:val="00B150D6"/>
    <w:rsid w:val="00B1535B"/>
    <w:rsid w:val="00B15373"/>
    <w:rsid w:val="00B15639"/>
    <w:rsid w:val="00B159C0"/>
    <w:rsid w:val="00B15B3F"/>
    <w:rsid w:val="00B15C63"/>
    <w:rsid w:val="00B15CAE"/>
    <w:rsid w:val="00B15CCB"/>
    <w:rsid w:val="00B15D15"/>
    <w:rsid w:val="00B15E42"/>
    <w:rsid w:val="00B15EEE"/>
    <w:rsid w:val="00B160A5"/>
    <w:rsid w:val="00B160EB"/>
    <w:rsid w:val="00B16198"/>
    <w:rsid w:val="00B1626F"/>
    <w:rsid w:val="00B16A2C"/>
    <w:rsid w:val="00B16B00"/>
    <w:rsid w:val="00B16B88"/>
    <w:rsid w:val="00B16C7D"/>
    <w:rsid w:val="00B16D6A"/>
    <w:rsid w:val="00B16DA6"/>
    <w:rsid w:val="00B16FB6"/>
    <w:rsid w:val="00B17022"/>
    <w:rsid w:val="00B172D6"/>
    <w:rsid w:val="00B173AA"/>
    <w:rsid w:val="00B173C4"/>
    <w:rsid w:val="00B1761D"/>
    <w:rsid w:val="00B178A4"/>
    <w:rsid w:val="00B17C9F"/>
    <w:rsid w:val="00B17DE8"/>
    <w:rsid w:val="00B17F54"/>
    <w:rsid w:val="00B20212"/>
    <w:rsid w:val="00B20221"/>
    <w:rsid w:val="00B205C7"/>
    <w:rsid w:val="00B20664"/>
    <w:rsid w:val="00B20AE1"/>
    <w:rsid w:val="00B20C8E"/>
    <w:rsid w:val="00B20CF2"/>
    <w:rsid w:val="00B2116D"/>
    <w:rsid w:val="00B2133A"/>
    <w:rsid w:val="00B21345"/>
    <w:rsid w:val="00B21475"/>
    <w:rsid w:val="00B215D0"/>
    <w:rsid w:val="00B21736"/>
    <w:rsid w:val="00B218B1"/>
    <w:rsid w:val="00B2192B"/>
    <w:rsid w:val="00B21A33"/>
    <w:rsid w:val="00B21A85"/>
    <w:rsid w:val="00B21B49"/>
    <w:rsid w:val="00B21B50"/>
    <w:rsid w:val="00B21C8A"/>
    <w:rsid w:val="00B21F33"/>
    <w:rsid w:val="00B2201B"/>
    <w:rsid w:val="00B220AC"/>
    <w:rsid w:val="00B220D1"/>
    <w:rsid w:val="00B224AA"/>
    <w:rsid w:val="00B22519"/>
    <w:rsid w:val="00B22998"/>
    <w:rsid w:val="00B229FE"/>
    <w:rsid w:val="00B22A92"/>
    <w:rsid w:val="00B22C35"/>
    <w:rsid w:val="00B22CCB"/>
    <w:rsid w:val="00B23002"/>
    <w:rsid w:val="00B2302B"/>
    <w:rsid w:val="00B23106"/>
    <w:rsid w:val="00B2333D"/>
    <w:rsid w:val="00B234E8"/>
    <w:rsid w:val="00B23700"/>
    <w:rsid w:val="00B238F9"/>
    <w:rsid w:val="00B23AEE"/>
    <w:rsid w:val="00B23CD5"/>
    <w:rsid w:val="00B23F52"/>
    <w:rsid w:val="00B24363"/>
    <w:rsid w:val="00B243F6"/>
    <w:rsid w:val="00B244EB"/>
    <w:rsid w:val="00B2456E"/>
    <w:rsid w:val="00B248E7"/>
    <w:rsid w:val="00B24979"/>
    <w:rsid w:val="00B24BB8"/>
    <w:rsid w:val="00B24F5E"/>
    <w:rsid w:val="00B2500A"/>
    <w:rsid w:val="00B250A5"/>
    <w:rsid w:val="00B250E3"/>
    <w:rsid w:val="00B25175"/>
    <w:rsid w:val="00B25651"/>
    <w:rsid w:val="00B25674"/>
    <w:rsid w:val="00B256B7"/>
    <w:rsid w:val="00B25A12"/>
    <w:rsid w:val="00B25B23"/>
    <w:rsid w:val="00B26136"/>
    <w:rsid w:val="00B2616C"/>
    <w:rsid w:val="00B2620B"/>
    <w:rsid w:val="00B26284"/>
    <w:rsid w:val="00B26399"/>
    <w:rsid w:val="00B26650"/>
    <w:rsid w:val="00B2682D"/>
    <w:rsid w:val="00B2688A"/>
    <w:rsid w:val="00B268D8"/>
    <w:rsid w:val="00B26937"/>
    <w:rsid w:val="00B2694E"/>
    <w:rsid w:val="00B26C42"/>
    <w:rsid w:val="00B26DF0"/>
    <w:rsid w:val="00B26EA4"/>
    <w:rsid w:val="00B270EF"/>
    <w:rsid w:val="00B271BF"/>
    <w:rsid w:val="00B276EB"/>
    <w:rsid w:val="00B27769"/>
    <w:rsid w:val="00B27778"/>
    <w:rsid w:val="00B277E2"/>
    <w:rsid w:val="00B279F5"/>
    <w:rsid w:val="00B27B81"/>
    <w:rsid w:val="00B27C55"/>
    <w:rsid w:val="00B27C88"/>
    <w:rsid w:val="00B301E8"/>
    <w:rsid w:val="00B30243"/>
    <w:rsid w:val="00B3029C"/>
    <w:rsid w:val="00B302C4"/>
    <w:rsid w:val="00B30421"/>
    <w:rsid w:val="00B30427"/>
    <w:rsid w:val="00B30459"/>
    <w:rsid w:val="00B30A40"/>
    <w:rsid w:val="00B30BC8"/>
    <w:rsid w:val="00B30D90"/>
    <w:rsid w:val="00B30DC8"/>
    <w:rsid w:val="00B313D2"/>
    <w:rsid w:val="00B3147F"/>
    <w:rsid w:val="00B315BB"/>
    <w:rsid w:val="00B315D0"/>
    <w:rsid w:val="00B316F6"/>
    <w:rsid w:val="00B3170F"/>
    <w:rsid w:val="00B3176E"/>
    <w:rsid w:val="00B3196F"/>
    <w:rsid w:val="00B31977"/>
    <w:rsid w:val="00B31D6F"/>
    <w:rsid w:val="00B31E11"/>
    <w:rsid w:val="00B320BC"/>
    <w:rsid w:val="00B3220C"/>
    <w:rsid w:val="00B3235A"/>
    <w:rsid w:val="00B327CD"/>
    <w:rsid w:val="00B3294E"/>
    <w:rsid w:val="00B32B6B"/>
    <w:rsid w:val="00B32E6E"/>
    <w:rsid w:val="00B32F47"/>
    <w:rsid w:val="00B3316D"/>
    <w:rsid w:val="00B333FE"/>
    <w:rsid w:val="00B3356D"/>
    <w:rsid w:val="00B335E9"/>
    <w:rsid w:val="00B3382B"/>
    <w:rsid w:val="00B338AD"/>
    <w:rsid w:val="00B33905"/>
    <w:rsid w:val="00B33991"/>
    <w:rsid w:val="00B33A79"/>
    <w:rsid w:val="00B33A7C"/>
    <w:rsid w:val="00B33AF9"/>
    <w:rsid w:val="00B33CAA"/>
    <w:rsid w:val="00B33DCA"/>
    <w:rsid w:val="00B340B5"/>
    <w:rsid w:val="00B340DA"/>
    <w:rsid w:val="00B341AD"/>
    <w:rsid w:val="00B3434C"/>
    <w:rsid w:val="00B344BC"/>
    <w:rsid w:val="00B345A5"/>
    <w:rsid w:val="00B3461E"/>
    <w:rsid w:val="00B3488D"/>
    <w:rsid w:val="00B348A8"/>
    <w:rsid w:val="00B34932"/>
    <w:rsid w:val="00B34A67"/>
    <w:rsid w:val="00B34B59"/>
    <w:rsid w:val="00B34B8E"/>
    <w:rsid w:val="00B34CF7"/>
    <w:rsid w:val="00B34E1C"/>
    <w:rsid w:val="00B3507C"/>
    <w:rsid w:val="00B35094"/>
    <w:rsid w:val="00B350F0"/>
    <w:rsid w:val="00B352B8"/>
    <w:rsid w:val="00B357AC"/>
    <w:rsid w:val="00B35992"/>
    <w:rsid w:val="00B35A3E"/>
    <w:rsid w:val="00B35B99"/>
    <w:rsid w:val="00B35E4B"/>
    <w:rsid w:val="00B35E6F"/>
    <w:rsid w:val="00B35FCC"/>
    <w:rsid w:val="00B36216"/>
    <w:rsid w:val="00B3631E"/>
    <w:rsid w:val="00B364C9"/>
    <w:rsid w:val="00B36518"/>
    <w:rsid w:val="00B36ACC"/>
    <w:rsid w:val="00B37534"/>
    <w:rsid w:val="00B37620"/>
    <w:rsid w:val="00B378CC"/>
    <w:rsid w:val="00B379BF"/>
    <w:rsid w:val="00B37A74"/>
    <w:rsid w:val="00B37BD3"/>
    <w:rsid w:val="00B37C31"/>
    <w:rsid w:val="00B37E3D"/>
    <w:rsid w:val="00B37FE0"/>
    <w:rsid w:val="00B40364"/>
    <w:rsid w:val="00B4042F"/>
    <w:rsid w:val="00B40579"/>
    <w:rsid w:val="00B405B2"/>
    <w:rsid w:val="00B40642"/>
    <w:rsid w:val="00B40723"/>
    <w:rsid w:val="00B409B1"/>
    <w:rsid w:val="00B40D0F"/>
    <w:rsid w:val="00B4136D"/>
    <w:rsid w:val="00B41615"/>
    <w:rsid w:val="00B41788"/>
    <w:rsid w:val="00B417F3"/>
    <w:rsid w:val="00B419B0"/>
    <w:rsid w:val="00B41B1F"/>
    <w:rsid w:val="00B41C0C"/>
    <w:rsid w:val="00B41CAF"/>
    <w:rsid w:val="00B41CB0"/>
    <w:rsid w:val="00B41D22"/>
    <w:rsid w:val="00B41EC0"/>
    <w:rsid w:val="00B41F7A"/>
    <w:rsid w:val="00B41FD8"/>
    <w:rsid w:val="00B420DF"/>
    <w:rsid w:val="00B42416"/>
    <w:rsid w:val="00B42761"/>
    <w:rsid w:val="00B42767"/>
    <w:rsid w:val="00B42783"/>
    <w:rsid w:val="00B4279E"/>
    <w:rsid w:val="00B42871"/>
    <w:rsid w:val="00B428AE"/>
    <w:rsid w:val="00B428E2"/>
    <w:rsid w:val="00B42A17"/>
    <w:rsid w:val="00B42A2C"/>
    <w:rsid w:val="00B42A5C"/>
    <w:rsid w:val="00B42A98"/>
    <w:rsid w:val="00B42C04"/>
    <w:rsid w:val="00B42C64"/>
    <w:rsid w:val="00B42CDB"/>
    <w:rsid w:val="00B42D9A"/>
    <w:rsid w:val="00B42E4F"/>
    <w:rsid w:val="00B42E89"/>
    <w:rsid w:val="00B42FEF"/>
    <w:rsid w:val="00B4318A"/>
    <w:rsid w:val="00B43287"/>
    <w:rsid w:val="00B4336B"/>
    <w:rsid w:val="00B43443"/>
    <w:rsid w:val="00B43495"/>
    <w:rsid w:val="00B43676"/>
    <w:rsid w:val="00B43835"/>
    <w:rsid w:val="00B43992"/>
    <w:rsid w:val="00B43A2A"/>
    <w:rsid w:val="00B43C22"/>
    <w:rsid w:val="00B43D22"/>
    <w:rsid w:val="00B442AF"/>
    <w:rsid w:val="00B448EF"/>
    <w:rsid w:val="00B44A1D"/>
    <w:rsid w:val="00B44C3D"/>
    <w:rsid w:val="00B44DCC"/>
    <w:rsid w:val="00B44DD7"/>
    <w:rsid w:val="00B45599"/>
    <w:rsid w:val="00B45779"/>
    <w:rsid w:val="00B45868"/>
    <w:rsid w:val="00B4593B"/>
    <w:rsid w:val="00B45A7A"/>
    <w:rsid w:val="00B45C27"/>
    <w:rsid w:val="00B45DC2"/>
    <w:rsid w:val="00B46022"/>
    <w:rsid w:val="00B46081"/>
    <w:rsid w:val="00B46846"/>
    <w:rsid w:val="00B46851"/>
    <w:rsid w:val="00B468B6"/>
    <w:rsid w:val="00B4692F"/>
    <w:rsid w:val="00B46D77"/>
    <w:rsid w:val="00B46DD5"/>
    <w:rsid w:val="00B46DF9"/>
    <w:rsid w:val="00B471C7"/>
    <w:rsid w:val="00B47278"/>
    <w:rsid w:val="00B473D1"/>
    <w:rsid w:val="00B47463"/>
    <w:rsid w:val="00B47479"/>
    <w:rsid w:val="00B47493"/>
    <w:rsid w:val="00B474C8"/>
    <w:rsid w:val="00B474DF"/>
    <w:rsid w:val="00B47576"/>
    <w:rsid w:val="00B476C4"/>
    <w:rsid w:val="00B47708"/>
    <w:rsid w:val="00B47915"/>
    <w:rsid w:val="00B47A62"/>
    <w:rsid w:val="00B47DA5"/>
    <w:rsid w:val="00B47E96"/>
    <w:rsid w:val="00B47E97"/>
    <w:rsid w:val="00B47E9A"/>
    <w:rsid w:val="00B47F21"/>
    <w:rsid w:val="00B5000B"/>
    <w:rsid w:val="00B50044"/>
    <w:rsid w:val="00B50355"/>
    <w:rsid w:val="00B50415"/>
    <w:rsid w:val="00B50702"/>
    <w:rsid w:val="00B507C8"/>
    <w:rsid w:val="00B508A2"/>
    <w:rsid w:val="00B50994"/>
    <w:rsid w:val="00B50A02"/>
    <w:rsid w:val="00B50A1F"/>
    <w:rsid w:val="00B50DD5"/>
    <w:rsid w:val="00B50E18"/>
    <w:rsid w:val="00B5122B"/>
    <w:rsid w:val="00B513A9"/>
    <w:rsid w:val="00B51568"/>
    <w:rsid w:val="00B51610"/>
    <w:rsid w:val="00B5167B"/>
    <w:rsid w:val="00B5169D"/>
    <w:rsid w:val="00B51AA8"/>
    <w:rsid w:val="00B51ADE"/>
    <w:rsid w:val="00B51B2B"/>
    <w:rsid w:val="00B51CFD"/>
    <w:rsid w:val="00B51EDB"/>
    <w:rsid w:val="00B5208D"/>
    <w:rsid w:val="00B520D7"/>
    <w:rsid w:val="00B520E3"/>
    <w:rsid w:val="00B52236"/>
    <w:rsid w:val="00B522DC"/>
    <w:rsid w:val="00B52336"/>
    <w:rsid w:val="00B52358"/>
    <w:rsid w:val="00B5282B"/>
    <w:rsid w:val="00B52A38"/>
    <w:rsid w:val="00B52B6A"/>
    <w:rsid w:val="00B52CFC"/>
    <w:rsid w:val="00B52FE6"/>
    <w:rsid w:val="00B52FF2"/>
    <w:rsid w:val="00B53185"/>
    <w:rsid w:val="00B531AB"/>
    <w:rsid w:val="00B531E9"/>
    <w:rsid w:val="00B53356"/>
    <w:rsid w:val="00B53429"/>
    <w:rsid w:val="00B535C9"/>
    <w:rsid w:val="00B53629"/>
    <w:rsid w:val="00B5388C"/>
    <w:rsid w:val="00B53CCE"/>
    <w:rsid w:val="00B53E8E"/>
    <w:rsid w:val="00B544AF"/>
    <w:rsid w:val="00B544CD"/>
    <w:rsid w:val="00B544F9"/>
    <w:rsid w:val="00B54573"/>
    <w:rsid w:val="00B545F8"/>
    <w:rsid w:val="00B54763"/>
    <w:rsid w:val="00B547D7"/>
    <w:rsid w:val="00B54818"/>
    <w:rsid w:val="00B5498C"/>
    <w:rsid w:val="00B54AB1"/>
    <w:rsid w:val="00B54F2D"/>
    <w:rsid w:val="00B55093"/>
    <w:rsid w:val="00B55159"/>
    <w:rsid w:val="00B5518C"/>
    <w:rsid w:val="00B5546A"/>
    <w:rsid w:val="00B55579"/>
    <w:rsid w:val="00B5559C"/>
    <w:rsid w:val="00B555CF"/>
    <w:rsid w:val="00B55755"/>
    <w:rsid w:val="00B558AC"/>
    <w:rsid w:val="00B55AEC"/>
    <w:rsid w:val="00B55B1A"/>
    <w:rsid w:val="00B55CAC"/>
    <w:rsid w:val="00B55CBA"/>
    <w:rsid w:val="00B55CED"/>
    <w:rsid w:val="00B55D57"/>
    <w:rsid w:val="00B55F80"/>
    <w:rsid w:val="00B56023"/>
    <w:rsid w:val="00B562B5"/>
    <w:rsid w:val="00B56316"/>
    <w:rsid w:val="00B5633B"/>
    <w:rsid w:val="00B56480"/>
    <w:rsid w:val="00B564EA"/>
    <w:rsid w:val="00B56501"/>
    <w:rsid w:val="00B5651F"/>
    <w:rsid w:val="00B56540"/>
    <w:rsid w:val="00B5657F"/>
    <w:rsid w:val="00B565D6"/>
    <w:rsid w:val="00B56849"/>
    <w:rsid w:val="00B56959"/>
    <w:rsid w:val="00B569FF"/>
    <w:rsid w:val="00B56A9B"/>
    <w:rsid w:val="00B56B3C"/>
    <w:rsid w:val="00B56EE2"/>
    <w:rsid w:val="00B56FC4"/>
    <w:rsid w:val="00B570CD"/>
    <w:rsid w:val="00B5713D"/>
    <w:rsid w:val="00B574A5"/>
    <w:rsid w:val="00B57502"/>
    <w:rsid w:val="00B5764D"/>
    <w:rsid w:val="00B576A4"/>
    <w:rsid w:val="00B57782"/>
    <w:rsid w:val="00B57998"/>
    <w:rsid w:val="00B57BAE"/>
    <w:rsid w:val="00B57BD8"/>
    <w:rsid w:val="00B57CD0"/>
    <w:rsid w:val="00B57DA9"/>
    <w:rsid w:val="00B57DEF"/>
    <w:rsid w:val="00B57E60"/>
    <w:rsid w:val="00B60177"/>
    <w:rsid w:val="00B60222"/>
    <w:rsid w:val="00B60224"/>
    <w:rsid w:val="00B60639"/>
    <w:rsid w:val="00B6064E"/>
    <w:rsid w:val="00B60C34"/>
    <w:rsid w:val="00B60FA8"/>
    <w:rsid w:val="00B61191"/>
    <w:rsid w:val="00B613C1"/>
    <w:rsid w:val="00B614A2"/>
    <w:rsid w:val="00B614B3"/>
    <w:rsid w:val="00B6183A"/>
    <w:rsid w:val="00B61A4A"/>
    <w:rsid w:val="00B61DE3"/>
    <w:rsid w:val="00B61ECD"/>
    <w:rsid w:val="00B620CF"/>
    <w:rsid w:val="00B621C0"/>
    <w:rsid w:val="00B622B1"/>
    <w:rsid w:val="00B6267E"/>
    <w:rsid w:val="00B627FB"/>
    <w:rsid w:val="00B62805"/>
    <w:rsid w:val="00B62860"/>
    <w:rsid w:val="00B6296B"/>
    <w:rsid w:val="00B62D06"/>
    <w:rsid w:val="00B6308E"/>
    <w:rsid w:val="00B630CC"/>
    <w:rsid w:val="00B6363B"/>
    <w:rsid w:val="00B63650"/>
    <w:rsid w:val="00B63784"/>
    <w:rsid w:val="00B6383F"/>
    <w:rsid w:val="00B63880"/>
    <w:rsid w:val="00B639AD"/>
    <w:rsid w:val="00B63AA2"/>
    <w:rsid w:val="00B63AC9"/>
    <w:rsid w:val="00B63CAC"/>
    <w:rsid w:val="00B63CE4"/>
    <w:rsid w:val="00B63D58"/>
    <w:rsid w:val="00B63EBE"/>
    <w:rsid w:val="00B640C6"/>
    <w:rsid w:val="00B6421C"/>
    <w:rsid w:val="00B6428F"/>
    <w:rsid w:val="00B6434A"/>
    <w:rsid w:val="00B6434E"/>
    <w:rsid w:val="00B643CD"/>
    <w:rsid w:val="00B64511"/>
    <w:rsid w:val="00B64712"/>
    <w:rsid w:val="00B64718"/>
    <w:rsid w:val="00B64E8A"/>
    <w:rsid w:val="00B64E90"/>
    <w:rsid w:val="00B64F8E"/>
    <w:rsid w:val="00B64FA2"/>
    <w:rsid w:val="00B65003"/>
    <w:rsid w:val="00B65128"/>
    <w:rsid w:val="00B65137"/>
    <w:rsid w:val="00B65156"/>
    <w:rsid w:val="00B65348"/>
    <w:rsid w:val="00B653CE"/>
    <w:rsid w:val="00B6540D"/>
    <w:rsid w:val="00B65470"/>
    <w:rsid w:val="00B65588"/>
    <w:rsid w:val="00B657AD"/>
    <w:rsid w:val="00B658D1"/>
    <w:rsid w:val="00B65A1F"/>
    <w:rsid w:val="00B65AB3"/>
    <w:rsid w:val="00B65B5E"/>
    <w:rsid w:val="00B65B88"/>
    <w:rsid w:val="00B65EF7"/>
    <w:rsid w:val="00B6604C"/>
    <w:rsid w:val="00B66064"/>
    <w:rsid w:val="00B6634F"/>
    <w:rsid w:val="00B66451"/>
    <w:rsid w:val="00B668A0"/>
    <w:rsid w:val="00B668BF"/>
    <w:rsid w:val="00B66995"/>
    <w:rsid w:val="00B66A7C"/>
    <w:rsid w:val="00B66B29"/>
    <w:rsid w:val="00B66C4C"/>
    <w:rsid w:val="00B66C64"/>
    <w:rsid w:val="00B66F9D"/>
    <w:rsid w:val="00B67012"/>
    <w:rsid w:val="00B6710B"/>
    <w:rsid w:val="00B671A1"/>
    <w:rsid w:val="00B672D5"/>
    <w:rsid w:val="00B675A6"/>
    <w:rsid w:val="00B678A6"/>
    <w:rsid w:val="00B6794D"/>
    <w:rsid w:val="00B67A21"/>
    <w:rsid w:val="00B67A37"/>
    <w:rsid w:val="00B67B49"/>
    <w:rsid w:val="00B67B55"/>
    <w:rsid w:val="00B67BC9"/>
    <w:rsid w:val="00B67C6C"/>
    <w:rsid w:val="00B67E01"/>
    <w:rsid w:val="00B70092"/>
    <w:rsid w:val="00B7014F"/>
    <w:rsid w:val="00B70203"/>
    <w:rsid w:val="00B704F8"/>
    <w:rsid w:val="00B7066B"/>
    <w:rsid w:val="00B7080B"/>
    <w:rsid w:val="00B70C61"/>
    <w:rsid w:val="00B70E5A"/>
    <w:rsid w:val="00B70E73"/>
    <w:rsid w:val="00B70F79"/>
    <w:rsid w:val="00B71010"/>
    <w:rsid w:val="00B71221"/>
    <w:rsid w:val="00B71314"/>
    <w:rsid w:val="00B7133D"/>
    <w:rsid w:val="00B7141F"/>
    <w:rsid w:val="00B71487"/>
    <w:rsid w:val="00B71513"/>
    <w:rsid w:val="00B71645"/>
    <w:rsid w:val="00B71839"/>
    <w:rsid w:val="00B71A14"/>
    <w:rsid w:val="00B71B3D"/>
    <w:rsid w:val="00B71BD1"/>
    <w:rsid w:val="00B71C84"/>
    <w:rsid w:val="00B71F83"/>
    <w:rsid w:val="00B71F8A"/>
    <w:rsid w:val="00B71FF3"/>
    <w:rsid w:val="00B72053"/>
    <w:rsid w:val="00B7220D"/>
    <w:rsid w:val="00B72271"/>
    <w:rsid w:val="00B72319"/>
    <w:rsid w:val="00B72323"/>
    <w:rsid w:val="00B72510"/>
    <w:rsid w:val="00B7265F"/>
    <w:rsid w:val="00B72753"/>
    <w:rsid w:val="00B729AF"/>
    <w:rsid w:val="00B72B09"/>
    <w:rsid w:val="00B72B57"/>
    <w:rsid w:val="00B72CA1"/>
    <w:rsid w:val="00B72E3A"/>
    <w:rsid w:val="00B7341F"/>
    <w:rsid w:val="00B73476"/>
    <w:rsid w:val="00B737B8"/>
    <w:rsid w:val="00B73ABB"/>
    <w:rsid w:val="00B73B31"/>
    <w:rsid w:val="00B73BD7"/>
    <w:rsid w:val="00B73E22"/>
    <w:rsid w:val="00B74143"/>
    <w:rsid w:val="00B741ED"/>
    <w:rsid w:val="00B742CF"/>
    <w:rsid w:val="00B749B6"/>
    <w:rsid w:val="00B74FB5"/>
    <w:rsid w:val="00B74FE1"/>
    <w:rsid w:val="00B7509A"/>
    <w:rsid w:val="00B75366"/>
    <w:rsid w:val="00B754D7"/>
    <w:rsid w:val="00B7560B"/>
    <w:rsid w:val="00B7561A"/>
    <w:rsid w:val="00B75880"/>
    <w:rsid w:val="00B7595F"/>
    <w:rsid w:val="00B759FB"/>
    <w:rsid w:val="00B75B47"/>
    <w:rsid w:val="00B75B98"/>
    <w:rsid w:val="00B75D91"/>
    <w:rsid w:val="00B75DD7"/>
    <w:rsid w:val="00B75E3F"/>
    <w:rsid w:val="00B76044"/>
    <w:rsid w:val="00B7613E"/>
    <w:rsid w:val="00B761A4"/>
    <w:rsid w:val="00B7627B"/>
    <w:rsid w:val="00B763CE"/>
    <w:rsid w:val="00B76633"/>
    <w:rsid w:val="00B76643"/>
    <w:rsid w:val="00B766C1"/>
    <w:rsid w:val="00B768BF"/>
    <w:rsid w:val="00B76966"/>
    <w:rsid w:val="00B76AFB"/>
    <w:rsid w:val="00B76B96"/>
    <w:rsid w:val="00B76C3F"/>
    <w:rsid w:val="00B76CD6"/>
    <w:rsid w:val="00B76EF6"/>
    <w:rsid w:val="00B76EFB"/>
    <w:rsid w:val="00B7708C"/>
    <w:rsid w:val="00B77116"/>
    <w:rsid w:val="00B77129"/>
    <w:rsid w:val="00B772EA"/>
    <w:rsid w:val="00B77351"/>
    <w:rsid w:val="00B77962"/>
    <w:rsid w:val="00B779ED"/>
    <w:rsid w:val="00B77A5B"/>
    <w:rsid w:val="00B77AF3"/>
    <w:rsid w:val="00B77BBF"/>
    <w:rsid w:val="00B77C2D"/>
    <w:rsid w:val="00B77C37"/>
    <w:rsid w:val="00B77C63"/>
    <w:rsid w:val="00B77CF8"/>
    <w:rsid w:val="00B77EF3"/>
    <w:rsid w:val="00B8007D"/>
    <w:rsid w:val="00B800B4"/>
    <w:rsid w:val="00B800E6"/>
    <w:rsid w:val="00B802C9"/>
    <w:rsid w:val="00B802FC"/>
    <w:rsid w:val="00B804B7"/>
    <w:rsid w:val="00B807BF"/>
    <w:rsid w:val="00B80899"/>
    <w:rsid w:val="00B809B1"/>
    <w:rsid w:val="00B809C4"/>
    <w:rsid w:val="00B809DF"/>
    <w:rsid w:val="00B80C1B"/>
    <w:rsid w:val="00B80CBC"/>
    <w:rsid w:val="00B80D74"/>
    <w:rsid w:val="00B80D94"/>
    <w:rsid w:val="00B81047"/>
    <w:rsid w:val="00B81130"/>
    <w:rsid w:val="00B815C1"/>
    <w:rsid w:val="00B81654"/>
    <w:rsid w:val="00B81B86"/>
    <w:rsid w:val="00B81C08"/>
    <w:rsid w:val="00B81CA2"/>
    <w:rsid w:val="00B81E88"/>
    <w:rsid w:val="00B81F15"/>
    <w:rsid w:val="00B821EC"/>
    <w:rsid w:val="00B82213"/>
    <w:rsid w:val="00B82288"/>
    <w:rsid w:val="00B822F3"/>
    <w:rsid w:val="00B82365"/>
    <w:rsid w:val="00B82543"/>
    <w:rsid w:val="00B825B2"/>
    <w:rsid w:val="00B825B9"/>
    <w:rsid w:val="00B826E1"/>
    <w:rsid w:val="00B8277C"/>
    <w:rsid w:val="00B828B5"/>
    <w:rsid w:val="00B82998"/>
    <w:rsid w:val="00B829C3"/>
    <w:rsid w:val="00B82A4A"/>
    <w:rsid w:val="00B82D71"/>
    <w:rsid w:val="00B82D86"/>
    <w:rsid w:val="00B82DAD"/>
    <w:rsid w:val="00B82DB8"/>
    <w:rsid w:val="00B82E01"/>
    <w:rsid w:val="00B82F9F"/>
    <w:rsid w:val="00B82FF6"/>
    <w:rsid w:val="00B830DC"/>
    <w:rsid w:val="00B83302"/>
    <w:rsid w:val="00B83455"/>
    <w:rsid w:val="00B834B0"/>
    <w:rsid w:val="00B834C5"/>
    <w:rsid w:val="00B8367E"/>
    <w:rsid w:val="00B837F6"/>
    <w:rsid w:val="00B838AE"/>
    <w:rsid w:val="00B83D90"/>
    <w:rsid w:val="00B83DAE"/>
    <w:rsid w:val="00B83DC9"/>
    <w:rsid w:val="00B83F30"/>
    <w:rsid w:val="00B84154"/>
    <w:rsid w:val="00B84179"/>
    <w:rsid w:val="00B842EA"/>
    <w:rsid w:val="00B84397"/>
    <w:rsid w:val="00B84478"/>
    <w:rsid w:val="00B844F6"/>
    <w:rsid w:val="00B8457C"/>
    <w:rsid w:val="00B846F9"/>
    <w:rsid w:val="00B848AE"/>
    <w:rsid w:val="00B84986"/>
    <w:rsid w:val="00B849B6"/>
    <w:rsid w:val="00B84B7C"/>
    <w:rsid w:val="00B84EFF"/>
    <w:rsid w:val="00B84FB4"/>
    <w:rsid w:val="00B85139"/>
    <w:rsid w:val="00B85242"/>
    <w:rsid w:val="00B85258"/>
    <w:rsid w:val="00B854C2"/>
    <w:rsid w:val="00B855B0"/>
    <w:rsid w:val="00B85EFF"/>
    <w:rsid w:val="00B86079"/>
    <w:rsid w:val="00B86166"/>
    <w:rsid w:val="00B861A3"/>
    <w:rsid w:val="00B861D6"/>
    <w:rsid w:val="00B86537"/>
    <w:rsid w:val="00B866F4"/>
    <w:rsid w:val="00B866FF"/>
    <w:rsid w:val="00B867BC"/>
    <w:rsid w:val="00B86817"/>
    <w:rsid w:val="00B86A5C"/>
    <w:rsid w:val="00B86A93"/>
    <w:rsid w:val="00B86D0E"/>
    <w:rsid w:val="00B870D7"/>
    <w:rsid w:val="00B870E6"/>
    <w:rsid w:val="00B87240"/>
    <w:rsid w:val="00B872A9"/>
    <w:rsid w:val="00B872FB"/>
    <w:rsid w:val="00B8732C"/>
    <w:rsid w:val="00B8756E"/>
    <w:rsid w:val="00B875A4"/>
    <w:rsid w:val="00B8775A"/>
    <w:rsid w:val="00B87864"/>
    <w:rsid w:val="00B87A38"/>
    <w:rsid w:val="00B87ADE"/>
    <w:rsid w:val="00B87C83"/>
    <w:rsid w:val="00B87DF9"/>
    <w:rsid w:val="00B87F29"/>
    <w:rsid w:val="00B900B2"/>
    <w:rsid w:val="00B9026C"/>
    <w:rsid w:val="00B906AD"/>
    <w:rsid w:val="00B908A3"/>
    <w:rsid w:val="00B909C8"/>
    <w:rsid w:val="00B90A17"/>
    <w:rsid w:val="00B90A2E"/>
    <w:rsid w:val="00B90A4D"/>
    <w:rsid w:val="00B90CB7"/>
    <w:rsid w:val="00B90E61"/>
    <w:rsid w:val="00B91027"/>
    <w:rsid w:val="00B910A9"/>
    <w:rsid w:val="00B9120A"/>
    <w:rsid w:val="00B91359"/>
    <w:rsid w:val="00B914C4"/>
    <w:rsid w:val="00B91951"/>
    <w:rsid w:val="00B919AF"/>
    <w:rsid w:val="00B91A58"/>
    <w:rsid w:val="00B91BE5"/>
    <w:rsid w:val="00B91EAD"/>
    <w:rsid w:val="00B920B9"/>
    <w:rsid w:val="00B92582"/>
    <w:rsid w:val="00B92633"/>
    <w:rsid w:val="00B9265E"/>
    <w:rsid w:val="00B92DA7"/>
    <w:rsid w:val="00B930D2"/>
    <w:rsid w:val="00B93159"/>
    <w:rsid w:val="00B93249"/>
    <w:rsid w:val="00B9332E"/>
    <w:rsid w:val="00B93515"/>
    <w:rsid w:val="00B935D5"/>
    <w:rsid w:val="00B935D8"/>
    <w:rsid w:val="00B9365D"/>
    <w:rsid w:val="00B937CD"/>
    <w:rsid w:val="00B9384B"/>
    <w:rsid w:val="00B938BC"/>
    <w:rsid w:val="00B93997"/>
    <w:rsid w:val="00B93C3C"/>
    <w:rsid w:val="00B93C98"/>
    <w:rsid w:val="00B93DCD"/>
    <w:rsid w:val="00B93E37"/>
    <w:rsid w:val="00B941CF"/>
    <w:rsid w:val="00B94603"/>
    <w:rsid w:val="00B9463C"/>
    <w:rsid w:val="00B9477E"/>
    <w:rsid w:val="00B94C6D"/>
    <w:rsid w:val="00B94D00"/>
    <w:rsid w:val="00B94E1E"/>
    <w:rsid w:val="00B94E38"/>
    <w:rsid w:val="00B94EEA"/>
    <w:rsid w:val="00B95233"/>
    <w:rsid w:val="00B95240"/>
    <w:rsid w:val="00B953E5"/>
    <w:rsid w:val="00B95419"/>
    <w:rsid w:val="00B9542D"/>
    <w:rsid w:val="00B954F4"/>
    <w:rsid w:val="00B95649"/>
    <w:rsid w:val="00B9575D"/>
    <w:rsid w:val="00B95AC8"/>
    <w:rsid w:val="00B95B55"/>
    <w:rsid w:val="00B95BA3"/>
    <w:rsid w:val="00B95D17"/>
    <w:rsid w:val="00B95EDE"/>
    <w:rsid w:val="00B95F26"/>
    <w:rsid w:val="00B95F43"/>
    <w:rsid w:val="00B96212"/>
    <w:rsid w:val="00B962BD"/>
    <w:rsid w:val="00B96572"/>
    <w:rsid w:val="00B966D8"/>
    <w:rsid w:val="00B96724"/>
    <w:rsid w:val="00B968FD"/>
    <w:rsid w:val="00B96911"/>
    <w:rsid w:val="00B96C6E"/>
    <w:rsid w:val="00B96D3A"/>
    <w:rsid w:val="00B96FAD"/>
    <w:rsid w:val="00B9718E"/>
    <w:rsid w:val="00B973B3"/>
    <w:rsid w:val="00B97590"/>
    <w:rsid w:val="00B97603"/>
    <w:rsid w:val="00B9764B"/>
    <w:rsid w:val="00B97679"/>
    <w:rsid w:val="00B9767A"/>
    <w:rsid w:val="00B976BB"/>
    <w:rsid w:val="00B9792C"/>
    <w:rsid w:val="00B979DF"/>
    <w:rsid w:val="00B97A25"/>
    <w:rsid w:val="00B97D0A"/>
    <w:rsid w:val="00B97D39"/>
    <w:rsid w:val="00B97DCA"/>
    <w:rsid w:val="00B97DF2"/>
    <w:rsid w:val="00B97EBB"/>
    <w:rsid w:val="00BA0004"/>
    <w:rsid w:val="00BA01A7"/>
    <w:rsid w:val="00BA0224"/>
    <w:rsid w:val="00BA0291"/>
    <w:rsid w:val="00BA0344"/>
    <w:rsid w:val="00BA03A8"/>
    <w:rsid w:val="00BA04DB"/>
    <w:rsid w:val="00BA04DF"/>
    <w:rsid w:val="00BA05C8"/>
    <w:rsid w:val="00BA06ED"/>
    <w:rsid w:val="00BA09AA"/>
    <w:rsid w:val="00BA0AD5"/>
    <w:rsid w:val="00BA0ADC"/>
    <w:rsid w:val="00BA0B1B"/>
    <w:rsid w:val="00BA0BEC"/>
    <w:rsid w:val="00BA0C4B"/>
    <w:rsid w:val="00BA0C72"/>
    <w:rsid w:val="00BA0CA0"/>
    <w:rsid w:val="00BA0D8B"/>
    <w:rsid w:val="00BA0E3C"/>
    <w:rsid w:val="00BA0F9C"/>
    <w:rsid w:val="00BA1158"/>
    <w:rsid w:val="00BA13E6"/>
    <w:rsid w:val="00BA14B0"/>
    <w:rsid w:val="00BA166B"/>
    <w:rsid w:val="00BA1840"/>
    <w:rsid w:val="00BA18F3"/>
    <w:rsid w:val="00BA1AFF"/>
    <w:rsid w:val="00BA1C85"/>
    <w:rsid w:val="00BA1F03"/>
    <w:rsid w:val="00BA1F74"/>
    <w:rsid w:val="00BA1FDB"/>
    <w:rsid w:val="00BA1FE7"/>
    <w:rsid w:val="00BA208C"/>
    <w:rsid w:val="00BA209D"/>
    <w:rsid w:val="00BA2139"/>
    <w:rsid w:val="00BA2170"/>
    <w:rsid w:val="00BA21B2"/>
    <w:rsid w:val="00BA22DC"/>
    <w:rsid w:val="00BA22E2"/>
    <w:rsid w:val="00BA28FA"/>
    <w:rsid w:val="00BA293F"/>
    <w:rsid w:val="00BA2953"/>
    <w:rsid w:val="00BA295B"/>
    <w:rsid w:val="00BA2975"/>
    <w:rsid w:val="00BA29AE"/>
    <w:rsid w:val="00BA2B1D"/>
    <w:rsid w:val="00BA2B5F"/>
    <w:rsid w:val="00BA2C40"/>
    <w:rsid w:val="00BA2F23"/>
    <w:rsid w:val="00BA3005"/>
    <w:rsid w:val="00BA304A"/>
    <w:rsid w:val="00BA32F7"/>
    <w:rsid w:val="00BA335E"/>
    <w:rsid w:val="00BA3479"/>
    <w:rsid w:val="00BA34B5"/>
    <w:rsid w:val="00BA3736"/>
    <w:rsid w:val="00BA38E1"/>
    <w:rsid w:val="00BA3A2A"/>
    <w:rsid w:val="00BA3D14"/>
    <w:rsid w:val="00BA3D8E"/>
    <w:rsid w:val="00BA3F2A"/>
    <w:rsid w:val="00BA3F64"/>
    <w:rsid w:val="00BA4049"/>
    <w:rsid w:val="00BA40FF"/>
    <w:rsid w:val="00BA435A"/>
    <w:rsid w:val="00BA4503"/>
    <w:rsid w:val="00BA479A"/>
    <w:rsid w:val="00BA487A"/>
    <w:rsid w:val="00BA48AC"/>
    <w:rsid w:val="00BA4BD4"/>
    <w:rsid w:val="00BA4C68"/>
    <w:rsid w:val="00BA4D7F"/>
    <w:rsid w:val="00BA5024"/>
    <w:rsid w:val="00BA5217"/>
    <w:rsid w:val="00BA548B"/>
    <w:rsid w:val="00BA54BA"/>
    <w:rsid w:val="00BA54E6"/>
    <w:rsid w:val="00BA5603"/>
    <w:rsid w:val="00BA56D9"/>
    <w:rsid w:val="00BA57A5"/>
    <w:rsid w:val="00BA5801"/>
    <w:rsid w:val="00BA591A"/>
    <w:rsid w:val="00BA599D"/>
    <w:rsid w:val="00BA5EA6"/>
    <w:rsid w:val="00BA5FF5"/>
    <w:rsid w:val="00BA6194"/>
    <w:rsid w:val="00BA6523"/>
    <w:rsid w:val="00BA660B"/>
    <w:rsid w:val="00BA67FB"/>
    <w:rsid w:val="00BA6962"/>
    <w:rsid w:val="00BA6964"/>
    <w:rsid w:val="00BA69DD"/>
    <w:rsid w:val="00BA6A65"/>
    <w:rsid w:val="00BA6CC8"/>
    <w:rsid w:val="00BA6D3F"/>
    <w:rsid w:val="00BA70E0"/>
    <w:rsid w:val="00BA72B7"/>
    <w:rsid w:val="00BA731E"/>
    <w:rsid w:val="00BA74A3"/>
    <w:rsid w:val="00BA76C3"/>
    <w:rsid w:val="00BA77C5"/>
    <w:rsid w:val="00BA7802"/>
    <w:rsid w:val="00BA7B63"/>
    <w:rsid w:val="00BA7B79"/>
    <w:rsid w:val="00BA7EEE"/>
    <w:rsid w:val="00BA7F19"/>
    <w:rsid w:val="00BB0146"/>
    <w:rsid w:val="00BB0200"/>
    <w:rsid w:val="00BB0219"/>
    <w:rsid w:val="00BB02AE"/>
    <w:rsid w:val="00BB0610"/>
    <w:rsid w:val="00BB067E"/>
    <w:rsid w:val="00BB076E"/>
    <w:rsid w:val="00BB07CA"/>
    <w:rsid w:val="00BB08BF"/>
    <w:rsid w:val="00BB0916"/>
    <w:rsid w:val="00BB0982"/>
    <w:rsid w:val="00BB0A35"/>
    <w:rsid w:val="00BB0D04"/>
    <w:rsid w:val="00BB0E53"/>
    <w:rsid w:val="00BB0E89"/>
    <w:rsid w:val="00BB0F63"/>
    <w:rsid w:val="00BB117A"/>
    <w:rsid w:val="00BB12A0"/>
    <w:rsid w:val="00BB13D8"/>
    <w:rsid w:val="00BB14B6"/>
    <w:rsid w:val="00BB151D"/>
    <w:rsid w:val="00BB1702"/>
    <w:rsid w:val="00BB17B9"/>
    <w:rsid w:val="00BB18F8"/>
    <w:rsid w:val="00BB1935"/>
    <w:rsid w:val="00BB1A4A"/>
    <w:rsid w:val="00BB1EA8"/>
    <w:rsid w:val="00BB1F77"/>
    <w:rsid w:val="00BB2008"/>
    <w:rsid w:val="00BB2416"/>
    <w:rsid w:val="00BB24DF"/>
    <w:rsid w:val="00BB2588"/>
    <w:rsid w:val="00BB274C"/>
    <w:rsid w:val="00BB27A8"/>
    <w:rsid w:val="00BB29DF"/>
    <w:rsid w:val="00BB2A7A"/>
    <w:rsid w:val="00BB2C9F"/>
    <w:rsid w:val="00BB2CFC"/>
    <w:rsid w:val="00BB2DF4"/>
    <w:rsid w:val="00BB2F51"/>
    <w:rsid w:val="00BB2F53"/>
    <w:rsid w:val="00BB3151"/>
    <w:rsid w:val="00BB3208"/>
    <w:rsid w:val="00BB33FC"/>
    <w:rsid w:val="00BB349E"/>
    <w:rsid w:val="00BB34DC"/>
    <w:rsid w:val="00BB35D0"/>
    <w:rsid w:val="00BB365C"/>
    <w:rsid w:val="00BB37EF"/>
    <w:rsid w:val="00BB3845"/>
    <w:rsid w:val="00BB3866"/>
    <w:rsid w:val="00BB38F8"/>
    <w:rsid w:val="00BB3A93"/>
    <w:rsid w:val="00BB3AC4"/>
    <w:rsid w:val="00BB3B4A"/>
    <w:rsid w:val="00BB3BCA"/>
    <w:rsid w:val="00BB3EDD"/>
    <w:rsid w:val="00BB4093"/>
    <w:rsid w:val="00BB4142"/>
    <w:rsid w:val="00BB4479"/>
    <w:rsid w:val="00BB481C"/>
    <w:rsid w:val="00BB4999"/>
    <w:rsid w:val="00BB49E8"/>
    <w:rsid w:val="00BB4BCD"/>
    <w:rsid w:val="00BB4D0A"/>
    <w:rsid w:val="00BB4FAC"/>
    <w:rsid w:val="00BB50BF"/>
    <w:rsid w:val="00BB53D6"/>
    <w:rsid w:val="00BB5472"/>
    <w:rsid w:val="00BB54F1"/>
    <w:rsid w:val="00BB56C7"/>
    <w:rsid w:val="00BB56EE"/>
    <w:rsid w:val="00BB56F3"/>
    <w:rsid w:val="00BB5775"/>
    <w:rsid w:val="00BB591C"/>
    <w:rsid w:val="00BB59D3"/>
    <w:rsid w:val="00BB59F7"/>
    <w:rsid w:val="00BB5B62"/>
    <w:rsid w:val="00BB5C87"/>
    <w:rsid w:val="00BB5C9E"/>
    <w:rsid w:val="00BB5E15"/>
    <w:rsid w:val="00BB5EBD"/>
    <w:rsid w:val="00BB6037"/>
    <w:rsid w:val="00BB6144"/>
    <w:rsid w:val="00BB61E9"/>
    <w:rsid w:val="00BB63CF"/>
    <w:rsid w:val="00BB6502"/>
    <w:rsid w:val="00BB667A"/>
    <w:rsid w:val="00BB66C2"/>
    <w:rsid w:val="00BB6805"/>
    <w:rsid w:val="00BB6A79"/>
    <w:rsid w:val="00BB6B85"/>
    <w:rsid w:val="00BB6BCD"/>
    <w:rsid w:val="00BB6F2A"/>
    <w:rsid w:val="00BB6F46"/>
    <w:rsid w:val="00BB6FFE"/>
    <w:rsid w:val="00BB7042"/>
    <w:rsid w:val="00BB7083"/>
    <w:rsid w:val="00BB70F9"/>
    <w:rsid w:val="00BB7173"/>
    <w:rsid w:val="00BB7237"/>
    <w:rsid w:val="00BB7564"/>
    <w:rsid w:val="00BB7725"/>
    <w:rsid w:val="00BB7886"/>
    <w:rsid w:val="00BB797A"/>
    <w:rsid w:val="00BB7C56"/>
    <w:rsid w:val="00BB7C9B"/>
    <w:rsid w:val="00BB7DE7"/>
    <w:rsid w:val="00BB7F42"/>
    <w:rsid w:val="00BC0113"/>
    <w:rsid w:val="00BC0274"/>
    <w:rsid w:val="00BC0497"/>
    <w:rsid w:val="00BC05E2"/>
    <w:rsid w:val="00BC076B"/>
    <w:rsid w:val="00BC0784"/>
    <w:rsid w:val="00BC081B"/>
    <w:rsid w:val="00BC0A65"/>
    <w:rsid w:val="00BC0D3D"/>
    <w:rsid w:val="00BC0D76"/>
    <w:rsid w:val="00BC0E14"/>
    <w:rsid w:val="00BC10D5"/>
    <w:rsid w:val="00BC10DA"/>
    <w:rsid w:val="00BC1126"/>
    <w:rsid w:val="00BC11B4"/>
    <w:rsid w:val="00BC11E2"/>
    <w:rsid w:val="00BC124C"/>
    <w:rsid w:val="00BC1332"/>
    <w:rsid w:val="00BC146F"/>
    <w:rsid w:val="00BC14BB"/>
    <w:rsid w:val="00BC1527"/>
    <w:rsid w:val="00BC1767"/>
    <w:rsid w:val="00BC1829"/>
    <w:rsid w:val="00BC183A"/>
    <w:rsid w:val="00BC1A7F"/>
    <w:rsid w:val="00BC1ACC"/>
    <w:rsid w:val="00BC1B05"/>
    <w:rsid w:val="00BC208F"/>
    <w:rsid w:val="00BC2306"/>
    <w:rsid w:val="00BC2396"/>
    <w:rsid w:val="00BC2565"/>
    <w:rsid w:val="00BC2651"/>
    <w:rsid w:val="00BC27CE"/>
    <w:rsid w:val="00BC2B50"/>
    <w:rsid w:val="00BC2D61"/>
    <w:rsid w:val="00BC2F31"/>
    <w:rsid w:val="00BC2FEA"/>
    <w:rsid w:val="00BC31E3"/>
    <w:rsid w:val="00BC3371"/>
    <w:rsid w:val="00BC342E"/>
    <w:rsid w:val="00BC3523"/>
    <w:rsid w:val="00BC3555"/>
    <w:rsid w:val="00BC36AA"/>
    <w:rsid w:val="00BC3758"/>
    <w:rsid w:val="00BC38EA"/>
    <w:rsid w:val="00BC4021"/>
    <w:rsid w:val="00BC4036"/>
    <w:rsid w:val="00BC410D"/>
    <w:rsid w:val="00BC41A0"/>
    <w:rsid w:val="00BC462F"/>
    <w:rsid w:val="00BC487C"/>
    <w:rsid w:val="00BC4C52"/>
    <w:rsid w:val="00BC4CBD"/>
    <w:rsid w:val="00BC4D7E"/>
    <w:rsid w:val="00BC4F05"/>
    <w:rsid w:val="00BC4F0A"/>
    <w:rsid w:val="00BC4FF5"/>
    <w:rsid w:val="00BC500A"/>
    <w:rsid w:val="00BC5019"/>
    <w:rsid w:val="00BC5061"/>
    <w:rsid w:val="00BC509F"/>
    <w:rsid w:val="00BC51C4"/>
    <w:rsid w:val="00BC51D2"/>
    <w:rsid w:val="00BC53BB"/>
    <w:rsid w:val="00BC544A"/>
    <w:rsid w:val="00BC5569"/>
    <w:rsid w:val="00BC565C"/>
    <w:rsid w:val="00BC5A25"/>
    <w:rsid w:val="00BC5D0F"/>
    <w:rsid w:val="00BC5E08"/>
    <w:rsid w:val="00BC5EBC"/>
    <w:rsid w:val="00BC5F61"/>
    <w:rsid w:val="00BC5FFE"/>
    <w:rsid w:val="00BC61D0"/>
    <w:rsid w:val="00BC61FF"/>
    <w:rsid w:val="00BC64BE"/>
    <w:rsid w:val="00BC66AD"/>
    <w:rsid w:val="00BC66E0"/>
    <w:rsid w:val="00BC6B8C"/>
    <w:rsid w:val="00BC6B97"/>
    <w:rsid w:val="00BC6B9D"/>
    <w:rsid w:val="00BC6C2B"/>
    <w:rsid w:val="00BC6CC2"/>
    <w:rsid w:val="00BC6D53"/>
    <w:rsid w:val="00BC6ECB"/>
    <w:rsid w:val="00BC7155"/>
    <w:rsid w:val="00BC741D"/>
    <w:rsid w:val="00BC7445"/>
    <w:rsid w:val="00BC74FE"/>
    <w:rsid w:val="00BC7550"/>
    <w:rsid w:val="00BC75BE"/>
    <w:rsid w:val="00BC7716"/>
    <w:rsid w:val="00BC77E2"/>
    <w:rsid w:val="00BC78CC"/>
    <w:rsid w:val="00BC7D09"/>
    <w:rsid w:val="00BC7DF2"/>
    <w:rsid w:val="00BC7F86"/>
    <w:rsid w:val="00BD0159"/>
    <w:rsid w:val="00BD02E0"/>
    <w:rsid w:val="00BD0308"/>
    <w:rsid w:val="00BD03EF"/>
    <w:rsid w:val="00BD0611"/>
    <w:rsid w:val="00BD067D"/>
    <w:rsid w:val="00BD08A2"/>
    <w:rsid w:val="00BD090A"/>
    <w:rsid w:val="00BD0959"/>
    <w:rsid w:val="00BD09EB"/>
    <w:rsid w:val="00BD0B72"/>
    <w:rsid w:val="00BD0C4B"/>
    <w:rsid w:val="00BD0C5A"/>
    <w:rsid w:val="00BD0D37"/>
    <w:rsid w:val="00BD0DBF"/>
    <w:rsid w:val="00BD0E64"/>
    <w:rsid w:val="00BD1174"/>
    <w:rsid w:val="00BD119C"/>
    <w:rsid w:val="00BD128D"/>
    <w:rsid w:val="00BD1359"/>
    <w:rsid w:val="00BD13A1"/>
    <w:rsid w:val="00BD13AA"/>
    <w:rsid w:val="00BD13D4"/>
    <w:rsid w:val="00BD14E7"/>
    <w:rsid w:val="00BD1526"/>
    <w:rsid w:val="00BD167C"/>
    <w:rsid w:val="00BD1794"/>
    <w:rsid w:val="00BD1818"/>
    <w:rsid w:val="00BD18BE"/>
    <w:rsid w:val="00BD1D2B"/>
    <w:rsid w:val="00BD1DA4"/>
    <w:rsid w:val="00BD207F"/>
    <w:rsid w:val="00BD21D8"/>
    <w:rsid w:val="00BD2668"/>
    <w:rsid w:val="00BD2842"/>
    <w:rsid w:val="00BD2AB6"/>
    <w:rsid w:val="00BD2B6C"/>
    <w:rsid w:val="00BD2D24"/>
    <w:rsid w:val="00BD2E84"/>
    <w:rsid w:val="00BD2ECC"/>
    <w:rsid w:val="00BD2F05"/>
    <w:rsid w:val="00BD3021"/>
    <w:rsid w:val="00BD304C"/>
    <w:rsid w:val="00BD323E"/>
    <w:rsid w:val="00BD32F4"/>
    <w:rsid w:val="00BD3614"/>
    <w:rsid w:val="00BD3839"/>
    <w:rsid w:val="00BD3924"/>
    <w:rsid w:val="00BD3EAF"/>
    <w:rsid w:val="00BD3EC6"/>
    <w:rsid w:val="00BD422F"/>
    <w:rsid w:val="00BD43DA"/>
    <w:rsid w:val="00BD450F"/>
    <w:rsid w:val="00BD4512"/>
    <w:rsid w:val="00BD452D"/>
    <w:rsid w:val="00BD45CF"/>
    <w:rsid w:val="00BD4637"/>
    <w:rsid w:val="00BD4AD9"/>
    <w:rsid w:val="00BD4C00"/>
    <w:rsid w:val="00BD4D69"/>
    <w:rsid w:val="00BD4ED0"/>
    <w:rsid w:val="00BD4EFF"/>
    <w:rsid w:val="00BD4F91"/>
    <w:rsid w:val="00BD4FFD"/>
    <w:rsid w:val="00BD50BE"/>
    <w:rsid w:val="00BD5199"/>
    <w:rsid w:val="00BD5223"/>
    <w:rsid w:val="00BD52AA"/>
    <w:rsid w:val="00BD5332"/>
    <w:rsid w:val="00BD5519"/>
    <w:rsid w:val="00BD55CF"/>
    <w:rsid w:val="00BD581E"/>
    <w:rsid w:val="00BD5853"/>
    <w:rsid w:val="00BD5B07"/>
    <w:rsid w:val="00BD5B6C"/>
    <w:rsid w:val="00BD603B"/>
    <w:rsid w:val="00BD607B"/>
    <w:rsid w:val="00BD6209"/>
    <w:rsid w:val="00BD6227"/>
    <w:rsid w:val="00BD66E1"/>
    <w:rsid w:val="00BD67A3"/>
    <w:rsid w:val="00BD6864"/>
    <w:rsid w:val="00BD6974"/>
    <w:rsid w:val="00BD6BAB"/>
    <w:rsid w:val="00BD6E0F"/>
    <w:rsid w:val="00BD6E72"/>
    <w:rsid w:val="00BD6F94"/>
    <w:rsid w:val="00BD714A"/>
    <w:rsid w:val="00BD71A0"/>
    <w:rsid w:val="00BD7259"/>
    <w:rsid w:val="00BD750B"/>
    <w:rsid w:val="00BD755A"/>
    <w:rsid w:val="00BD7653"/>
    <w:rsid w:val="00BD7780"/>
    <w:rsid w:val="00BD78A6"/>
    <w:rsid w:val="00BE026D"/>
    <w:rsid w:val="00BE06B8"/>
    <w:rsid w:val="00BE070C"/>
    <w:rsid w:val="00BE0830"/>
    <w:rsid w:val="00BE0843"/>
    <w:rsid w:val="00BE08A7"/>
    <w:rsid w:val="00BE0999"/>
    <w:rsid w:val="00BE09B5"/>
    <w:rsid w:val="00BE0A3B"/>
    <w:rsid w:val="00BE0CA3"/>
    <w:rsid w:val="00BE0CD7"/>
    <w:rsid w:val="00BE0D3A"/>
    <w:rsid w:val="00BE0D5F"/>
    <w:rsid w:val="00BE0E67"/>
    <w:rsid w:val="00BE0EB0"/>
    <w:rsid w:val="00BE1061"/>
    <w:rsid w:val="00BE1105"/>
    <w:rsid w:val="00BE11C6"/>
    <w:rsid w:val="00BE11F6"/>
    <w:rsid w:val="00BE1321"/>
    <w:rsid w:val="00BE140B"/>
    <w:rsid w:val="00BE1606"/>
    <w:rsid w:val="00BE167B"/>
    <w:rsid w:val="00BE18C1"/>
    <w:rsid w:val="00BE19DD"/>
    <w:rsid w:val="00BE1BA3"/>
    <w:rsid w:val="00BE214E"/>
    <w:rsid w:val="00BE21E6"/>
    <w:rsid w:val="00BE255B"/>
    <w:rsid w:val="00BE2565"/>
    <w:rsid w:val="00BE263F"/>
    <w:rsid w:val="00BE285E"/>
    <w:rsid w:val="00BE2893"/>
    <w:rsid w:val="00BE2CB6"/>
    <w:rsid w:val="00BE2E42"/>
    <w:rsid w:val="00BE2EB4"/>
    <w:rsid w:val="00BE2F5A"/>
    <w:rsid w:val="00BE310F"/>
    <w:rsid w:val="00BE313C"/>
    <w:rsid w:val="00BE3199"/>
    <w:rsid w:val="00BE31DF"/>
    <w:rsid w:val="00BE3200"/>
    <w:rsid w:val="00BE3437"/>
    <w:rsid w:val="00BE37AC"/>
    <w:rsid w:val="00BE37D3"/>
    <w:rsid w:val="00BE3A5E"/>
    <w:rsid w:val="00BE3BD1"/>
    <w:rsid w:val="00BE3C54"/>
    <w:rsid w:val="00BE41BC"/>
    <w:rsid w:val="00BE4594"/>
    <w:rsid w:val="00BE4AB1"/>
    <w:rsid w:val="00BE4B6A"/>
    <w:rsid w:val="00BE522A"/>
    <w:rsid w:val="00BE5244"/>
    <w:rsid w:val="00BE529C"/>
    <w:rsid w:val="00BE5457"/>
    <w:rsid w:val="00BE551F"/>
    <w:rsid w:val="00BE57B5"/>
    <w:rsid w:val="00BE5969"/>
    <w:rsid w:val="00BE5ADF"/>
    <w:rsid w:val="00BE5B99"/>
    <w:rsid w:val="00BE5BBE"/>
    <w:rsid w:val="00BE5EDB"/>
    <w:rsid w:val="00BE5EE9"/>
    <w:rsid w:val="00BE61F1"/>
    <w:rsid w:val="00BE63CE"/>
    <w:rsid w:val="00BE6545"/>
    <w:rsid w:val="00BE6B63"/>
    <w:rsid w:val="00BE6CA6"/>
    <w:rsid w:val="00BE6F22"/>
    <w:rsid w:val="00BE6FAB"/>
    <w:rsid w:val="00BE6FE0"/>
    <w:rsid w:val="00BE706C"/>
    <w:rsid w:val="00BE70A6"/>
    <w:rsid w:val="00BE711B"/>
    <w:rsid w:val="00BE75D6"/>
    <w:rsid w:val="00BE790C"/>
    <w:rsid w:val="00BE7923"/>
    <w:rsid w:val="00BE7953"/>
    <w:rsid w:val="00BE7A7C"/>
    <w:rsid w:val="00BE7B80"/>
    <w:rsid w:val="00BE7D03"/>
    <w:rsid w:val="00BE7E80"/>
    <w:rsid w:val="00BF077D"/>
    <w:rsid w:val="00BF0870"/>
    <w:rsid w:val="00BF0A44"/>
    <w:rsid w:val="00BF0B02"/>
    <w:rsid w:val="00BF0CD6"/>
    <w:rsid w:val="00BF0CEC"/>
    <w:rsid w:val="00BF0CF7"/>
    <w:rsid w:val="00BF0EC1"/>
    <w:rsid w:val="00BF0F5F"/>
    <w:rsid w:val="00BF1122"/>
    <w:rsid w:val="00BF1256"/>
    <w:rsid w:val="00BF12C8"/>
    <w:rsid w:val="00BF13A6"/>
    <w:rsid w:val="00BF15A3"/>
    <w:rsid w:val="00BF1624"/>
    <w:rsid w:val="00BF1794"/>
    <w:rsid w:val="00BF1893"/>
    <w:rsid w:val="00BF1A44"/>
    <w:rsid w:val="00BF1A5C"/>
    <w:rsid w:val="00BF1BB0"/>
    <w:rsid w:val="00BF1DA3"/>
    <w:rsid w:val="00BF1DD0"/>
    <w:rsid w:val="00BF1EDF"/>
    <w:rsid w:val="00BF215F"/>
    <w:rsid w:val="00BF21D9"/>
    <w:rsid w:val="00BF2400"/>
    <w:rsid w:val="00BF2427"/>
    <w:rsid w:val="00BF24FC"/>
    <w:rsid w:val="00BF27B8"/>
    <w:rsid w:val="00BF296A"/>
    <w:rsid w:val="00BF29E7"/>
    <w:rsid w:val="00BF2A3C"/>
    <w:rsid w:val="00BF2EBE"/>
    <w:rsid w:val="00BF2F47"/>
    <w:rsid w:val="00BF2FBA"/>
    <w:rsid w:val="00BF3281"/>
    <w:rsid w:val="00BF3427"/>
    <w:rsid w:val="00BF35CB"/>
    <w:rsid w:val="00BF35F0"/>
    <w:rsid w:val="00BF3694"/>
    <w:rsid w:val="00BF3845"/>
    <w:rsid w:val="00BF38FA"/>
    <w:rsid w:val="00BF3AAF"/>
    <w:rsid w:val="00BF3B1E"/>
    <w:rsid w:val="00BF3BD2"/>
    <w:rsid w:val="00BF3C24"/>
    <w:rsid w:val="00BF3C30"/>
    <w:rsid w:val="00BF3F1B"/>
    <w:rsid w:val="00BF4460"/>
    <w:rsid w:val="00BF447D"/>
    <w:rsid w:val="00BF4540"/>
    <w:rsid w:val="00BF46C0"/>
    <w:rsid w:val="00BF4874"/>
    <w:rsid w:val="00BF4A15"/>
    <w:rsid w:val="00BF4B78"/>
    <w:rsid w:val="00BF4B95"/>
    <w:rsid w:val="00BF4D3D"/>
    <w:rsid w:val="00BF5673"/>
    <w:rsid w:val="00BF5773"/>
    <w:rsid w:val="00BF58A1"/>
    <w:rsid w:val="00BF59C5"/>
    <w:rsid w:val="00BF5B8C"/>
    <w:rsid w:val="00BF5D7B"/>
    <w:rsid w:val="00BF6312"/>
    <w:rsid w:val="00BF6343"/>
    <w:rsid w:val="00BF6410"/>
    <w:rsid w:val="00BF650F"/>
    <w:rsid w:val="00BF66B7"/>
    <w:rsid w:val="00BF66EB"/>
    <w:rsid w:val="00BF6A68"/>
    <w:rsid w:val="00BF6AA2"/>
    <w:rsid w:val="00BF6D2D"/>
    <w:rsid w:val="00BF6D4D"/>
    <w:rsid w:val="00BF7152"/>
    <w:rsid w:val="00BF73F0"/>
    <w:rsid w:val="00BF75B1"/>
    <w:rsid w:val="00BF75C9"/>
    <w:rsid w:val="00BF7737"/>
    <w:rsid w:val="00BF7779"/>
    <w:rsid w:val="00BF79C7"/>
    <w:rsid w:val="00BF7BD3"/>
    <w:rsid w:val="00BF7F7C"/>
    <w:rsid w:val="00C0002E"/>
    <w:rsid w:val="00C00352"/>
    <w:rsid w:val="00C004F4"/>
    <w:rsid w:val="00C00694"/>
    <w:rsid w:val="00C0074C"/>
    <w:rsid w:val="00C00787"/>
    <w:rsid w:val="00C007CE"/>
    <w:rsid w:val="00C00A22"/>
    <w:rsid w:val="00C00F18"/>
    <w:rsid w:val="00C00F92"/>
    <w:rsid w:val="00C01239"/>
    <w:rsid w:val="00C01440"/>
    <w:rsid w:val="00C01502"/>
    <w:rsid w:val="00C0157D"/>
    <w:rsid w:val="00C017F9"/>
    <w:rsid w:val="00C01971"/>
    <w:rsid w:val="00C01BD7"/>
    <w:rsid w:val="00C01D39"/>
    <w:rsid w:val="00C01DB5"/>
    <w:rsid w:val="00C01EFA"/>
    <w:rsid w:val="00C0200C"/>
    <w:rsid w:val="00C02054"/>
    <w:rsid w:val="00C020A8"/>
    <w:rsid w:val="00C0216E"/>
    <w:rsid w:val="00C02530"/>
    <w:rsid w:val="00C0261E"/>
    <w:rsid w:val="00C02B2A"/>
    <w:rsid w:val="00C02BAD"/>
    <w:rsid w:val="00C02BC3"/>
    <w:rsid w:val="00C02E51"/>
    <w:rsid w:val="00C02FDE"/>
    <w:rsid w:val="00C030A3"/>
    <w:rsid w:val="00C030CF"/>
    <w:rsid w:val="00C03339"/>
    <w:rsid w:val="00C034A4"/>
    <w:rsid w:val="00C0376F"/>
    <w:rsid w:val="00C0377A"/>
    <w:rsid w:val="00C0379C"/>
    <w:rsid w:val="00C037A9"/>
    <w:rsid w:val="00C037C6"/>
    <w:rsid w:val="00C0392A"/>
    <w:rsid w:val="00C03A7C"/>
    <w:rsid w:val="00C03B3E"/>
    <w:rsid w:val="00C03CAB"/>
    <w:rsid w:val="00C03DD0"/>
    <w:rsid w:val="00C03DDE"/>
    <w:rsid w:val="00C04308"/>
    <w:rsid w:val="00C043C4"/>
    <w:rsid w:val="00C04445"/>
    <w:rsid w:val="00C04705"/>
    <w:rsid w:val="00C048A8"/>
    <w:rsid w:val="00C04937"/>
    <w:rsid w:val="00C04A7F"/>
    <w:rsid w:val="00C04E2B"/>
    <w:rsid w:val="00C04F93"/>
    <w:rsid w:val="00C051AA"/>
    <w:rsid w:val="00C0524C"/>
    <w:rsid w:val="00C052A9"/>
    <w:rsid w:val="00C055FC"/>
    <w:rsid w:val="00C057A7"/>
    <w:rsid w:val="00C057C2"/>
    <w:rsid w:val="00C05AFB"/>
    <w:rsid w:val="00C05C46"/>
    <w:rsid w:val="00C05F1A"/>
    <w:rsid w:val="00C05FC7"/>
    <w:rsid w:val="00C060A0"/>
    <w:rsid w:val="00C060E1"/>
    <w:rsid w:val="00C064AC"/>
    <w:rsid w:val="00C065E5"/>
    <w:rsid w:val="00C06706"/>
    <w:rsid w:val="00C069DC"/>
    <w:rsid w:val="00C06B12"/>
    <w:rsid w:val="00C06C68"/>
    <w:rsid w:val="00C06DA5"/>
    <w:rsid w:val="00C06F84"/>
    <w:rsid w:val="00C07014"/>
    <w:rsid w:val="00C070D0"/>
    <w:rsid w:val="00C07187"/>
    <w:rsid w:val="00C071FB"/>
    <w:rsid w:val="00C073CF"/>
    <w:rsid w:val="00C07590"/>
    <w:rsid w:val="00C075C9"/>
    <w:rsid w:val="00C0763F"/>
    <w:rsid w:val="00C07642"/>
    <w:rsid w:val="00C07667"/>
    <w:rsid w:val="00C0766F"/>
    <w:rsid w:val="00C077EC"/>
    <w:rsid w:val="00C07BF9"/>
    <w:rsid w:val="00C07DF3"/>
    <w:rsid w:val="00C07FAD"/>
    <w:rsid w:val="00C10290"/>
    <w:rsid w:val="00C102A7"/>
    <w:rsid w:val="00C103F4"/>
    <w:rsid w:val="00C10436"/>
    <w:rsid w:val="00C104A6"/>
    <w:rsid w:val="00C1066D"/>
    <w:rsid w:val="00C106C4"/>
    <w:rsid w:val="00C10802"/>
    <w:rsid w:val="00C10869"/>
    <w:rsid w:val="00C10952"/>
    <w:rsid w:val="00C10B77"/>
    <w:rsid w:val="00C10B96"/>
    <w:rsid w:val="00C10E15"/>
    <w:rsid w:val="00C11038"/>
    <w:rsid w:val="00C1113F"/>
    <w:rsid w:val="00C111EA"/>
    <w:rsid w:val="00C11259"/>
    <w:rsid w:val="00C1125E"/>
    <w:rsid w:val="00C11278"/>
    <w:rsid w:val="00C113E9"/>
    <w:rsid w:val="00C11497"/>
    <w:rsid w:val="00C116CA"/>
    <w:rsid w:val="00C118FF"/>
    <w:rsid w:val="00C119AD"/>
    <w:rsid w:val="00C11BA3"/>
    <w:rsid w:val="00C11DD9"/>
    <w:rsid w:val="00C11E6A"/>
    <w:rsid w:val="00C11E84"/>
    <w:rsid w:val="00C11E85"/>
    <w:rsid w:val="00C12077"/>
    <w:rsid w:val="00C120EC"/>
    <w:rsid w:val="00C1228D"/>
    <w:rsid w:val="00C1233A"/>
    <w:rsid w:val="00C12402"/>
    <w:rsid w:val="00C12555"/>
    <w:rsid w:val="00C126D4"/>
    <w:rsid w:val="00C1275F"/>
    <w:rsid w:val="00C127A1"/>
    <w:rsid w:val="00C127F5"/>
    <w:rsid w:val="00C128C8"/>
    <w:rsid w:val="00C12921"/>
    <w:rsid w:val="00C12AF1"/>
    <w:rsid w:val="00C12C58"/>
    <w:rsid w:val="00C12C76"/>
    <w:rsid w:val="00C12DFD"/>
    <w:rsid w:val="00C12FC7"/>
    <w:rsid w:val="00C13050"/>
    <w:rsid w:val="00C130BD"/>
    <w:rsid w:val="00C13270"/>
    <w:rsid w:val="00C13325"/>
    <w:rsid w:val="00C13463"/>
    <w:rsid w:val="00C1346D"/>
    <w:rsid w:val="00C134A2"/>
    <w:rsid w:val="00C1351C"/>
    <w:rsid w:val="00C13612"/>
    <w:rsid w:val="00C139B4"/>
    <w:rsid w:val="00C139DB"/>
    <w:rsid w:val="00C13A60"/>
    <w:rsid w:val="00C13A85"/>
    <w:rsid w:val="00C13BCF"/>
    <w:rsid w:val="00C13E4D"/>
    <w:rsid w:val="00C13F14"/>
    <w:rsid w:val="00C13FED"/>
    <w:rsid w:val="00C140A7"/>
    <w:rsid w:val="00C144E7"/>
    <w:rsid w:val="00C1464F"/>
    <w:rsid w:val="00C14745"/>
    <w:rsid w:val="00C1479F"/>
    <w:rsid w:val="00C1498C"/>
    <w:rsid w:val="00C14A03"/>
    <w:rsid w:val="00C14B4D"/>
    <w:rsid w:val="00C14CC1"/>
    <w:rsid w:val="00C14CD0"/>
    <w:rsid w:val="00C14DC3"/>
    <w:rsid w:val="00C14E7D"/>
    <w:rsid w:val="00C15088"/>
    <w:rsid w:val="00C153A4"/>
    <w:rsid w:val="00C15451"/>
    <w:rsid w:val="00C155C8"/>
    <w:rsid w:val="00C15722"/>
    <w:rsid w:val="00C159A4"/>
    <w:rsid w:val="00C159B4"/>
    <w:rsid w:val="00C15C3A"/>
    <w:rsid w:val="00C15DB7"/>
    <w:rsid w:val="00C163B1"/>
    <w:rsid w:val="00C16897"/>
    <w:rsid w:val="00C1689D"/>
    <w:rsid w:val="00C1690B"/>
    <w:rsid w:val="00C16A46"/>
    <w:rsid w:val="00C16BC7"/>
    <w:rsid w:val="00C16D25"/>
    <w:rsid w:val="00C16D56"/>
    <w:rsid w:val="00C16ECC"/>
    <w:rsid w:val="00C1759F"/>
    <w:rsid w:val="00C1762E"/>
    <w:rsid w:val="00C176A2"/>
    <w:rsid w:val="00C176E5"/>
    <w:rsid w:val="00C17773"/>
    <w:rsid w:val="00C1788D"/>
    <w:rsid w:val="00C17C22"/>
    <w:rsid w:val="00C17D59"/>
    <w:rsid w:val="00C17DD4"/>
    <w:rsid w:val="00C17F4F"/>
    <w:rsid w:val="00C200C9"/>
    <w:rsid w:val="00C200E2"/>
    <w:rsid w:val="00C20136"/>
    <w:rsid w:val="00C20346"/>
    <w:rsid w:val="00C20376"/>
    <w:rsid w:val="00C2038C"/>
    <w:rsid w:val="00C2068E"/>
    <w:rsid w:val="00C20770"/>
    <w:rsid w:val="00C2084A"/>
    <w:rsid w:val="00C20C1F"/>
    <w:rsid w:val="00C20CCD"/>
    <w:rsid w:val="00C20D6F"/>
    <w:rsid w:val="00C20D93"/>
    <w:rsid w:val="00C20D98"/>
    <w:rsid w:val="00C20DD3"/>
    <w:rsid w:val="00C20EB3"/>
    <w:rsid w:val="00C20FDB"/>
    <w:rsid w:val="00C20FF8"/>
    <w:rsid w:val="00C21116"/>
    <w:rsid w:val="00C2112F"/>
    <w:rsid w:val="00C212FA"/>
    <w:rsid w:val="00C21466"/>
    <w:rsid w:val="00C21835"/>
    <w:rsid w:val="00C218C4"/>
    <w:rsid w:val="00C21D8E"/>
    <w:rsid w:val="00C21DB3"/>
    <w:rsid w:val="00C21F17"/>
    <w:rsid w:val="00C22020"/>
    <w:rsid w:val="00C220A1"/>
    <w:rsid w:val="00C222CE"/>
    <w:rsid w:val="00C2233B"/>
    <w:rsid w:val="00C22525"/>
    <w:rsid w:val="00C2268C"/>
    <w:rsid w:val="00C227F9"/>
    <w:rsid w:val="00C228E7"/>
    <w:rsid w:val="00C22A0E"/>
    <w:rsid w:val="00C22B19"/>
    <w:rsid w:val="00C22B66"/>
    <w:rsid w:val="00C22B9B"/>
    <w:rsid w:val="00C22D4F"/>
    <w:rsid w:val="00C22E08"/>
    <w:rsid w:val="00C234AE"/>
    <w:rsid w:val="00C237B1"/>
    <w:rsid w:val="00C23B66"/>
    <w:rsid w:val="00C23CDA"/>
    <w:rsid w:val="00C23D75"/>
    <w:rsid w:val="00C23D7C"/>
    <w:rsid w:val="00C23DBB"/>
    <w:rsid w:val="00C23E0C"/>
    <w:rsid w:val="00C23FE1"/>
    <w:rsid w:val="00C24032"/>
    <w:rsid w:val="00C2410D"/>
    <w:rsid w:val="00C2413F"/>
    <w:rsid w:val="00C24147"/>
    <w:rsid w:val="00C241A8"/>
    <w:rsid w:val="00C241E4"/>
    <w:rsid w:val="00C242AC"/>
    <w:rsid w:val="00C24347"/>
    <w:rsid w:val="00C24445"/>
    <w:rsid w:val="00C24519"/>
    <w:rsid w:val="00C245E7"/>
    <w:rsid w:val="00C24831"/>
    <w:rsid w:val="00C248CF"/>
    <w:rsid w:val="00C24961"/>
    <w:rsid w:val="00C24BAF"/>
    <w:rsid w:val="00C24BCD"/>
    <w:rsid w:val="00C24BCE"/>
    <w:rsid w:val="00C24D7E"/>
    <w:rsid w:val="00C24E3B"/>
    <w:rsid w:val="00C24EE0"/>
    <w:rsid w:val="00C250AA"/>
    <w:rsid w:val="00C251B6"/>
    <w:rsid w:val="00C25349"/>
    <w:rsid w:val="00C2562C"/>
    <w:rsid w:val="00C256A5"/>
    <w:rsid w:val="00C259F0"/>
    <w:rsid w:val="00C25E00"/>
    <w:rsid w:val="00C25F03"/>
    <w:rsid w:val="00C25F8B"/>
    <w:rsid w:val="00C26072"/>
    <w:rsid w:val="00C26121"/>
    <w:rsid w:val="00C2616E"/>
    <w:rsid w:val="00C261B5"/>
    <w:rsid w:val="00C26285"/>
    <w:rsid w:val="00C26304"/>
    <w:rsid w:val="00C26325"/>
    <w:rsid w:val="00C265C0"/>
    <w:rsid w:val="00C267DC"/>
    <w:rsid w:val="00C268A1"/>
    <w:rsid w:val="00C26B9E"/>
    <w:rsid w:val="00C26EB2"/>
    <w:rsid w:val="00C26FA2"/>
    <w:rsid w:val="00C26FB7"/>
    <w:rsid w:val="00C2708D"/>
    <w:rsid w:val="00C27166"/>
    <w:rsid w:val="00C27205"/>
    <w:rsid w:val="00C272EF"/>
    <w:rsid w:val="00C27324"/>
    <w:rsid w:val="00C2732B"/>
    <w:rsid w:val="00C2753F"/>
    <w:rsid w:val="00C276A8"/>
    <w:rsid w:val="00C27975"/>
    <w:rsid w:val="00C27CC5"/>
    <w:rsid w:val="00C27E74"/>
    <w:rsid w:val="00C27F11"/>
    <w:rsid w:val="00C300BC"/>
    <w:rsid w:val="00C3016B"/>
    <w:rsid w:val="00C30227"/>
    <w:rsid w:val="00C303F4"/>
    <w:rsid w:val="00C3045F"/>
    <w:rsid w:val="00C30586"/>
    <w:rsid w:val="00C305D8"/>
    <w:rsid w:val="00C30BCD"/>
    <w:rsid w:val="00C30CB2"/>
    <w:rsid w:val="00C310BB"/>
    <w:rsid w:val="00C311D3"/>
    <w:rsid w:val="00C3126D"/>
    <w:rsid w:val="00C314F4"/>
    <w:rsid w:val="00C315A0"/>
    <w:rsid w:val="00C316C2"/>
    <w:rsid w:val="00C316DB"/>
    <w:rsid w:val="00C31713"/>
    <w:rsid w:val="00C318F7"/>
    <w:rsid w:val="00C31976"/>
    <w:rsid w:val="00C319D2"/>
    <w:rsid w:val="00C31BA8"/>
    <w:rsid w:val="00C31BCA"/>
    <w:rsid w:val="00C31CE9"/>
    <w:rsid w:val="00C31F85"/>
    <w:rsid w:val="00C324F7"/>
    <w:rsid w:val="00C3250C"/>
    <w:rsid w:val="00C32534"/>
    <w:rsid w:val="00C32580"/>
    <w:rsid w:val="00C32613"/>
    <w:rsid w:val="00C326C5"/>
    <w:rsid w:val="00C326EE"/>
    <w:rsid w:val="00C327E0"/>
    <w:rsid w:val="00C32930"/>
    <w:rsid w:val="00C32951"/>
    <w:rsid w:val="00C32B3B"/>
    <w:rsid w:val="00C32C02"/>
    <w:rsid w:val="00C32CA6"/>
    <w:rsid w:val="00C32E19"/>
    <w:rsid w:val="00C32FBA"/>
    <w:rsid w:val="00C33235"/>
    <w:rsid w:val="00C3341D"/>
    <w:rsid w:val="00C3354B"/>
    <w:rsid w:val="00C33677"/>
    <w:rsid w:val="00C33CEE"/>
    <w:rsid w:val="00C33E0A"/>
    <w:rsid w:val="00C33EE6"/>
    <w:rsid w:val="00C34039"/>
    <w:rsid w:val="00C340E4"/>
    <w:rsid w:val="00C34137"/>
    <w:rsid w:val="00C341E1"/>
    <w:rsid w:val="00C34253"/>
    <w:rsid w:val="00C34436"/>
    <w:rsid w:val="00C34506"/>
    <w:rsid w:val="00C346E4"/>
    <w:rsid w:val="00C3476B"/>
    <w:rsid w:val="00C34C76"/>
    <w:rsid w:val="00C34C86"/>
    <w:rsid w:val="00C34DEB"/>
    <w:rsid w:val="00C34FEE"/>
    <w:rsid w:val="00C35240"/>
    <w:rsid w:val="00C3524B"/>
    <w:rsid w:val="00C35499"/>
    <w:rsid w:val="00C355A1"/>
    <w:rsid w:val="00C3568D"/>
    <w:rsid w:val="00C3571F"/>
    <w:rsid w:val="00C35A75"/>
    <w:rsid w:val="00C35AA8"/>
    <w:rsid w:val="00C35BBA"/>
    <w:rsid w:val="00C35C11"/>
    <w:rsid w:val="00C35D4A"/>
    <w:rsid w:val="00C35D55"/>
    <w:rsid w:val="00C36159"/>
    <w:rsid w:val="00C36342"/>
    <w:rsid w:val="00C367BB"/>
    <w:rsid w:val="00C368B3"/>
    <w:rsid w:val="00C36957"/>
    <w:rsid w:val="00C369FA"/>
    <w:rsid w:val="00C36BC9"/>
    <w:rsid w:val="00C36CD8"/>
    <w:rsid w:val="00C36CFF"/>
    <w:rsid w:val="00C36F07"/>
    <w:rsid w:val="00C37018"/>
    <w:rsid w:val="00C37214"/>
    <w:rsid w:val="00C372E8"/>
    <w:rsid w:val="00C37394"/>
    <w:rsid w:val="00C373C9"/>
    <w:rsid w:val="00C3747A"/>
    <w:rsid w:val="00C3749D"/>
    <w:rsid w:val="00C37708"/>
    <w:rsid w:val="00C37D7B"/>
    <w:rsid w:val="00C37EA5"/>
    <w:rsid w:val="00C37EE2"/>
    <w:rsid w:val="00C37F93"/>
    <w:rsid w:val="00C400A1"/>
    <w:rsid w:val="00C4013A"/>
    <w:rsid w:val="00C40204"/>
    <w:rsid w:val="00C409DC"/>
    <w:rsid w:val="00C409FE"/>
    <w:rsid w:val="00C40AF2"/>
    <w:rsid w:val="00C40B1B"/>
    <w:rsid w:val="00C40D21"/>
    <w:rsid w:val="00C40DB2"/>
    <w:rsid w:val="00C40E50"/>
    <w:rsid w:val="00C40E7D"/>
    <w:rsid w:val="00C40E88"/>
    <w:rsid w:val="00C41009"/>
    <w:rsid w:val="00C4136E"/>
    <w:rsid w:val="00C414C1"/>
    <w:rsid w:val="00C41648"/>
    <w:rsid w:val="00C416A3"/>
    <w:rsid w:val="00C4172E"/>
    <w:rsid w:val="00C41785"/>
    <w:rsid w:val="00C41CC1"/>
    <w:rsid w:val="00C41FC1"/>
    <w:rsid w:val="00C42CD3"/>
    <w:rsid w:val="00C42DB2"/>
    <w:rsid w:val="00C42EB2"/>
    <w:rsid w:val="00C42EE4"/>
    <w:rsid w:val="00C4341B"/>
    <w:rsid w:val="00C434B8"/>
    <w:rsid w:val="00C434C2"/>
    <w:rsid w:val="00C4355E"/>
    <w:rsid w:val="00C43910"/>
    <w:rsid w:val="00C43940"/>
    <w:rsid w:val="00C4397D"/>
    <w:rsid w:val="00C43B1F"/>
    <w:rsid w:val="00C43BED"/>
    <w:rsid w:val="00C43E69"/>
    <w:rsid w:val="00C44137"/>
    <w:rsid w:val="00C44342"/>
    <w:rsid w:val="00C44344"/>
    <w:rsid w:val="00C44694"/>
    <w:rsid w:val="00C4472B"/>
    <w:rsid w:val="00C44744"/>
    <w:rsid w:val="00C447AA"/>
    <w:rsid w:val="00C449F1"/>
    <w:rsid w:val="00C44A8E"/>
    <w:rsid w:val="00C4501D"/>
    <w:rsid w:val="00C45175"/>
    <w:rsid w:val="00C451A0"/>
    <w:rsid w:val="00C4523D"/>
    <w:rsid w:val="00C45440"/>
    <w:rsid w:val="00C457AB"/>
    <w:rsid w:val="00C457C1"/>
    <w:rsid w:val="00C457D1"/>
    <w:rsid w:val="00C459D7"/>
    <w:rsid w:val="00C45BB4"/>
    <w:rsid w:val="00C45DAC"/>
    <w:rsid w:val="00C45EEE"/>
    <w:rsid w:val="00C45F53"/>
    <w:rsid w:val="00C45F9B"/>
    <w:rsid w:val="00C4602F"/>
    <w:rsid w:val="00C46172"/>
    <w:rsid w:val="00C4647C"/>
    <w:rsid w:val="00C464E6"/>
    <w:rsid w:val="00C46625"/>
    <w:rsid w:val="00C46755"/>
    <w:rsid w:val="00C4685A"/>
    <w:rsid w:val="00C46870"/>
    <w:rsid w:val="00C46966"/>
    <w:rsid w:val="00C46AA5"/>
    <w:rsid w:val="00C46D4D"/>
    <w:rsid w:val="00C46EA7"/>
    <w:rsid w:val="00C46EF0"/>
    <w:rsid w:val="00C46FD5"/>
    <w:rsid w:val="00C470B7"/>
    <w:rsid w:val="00C4729B"/>
    <w:rsid w:val="00C47399"/>
    <w:rsid w:val="00C47545"/>
    <w:rsid w:val="00C47593"/>
    <w:rsid w:val="00C476A1"/>
    <w:rsid w:val="00C47860"/>
    <w:rsid w:val="00C47B89"/>
    <w:rsid w:val="00C47BAB"/>
    <w:rsid w:val="00C47C05"/>
    <w:rsid w:val="00C47C0E"/>
    <w:rsid w:val="00C47ECA"/>
    <w:rsid w:val="00C47F9A"/>
    <w:rsid w:val="00C47FEF"/>
    <w:rsid w:val="00C500AE"/>
    <w:rsid w:val="00C5042E"/>
    <w:rsid w:val="00C5044B"/>
    <w:rsid w:val="00C5056C"/>
    <w:rsid w:val="00C506BD"/>
    <w:rsid w:val="00C50721"/>
    <w:rsid w:val="00C50E55"/>
    <w:rsid w:val="00C50E96"/>
    <w:rsid w:val="00C50FE0"/>
    <w:rsid w:val="00C510E8"/>
    <w:rsid w:val="00C51152"/>
    <w:rsid w:val="00C511C1"/>
    <w:rsid w:val="00C51403"/>
    <w:rsid w:val="00C51426"/>
    <w:rsid w:val="00C514AC"/>
    <w:rsid w:val="00C51619"/>
    <w:rsid w:val="00C51622"/>
    <w:rsid w:val="00C51776"/>
    <w:rsid w:val="00C518B6"/>
    <w:rsid w:val="00C51AA3"/>
    <w:rsid w:val="00C51CEB"/>
    <w:rsid w:val="00C51FB3"/>
    <w:rsid w:val="00C5212B"/>
    <w:rsid w:val="00C5223C"/>
    <w:rsid w:val="00C52248"/>
    <w:rsid w:val="00C522A9"/>
    <w:rsid w:val="00C52396"/>
    <w:rsid w:val="00C52417"/>
    <w:rsid w:val="00C526B4"/>
    <w:rsid w:val="00C5285C"/>
    <w:rsid w:val="00C52A35"/>
    <w:rsid w:val="00C52AFE"/>
    <w:rsid w:val="00C52E19"/>
    <w:rsid w:val="00C52EA7"/>
    <w:rsid w:val="00C52FB2"/>
    <w:rsid w:val="00C530FE"/>
    <w:rsid w:val="00C53213"/>
    <w:rsid w:val="00C53248"/>
    <w:rsid w:val="00C53339"/>
    <w:rsid w:val="00C534AB"/>
    <w:rsid w:val="00C53619"/>
    <w:rsid w:val="00C5371A"/>
    <w:rsid w:val="00C53917"/>
    <w:rsid w:val="00C53A09"/>
    <w:rsid w:val="00C53D80"/>
    <w:rsid w:val="00C53EF4"/>
    <w:rsid w:val="00C53F4B"/>
    <w:rsid w:val="00C53F87"/>
    <w:rsid w:val="00C54084"/>
    <w:rsid w:val="00C541DE"/>
    <w:rsid w:val="00C54298"/>
    <w:rsid w:val="00C54448"/>
    <w:rsid w:val="00C5463D"/>
    <w:rsid w:val="00C5493E"/>
    <w:rsid w:val="00C54A5B"/>
    <w:rsid w:val="00C54AEC"/>
    <w:rsid w:val="00C54B41"/>
    <w:rsid w:val="00C54C11"/>
    <w:rsid w:val="00C54C67"/>
    <w:rsid w:val="00C54E65"/>
    <w:rsid w:val="00C54E9B"/>
    <w:rsid w:val="00C55002"/>
    <w:rsid w:val="00C55064"/>
    <w:rsid w:val="00C552E0"/>
    <w:rsid w:val="00C553CA"/>
    <w:rsid w:val="00C55483"/>
    <w:rsid w:val="00C55598"/>
    <w:rsid w:val="00C557F4"/>
    <w:rsid w:val="00C55A8E"/>
    <w:rsid w:val="00C55AED"/>
    <w:rsid w:val="00C55B55"/>
    <w:rsid w:val="00C55B88"/>
    <w:rsid w:val="00C55C7A"/>
    <w:rsid w:val="00C55D9E"/>
    <w:rsid w:val="00C55DFC"/>
    <w:rsid w:val="00C55EF1"/>
    <w:rsid w:val="00C55FE2"/>
    <w:rsid w:val="00C55FE9"/>
    <w:rsid w:val="00C56040"/>
    <w:rsid w:val="00C56167"/>
    <w:rsid w:val="00C56209"/>
    <w:rsid w:val="00C5631A"/>
    <w:rsid w:val="00C56324"/>
    <w:rsid w:val="00C5653B"/>
    <w:rsid w:val="00C565A3"/>
    <w:rsid w:val="00C567DF"/>
    <w:rsid w:val="00C5689F"/>
    <w:rsid w:val="00C56AB4"/>
    <w:rsid w:val="00C57088"/>
    <w:rsid w:val="00C57364"/>
    <w:rsid w:val="00C574F1"/>
    <w:rsid w:val="00C57530"/>
    <w:rsid w:val="00C575AE"/>
    <w:rsid w:val="00C575B5"/>
    <w:rsid w:val="00C576D2"/>
    <w:rsid w:val="00C577B8"/>
    <w:rsid w:val="00C577F7"/>
    <w:rsid w:val="00C578CA"/>
    <w:rsid w:val="00C578EC"/>
    <w:rsid w:val="00C57900"/>
    <w:rsid w:val="00C57AC6"/>
    <w:rsid w:val="00C604A9"/>
    <w:rsid w:val="00C60667"/>
    <w:rsid w:val="00C6066B"/>
    <w:rsid w:val="00C60935"/>
    <w:rsid w:val="00C60C04"/>
    <w:rsid w:val="00C60CB7"/>
    <w:rsid w:val="00C60DB4"/>
    <w:rsid w:val="00C611DB"/>
    <w:rsid w:val="00C61441"/>
    <w:rsid w:val="00C6154B"/>
    <w:rsid w:val="00C61773"/>
    <w:rsid w:val="00C619F3"/>
    <w:rsid w:val="00C61AB9"/>
    <w:rsid w:val="00C61CE0"/>
    <w:rsid w:val="00C61E18"/>
    <w:rsid w:val="00C61F7B"/>
    <w:rsid w:val="00C61F84"/>
    <w:rsid w:val="00C61F89"/>
    <w:rsid w:val="00C62168"/>
    <w:rsid w:val="00C621EC"/>
    <w:rsid w:val="00C62909"/>
    <w:rsid w:val="00C62A3B"/>
    <w:rsid w:val="00C62C41"/>
    <w:rsid w:val="00C62CFE"/>
    <w:rsid w:val="00C62E21"/>
    <w:rsid w:val="00C62FF7"/>
    <w:rsid w:val="00C630F6"/>
    <w:rsid w:val="00C63135"/>
    <w:rsid w:val="00C632B4"/>
    <w:rsid w:val="00C63322"/>
    <w:rsid w:val="00C63369"/>
    <w:rsid w:val="00C6343C"/>
    <w:rsid w:val="00C635B4"/>
    <w:rsid w:val="00C6369D"/>
    <w:rsid w:val="00C63739"/>
    <w:rsid w:val="00C637DC"/>
    <w:rsid w:val="00C6383C"/>
    <w:rsid w:val="00C63A4A"/>
    <w:rsid w:val="00C63C93"/>
    <w:rsid w:val="00C63C98"/>
    <w:rsid w:val="00C63D58"/>
    <w:rsid w:val="00C63E5C"/>
    <w:rsid w:val="00C63E70"/>
    <w:rsid w:val="00C63EE8"/>
    <w:rsid w:val="00C64168"/>
    <w:rsid w:val="00C641CE"/>
    <w:rsid w:val="00C6432E"/>
    <w:rsid w:val="00C64554"/>
    <w:rsid w:val="00C6467A"/>
    <w:rsid w:val="00C64764"/>
    <w:rsid w:val="00C64874"/>
    <w:rsid w:val="00C64A19"/>
    <w:rsid w:val="00C650AC"/>
    <w:rsid w:val="00C6536C"/>
    <w:rsid w:val="00C653E8"/>
    <w:rsid w:val="00C6545B"/>
    <w:rsid w:val="00C654C0"/>
    <w:rsid w:val="00C65575"/>
    <w:rsid w:val="00C655E0"/>
    <w:rsid w:val="00C65718"/>
    <w:rsid w:val="00C658E9"/>
    <w:rsid w:val="00C65930"/>
    <w:rsid w:val="00C65BDC"/>
    <w:rsid w:val="00C65C11"/>
    <w:rsid w:val="00C65C3D"/>
    <w:rsid w:val="00C65C81"/>
    <w:rsid w:val="00C65DAD"/>
    <w:rsid w:val="00C65E03"/>
    <w:rsid w:val="00C65E90"/>
    <w:rsid w:val="00C65F63"/>
    <w:rsid w:val="00C66083"/>
    <w:rsid w:val="00C661A1"/>
    <w:rsid w:val="00C662BE"/>
    <w:rsid w:val="00C66659"/>
    <w:rsid w:val="00C66772"/>
    <w:rsid w:val="00C66774"/>
    <w:rsid w:val="00C66827"/>
    <w:rsid w:val="00C668DD"/>
    <w:rsid w:val="00C669AC"/>
    <w:rsid w:val="00C66A26"/>
    <w:rsid w:val="00C66BE0"/>
    <w:rsid w:val="00C66C91"/>
    <w:rsid w:val="00C66D2B"/>
    <w:rsid w:val="00C66D72"/>
    <w:rsid w:val="00C66E04"/>
    <w:rsid w:val="00C66EB7"/>
    <w:rsid w:val="00C66FA3"/>
    <w:rsid w:val="00C67070"/>
    <w:rsid w:val="00C6721A"/>
    <w:rsid w:val="00C67431"/>
    <w:rsid w:val="00C67539"/>
    <w:rsid w:val="00C67580"/>
    <w:rsid w:val="00C67591"/>
    <w:rsid w:val="00C6769F"/>
    <w:rsid w:val="00C6781C"/>
    <w:rsid w:val="00C67C5C"/>
    <w:rsid w:val="00C67E48"/>
    <w:rsid w:val="00C67EA1"/>
    <w:rsid w:val="00C70260"/>
    <w:rsid w:val="00C7033B"/>
    <w:rsid w:val="00C70355"/>
    <w:rsid w:val="00C704D4"/>
    <w:rsid w:val="00C705D2"/>
    <w:rsid w:val="00C7066E"/>
    <w:rsid w:val="00C706A2"/>
    <w:rsid w:val="00C707B6"/>
    <w:rsid w:val="00C7083C"/>
    <w:rsid w:val="00C70A0C"/>
    <w:rsid w:val="00C70AEE"/>
    <w:rsid w:val="00C70BEF"/>
    <w:rsid w:val="00C70D8E"/>
    <w:rsid w:val="00C70EB2"/>
    <w:rsid w:val="00C70F99"/>
    <w:rsid w:val="00C70F9D"/>
    <w:rsid w:val="00C71096"/>
    <w:rsid w:val="00C710EA"/>
    <w:rsid w:val="00C71121"/>
    <w:rsid w:val="00C711E9"/>
    <w:rsid w:val="00C71358"/>
    <w:rsid w:val="00C71630"/>
    <w:rsid w:val="00C7178D"/>
    <w:rsid w:val="00C719A5"/>
    <w:rsid w:val="00C71B05"/>
    <w:rsid w:val="00C71BED"/>
    <w:rsid w:val="00C71D15"/>
    <w:rsid w:val="00C71DC0"/>
    <w:rsid w:val="00C721B8"/>
    <w:rsid w:val="00C721E0"/>
    <w:rsid w:val="00C7234D"/>
    <w:rsid w:val="00C723C3"/>
    <w:rsid w:val="00C7244E"/>
    <w:rsid w:val="00C726C9"/>
    <w:rsid w:val="00C72801"/>
    <w:rsid w:val="00C72882"/>
    <w:rsid w:val="00C72A1D"/>
    <w:rsid w:val="00C72A93"/>
    <w:rsid w:val="00C72C0A"/>
    <w:rsid w:val="00C72D3C"/>
    <w:rsid w:val="00C7303E"/>
    <w:rsid w:val="00C73098"/>
    <w:rsid w:val="00C73569"/>
    <w:rsid w:val="00C7389C"/>
    <w:rsid w:val="00C738CD"/>
    <w:rsid w:val="00C73982"/>
    <w:rsid w:val="00C73BD3"/>
    <w:rsid w:val="00C73E23"/>
    <w:rsid w:val="00C73E43"/>
    <w:rsid w:val="00C73E67"/>
    <w:rsid w:val="00C73E77"/>
    <w:rsid w:val="00C73F58"/>
    <w:rsid w:val="00C73FAD"/>
    <w:rsid w:val="00C743F7"/>
    <w:rsid w:val="00C74428"/>
    <w:rsid w:val="00C7448B"/>
    <w:rsid w:val="00C7451F"/>
    <w:rsid w:val="00C745E3"/>
    <w:rsid w:val="00C74712"/>
    <w:rsid w:val="00C74AE1"/>
    <w:rsid w:val="00C74C9F"/>
    <w:rsid w:val="00C74CB7"/>
    <w:rsid w:val="00C74FB5"/>
    <w:rsid w:val="00C7505B"/>
    <w:rsid w:val="00C7531F"/>
    <w:rsid w:val="00C757B8"/>
    <w:rsid w:val="00C75A0F"/>
    <w:rsid w:val="00C75C2B"/>
    <w:rsid w:val="00C75CB6"/>
    <w:rsid w:val="00C75DBE"/>
    <w:rsid w:val="00C75F51"/>
    <w:rsid w:val="00C75FC7"/>
    <w:rsid w:val="00C7608F"/>
    <w:rsid w:val="00C7615D"/>
    <w:rsid w:val="00C76368"/>
    <w:rsid w:val="00C763B4"/>
    <w:rsid w:val="00C76434"/>
    <w:rsid w:val="00C764B2"/>
    <w:rsid w:val="00C764C6"/>
    <w:rsid w:val="00C7652B"/>
    <w:rsid w:val="00C765E8"/>
    <w:rsid w:val="00C76714"/>
    <w:rsid w:val="00C76906"/>
    <w:rsid w:val="00C7693B"/>
    <w:rsid w:val="00C76B7C"/>
    <w:rsid w:val="00C76BA9"/>
    <w:rsid w:val="00C76CC7"/>
    <w:rsid w:val="00C76E5C"/>
    <w:rsid w:val="00C76F81"/>
    <w:rsid w:val="00C775DC"/>
    <w:rsid w:val="00C776A4"/>
    <w:rsid w:val="00C7775C"/>
    <w:rsid w:val="00C778D9"/>
    <w:rsid w:val="00C779B4"/>
    <w:rsid w:val="00C77B2A"/>
    <w:rsid w:val="00C77CA5"/>
    <w:rsid w:val="00C80081"/>
    <w:rsid w:val="00C800DD"/>
    <w:rsid w:val="00C80226"/>
    <w:rsid w:val="00C80232"/>
    <w:rsid w:val="00C80920"/>
    <w:rsid w:val="00C80A5C"/>
    <w:rsid w:val="00C80B03"/>
    <w:rsid w:val="00C80C7E"/>
    <w:rsid w:val="00C80C88"/>
    <w:rsid w:val="00C80F05"/>
    <w:rsid w:val="00C81194"/>
    <w:rsid w:val="00C814FD"/>
    <w:rsid w:val="00C8158E"/>
    <w:rsid w:val="00C81639"/>
    <w:rsid w:val="00C816BC"/>
    <w:rsid w:val="00C81731"/>
    <w:rsid w:val="00C8186A"/>
    <w:rsid w:val="00C819EA"/>
    <w:rsid w:val="00C81A2F"/>
    <w:rsid w:val="00C81ACF"/>
    <w:rsid w:val="00C81B22"/>
    <w:rsid w:val="00C81BD4"/>
    <w:rsid w:val="00C81C36"/>
    <w:rsid w:val="00C81CFB"/>
    <w:rsid w:val="00C81E4B"/>
    <w:rsid w:val="00C81F20"/>
    <w:rsid w:val="00C82302"/>
    <w:rsid w:val="00C8243F"/>
    <w:rsid w:val="00C8289B"/>
    <w:rsid w:val="00C82942"/>
    <w:rsid w:val="00C82AAB"/>
    <w:rsid w:val="00C82AF4"/>
    <w:rsid w:val="00C82B1D"/>
    <w:rsid w:val="00C82CA6"/>
    <w:rsid w:val="00C82D54"/>
    <w:rsid w:val="00C82F3B"/>
    <w:rsid w:val="00C8301A"/>
    <w:rsid w:val="00C83094"/>
    <w:rsid w:val="00C835CD"/>
    <w:rsid w:val="00C835ED"/>
    <w:rsid w:val="00C8369A"/>
    <w:rsid w:val="00C837C4"/>
    <w:rsid w:val="00C83829"/>
    <w:rsid w:val="00C83A56"/>
    <w:rsid w:val="00C83AC7"/>
    <w:rsid w:val="00C83B69"/>
    <w:rsid w:val="00C83EA5"/>
    <w:rsid w:val="00C83EDD"/>
    <w:rsid w:val="00C83FAB"/>
    <w:rsid w:val="00C84032"/>
    <w:rsid w:val="00C84279"/>
    <w:rsid w:val="00C842DF"/>
    <w:rsid w:val="00C8439B"/>
    <w:rsid w:val="00C84834"/>
    <w:rsid w:val="00C84875"/>
    <w:rsid w:val="00C84AAC"/>
    <w:rsid w:val="00C84BD6"/>
    <w:rsid w:val="00C84BF1"/>
    <w:rsid w:val="00C84CA2"/>
    <w:rsid w:val="00C85767"/>
    <w:rsid w:val="00C8584A"/>
    <w:rsid w:val="00C8594D"/>
    <w:rsid w:val="00C859F1"/>
    <w:rsid w:val="00C85A36"/>
    <w:rsid w:val="00C85A88"/>
    <w:rsid w:val="00C85B46"/>
    <w:rsid w:val="00C85B62"/>
    <w:rsid w:val="00C85CD1"/>
    <w:rsid w:val="00C85D62"/>
    <w:rsid w:val="00C85E93"/>
    <w:rsid w:val="00C85EA4"/>
    <w:rsid w:val="00C85F01"/>
    <w:rsid w:val="00C8601D"/>
    <w:rsid w:val="00C86108"/>
    <w:rsid w:val="00C862DF"/>
    <w:rsid w:val="00C8645F"/>
    <w:rsid w:val="00C8649A"/>
    <w:rsid w:val="00C868F0"/>
    <w:rsid w:val="00C869DE"/>
    <w:rsid w:val="00C86A6C"/>
    <w:rsid w:val="00C86C56"/>
    <w:rsid w:val="00C86FD6"/>
    <w:rsid w:val="00C870B3"/>
    <w:rsid w:val="00C8710E"/>
    <w:rsid w:val="00C8773E"/>
    <w:rsid w:val="00C87BD3"/>
    <w:rsid w:val="00C87E8E"/>
    <w:rsid w:val="00C87E94"/>
    <w:rsid w:val="00C87F47"/>
    <w:rsid w:val="00C9013E"/>
    <w:rsid w:val="00C90236"/>
    <w:rsid w:val="00C90290"/>
    <w:rsid w:val="00C903B9"/>
    <w:rsid w:val="00C90601"/>
    <w:rsid w:val="00C907E2"/>
    <w:rsid w:val="00C9080E"/>
    <w:rsid w:val="00C90C14"/>
    <w:rsid w:val="00C90D16"/>
    <w:rsid w:val="00C90D87"/>
    <w:rsid w:val="00C90F3E"/>
    <w:rsid w:val="00C90FEB"/>
    <w:rsid w:val="00C91024"/>
    <w:rsid w:val="00C9107D"/>
    <w:rsid w:val="00C9116A"/>
    <w:rsid w:val="00C913A0"/>
    <w:rsid w:val="00C913BC"/>
    <w:rsid w:val="00C9148F"/>
    <w:rsid w:val="00C91494"/>
    <w:rsid w:val="00C914E7"/>
    <w:rsid w:val="00C91A93"/>
    <w:rsid w:val="00C91EB9"/>
    <w:rsid w:val="00C91EBB"/>
    <w:rsid w:val="00C9229C"/>
    <w:rsid w:val="00C92482"/>
    <w:rsid w:val="00C925C5"/>
    <w:rsid w:val="00C9265D"/>
    <w:rsid w:val="00C927BD"/>
    <w:rsid w:val="00C927C3"/>
    <w:rsid w:val="00C927E6"/>
    <w:rsid w:val="00C92824"/>
    <w:rsid w:val="00C92887"/>
    <w:rsid w:val="00C92A9D"/>
    <w:rsid w:val="00C92CEA"/>
    <w:rsid w:val="00C92EB7"/>
    <w:rsid w:val="00C931B6"/>
    <w:rsid w:val="00C9332F"/>
    <w:rsid w:val="00C9357E"/>
    <w:rsid w:val="00C9368F"/>
    <w:rsid w:val="00C936D1"/>
    <w:rsid w:val="00C937BA"/>
    <w:rsid w:val="00C9385C"/>
    <w:rsid w:val="00C93912"/>
    <w:rsid w:val="00C93A47"/>
    <w:rsid w:val="00C93ACE"/>
    <w:rsid w:val="00C93B0C"/>
    <w:rsid w:val="00C93CCF"/>
    <w:rsid w:val="00C93E4A"/>
    <w:rsid w:val="00C93FB7"/>
    <w:rsid w:val="00C941A3"/>
    <w:rsid w:val="00C9426B"/>
    <w:rsid w:val="00C94631"/>
    <w:rsid w:val="00C94869"/>
    <w:rsid w:val="00C949FC"/>
    <w:rsid w:val="00C94BD5"/>
    <w:rsid w:val="00C94DBD"/>
    <w:rsid w:val="00C95016"/>
    <w:rsid w:val="00C95175"/>
    <w:rsid w:val="00C9534F"/>
    <w:rsid w:val="00C9577F"/>
    <w:rsid w:val="00C957B6"/>
    <w:rsid w:val="00C95A6F"/>
    <w:rsid w:val="00C95D2C"/>
    <w:rsid w:val="00C960CF"/>
    <w:rsid w:val="00C96159"/>
    <w:rsid w:val="00C96176"/>
    <w:rsid w:val="00C9626F"/>
    <w:rsid w:val="00C962DB"/>
    <w:rsid w:val="00C963D8"/>
    <w:rsid w:val="00C9656C"/>
    <w:rsid w:val="00C96672"/>
    <w:rsid w:val="00C96678"/>
    <w:rsid w:val="00C966B9"/>
    <w:rsid w:val="00C96714"/>
    <w:rsid w:val="00C96772"/>
    <w:rsid w:val="00C969C0"/>
    <w:rsid w:val="00C96C6C"/>
    <w:rsid w:val="00C96CF5"/>
    <w:rsid w:val="00C96CFA"/>
    <w:rsid w:val="00C96E5A"/>
    <w:rsid w:val="00C96EB5"/>
    <w:rsid w:val="00C97330"/>
    <w:rsid w:val="00C97393"/>
    <w:rsid w:val="00C9741D"/>
    <w:rsid w:val="00C97747"/>
    <w:rsid w:val="00C977E9"/>
    <w:rsid w:val="00C97C17"/>
    <w:rsid w:val="00C97D12"/>
    <w:rsid w:val="00C97E3B"/>
    <w:rsid w:val="00C97F95"/>
    <w:rsid w:val="00CA0257"/>
    <w:rsid w:val="00CA03A9"/>
    <w:rsid w:val="00CA0698"/>
    <w:rsid w:val="00CA071C"/>
    <w:rsid w:val="00CA08C8"/>
    <w:rsid w:val="00CA0917"/>
    <w:rsid w:val="00CA0AB0"/>
    <w:rsid w:val="00CA0C6B"/>
    <w:rsid w:val="00CA102B"/>
    <w:rsid w:val="00CA153C"/>
    <w:rsid w:val="00CA17C1"/>
    <w:rsid w:val="00CA1CDA"/>
    <w:rsid w:val="00CA1EBD"/>
    <w:rsid w:val="00CA20F0"/>
    <w:rsid w:val="00CA2396"/>
    <w:rsid w:val="00CA270D"/>
    <w:rsid w:val="00CA2711"/>
    <w:rsid w:val="00CA281C"/>
    <w:rsid w:val="00CA283D"/>
    <w:rsid w:val="00CA29D1"/>
    <w:rsid w:val="00CA2BEE"/>
    <w:rsid w:val="00CA2D9D"/>
    <w:rsid w:val="00CA2DD6"/>
    <w:rsid w:val="00CA2E83"/>
    <w:rsid w:val="00CA2E8F"/>
    <w:rsid w:val="00CA2EC1"/>
    <w:rsid w:val="00CA2FA2"/>
    <w:rsid w:val="00CA315E"/>
    <w:rsid w:val="00CA31FE"/>
    <w:rsid w:val="00CA3247"/>
    <w:rsid w:val="00CA3340"/>
    <w:rsid w:val="00CA341B"/>
    <w:rsid w:val="00CA3497"/>
    <w:rsid w:val="00CA35EE"/>
    <w:rsid w:val="00CA363A"/>
    <w:rsid w:val="00CA3752"/>
    <w:rsid w:val="00CA377C"/>
    <w:rsid w:val="00CA38DE"/>
    <w:rsid w:val="00CA3905"/>
    <w:rsid w:val="00CA3920"/>
    <w:rsid w:val="00CA3999"/>
    <w:rsid w:val="00CA39C0"/>
    <w:rsid w:val="00CA3AD9"/>
    <w:rsid w:val="00CA3C85"/>
    <w:rsid w:val="00CA3F14"/>
    <w:rsid w:val="00CA4368"/>
    <w:rsid w:val="00CA4553"/>
    <w:rsid w:val="00CA4B76"/>
    <w:rsid w:val="00CA5039"/>
    <w:rsid w:val="00CA51B1"/>
    <w:rsid w:val="00CA51ED"/>
    <w:rsid w:val="00CA5386"/>
    <w:rsid w:val="00CA5511"/>
    <w:rsid w:val="00CA5605"/>
    <w:rsid w:val="00CA5650"/>
    <w:rsid w:val="00CA56C6"/>
    <w:rsid w:val="00CA5AD3"/>
    <w:rsid w:val="00CA5B83"/>
    <w:rsid w:val="00CA5BDA"/>
    <w:rsid w:val="00CA605A"/>
    <w:rsid w:val="00CA625A"/>
    <w:rsid w:val="00CA6260"/>
    <w:rsid w:val="00CA62DD"/>
    <w:rsid w:val="00CA63C9"/>
    <w:rsid w:val="00CA66D1"/>
    <w:rsid w:val="00CA676A"/>
    <w:rsid w:val="00CA6800"/>
    <w:rsid w:val="00CA6813"/>
    <w:rsid w:val="00CA692C"/>
    <w:rsid w:val="00CA6988"/>
    <w:rsid w:val="00CA69BA"/>
    <w:rsid w:val="00CA6A9E"/>
    <w:rsid w:val="00CA6B64"/>
    <w:rsid w:val="00CA6BA7"/>
    <w:rsid w:val="00CA6C1D"/>
    <w:rsid w:val="00CA6C28"/>
    <w:rsid w:val="00CA6F90"/>
    <w:rsid w:val="00CA7080"/>
    <w:rsid w:val="00CA72F0"/>
    <w:rsid w:val="00CA7602"/>
    <w:rsid w:val="00CA76F1"/>
    <w:rsid w:val="00CA789B"/>
    <w:rsid w:val="00CA7976"/>
    <w:rsid w:val="00CA7B7F"/>
    <w:rsid w:val="00CA7BD0"/>
    <w:rsid w:val="00CA7C71"/>
    <w:rsid w:val="00CA7D56"/>
    <w:rsid w:val="00CA7DE6"/>
    <w:rsid w:val="00CA7E58"/>
    <w:rsid w:val="00CA7F06"/>
    <w:rsid w:val="00CA7FE6"/>
    <w:rsid w:val="00CB024C"/>
    <w:rsid w:val="00CB02CC"/>
    <w:rsid w:val="00CB0339"/>
    <w:rsid w:val="00CB0667"/>
    <w:rsid w:val="00CB06C7"/>
    <w:rsid w:val="00CB085D"/>
    <w:rsid w:val="00CB09EB"/>
    <w:rsid w:val="00CB0D70"/>
    <w:rsid w:val="00CB0E13"/>
    <w:rsid w:val="00CB0FC5"/>
    <w:rsid w:val="00CB110E"/>
    <w:rsid w:val="00CB11F8"/>
    <w:rsid w:val="00CB123A"/>
    <w:rsid w:val="00CB1528"/>
    <w:rsid w:val="00CB1619"/>
    <w:rsid w:val="00CB1682"/>
    <w:rsid w:val="00CB17DD"/>
    <w:rsid w:val="00CB180A"/>
    <w:rsid w:val="00CB19BB"/>
    <w:rsid w:val="00CB1A60"/>
    <w:rsid w:val="00CB1A67"/>
    <w:rsid w:val="00CB1B17"/>
    <w:rsid w:val="00CB1BE6"/>
    <w:rsid w:val="00CB1D6A"/>
    <w:rsid w:val="00CB1EBC"/>
    <w:rsid w:val="00CB202B"/>
    <w:rsid w:val="00CB2113"/>
    <w:rsid w:val="00CB225B"/>
    <w:rsid w:val="00CB227C"/>
    <w:rsid w:val="00CB2321"/>
    <w:rsid w:val="00CB25A7"/>
    <w:rsid w:val="00CB286C"/>
    <w:rsid w:val="00CB2A11"/>
    <w:rsid w:val="00CB2A4D"/>
    <w:rsid w:val="00CB2EF5"/>
    <w:rsid w:val="00CB2FBA"/>
    <w:rsid w:val="00CB2FE4"/>
    <w:rsid w:val="00CB33E4"/>
    <w:rsid w:val="00CB347D"/>
    <w:rsid w:val="00CB3547"/>
    <w:rsid w:val="00CB364D"/>
    <w:rsid w:val="00CB3875"/>
    <w:rsid w:val="00CB39BB"/>
    <w:rsid w:val="00CB3D3A"/>
    <w:rsid w:val="00CB3D83"/>
    <w:rsid w:val="00CB3E48"/>
    <w:rsid w:val="00CB4230"/>
    <w:rsid w:val="00CB431B"/>
    <w:rsid w:val="00CB4357"/>
    <w:rsid w:val="00CB4450"/>
    <w:rsid w:val="00CB477B"/>
    <w:rsid w:val="00CB47FC"/>
    <w:rsid w:val="00CB483B"/>
    <w:rsid w:val="00CB49A6"/>
    <w:rsid w:val="00CB4A63"/>
    <w:rsid w:val="00CB4A77"/>
    <w:rsid w:val="00CB4AD4"/>
    <w:rsid w:val="00CB4DCB"/>
    <w:rsid w:val="00CB4EA5"/>
    <w:rsid w:val="00CB5020"/>
    <w:rsid w:val="00CB557F"/>
    <w:rsid w:val="00CB566D"/>
    <w:rsid w:val="00CB572F"/>
    <w:rsid w:val="00CB592B"/>
    <w:rsid w:val="00CB5A92"/>
    <w:rsid w:val="00CB5C5F"/>
    <w:rsid w:val="00CB5CA0"/>
    <w:rsid w:val="00CB5D5A"/>
    <w:rsid w:val="00CB600E"/>
    <w:rsid w:val="00CB6225"/>
    <w:rsid w:val="00CB627D"/>
    <w:rsid w:val="00CB65B8"/>
    <w:rsid w:val="00CB669D"/>
    <w:rsid w:val="00CB67E4"/>
    <w:rsid w:val="00CB67EA"/>
    <w:rsid w:val="00CB6CDF"/>
    <w:rsid w:val="00CB6FAB"/>
    <w:rsid w:val="00CB6FB5"/>
    <w:rsid w:val="00CB7264"/>
    <w:rsid w:val="00CB72A6"/>
    <w:rsid w:val="00CB730F"/>
    <w:rsid w:val="00CB741E"/>
    <w:rsid w:val="00CB74E9"/>
    <w:rsid w:val="00CB7513"/>
    <w:rsid w:val="00CB761C"/>
    <w:rsid w:val="00CB76B5"/>
    <w:rsid w:val="00CB779B"/>
    <w:rsid w:val="00CB7894"/>
    <w:rsid w:val="00CB78EC"/>
    <w:rsid w:val="00CB79F0"/>
    <w:rsid w:val="00CB7AD6"/>
    <w:rsid w:val="00CB7E14"/>
    <w:rsid w:val="00CC02FA"/>
    <w:rsid w:val="00CC03FC"/>
    <w:rsid w:val="00CC0495"/>
    <w:rsid w:val="00CC0544"/>
    <w:rsid w:val="00CC0552"/>
    <w:rsid w:val="00CC0581"/>
    <w:rsid w:val="00CC0588"/>
    <w:rsid w:val="00CC0599"/>
    <w:rsid w:val="00CC0D5A"/>
    <w:rsid w:val="00CC0E12"/>
    <w:rsid w:val="00CC110F"/>
    <w:rsid w:val="00CC11B8"/>
    <w:rsid w:val="00CC1232"/>
    <w:rsid w:val="00CC14C3"/>
    <w:rsid w:val="00CC1636"/>
    <w:rsid w:val="00CC16CA"/>
    <w:rsid w:val="00CC17DE"/>
    <w:rsid w:val="00CC1899"/>
    <w:rsid w:val="00CC1930"/>
    <w:rsid w:val="00CC195B"/>
    <w:rsid w:val="00CC1AF9"/>
    <w:rsid w:val="00CC1E1A"/>
    <w:rsid w:val="00CC2068"/>
    <w:rsid w:val="00CC20E0"/>
    <w:rsid w:val="00CC2104"/>
    <w:rsid w:val="00CC2112"/>
    <w:rsid w:val="00CC2131"/>
    <w:rsid w:val="00CC21EF"/>
    <w:rsid w:val="00CC23BC"/>
    <w:rsid w:val="00CC2587"/>
    <w:rsid w:val="00CC25A2"/>
    <w:rsid w:val="00CC2612"/>
    <w:rsid w:val="00CC2818"/>
    <w:rsid w:val="00CC2A61"/>
    <w:rsid w:val="00CC2F56"/>
    <w:rsid w:val="00CC2F7A"/>
    <w:rsid w:val="00CC2FBA"/>
    <w:rsid w:val="00CC33D4"/>
    <w:rsid w:val="00CC3841"/>
    <w:rsid w:val="00CC3A50"/>
    <w:rsid w:val="00CC3A70"/>
    <w:rsid w:val="00CC3B4A"/>
    <w:rsid w:val="00CC3B93"/>
    <w:rsid w:val="00CC4033"/>
    <w:rsid w:val="00CC40B8"/>
    <w:rsid w:val="00CC42DD"/>
    <w:rsid w:val="00CC434A"/>
    <w:rsid w:val="00CC479F"/>
    <w:rsid w:val="00CC49D7"/>
    <w:rsid w:val="00CC4C7F"/>
    <w:rsid w:val="00CC4D19"/>
    <w:rsid w:val="00CC4EBB"/>
    <w:rsid w:val="00CC500D"/>
    <w:rsid w:val="00CC5444"/>
    <w:rsid w:val="00CC5631"/>
    <w:rsid w:val="00CC5713"/>
    <w:rsid w:val="00CC585E"/>
    <w:rsid w:val="00CC5935"/>
    <w:rsid w:val="00CC5999"/>
    <w:rsid w:val="00CC5A7E"/>
    <w:rsid w:val="00CC5D23"/>
    <w:rsid w:val="00CC5DC3"/>
    <w:rsid w:val="00CC5FAB"/>
    <w:rsid w:val="00CC6262"/>
    <w:rsid w:val="00CC62A6"/>
    <w:rsid w:val="00CC6761"/>
    <w:rsid w:val="00CC676C"/>
    <w:rsid w:val="00CC68D1"/>
    <w:rsid w:val="00CC6A68"/>
    <w:rsid w:val="00CC6AFF"/>
    <w:rsid w:val="00CC6BFC"/>
    <w:rsid w:val="00CC6CBE"/>
    <w:rsid w:val="00CC6D62"/>
    <w:rsid w:val="00CC6FE9"/>
    <w:rsid w:val="00CC70FF"/>
    <w:rsid w:val="00CC71A9"/>
    <w:rsid w:val="00CC720E"/>
    <w:rsid w:val="00CC74CD"/>
    <w:rsid w:val="00CC779A"/>
    <w:rsid w:val="00CC7857"/>
    <w:rsid w:val="00CC799F"/>
    <w:rsid w:val="00CC7A04"/>
    <w:rsid w:val="00CC7A11"/>
    <w:rsid w:val="00CC7A5F"/>
    <w:rsid w:val="00CC7C76"/>
    <w:rsid w:val="00CC7CBD"/>
    <w:rsid w:val="00CC7CD4"/>
    <w:rsid w:val="00CD00FA"/>
    <w:rsid w:val="00CD0294"/>
    <w:rsid w:val="00CD0296"/>
    <w:rsid w:val="00CD0311"/>
    <w:rsid w:val="00CD04A8"/>
    <w:rsid w:val="00CD04C6"/>
    <w:rsid w:val="00CD051B"/>
    <w:rsid w:val="00CD092A"/>
    <w:rsid w:val="00CD1078"/>
    <w:rsid w:val="00CD115A"/>
    <w:rsid w:val="00CD12CF"/>
    <w:rsid w:val="00CD1673"/>
    <w:rsid w:val="00CD18FB"/>
    <w:rsid w:val="00CD1B96"/>
    <w:rsid w:val="00CD1DB1"/>
    <w:rsid w:val="00CD1E0D"/>
    <w:rsid w:val="00CD1EE6"/>
    <w:rsid w:val="00CD1FC2"/>
    <w:rsid w:val="00CD208E"/>
    <w:rsid w:val="00CD21A3"/>
    <w:rsid w:val="00CD22B5"/>
    <w:rsid w:val="00CD22F4"/>
    <w:rsid w:val="00CD25E1"/>
    <w:rsid w:val="00CD2BEF"/>
    <w:rsid w:val="00CD2D13"/>
    <w:rsid w:val="00CD2D2A"/>
    <w:rsid w:val="00CD2E57"/>
    <w:rsid w:val="00CD3585"/>
    <w:rsid w:val="00CD367C"/>
    <w:rsid w:val="00CD3E0B"/>
    <w:rsid w:val="00CD3F16"/>
    <w:rsid w:val="00CD3FA6"/>
    <w:rsid w:val="00CD418B"/>
    <w:rsid w:val="00CD4276"/>
    <w:rsid w:val="00CD42B6"/>
    <w:rsid w:val="00CD445B"/>
    <w:rsid w:val="00CD44CE"/>
    <w:rsid w:val="00CD453E"/>
    <w:rsid w:val="00CD454A"/>
    <w:rsid w:val="00CD45AD"/>
    <w:rsid w:val="00CD4736"/>
    <w:rsid w:val="00CD4792"/>
    <w:rsid w:val="00CD4DA2"/>
    <w:rsid w:val="00CD4DBB"/>
    <w:rsid w:val="00CD4F54"/>
    <w:rsid w:val="00CD4F99"/>
    <w:rsid w:val="00CD4FFE"/>
    <w:rsid w:val="00CD5016"/>
    <w:rsid w:val="00CD529B"/>
    <w:rsid w:val="00CD529E"/>
    <w:rsid w:val="00CD54B0"/>
    <w:rsid w:val="00CD56F2"/>
    <w:rsid w:val="00CD5770"/>
    <w:rsid w:val="00CD57FA"/>
    <w:rsid w:val="00CD5A6E"/>
    <w:rsid w:val="00CD5A71"/>
    <w:rsid w:val="00CD5DBC"/>
    <w:rsid w:val="00CD60AB"/>
    <w:rsid w:val="00CD61A7"/>
    <w:rsid w:val="00CD64DB"/>
    <w:rsid w:val="00CD686F"/>
    <w:rsid w:val="00CD6BE8"/>
    <w:rsid w:val="00CD6C91"/>
    <w:rsid w:val="00CD6D6F"/>
    <w:rsid w:val="00CD6F0A"/>
    <w:rsid w:val="00CD6F28"/>
    <w:rsid w:val="00CD6F47"/>
    <w:rsid w:val="00CD711F"/>
    <w:rsid w:val="00CD71F5"/>
    <w:rsid w:val="00CD7369"/>
    <w:rsid w:val="00CD744E"/>
    <w:rsid w:val="00CD74A7"/>
    <w:rsid w:val="00CD78BC"/>
    <w:rsid w:val="00CD79B2"/>
    <w:rsid w:val="00CD7A06"/>
    <w:rsid w:val="00CD7A4F"/>
    <w:rsid w:val="00CD7BF3"/>
    <w:rsid w:val="00CD7CB7"/>
    <w:rsid w:val="00CD7D92"/>
    <w:rsid w:val="00CE000E"/>
    <w:rsid w:val="00CE019A"/>
    <w:rsid w:val="00CE0302"/>
    <w:rsid w:val="00CE032D"/>
    <w:rsid w:val="00CE049D"/>
    <w:rsid w:val="00CE077C"/>
    <w:rsid w:val="00CE0897"/>
    <w:rsid w:val="00CE096B"/>
    <w:rsid w:val="00CE09CA"/>
    <w:rsid w:val="00CE0E1D"/>
    <w:rsid w:val="00CE0E9B"/>
    <w:rsid w:val="00CE0F75"/>
    <w:rsid w:val="00CE1135"/>
    <w:rsid w:val="00CE11E3"/>
    <w:rsid w:val="00CE12B4"/>
    <w:rsid w:val="00CE1496"/>
    <w:rsid w:val="00CE157C"/>
    <w:rsid w:val="00CE17D7"/>
    <w:rsid w:val="00CE1871"/>
    <w:rsid w:val="00CE18CB"/>
    <w:rsid w:val="00CE1AF6"/>
    <w:rsid w:val="00CE1B44"/>
    <w:rsid w:val="00CE1C26"/>
    <w:rsid w:val="00CE1FD0"/>
    <w:rsid w:val="00CE20E0"/>
    <w:rsid w:val="00CE2157"/>
    <w:rsid w:val="00CE219F"/>
    <w:rsid w:val="00CE220E"/>
    <w:rsid w:val="00CE2298"/>
    <w:rsid w:val="00CE2448"/>
    <w:rsid w:val="00CE250D"/>
    <w:rsid w:val="00CE2558"/>
    <w:rsid w:val="00CE2590"/>
    <w:rsid w:val="00CE25EB"/>
    <w:rsid w:val="00CE2641"/>
    <w:rsid w:val="00CE2B0C"/>
    <w:rsid w:val="00CE2B68"/>
    <w:rsid w:val="00CE2C8D"/>
    <w:rsid w:val="00CE3031"/>
    <w:rsid w:val="00CE3064"/>
    <w:rsid w:val="00CE3345"/>
    <w:rsid w:val="00CE3399"/>
    <w:rsid w:val="00CE35B1"/>
    <w:rsid w:val="00CE3635"/>
    <w:rsid w:val="00CE3750"/>
    <w:rsid w:val="00CE3754"/>
    <w:rsid w:val="00CE38BD"/>
    <w:rsid w:val="00CE39E4"/>
    <w:rsid w:val="00CE39E7"/>
    <w:rsid w:val="00CE3A59"/>
    <w:rsid w:val="00CE3B42"/>
    <w:rsid w:val="00CE3B91"/>
    <w:rsid w:val="00CE3CB7"/>
    <w:rsid w:val="00CE4231"/>
    <w:rsid w:val="00CE4282"/>
    <w:rsid w:val="00CE437D"/>
    <w:rsid w:val="00CE43F4"/>
    <w:rsid w:val="00CE44A1"/>
    <w:rsid w:val="00CE45BD"/>
    <w:rsid w:val="00CE4627"/>
    <w:rsid w:val="00CE46F3"/>
    <w:rsid w:val="00CE47E1"/>
    <w:rsid w:val="00CE4848"/>
    <w:rsid w:val="00CE48CD"/>
    <w:rsid w:val="00CE49B1"/>
    <w:rsid w:val="00CE4A75"/>
    <w:rsid w:val="00CE4AC7"/>
    <w:rsid w:val="00CE4AD0"/>
    <w:rsid w:val="00CE4C75"/>
    <w:rsid w:val="00CE4CD8"/>
    <w:rsid w:val="00CE4EB1"/>
    <w:rsid w:val="00CE4EDA"/>
    <w:rsid w:val="00CE5308"/>
    <w:rsid w:val="00CE5319"/>
    <w:rsid w:val="00CE541A"/>
    <w:rsid w:val="00CE54E1"/>
    <w:rsid w:val="00CE55B6"/>
    <w:rsid w:val="00CE55D4"/>
    <w:rsid w:val="00CE5758"/>
    <w:rsid w:val="00CE581C"/>
    <w:rsid w:val="00CE5856"/>
    <w:rsid w:val="00CE5946"/>
    <w:rsid w:val="00CE5A02"/>
    <w:rsid w:val="00CE5BDE"/>
    <w:rsid w:val="00CE5CFF"/>
    <w:rsid w:val="00CE5DCF"/>
    <w:rsid w:val="00CE5E7A"/>
    <w:rsid w:val="00CE5FE6"/>
    <w:rsid w:val="00CE61CC"/>
    <w:rsid w:val="00CE6274"/>
    <w:rsid w:val="00CE6361"/>
    <w:rsid w:val="00CE63FB"/>
    <w:rsid w:val="00CE68C7"/>
    <w:rsid w:val="00CE6994"/>
    <w:rsid w:val="00CE6A6D"/>
    <w:rsid w:val="00CE6A78"/>
    <w:rsid w:val="00CE6ECD"/>
    <w:rsid w:val="00CE7211"/>
    <w:rsid w:val="00CE728E"/>
    <w:rsid w:val="00CE7549"/>
    <w:rsid w:val="00CE76E7"/>
    <w:rsid w:val="00CE774C"/>
    <w:rsid w:val="00CE7787"/>
    <w:rsid w:val="00CE77E9"/>
    <w:rsid w:val="00CE7973"/>
    <w:rsid w:val="00CE79D5"/>
    <w:rsid w:val="00CE7C4E"/>
    <w:rsid w:val="00CE7FE9"/>
    <w:rsid w:val="00CF012E"/>
    <w:rsid w:val="00CF01B0"/>
    <w:rsid w:val="00CF0225"/>
    <w:rsid w:val="00CF024F"/>
    <w:rsid w:val="00CF0468"/>
    <w:rsid w:val="00CF04D4"/>
    <w:rsid w:val="00CF0549"/>
    <w:rsid w:val="00CF05A2"/>
    <w:rsid w:val="00CF05F7"/>
    <w:rsid w:val="00CF0608"/>
    <w:rsid w:val="00CF0744"/>
    <w:rsid w:val="00CF07BB"/>
    <w:rsid w:val="00CF085E"/>
    <w:rsid w:val="00CF0B4C"/>
    <w:rsid w:val="00CF0C49"/>
    <w:rsid w:val="00CF0C5C"/>
    <w:rsid w:val="00CF0C9F"/>
    <w:rsid w:val="00CF0D76"/>
    <w:rsid w:val="00CF0DCC"/>
    <w:rsid w:val="00CF103C"/>
    <w:rsid w:val="00CF11E2"/>
    <w:rsid w:val="00CF1421"/>
    <w:rsid w:val="00CF1680"/>
    <w:rsid w:val="00CF1738"/>
    <w:rsid w:val="00CF187C"/>
    <w:rsid w:val="00CF194E"/>
    <w:rsid w:val="00CF1BD7"/>
    <w:rsid w:val="00CF1BFC"/>
    <w:rsid w:val="00CF1D83"/>
    <w:rsid w:val="00CF1DE7"/>
    <w:rsid w:val="00CF1F40"/>
    <w:rsid w:val="00CF2066"/>
    <w:rsid w:val="00CF20D2"/>
    <w:rsid w:val="00CF2141"/>
    <w:rsid w:val="00CF21A5"/>
    <w:rsid w:val="00CF22E0"/>
    <w:rsid w:val="00CF22EC"/>
    <w:rsid w:val="00CF238C"/>
    <w:rsid w:val="00CF240F"/>
    <w:rsid w:val="00CF2472"/>
    <w:rsid w:val="00CF2518"/>
    <w:rsid w:val="00CF2846"/>
    <w:rsid w:val="00CF2915"/>
    <w:rsid w:val="00CF2AEA"/>
    <w:rsid w:val="00CF2C14"/>
    <w:rsid w:val="00CF2C4E"/>
    <w:rsid w:val="00CF2D77"/>
    <w:rsid w:val="00CF2DDE"/>
    <w:rsid w:val="00CF2E7B"/>
    <w:rsid w:val="00CF2F88"/>
    <w:rsid w:val="00CF306D"/>
    <w:rsid w:val="00CF3124"/>
    <w:rsid w:val="00CF3139"/>
    <w:rsid w:val="00CF344A"/>
    <w:rsid w:val="00CF3659"/>
    <w:rsid w:val="00CF37D3"/>
    <w:rsid w:val="00CF3933"/>
    <w:rsid w:val="00CF39A0"/>
    <w:rsid w:val="00CF3ACA"/>
    <w:rsid w:val="00CF3D1C"/>
    <w:rsid w:val="00CF3DD1"/>
    <w:rsid w:val="00CF3DFB"/>
    <w:rsid w:val="00CF3EB4"/>
    <w:rsid w:val="00CF41EE"/>
    <w:rsid w:val="00CF4558"/>
    <w:rsid w:val="00CF4713"/>
    <w:rsid w:val="00CF4840"/>
    <w:rsid w:val="00CF4A33"/>
    <w:rsid w:val="00CF4B12"/>
    <w:rsid w:val="00CF4F3C"/>
    <w:rsid w:val="00CF52D9"/>
    <w:rsid w:val="00CF5396"/>
    <w:rsid w:val="00CF54C2"/>
    <w:rsid w:val="00CF58FE"/>
    <w:rsid w:val="00CF5B83"/>
    <w:rsid w:val="00CF5C50"/>
    <w:rsid w:val="00CF5D65"/>
    <w:rsid w:val="00CF5E6C"/>
    <w:rsid w:val="00CF5EBE"/>
    <w:rsid w:val="00CF5F06"/>
    <w:rsid w:val="00CF63F6"/>
    <w:rsid w:val="00CF6535"/>
    <w:rsid w:val="00CF6880"/>
    <w:rsid w:val="00CF6B22"/>
    <w:rsid w:val="00CF6D57"/>
    <w:rsid w:val="00CF7349"/>
    <w:rsid w:val="00CF73FA"/>
    <w:rsid w:val="00CF783B"/>
    <w:rsid w:val="00CF786C"/>
    <w:rsid w:val="00CF7A54"/>
    <w:rsid w:val="00CF7BD8"/>
    <w:rsid w:val="00CF7D76"/>
    <w:rsid w:val="00CF7D97"/>
    <w:rsid w:val="00CF7EEC"/>
    <w:rsid w:val="00CF7F86"/>
    <w:rsid w:val="00CF7FCC"/>
    <w:rsid w:val="00D0005A"/>
    <w:rsid w:val="00D001C2"/>
    <w:rsid w:val="00D0020A"/>
    <w:rsid w:val="00D0069D"/>
    <w:rsid w:val="00D00779"/>
    <w:rsid w:val="00D009D8"/>
    <w:rsid w:val="00D00A2F"/>
    <w:rsid w:val="00D00BFE"/>
    <w:rsid w:val="00D00CFB"/>
    <w:rsid w:val="00D00D92"/>
    <w:rsid w:val="00D00E4E"/>
    <w:rsid w:val="00D00FFA"/>
    <w:rsid w:val="00D0110D"/>
    <w:rsid w:val="00D01294"/>
    <w:rsid w:val="00D012E1"/>
    <w:rsid w:val="00D01318"/>
    <w:rsid w:val="00D01644"/>
    <w:rsid w:val="00D01665"/>
    <w:rsid w:val="00D016A6"/>
    <w:rsid w:val="00D0174E"/>
    <w:rsid w:val="00D01A18"/>
    <w:rsid w:val="00D01D05"/>
    <w:rsid w:val="00D01D06"/>
    <w:rsid w:val="00D01D1E"/>
    <w:rsid w:val="00D01DB2"/>
    <w:rsid w:val="00D01E65"/>
    <w:rsid w:val="00D01F18"/>
    <w:rsid w:val="00D02001"/>
    <w:rsid w:val="00D02361"/>
    <w:rsid w:val="00D02475"/>
    <w:rsid w:val="00D02580"/>
    <w:rsid w:val="00D02647"/>
    <w:rsid w:val="00D027C6"/>
    <w:rsid w:val="00D028BC"/>
    <w:rsid w:val="00D02BD8"/>
    <w:rsid w:val="00D030B3"/>
    <w:rsid w:val="00D03413"/>
    <w:rsid w:val="00D0365D"/>
    <w:rsid w:val="00D03736"/>
    <w:rsid w:val="00D038C1"/>
    <w:rsid w:val="00D0393F"/>
    <w:rsid w:val="00D03AF2"/>
    <w:rsid w:val="00D03BF7"/>
    <w:rsid w:val="00D03DCD"/>
    <w:rsid w:val="00D03E31"/>
    <w:rsid w:val="00D03F1E"/>
    <w:rsid w:val="00D040B4"/>
    <w:rsid w:val="00D0428E"/>
    <w:rsid w:val="00D042D2"/>
    <w:rsid w:val="00D043FF"/>
    <w:rsid w:val="00D04426"/>
    <w:rsid w:val="00D04471"/>
    <w:rsid w:val="00D0457B"/>
    <w:rsid w:val="00D0482F"/>
    <w:rsid w:val="00D04A33"/>
    <w:rsid w:val="00D04BCE"/>
    <w:rsid w:val="00D051EB"/>
    <w:rsid w:val="00D05362"/>
    <w:rsid w:val="00D05892"/>
    <w:rsid w:val="00D058B8"/>
    <w:rsid w:val="00D05C4B"/>
    <w:rsid w:val="00D05D22"/>
    <w:rsid w:val="00D05E13"/>
    <w:rsid w:val="00D060AE"/>
    <w:rsid w:val="00D0628B"/>
    <w:rsid w:val="00D063A1"/>
    <w:rsid w:val="00D063AB"/>
    <w:rsid w:val="00D063DE"/>
    <w:rsid w:val="00D064CD"/>
    <w:rsid w:val="00D067B3"/>
    <w:rsid w:val="00D06824"/>
    <w:rsid w:val="00D0696A"/>
    <w:rsid w:val="00D06BEE"/>
    <w:rsid w:val="00D06C03"/>
    <w:rsid w:val="00D07053"/>
    <w:rsid w:val="00D07097"/>
    <w:rsid w:val="00D070A7"/>
    <w:rsid w:val="00D0733A"/>
    <w:rsid w:val="00D07480"/>
    <w:rsid w:val="00D0750E"/>
    <w:rsid w:val="00D07759"/>
    <w:rsid w:val="00D07795"/>
    <w:rsid w:val="00D07AF1"/>
    <w:rsid w:val="00D07F15"/>
    <w:rsid w:val="00D100EA"/>
    <w:rsid w:val="00D10203"/>
    <w:rsid w:val="00D1037A"/>
    <w:rsid w:val="00D1073A"/>
    <w:rsid w:val="00D10932"/>
    <w:rsid w:val="00D109A8"/>
    <w:rsid w:val="00D10C81"/>
    <w:rsid w:val="00D10CFA"/>
    <w:rsid w:val="00D10D09"/>
    <w:rsid w:val="00D10DAB"/>
    <w:rsid w:val="00D10EA5"/>
    <w:rsid w:val="00D10EC8"/>
    <w:rsid w:val="00D10FE6"/>
    <w:rsid w:val="00D11036"/>
    <w:rsid w:val="00D11057"/>
    <w:rsid w:val="00D11373"/>
    <w:rsid w:val="00D114F6"/>
    <w:rsid w:val="00D11589"/>
    <w:rsid w:val="00D1160D"/>
    <w:rsid w:val="00D1163E"/>
    <w:rsid w:val="00D11AC2"/>
    <w:rsid w:val="00D11AC9"/>
    <w:rsid w:val="00D11BDA"/>
    <w:rsid w:val="00D11D68"/>
    <w:rsid w:val="00D11F1D"/>
    <w:rsid w:val="00D1200A"/>
    <w:rsid w:val="00D12072"/>
    <w:rsid w:val="00D1216B"/>
    <w:rsid w:val="00D1229D"/>
    <w:rsid w:val="00D12362"/>
    <w:rsid w:val="00D12484"/>
    <w:rsid w:val="00D12A4F"/>
    <w:rsid w:val="00D12DC2"/>
    <w:rsid w:val="00D12E7F"/>
    <w:rsid w:val="00D12E97"/>
    <w:rsid w:val="00D13011"/>
    <w:rsid w:val="00D13068"/>
    <w:rsid w:val="00D130C5"/>
    <w:rsid w:val="00D13576"/>
    <w:rsid w:val="00D13B35"/>
    <w:rsid w:val="00D13D7C"/>
    <w:rsid w:val="00D13DD6"/>
    <w:rsid w:val="00D13DE3"/>
    <w:rsid w:val="00D13DF1"/>
    <w:rsid w:val="00D13DF3"/>
    <w:rsid w:val="00D13EE5"/>
    <w:rsid w:val="00D1413F"/>
    <w:rsid w:val="00D142C3"/>
    <w:rsid w:val="00D143F7"/>
    <w:rsid w:val="00D14481"/>
    <w:rsid w:val="00D144BD"/>
    <w:rsid w:val="00D14654"/>
    <w:rsid w:val="00D146EB"/>
    <w:rsid w:val="00D1488A"/>
    <w:rsid w:val="00D14944"/>
    <w:rsid w:val="00D14AA3"/>
    <w:rsid w:val="00D14AFC"/>
    <w:rsid w:val="00D14B44"/>
    <w:rsid w:val="00D14C15"/>
    <w:rsid w:val="00D14D68"/>
    <w:rsid w:val="00D14DEE"/>
    <w:rsid w:val="00D15029"/>
    <w:rsid w:val="00D150CA"/>
    <w:rsid w:val="00D15408"/>
    <w:rsid w:val="00D154B8"/>
    <w:rsid w:val="00D15AD2"/>
    <w:rsid w:val="00D15B47"/>
    <w:rsid w:val="00D15B83"/>
    <w:rsid w:val="00D15CB3"/>
    <w:rsid w:val="00D15D37"/>
    <w:rsid w:val="00D15F51"/>
    <w:rsid w:val="00D1631C"/>
    <w:rsid w:val="00D16465"/>
    <w:rsid w:val="00D1647A"/>
    <w:rsid w:val="00D16495"/>
    <w:rsid w:val="00D1664E"/>
    <w:rsid w:val="00D16680"/>
    <w:rsid w:val="00D166B3"/>
    <w:rsid w:val="00D166C7"/>
    <w:rsid w:val="00D166CE"/>
    <w:rsid w:val="00D16852"/>
    <w:rsid w:val="00D168E5"/>
    <w:rsid w:val="00D168F5"/>
    <w:rsid w:val="00D16B68"/>
    <w:rsid w:val="00D16ED5"/>
    <w:rsid w:val="00D16F54"/>
    <w:rsid w:val="00D17128"/>
    <w:rsid w:val="00D17452"/>
    <w:rsid w:val="00D174EE"/>
    <w:rsid w:val="00D177BA"/>
    <w:rsid w:val="00D17AB4"/>
    <w:rsid w:val="00D17BAD"/>
    <w:rsid w:val="00D17C08"/>
    <w:rsid w:val="00D17CBD"/>
    <w:rsid w:val="00D17DE0"/>
    <w:rsid w:val="00D17F7B"/>
    <w:rsid w:val="00D20145"/>
    <w:rsid w:val="00D202B1"/>
    <w:rsid w:val="00D20427"/>
    <w:rsid w:val="00D20635"/>
    <w:rsid w:val="00D20662"/>
    <w:rsid w:val="00D2066B"/>
    <w:rsid w:val="00D20CFD"/>
    <w:rsid w:val="00D21259"/>
    <w:rsid w:val="00D21291"/>
    <w:rsid w:val="00D21311"/>
    <w:rsid w:val="00D21341"/>
    <w:rsid w:val="00D21505"/>
    <w:rsid w:val="00D216F5"/>
    <w:rsid w:val="00D21753"/>
    <w:rsid w:val="00D21AEC"/>
    <w:rsid w:val="00D21C54"/>
    <w:rsid w:val="00D21C8A"/>
    <w:rsid w:val="00D21EFC"/>
    <w:rsid w:val="00D2206C"/>
    <w:rsid w:val="00D220A6"/>
    <w:rsid w:val="00D22193"/>
    <w:rsid w:val="00D221A3"/>
    <w:rsid w:val="00D224E5"/>
    <w:rsid w:val="00D226CC"/>
    <w:rsid w:val="00D22904"/>
    <w:rsid w:val="00D2297E"/>
    <w:rsid w:val="00D22A77"/>
    <w:rsid w:val="00D22AA6"/>
    <w:rsid w:val="00D22AB4"/>
    <w:rsid w:val="00D22B34"/>
    <w:rsid w:val="00D22BFA"/>
    <w:rsid w:val="00D22C4B"/>
    <w:rsid w:val="00D22CD6"/>
    <w:rsid w:val="00D22DE5"/>
    <w:rsid w:val="00D22E4E"/>
    <w:rsid w:val="00D22E7C"/>
    <w:rsid w:val="00D2301E"/>
    <w:rsid w:val="00D2304C"/>
    <w:rsid w:val="00D23142"/>
    <w:rsid w:val="00D232D3"/>
    <w:rsid w:val="00D233BD"/>
    <w:rsid w:val="00D233D7"/>
    <w:rsid w:val="00D23481"/>
    <w:rsid w:val="00D2348F"/>
    <w:rsid w:val="00D234CB"/>
    <w:rsid w:val="00D23509"/>
    <w:rsid w:val="00D23652"/>
    <w:rsid w:val="00D236CE"/>
    <w:rsid w:val="00D2373D"/>
    <w:rsid w:val="00D23A8D"/>
    <w:rsid w:val="00D23B25"/>
    <w:rsid w:val="00D23CBB"/>
    <w:rsid w:val="00D240F0"/>
    <w:rsid w:val="00D241A5"/>
    <w:rsid w:val="00D2426E"/>
    <w:rsid w:val="00D244A3"/>
    <w:rsid w:val="00D246B5"/>
    <w:rsid w:val="00D24A04"/>
    <w:rsid w:val="00D24A6A"/>
    <w:rsid w:val="00D24DF1"/>
    <w:rsid w:val="00D24FF7"/>
    <w:rsid w:val="00D25030"/>
    <w:rsid w:val="00D250AD"/>
    <w:rsid w:val="00D251BF"/>
    <w:rsid w:val="00D2528F"/>
    <w:rsid w:val="00D252A6"/>
    <w:rsid w:val="00D25538"/>
    <w:rsid w:val="00D256D2"/>
    <w:rsid w:val="00D25806"/>
    <w:rsid w:val="00D2587F"/>
    <w:rsid w:val="00D258B1"/>
    <w:rsid w:val="00D25947"/>
    <w:rsid w:val="00D2596D"/>
    <w:rsid w:val="00D25AA5"/>
    <w:rsid w:val="00D25E9D"/>
    <w:rsid w:val="00D25F1C"/>
    <w:rsid w:val="00D25F46"/>
    <w:rsid w:val="00D261D1"/>
    <w:rsid w:val="00D263C7"/>
    <w:rsid w:val="00D265F6"/>
    <w:rsid w:val="00D26695"/>
    <w:rsid w:val="00D266CF"/>
    <w:rsid w:val="00D2676A"/>
    <w:rsid w:val="00D269A6"/>
    <w:rsid w:val="00D26A8F"/>
    <w:rsid w:val="00D26BB7"/>
    <w:rsid w:val="00D26D96"/>
    <w:rsid w:val="00D26DE6"/>
    <w:rsid w:val="00D26EE7"/>
    <w:rsid w:val="00D273BF"/>
    <w:rsid w:val="00D2740B"/>
    <w:rsid w:val="00D27598"/>
    <w:rsid w:val="00D277AB"/>
    <w:rsid w:val="00D2786D"/>
    <w:rsid w:val="00D27AEC"/>
    <w:rsid w:val="00D27D0A"/>
    <w:rsid w:val="00D27F52"/>
    <w:rsid w:val="00D27FF9"/>
    <w:rsid w:val="00D303A0"/>
    <w:rsid w:val="00D303A3"/>
    <w:rsid w:val="00D303AC"/>
    <w:rsid w:val="00D3045C"/>
    <w:rsid w:val="00D30541"/>
    <w:rsid w:val="00D30718"/>
    <w:rsid w:val="00D307DF"/>
    <w:rsid w:val="00D30834"/>
    <w:rsid w:val="00D309C1"/>
    <w:rsid w:val="00D30B05"/>
    <w:rsid w:val="00D30BDD"/>
    <w:rsid w:val="00D30C3F"/>
    <w:rsid w:val="00D30DCD"/>
    <w:rsid w:val="00D30FBE"/>
    <w:rsid w:val="00D310E6"/>
    <w:rsid w:val="00D312E5"/>
    <w:rsid w:val="00D31514"/>
    <w:rsid w:val="00D316D5"/>
    <w:rsid w:val="00D31969"/>
    <w:rsid w:val="00D31E9F"/>
    <w:rsid w:val="00D31EC4"/>
    <w:rsid w:val="00D31EEF"/>
    <w:rsid w:val="00D322CF"/>
    <w:rsid w:val="00D322FB"/>
    <w:rsid w:val="00D323DC"/>
    <w:rsid w:val="00D32475"/>
    <w:rsid w:val="00D32520"/>
    <w:rsid w:val="00D3264E"/>
    <w:rsid w:val="00D32962"/>
    <w:rsid w:val="00D32982"/>
    <w:rsid w:val="00D329B6"/>
    <w:rsid w:val="00D32A4E"/>
    <w:rsid w:val="00D32EF4"/>
    <w:rsid w:val="00D3304A"/>
    <w:rsid w:val="00D331AA"/>
    <w:rsid w:val="00D335CC"/>
    <w:rsid w:val="00D33646"/>
    <w:rsid w:val="00D336D0"/>
    <w:rsid w:val="00D33D26"/>
    <w:rsid w:val="00D33E14"/>
    <w:rsid w:val="00D33E2F"/>
    <w:rsid w:val="00D33F28"/>
    <w:rsid w:val="00D33F81"/>
    <w:rsid w:val="00D3430A"/>
    <w:rsid w:val="00D34567"/>
    <w:rsid w:val="00D34850"/>
    <w:rsid w:val="00D349C4"/>
    <w:rsid w:val="00D34A22"/>
    <w:rsid w:val="00D34B34"/>
    <w:rsid w:val="00D34B8D"/>
    <w:rsid w:val="00D35060"/>
    <w:rsid w:val="00D350A0"/>
    <w:rsid w:val="00D350F3"/>
    <w:rsid w:val="00D35225"/>
    <w:rsid w:val="00D352F9"/>
    <w:rsid w:val="00D353D6"/>
    <w:rsid w:val="00D35575"/>
    <w:rsid w:val="00D357A1"/>
    <w:rsid w:val="00D35964"/>
    <w:rsid w:val="00D359EC"/>
    <w:rsid w:val="00D35AAD"/>
    <w:rsid w:val="00D35AF3"/>
    <w:rsid w:val="00D35B5F"/>
    <w:rsid w:val="00D35D25"/>
    <w:rsid w:val="00D35F5F"/>
    <w:rsid w:val="00D36149"/>
    <w:rsid w:val="00D3663A"/>
    <w:rsid w:val="00D369D4"/>
    <w:rsid w:val="00D369E2"/>
    <w:rsid w:val="00D36AD7"/>
    <w:rsid w:val="00D36E2F"/>
    <w:rsid w:val="00D36EA7"/>
    <w:rsid w:val="00D36F0C"/>
    <w:rsid w:val="00D36F1D"/>
    <w:rsid w:val="00D37016"/>
    <w:rsid w:val="00D371F3"/>
    <w:rsid w:val="00D37267"/>
    <w:rsid w:val="00D37344"/>
    <w:rsid w:val="00D373E9"/>
    <w:rsid w:val="00D377F1"/>
    <w:rsid w:val="00D37A27"/>
    <w:rsid w:val="00D37B0E"/>
    <w:rsid w:val="00D37C61"/>
    <w:rsid w:val="00D37CF9"/>
    <w:rsid w:val="00D37E69"/>
    <w:rsid w:val="00D40128"/>
    <w:rsid w:val="00D4017C"/>
    <w:rsid w:val="00D40379"/>
    <w:rsid w:val="00D403FF"/>
    <w:rsid w:val="00D404C4"/>
    <w:rsid w:val="00D407B3"/>
    <w:rsid w:val="00D40811"/>
    <w:rsid w:val="00D40CE9"/>
    <w:rsid w:val="00D40DEA"/>
    <w:rsid w:val="00D40F61"/>
    <w:rsid w:val="00D41234"/>
    <w:rsid w:val="00D413A3"/>
    <w:rsid w:val="00D41653"/>
    <w:rsid w:val="00D41745"/>
    <w:rsid w:val="00D419B6"/>
    <w:rsid w:val="00D419F8"/>
    <w:rsid w:val="00D41A16"/>
    <w:rsid w:val="00D41ABC"/>
    <w:rsid w:val="00D41C45"/>
    <w:rsid w:val="00D41F09"/>
    <w:rsid w:val="00D42115"/>
    <w:rsid w:val="00D42197"/>
    <w:rsid w:val="00D4248D"/>
    <w:rsid w:val="00D42663"/>
    <w:rsid w:val="00D42738"/>
    <w:rsid w:val="00D4280E"/>
    <w:rsid w:val="00D42ADC"/>
    <w:rsid w:val="00D42D3B"/>
    <w:rsid w:val="00D42D7B"/>
    <w:rsid w:val="00D42EFD"/>
    <w:rsid w:val="00D43336"/>
    <w:rsid w:val="00D433EB"/>
    <w:rsid w:val="00D437E3"/>
    <w:rsid w:val="00D438E0"/>
    <w:rsid w:val="00D4396D"/>
    <w:rsid w:val="00D43C12"/>
    <w:rsid w:val="00D43D35"/>
    <w:rsid w:val="00D43D76"/>
    <w:rsid w:val="00D43E3F"/>
    <w:rsid w:val="00D43F39"/>
    <w:rsid w:val="00D440CF"/>
    <w:rsid w:val="00D4427D"/>
    <w:rsid w:val="00D4432B"/>
    <w:rsid w:val="00D44341"/>
    <w:rsid w:val="00D4449D"/>
    <w:rsid w:val="00D444F1"/>
    <w:rsid w:val="00D44575"/>
    <w:rsid w:val="00D446D2"/>
    <w:rsid w:val="00D44711"/>
    <w:rsid w:val="00D44BBD"/>
    <w:rsid w:val="00D44D79"/>
    <w:rsid w:val="00D45130"/>
    <w:rsid w:val="00D457D1"/>
    <w:rsid w:val="00D458AA"/>
    <w:rsid w:val="00D45A68"/>
    <w:rsid w:val="00D45B86"/>
    <w:rsid w:val="00D45D48"/>
    <w:rsid w:val="00D45E25"/>
    <w:rsid w:val="00D4622E"/>
    <w:rsid w:val="00D46338"/>
    <w:rsid w:val="00D46403"/>
    <w:rsid w:val="00D46448"/>
    <w:rsid w:val="00D4646F"/>
    <w:rsid w:val="00D46577"/>
    <w:rsid w:val="00D469C7"/>
    <w:rsid w:val="00D46ADC"/>
    <w:rsid w:val="00D46BA2"/>
    <w:rsid w:val="00D46CB9"/>
    <w:rsid w:val="00D46D0E"/>
    <w:rsid w:val="00D46D8C"/>
    <w:rsid w:val="00D470AD"/>
    <w:rsid w:val="00D470DA"/>
    <w:rsid w:val="00D47190"/>
    <w:rsid w:val="00D47234"/>
    <w:rsid w:val="00D47252"/>
    <w:rsid w:val="00D47281"/>
    <w:rsid w:val="00D4730E"/>
    <w:rsid w:val="00D473E3"/>
    <w:rsid w:val="00D47475"/>
    <w:rsid w:val="00D474A0"/>
    <w:rsid w:val="00D474AA"/>
    <w:rsid w:val="00D47581"/>
    <w:rsid w:val="00D47605"/>
    <w:rsid w:val="00D477FE"/>
    <w:rsid w:val="00D478B7"/>
    <w:rsid w:val="00D479D8"/>
    <w:rsid w:val="00D47C03"/>
    <w:rsid w:val="00D47CED"/>
    <w:rsid w:val="00D50184"/>
    <w:rsid w:val="00D501A8"/>
    <w:rsid w:val="00D50295"/>
    <w:rsid w:val="00D5048D"/>
    <w:rsid w:val="00D505E7"/>
    <w:rsid w:val="00D5069A"/>
    <w:rsid w:val="00D5074D"/>
    <w:rsid w:val="00D507A6"/>
    <w:rsid w:val="00D50A1A"/>
    <w:rsid w:val="00D50AAA"/>
    <w:rsid w:val="00D50CA9"/>
    <w:rsid w:val="00D50E43"/>
    <w:rsid w:val="00D50EE7"/>
    <w:rsid w:val="00D51080"/>
    <w:rsid w:val="00D5114E"/>
    <w:rsid w:val="00D512F5"/>
    <w:rsid w:val="00D513F5"/>
    <w:rsid w:val="00D51469"/>
    <w:rsid w:val="00D5146C"/>
    <w:rsid w:val="00D51507"/>
    <w:rsid w:val="00D515B0"/>
    <w:rsid w:val="00D5182A"/>
    <w:rsid w:val="00D51928"/>
    <w:rsid w:val="00D51BBD"/>
    <w:rsid w:val="00D51BC5"/>
    <w:rsid w:val="00D51CDC"/>
    <w:rsid w:val="00D51DF2"/>
    <w:rsid w:val="00D51EB1"/>
    <w:rsid w:val="00D51EFA"/>
    <w:rsid w:val="00D51F97"/>
    <w:rsid w:val="00D52102"/>
    <w:rsid w:val="00D5225E"/>
    <w:rsid w:val="00D522D2"/>
    <w:rsid w:val="00D52347"/>
    <w:rsid w:val="00D523A7"/>
    <w:rsid w:val="00D52515"/>
    <w:rsid w:val="00D52823"/>
    <w:rsid w:val="00D5297B"/>
    <w:rsid w:val="00D5297D"/>
    <w:rsid w:val="00D52A91"/>
    <w:rsid w:val="00D52B45"/>
    <w:rsid w:val="00D530EB"/>
    <w:rsid w:val="00D531B8"/>
    <w:rsid w:val="00D53273"/>
    <w:rsid w:val="00D53393"/>
    <w:rsid w:val="00D533FE"/>
    <w:rsid w:val="00D535B6"/>
    <w:rsid w:val="00D5368F"/>
    <w:rsid w:val="00D536AF"/>
    <w:rsid w:val="00D53753"/>
    <w:rsid w:val="00D53812"/>
    <w:rsid w:val="00D5382F"/>
    <w:rsid w:val="00D5384E"/>
    <w:rsid w:val="00D53957"/>
    <w:rsid w:val="00D53ABE"/>
    <w:rsid w:val="00D53D74"/>
    <w:rsid w:val="00D5400E"/>
    <w:rsid w:val="00D5403F"/>
    <w:rsid w:val="00D54208"/>
    <w:rsid w:val="00D54422"/>
    <w:rsid w:val="00D5443B"/>
    <w:rsid w:val="00D5462B"/>
    <w:rsid w:val="00D54699"/>
    <w:rsid w:val="00D549D1"/>
    <w:rsid w:val="00D54A7D"/>
    <w:rsid w:val="00D54C80"/>
    <w:rsid w:val="00D54E49"/>
    <w:rsid w:val="00D55145"/>
    <w:rsid w:val="00D5522F"/>
    <w:rsid w:val="00D55235"/>
    <w:rsid w:val="00D55389"/>
    <w:rsid w:val="00D553CF"/>
    <w:rsid w:val="00D55511"/>
    <w:rsid w:val="00D55539"/>
    <w:rsid w:val="00D55648"/>
    <w:rsid w:val="00D557AD"/>
    <w:rsid w:val="00D55978"/>
    <w:rsid w:val="00D55CC9"/>
    <w:rsid w:val="00D55D04"/>
    <w:rsid w:val="00D55D78"/>
    <w:rsid w:val="00D5606B"/>
    <w:rsid w:val="00D560B7"/>
    <w:rsid w:val="00D5647B"/>
    <w:rsid w:val="00D56548"/>
    <w:rsid w:val="00D565F4"/>
    <w:rsid w:val="00D567D1"/>
    <w:rsid w:val="00D5698A"/>
    <w:rsid w:val="00D569F5"/>
    <w:rsid w:val="00D56AF6"/>
    <w:rsid w:val="00D56B89"/>
    <w:rsid w:val="00D56B8C"/>
    <w:rsid w:val="00D56E11"/>
    <w:rsid w:val="00D56F4B"/>
    <w:rsid w:val="00D5728E"/>
    <w:rsid w:val="00D572B2"/>
    <w:rsid w:val="00D575BB"/>
    <w:rsid w:val="00D57784"/>
    <w:rsid w:val="00D57818"/>
    <w:rsid w:val="00D57C20"/>
    <w:rsid w:val="00D57CD3"/>
    <w:rsid w:val="00D57E94"/>
    <w:rsid w:val="00D57F53"/>
    <w:rsid w:val="00D60366"/>
    <w:rsid w:val="00D603EA"/>
    <w:rsid w:val="00D60444"/>
    <w:rsid w:val="00D60697"/>
    <w:rsid w:val="00D606AE"/>
    <w:rsid w:val="00D6074A"/>
    <w:rsid w:val="00D6076B"/>
    <w:rsid w:val="00D60981"/>
    <w:rsid w:val="00D60ADF"/>
    <w:rsid w:val="00D60AF7"/>
    <w:rsid w:val="00D60C6C"/>
    <w:rsid w:val="00D60CAB"/>
    <w:rsid w:val="00D60D8B"/>
    <w:rsid w:val="00D60DB9"/>
    <w:rsid w:val="00D610FD"/>
    <w:rsid w:val="00D61128"/>
    <w:rsid w:val="00D612AF"/>
    <w:rsid w:val="00D61300"/>
    <w:rsid w:val="00D6144B"/>
    <w:rsid w:val="00D6174B"/>
    <w:rsid w:val="00D6189B"/>
    <w:rsid w:val="00D619F3"/>
    <w:rsid w:val="00D61A67"/>
    <w:rsid w:val="00D61A8C"/>
    <w:rsid w:val="00D61D07"/>
    <w:rsid w:val="00D62170"/>
    <w:rsid w:val="00D62216"/>
    <w:rsid w:val="00D62389"/>
    <w:rsid w:val="00D62630"/>
    <w:rsid w:val="00D6279A"/>
    <w:rsid w:val="00D628D3"/>
    <w:rsid w:val="00D6293B"/>
    <w:rsid w:val="00D62A5B"/>
    <w:rsid w:val="00D62A66"/>
    <w:rsid w:val="00D62B0C"/>
    <w:rsid w:val="00D62B11"/>
    <w:rsid w:val="00D62B3A"/>
    <w:rsid w:val="00D62B43"/>
    <w:rsid w:val="00D62C8F"/>
    <w:rsid w:val="00D62D1A"/>
    <w:rsid w:val="00D62D39"/>
    <w:rsid w:val="00D62ECD"/>
    <w:rsid w:val="00D62FBC"/>
    <w:rsid w:val="00D630BB"/>
    <w:rsid w:val="00D6321A"/>
    <w:rsid w:val="00D633E3"/>
    <w:rsid w:val="00D6355B"/>
    <w:rsid w:val="00D63685"/>
    <w:rsid w:val="00D63748"/>
    <w:rsid w:val="00D637A6"/>
    <w:rsid w:val="00D63980"/>
    <w:rsid w:val="00D639F0"/>
    <w:rsid w:val="00D63A52"/>
    <w:rsid w:val="00D63AC0"/>
    <w:rsid w:val="00D63C1B"/>
    <w:rsid w:val="00D63D76"/>
    <w:rsid w:val="00D63E72"/>
    <w:rsid w:val="00D6409F"/>
    <w:rsid w:val="00D640D6"/>
    <w:rsid w:val="00D64155"/>
    <w:rsid w:val="00D64223"/>
    <w:rsid w:val="00D64366"/>
    <w:rsid w:val="00D64526"/>
    <w:rsid w:val="00D64699"/>
    <w:rsid w:val="00D647C6"/>
    <w:rsid w:val="00D64AA3"/>
    <w:rsid w:val="00D64AF1"/>
    <w:rsid w:val="00D64BFF"/>
    <w:rsid w:val="00D64DE1"/>
    <w:rsid w:val="00D64E3F"/>
    <w:rsid w:val="00D64F96"/>
    <w:rsid w:val="00D6503A"/>
    <w:rsid w:val="00D651EC"/>
    <w:rsid w:val="00D653D0"/>
    <w:rsid w:val="00D65595"/>
    <w:rsid w:val="00D6593D"/>
    <w:rsid w:val="00D65D9A"/>
    <w:rsid w:val="00D65E8F"/>
    <w:rsid w:val="00D66402"/>
    <w:rsid w:val="00D66473"/>
    <w:rsid w:val="00D666B8"/>
    <w:rsid w:val="00D6683E"/>
    <w:rsid w:val="00D6692A"/>
    <w:rsid w:val="00D66CC1"/>
    <w:rsid w:val="00D66DD1"/>
    <w:rsid w:val="00D66E55"/>
    <w:rsid w:val="00D66FCA"/>
    <w:rsid w:val="00D67006"/>
    <w:rsid w:val="00D67088"/>
    <w:rsid w:val="00D674E9"/>
    <w:rsid w:val="00D67882"/>
    <w:rsid w:val="00D6788D"/>
    <w:rsid w:val="00D6799A"/>
    <w:rsid w:val="00D679A2"/>
    <w:rsid w:val="00D67D43"/>
    <w:rsid w:val="00D67D4D"/>
    <w:rsid w:val="00D67DC9"/>
    <w:rsid w:val="00D67EDF"/>
    <w:rsid w:val="00D7009C"/>
    <w:rsid w:val="00D705A4"/>
    <w:rsid w:val="00D7067D"/>
    <w:rsid w:val="00D70E1A"/>
    <w:rsid w:val="00D70F17"/>
    <w:rsid w:val="00D710C6"/>
    <w:rsid w:val="00D712DA"/>
    <w:rsid w:val="00D714D9"/>
    <w:rsid w:val="00D714EB"/>
    <w:rsid w:val="00D7153F"/>
    <w:rsid w:val="00D716CA"/>
    <w:rsid w:val="00D7193E"/>
    <w:rsid w:val="00D719EF"/>
    <w:rsid w:val="00D71B01"/>
    <w:rsid w:val="00D71BBC"/>
    <w:rsid w:val="00D71BF0"/>
    <w:rsid w:val="00D71EC4"/>
    <w:rsid w:val="00D71FA0"/>
    <w:rsid w:val="00D71FF4"/>
    <w:rsid w:val="00D72211"/>
    <w:rsid w:val="00D722F2"/>
    <w:rsid w:val="00D72327"/>
    <w:rsid w:val="00D726F1"/>
    <w:rsid w:val="00D7270F"/>
    <w:rsid w:val="00D727E0"/>
    <w:rsid w:val="00D72810"/>
    <w:rsid w:val="00D72A5E"/>
    <w:rsid w:val="00D72B87"/>
    <w:rsid w:val="00D72BDB"/>
    <w:rsid w:val="00D72BE9"/>
    <w:rsid w:val="00D72C11"/>
    <w:rsid w:val="00D72C72"/>
    <w:rsid w:val="00D72C92"/>
    <w:rsid w:val="00D72E28"/>
    <w:rsid w:val="00D72E57"/>
    <w:rsid w:val="00D732C1"/>
    <w:rsid w:val="00D73606"/>
    <w:rsid w:val="00D7361F"/>
    <w:rsid w:val="00D73E33"/>
    <w:rsid w:val="00D73E7E"/>
    <w:rsid w:val="00D74160"/>
    <w:rsid w:val="00D74288"/>
    <w:rsid w:val="00D742FE"/>
    <w:rsid w:val="00D74313"/>
    <w:rsid w:val="00D74344"/>
    <w:rsid w:val="00D7441B"/>
    <w:rsid w:val="00D7450F"/>
    <w:rsid w:val="00D74871"/>
    <w:rsid w:val="00D74AF4"/>
    <w:rsid w:val="00D74BC3"/>
    <w:rsid w:val="00D74DDC"/>
    <w:rsid w:val="00D75087"/>
    <w:rsid w:val="00D750A8"/>
    <w:rsid w:val="00D757DD"/>
    <w:rsid w:val="00D75B79"/>
    <w:rsid w:val="00D75D22"/>
    <w:rsid w:val="00D75DA5"/>
    <w:rsid w:val="00D75DE9"/>
    <w:rsid w:val="00D75E60"/>
    <w:rsid w:val="00D75E7F"/>
    <w:rsid w:val="00D75FE3"/>
    <w:rsid w:val="00D762EF"/>
    <w:rsid w:val="00D76441"/>
    <w:rsid w:val="00D76708"/>
    <w:rsid w:val="00D768E2"/>
    <w:rsid w:val="00D7691F"/>
    <w:rsid w:val="00D76A1A"/>
    <w:rsid w:val="00D76C58"/>
    <w:rsid w:val="00D76CF2"/>
    <w:rsid w:val="00D76CF5"/>
    <w:rsid w:val="00D76E7C"/>
    <w:rsid w:val="00D7703D"/>
    <w:rsid w:val="00D770A9"/>
    <w:rsid w:val="00D770D3"/>
    <w:rsid w:val="00D77199"/>
    <w:rsid w:val="00D7725C"/>
    <w:rsid w:val="00D77354"/>
    <w:rsid w:val="00D7742A"/>
    <w:rsid w:val="00D775B9"/>
    <w:rsid w:val="00D77847"/>
    <w:rsid w:val="00D77AD2"/>
    <w:rsid w:val="00D77B11"/>
    <w:rsid w:val="00D77F07"/>
    <w:rsid w:val="00D77F2D"/>
    <w:rsid w:val="00D77F36"/>
    <w:rsid w:val="00D806D9"/>
    <w:rsid w:val="00D807E8"/>
    <w:rsid w:val="00D80B29"/>
    <w:rsid w:val="00D80B40"/>
    <w:rsid w:val="00D81249"/>
    <w:rsid w:val="00D8124F"/>
    <w:rsid w:val="00D81503"/>
    <w:rsid w:val="00D8155B"/>
    <w:rsid w:val="00D815B4"/>
    <w:rsid w:val="00D816EF"/>
    <w:rsid w:val="00D81DD9"/>
    <w:rsid w:val="00D81DF0"/>
    <w:rsid w:val="00D81E79"/>
    <w:rsid w:val="00D81FD6"/>
    <w:rsid w:val="00D821F2"/>
    <w:rsid w:val="00D82348"/>
    <w:rsid w:val="00D82586"/>
    <w:rsid w:val="00D825A5"/>
    <w:rsid w:val="00D825B7"/>
    <w:rsid w:val="00D827FD"/>
    <w:rsid w:val="00D8290E"/>
    <w:rsid w:val="00D82920"/>
    <w:rsid w:val="00D82AD1"/>
    <w:rsid w:val="00D82E6E"/>
    <w:rsid w:val="00D82F36"/>
    <w:rsid w:val="00D83040"/>
    <w:rsid w:val="00D8323B"/>
    <w:rsid w:val="00D83489"/>
    <w:rsid w:val="00D83504"/>
    <w:rsid w:val="00D835B4"/>
    <w:rsid w:val="00D8368F"/>
    <w:rsid w:val="00D838E6"/>
    <w:rsid w:val="00D83A05"/>
    <w:rsid w:val="00D83D13"/>
    <w:rsid w:val="00D83F4C"/>
    <w:rsid w:val="00D840C6"/>
    <w:rsid w:val="00D840D7"/>
    <w:rsid w:val="00D841AC"/>
    <w:rsid w:val="00D841F8"/>
    <w:rsid w:val="00D8444D"/>
    <w:rsid w:val="00D844C4"/>
    <w:rsid w:val="00D846E9"/>
    <w:rsid w:val="00D84FC3"/>
    <w:rsid w:val="00D851DC"/>
    <w:rsid w:val="00D853C6"/>
    <w:rsid w:val="00D8553C"/>
    <w:rsid w:val="00D85695"/>
    <w:rsid w:val="00D8573B"/>
    <w:rsid w:val="00D85854"/>
    <w:rsid w:val="00D85872"/>
    <w:rsid w:val="00D8589C"/>
    <w:rsid w:val="00D8589D"/>
    <w:rsid w:val="00D85977"/>
    <w:rsid w:val="00D85A81"/>
    <w:rsid w:val="00D85B5D"/>
    <w:rsid w:val="00D85E99"/>
    <w:rsid w:val="00D85F45"/>
    <w:rsid w:val="00D861F6"/>
    <w:rsid w:val="00D863CF"/>
    <w:rsid w:val="00D86466"/>
    <w:rsid w:val="00D86548"/>
    <w:rsid w:val="00D865A9"/>
    <w:rsid w:val="00D8665F"/>
    <w:rsid w:val="00D86B6D"/>
    <w:rsid w:val="00D86FA8"/>
    <w:rsid w:val="00D870E8"/>
    <w:rsid w:val="00D8734E"/>
    <w:rsid w:val="00D87423"/>
    <w:rsid w:val="00D87452"/>
    <w:rsid w:val="00D8747F"/>
    <w:rsid w:val="00D87485"/>
    <w:rsid w:val="00D87556"/>
    <w:rsid w:val="00D8786B"/>
    <w:rsid w:val="00D878EA"/>
    <w:rsid w:val="00D87B9E"/>
    <w:rsid w:val="00D87C13"/>
    <w:rsid w:val="00D87D9E"/>
    <w:rsid w:val="00D87E2C"/>
    <w:rsid w:val="00D87E65"/>
    <w:rsid w:val="00D87F2A"/>
    <w:rsid w:val="00D87FC4"/>
    <w:rsid w:val="00D9009F"/>
    <w:rsid w:val="00D9043A"/>
    <w:rsid w:val="00D90622"/>
    <w:rsid w:val="00D907CB"/>
    <w:rsid w:val="00D9083A"/>
    <w:rsid w:val="00D90942"/>
    <w:rsid w:val="00D90950"/>
    <w:rsid w:val="00D90A8B"/>
    <w:rsid w:val="00D90BEB"/>
    <w:rsid w:val="00D90D79"/>
    <w:rsid w:val="00D90F8B"/>
    <w:rsid w:val="00D9126A"/>
    <w:rsid w:val="00D9137B"/>
    <w:rsid w:val="00D91389"/>
    <w:rsid w:val="00D913BF"/>
    <w:rsid w:val="00D91644"/>
    <w:rsid w:val="00D91BF2"/>
    <w:rsid w:val="00D91C16"/>
    <w:rsid w:val="00D91D1F"/>
    <w:rsid w:val="00D91D98"/>
    <w:rsid w:val="00D91EFB"/>
    <w:rsid w:val="00D91FB7"/>
    <w:rsid w:val="00D91FF4"/>
    <w:rsid w:val="00D9213C"/>
    <w:rsid w:val="00D922D4"/>
    <w:rsid w:val="00D92335"/>
    <w:rsid w:val="00D923B6"/>
    <w:rsid w:val="00D9299F"/>
    <w:rsid w:val="00D92E81"/>
    <w:rsid w:val="00D92F6B"/>
    <w:rsid w:val="00D9319A"/>
    <w:rsid w:val="00D932CC"/>
    <w:rsid w:val="00D932E0"/>
    <w:rsid w:val="00D93360"/>
    <w:rsid w:val="00D93741"/>
    <w:rsid w:val="00D939E0"/>
    <w:rsid w:val="00D93A69"/>
    <w:rsid w:val="00D93AFC"/>
    <w:rsid w:val="00D93C1C"/>
    <w:rsid w:val="00D93E1A"/>
    <w:rsid w:val="00D93F8F"/>
    <w:rsid w:val="00D94001"/>
    <w:rsid w:val="00D94026"/>
    <w:rsid w:val="00D94120"/>
    <w:rsid w:val="00D9412A"/>
    <w:rsid w:val="00D94312"/>
    <w:rsid w:val="00D94680"/>
    <w:rsid w:val="00D94925"/>
    <w:rsid w:val="00D949C6"/>
    <w:rsid w:val="00D94BB9"/>
    <w:rsid w:val="00D94DAF"/>
    <w:rsid w:val="00D94E7A"/>
    <w:rsid w:val="00D951DD"/>
    <w:rsid w:val="00D9525C"/>
    <w:rsid w:val="00D9529F"/>
    <w:rsid w:val="00D952ED"/>
    <w:rsid w:val="00D9538B"/>
    <w:rsid w:val="00D955DF"/>
    <w:rsid w:val="00D95602"/>
    <w:rsid w:val="00D9561B"/>
    <w:rsid w:val="00D9567C"/>
    <w:rsid w:val="00D95711"/>
    <w:rsid w:val="00D957BA"/>
    <w:rsid w:val="00D957FA"/>
    <w:rsid w:val="00D95835"/>
    <w:rsid w:val="00D95966"/>
    <w:rsid w:val="00D95AC4"/>
    <w:rsid w:val="00D95CED"/>
    <w:rsid w:val="00D95D3D"/>
    <w:rsid w:val="00D95D74"/>
    <w:rsid w:val="00D95D85"/>
    <w:rsid w:val="00D95F31"/>
    <w:rsid w:val="00D96142"/>
    <w:rsid w:val="00D96462"/>
    <w:rsid w:val="00D96480"/>
    <w:rsid w:val="00D9664C"/>
    <w:rsid w:val="00D96AA0"/>
    <w:rsid w:val="00D96B05"/>
    <w:rsid w:val="00D96C65"/>
    <w:rsid w:val="00D96C87"/>
    <w:rsid w:val="00D9731D"/>
    <w:rsid w:val="00D97404"/>
    <w:rsid w:val="00D975A3"/>
    <w:rsid w:val="00D97615"/>
    <w:rsid w:val="00D976DE"/>
    <w:rsid w:val="00D976FF"/>
    <w:rsid w:val="00D979BE"/>
    <w:rsid w:val="00D979D0"/>
    <w:rsid w:val="00D97A3B"/>
    <w:rsid w:val="00D97AB0"/>
    <w:rsid w:val="00D97B92"/>
    <w:rsid w:val="00D97C89"/>
    <w:rsid w:val="00DA014E"/>
    <w:rsid w:val="00DA0786"/>
    <w:rsid w:val="00DA07FE"/>
    <w:rsid w:val="00DA08CA"/>
    <w:rsid w:val="00DA0B08"/>
    <w:rsid w:val="00DA0B5F"/>
    <w:rsid w:val="00DA0BEA"/>
    <w:rsid w:val="00DA0BEC"/>
    <w:rsid w:val="00DA0C12"/>
    <w:rsid w:val="00DA0C47"/>
    <w:rsid w:val="00DA0F37"/>
    <w:rsid w:val="00DA0FA0"/>
    <w:rsid w:val="00DA101A"/>
    <w:rsid w:val="00DA122C"/>
    <w:rsid w:val="00DA17B9"/>
    <w:rsid w:val="00DA1A4F"/>
    <w:rsid w:val="00DA1B60"/>
    <w:rsid w:val="00DA1E4C"/>
    <w:rsid w:val="00DA21B3"/>
    <w:rsid w:val="00DA245E"/>
    <w:rsid w:val="00DA247A"/>
    <w:rsid w:val="00DA257C"/>
    <w:rsid w:val="00DA288C"/>
    <w:rsid w:val="00DA2A98"/>
    <w:rsid w:val="00DA2E37"/>
    <w:rsid w:val="00DA2FD5"/>
    <w:rsid w:val="00DA3024"/>
    <w:rsid w:val="00DA3028"/>
    <w:rsid w:val="00DA3104"/>
    <w:rsid w:val="00DA312C"/>
    <w:rsid w:val="00DA315E"/>
    <w:rsid w:val="00DA31B6"/>
    <w:rsid w:val="00DA32BF"/>
    <w:rsid w:val="00DA3626"/>
    <w:rsid w:val="00DA3832"/>
    <w:rsid w:val="00DA38D7"/>
    <w:rsid w:val="00DA39BE"/>
    <w:rsid w:val="00DA3AE6"/>
    <w:rsid w:val="00DA3AEB"/>
    <w:rsid w:val="00DA3AFF"/>
    <w:rsid w:val="00DA3CE9"/>
    <w:rsid w:val="00DA3D9F"/>
    <w:rsid w:val="00DA3FBC"/>
    <w:rsid w:val="00DA44B1"/>
    <w:rsid w:val="00DA44FA"/>
    <w:rsid w:val="00DA4838"/>
    <w:rsid w:val="00DA48B4"/>
    <w:rsid w:val="00DA4989"/>
    <w:rsid w:val="00DA49B8"/>
    <w:rsid w:val="00DA4CD4"/>
    <w:rsid w:val="00DA4EAB"/>
    <w:rsid w:val="00DA5041"/>
    <w:rsid w:val="00DA5157"/>
    <w:rsid w:val="00DA51CC"/>
    <w:rsid w:val="00DA5267"/>
    <w:rsid w:val="00DA53E9"/>
    <w:rsid w:val="00DA540D"/>
    <w:rsid w:val="00DA55FB"/>
    <w:rsid w:val="00DA5705"/>
    <w:rsid w:val="00DA5721"/>
    <w:rsid w:val="00DA5979"/>
    <w:rsid w:val="00DA5F09"/>
    <w:rsid w:val="00DA6173"/>
    <w:rsid w:val="00DA61B8"/>
    <w:rsid w:val="00DA6831"/>
    <w:rsid w:val="00DA697D"/>
    <w:rsid w:val="00DA6B25"/>
    <w:rsid w:val="00DA6D2A"/>
    <w:rsid w:val="00DA7052"/>
    <w:rsid w:val="00DA70C0"/>
    <w:rsid w:val="00DA70D2"/>
    <w:rsid w:val="00DA7164"/>
    <w:rsid w:val="00DA72CF"/>
    <w:rsid w:val="00DA7329"/>
    <w:rsid w:val="00DA73F0"/>
    <w:rsid w:val="00DA743A"/>
    <w:rsid w:val="00DA746B"/>
    <w:rsid w:val="00DA7477"/>
    <w:rsid w:val="00DA74D1"/>
    <w:rsid w:val="00DA7573"/>
    <w:rsid w:val="00DA75F9"/>
    <w:rsid w:val="00DA7716"/>
    <w:rsid w:val="00DA785F"/>
    <w:rsid w:val="00DA79EF"/>
    <w:rsid w:val="00DA7BC3"/>
    <w:rsid w:val="00DA7BD4"/>
    <w:rsid w:val="00DA7C5B"/>
    <w:rsid w:val="00DA7EC3"/>
    <w:rsid w:val="00DB0191"/>
    <w:rsid w:val="00DB0359"/>
    <w:rsid w:val="00DB05E3"/>
    <w:rsid w:val="00DB094E"/>
    <w:rsid w:val="00DB0A18"/>
    <w:rsid w:val="00DB0B69"/>
    <w:rsid w:val="00DB0DB5"/>
    <w:rsid w:val="00DB0E93"/>
    <w:rsid w:val="00DB0EF6"/>
    <w:rsid w:val="00DB0F8A"/>
    <w:rsid w:val="00DB134C"/>
    <w:rsid w:val="00DB1E59"/>
    <w:rsid w:val="00DB1FDC"/>
    <w:rsid w:val="00DB20AD"/>
    <w:rsid w:val="00DB2104"/>
    <w:rsid w:val="00DB2139"/>
    <w:rsid w:val="00DB21FE"/>
    <w:rsid w:val="00DB225D"/>
    <w:rsid w:val="00DB23AE"/>
    <w:rsid w:val="00DB2436"/>
    <w:rsid w:val="00DB25BF"/>
    <w:rsid w:val="00DB2620"/>
    <w:rsid w:val="00DB26A8"/>
    <w:rsid w:val="00DB26B9"/>
    <w:rsid w:val="00DB2714"/>
    <w:rsid w:val="00DB2743"/>
    <w:rsid w:val="00DB27CF"/>
    <w:rsid w:val="00DB29F6"/>
    <w:rsid w:val="00DB2B0A"/>
    <w:rsid w:val="00DB2BDB"/>
    <w:rsid w:val="00DB2C1A"/>
    <w:rsid w:val="00DB2C3D"/>
    <w:rsid w:val="00DB2FC2"/>
    <w:rsid w:val="00DB3107"/>
    <w:rsid w:val="00DB3197"/>
    <w:rsid w:val="00DB31F9"/>
    <w:rsid w:val="00DB322B"/>
    <w:rsid w:val="00DB324C"/>
    <w:rsid w:val="00DB34D8"/>
    <w:rsid w:val="00DB352F"/>
    <w:rsid w:val="00DB3782"/>
    <w:rsid w:val="00DB388D"/>
    <w:rsid w:val="00DB38CB"/>
    <w:rsid w:val="00DB391F"/>
    <w:rsid w:val="00DB3CF9"/>
    <w:rsid w:val="00DB3FD3"/>
    <w:rsid w:val="00DB40B5"/>
    <w:rsid w:val="00DB44D9"/>
    <w:rsid w:val="00DB46C5"/>
    <w:rsid w:val="00DB47C7"/>
    <w:rsid w:val="00DB4839"/>
    <w:rsid w:val="00DB4A35"/>
    <w:rsid w:val="00DB4A51"/>
    <w:rsid w:val="00DB4A64"/>
    <w:rsid w:val="00DB4F02"/>
    <w:rsid w:val="00DB4FFF"/>
    <w:rsid w:val="00DB5591"/>
    <w:rsid w:val="00DB55DC"/>
    <w:rsid w:val="00DB5A4E"/>
    <w:rsid w:val="00DB5ACA"/>
    <w:rsid w:val="00DB5B40"/>
    <w:rsid w:val="00DB5CE0"/>
    <w:rsid w:val="00DB5E17"/>
    <w:rsid w:val="00DB5E40"/>
    <w:rsid w:val="00DB5E5A"/>
    <w:rsid w:val="00DB5F2A"/>
    <w:rsid w:val="00DB5F84"/>
    <w:rsid w:val="00DB60E4"/>
    <w:rsid w:val="00DB62D2"/>
    <w:rsid w:val="00DB63C8"/>
    <w:rsid w:val="00DB65DA"/>
    <w:rsid w:val="00DB663B"/>
    <w:rsid w:val="00DB6674"/>
    <w:rsid w:val="00DB6876"/>
    <w:rsid w:val="00DB689D"/>
    <w:rsid w:val="00DB6B13"/>
    <w:rsid w:val="00DB6C08"/>
    <w:rsid w:val="00DB6C78"/>
    <w:rsid w:val="00DB6F37"/>
    <w:rsid w:val="00DB6F45"/>
    <w:rsid w:val="00DB6FE1"/>
    <w:rsid w:val="00DB706E"/>
    <w:rsid w:val="00DB71DE"/>
    <w:rsid w:val="00DB72B7"/>
    <w:rsid w:val="00DB7533"/>
    <w:rsid w:val="00DB7546"/>
    <w:rsid w:val="00DB75D3"/>
    <w:rsid w:val="00DB75FF"/>
    <w:rsid w:val="00DB76BE"/>
    <w:rsid w:val="00DB76EB"/>
    <w:rsid w:val="00DB77ED"/>
    <w:rsid w:val="00DB78C6"/>
    <w:rsid w:val="00DB7A52"/>
    <w:rsid w:val="00DB7B76"/>
    <w:rsid w:val="00DB7B93"/>
    <w:rsid w:val="00DC03F8"/>
    <w:rsid w:val="00DC0624"/>
    <w:rsid w:val="00DC07E5"/>
    <w:rsid w:val="00DC093F"/>
    <w:rsid w:val="00DC0AD9"/>
    <w:rsid w:val="00DC0D87"/>
    <w:rsid w:val="00DC0DB1"/>
    <w:rsid w:val="00DC0E5B"/>
    <w:rsid w:val="00DC0FC3"/>
    <w:rsid w:val="00DC10B4"/>
    <w:rsid w:val="00DC1109"/>
    <w:rsid w:val="00DC1338"/>
    <w:rsid w:val="00DC1397"/>
    <w:rsid w:val="00DC1613"/>
    <w:rsid w:val="00DC162A"/>
    <w:rsid w:val="00DC16EC"/>
    <w:rsid w:val="00DC1773"/>
    <w:rsid w:val="00DC1A58"/>
    <w:rsid w:val="00DC1AC0"/>
    <w:rsid w:val="00DC1BDD"/>
    <w:rsid w:val="00DC1CDD"/>
    <w:rsid w:val="00DC1D4D"/>
    <w:rsid w:val="00DC1D8E"/>
    <w:rsid w:val="00DC1F61"/>
    <w:rsid w:val="00DC20C3"/>
    <w:rsid w:val="00DC2165"/>
    <w:rsid w:val="00DC227A"/>
    <w:rsid w:val="00DC2360"/>
    <w:rsid w:val="00DC2500"/>
    <w:rsid w:val="00DC250C"/>
    <w:rsid w:val="00DC25DA"/>
    <w:rsid w:val="00DC26E4"/>
    <w:rsid w:val="00DC2929"/>
    <w:rsid w:val="00DC2A10"/>
    <w:rsid w:val="00DC2AFC"/>
    <w:rsid w:val="00DC2BAE"/>
    <w:rsid w:val="00DC2CEE"/>
    <w:rsid w:val="00DC2D82"/>
    <w:rsid w:val="00DC2E27"/>
    <w:rsid w:val="00DC2F06"/>
    <w:rsid w:val="00DC3052"/>
    <w:rsid w:val="00DC31F4"/>
    <w:rsid w:val="00DC3257"/>
    <w:rsid w:val="00DC3279"/>
    <w:rsid w:val="00DC32C2"/>
    <w:rsid w:val="00DC3372"/>
    <w:rsid w:val="00DC34D0"/>
    <w:rsid w:val="00DC3568"/>
    <w:rsid w:val="00DC3618"/>
    <w:rsid w:val="00DC38AE"/>
    <w:rsid w:val="00DC39C2"/>
    <w:rsid w:val="00DC3BA8"/>
    <w:rsid w:val="00DC3BF1"/>
    <w:rsid w:val="00DC44E4"/>
    <w:rsid w:val="00DC4AD0"/>
    <w:rsid w:val="00DC4D1D"/>
    <w:rsid w:val="00DC4D87"/>
    <w:rsid w:val="00DC4E55"/>
    <w:rsid w:val="00DC50CE"/>
    <w:rsid w:val="00DC53C1"/>
    <w:rsid w:val="00DC54EB"/>
    <w:rsid w:val="00DC5684"/>
    <w:rsid w:val="00DC580A"/>
    <w:rsid w:val="00DC5A9B"/>
    <w:rsid w:val="00DC5B50"/>
    <w:rsid w:val="00DC5BBD"/>
    <w:rsid w:val="00DC5BD1"/>
    <w:rsid w:val="00DC5E6B"/>
    <w:rsid w:val="00DC5EEF"/>
    <w:rsid w:val="00DC61AF"/>
    <w:rsid w:val="00DC61EA"/>
    <w:rsid w:val="00DC66BC"/>
    <w:rsid w:val="00DC68FB"/>
    <w:rsid w:val="00DC690C"/>
    <w:rsid w:val="00DC6B01"/>
    <w:rsid w:val="00DC6C22"/>
    <w:rsid w:val="00DC6C81"/>
    <w:rsid w:val="00DC6E0F"/>
    <w:rsid w:val="00DC727F"/>
    <w:rsid w:val="00DC7376"/>
    <w:rsid w:val="00DC73A5"/>
    <w:rsid w:val="00DC7591"/>
    <w:rsid w:val="00DC764E"/>
    <w:rsid w:val="00DC7845"/>
    <w:rsid w:val="00DC7961"/>
    <w:rsid w:val="00DC7B80"/>
    <w:rsid w:val="00DC7D66"/>
    <w:rsid w:val="00DC7D8C"/>
    <w:rsid w:val="00DC7DE5"/>
    <w:rsid w:val="00DC7E35"/>
    <w:rsid w:val="00DC7E5D"/>
    <w:rsid w:val="00DC7E78"/>
    <w:rsid w:val="00DC7ED6"/>
    <w:rsid w:val="00DC7FE9"/>
    <w:rsid w:val="00DD0132"/>
    <w:rsid w:val="00DD016F"/>
    <w:rsid w:val="00DD0206"/>
    <w:rsid w:val="00DD0388"/>
    <w:rsid w:val="00DD0493"/>
    <w:rsid w:val="00DD054B"/>
    <w:rsid w:val="00DD07D0"/>
    <w:rsid w:val="00DD085A"/>
    <w:rsid w:val="00DD0924"/>
    <w:rsid w:val="00DD0A3E"/>
    <w:rsid w:val="00DD0CBF"/>
    <w:rsid w:val="00DD0D6F"/>
    <w:rsid w:val="00DD0D78"/>
    <w:rsid w:val="00DD0E1A"/>
    <w:rsid w:val="00DD1071"/>
    <w:rsid w:val="00DD12FD"/>
    <w:rsid w:val="00DD1400"/>
    <w:rsid w:val="00DD1424"/>
    <w:rsid w:val="00DD1576"/>
    <w:rsid w:val="00DD1751"/>
    <w:rsid w:val="00DD1AE2"/>
    <w:rsid w:val="00DD1C8F"/>
    <w:rsid w:val="00DD1D6A"/>
    <w:rsid w:val="00DD1D8F"/>
    <w:rsid w:val="00DD1ED5"/>
    <w:rsid w:val="00DD1F94"/>
    <w:rsid w:val="00DD20D1"/>
    <w:rsid w:val="00DD2148"/>
    <w:rsid w:val="00DD24BC"/>
    <w:rsid w:val="00DD2530"/>
    <w:rsid w:val="00DD2556"/>
    <w:rsid w:val="00DD25CB"/>
    <w:rsid w:val="00DD25D3"/>
    <w:rsid w:val="00DD27BF"/>
    <w:rsid w:val="00DD27C4"/>
    <w:rsid w:val="00DD2835"/>
    <w:rsid w:val="00DD2893"/>
    <w:rsid w:val="00DD2A8A"/>
    <w:rsid w:val="00DD2B0B"/>
    <w:rsid w:val="00DD2C10"/>
    <w:rsid w:val="00DD2E85"/>
    <w:rsid w:val="00DD2F59"/>
    <w:rsid w:val="00DD2FEC"/>
    <w:rsid w:val="00DD3045"/>
    <w:rsid w:val="00DD33CD"/>
    <w:rsid w:val="00DD34E3"/>
    <w:rsid w:val="00DD3527"/>
    <w:rsid w:val="00DD36FF"/>
    <w:rsid w:val="00DD3978"/>
    <w:rsid w:val="00DD3A04"/>
    <w:rsid w:val="00DD3BD5"/>
    <w:rsid w:val="00DD3CEC"/>
    <w:rsid w:val="00DD3EA7"/>
    <w:rsid w:val="00DD43C2"/>
    <w:rsid w:val="00DD43C4"/>
    <w:rsid w:val="00DD442F"/>
    <w:rsid w:val="00DD4548"/>
    <w:rsid w:val="00DD46F7"/>
    <w:rsid w:val="00DD4717"/>
    <w:rsid w:val="00DD4733"/>
    <w:rsid w:val="00DD49B1"/>
    <w:rsid w:val="00DD4A24"/>
    <w:rsid w:val="00DD4DE0"/>
    <w:rsid w:val="00DD4E6C"/>
    <w:rsid w:val="00DD4F74"/>
    <w:rsid w:val="00DD505C"/>
    <w:rsid w:val="00DD5076"/>
    <w:rsid w:val="00DD51D3"/>
    <w:rsid w:val="00DD531F"/>
    <w:rsid w:val="00DD5510"/>
    <w:rsid w:val="00DD556C"/>
    <w:rsid w:val="00DD5650"/>
    <w:rsid w:val="00DD5737"/>
    <w:rsid w:val="00DD574F"/>
    <w:rsid w:val="00DD57FD"/>
    <w:rsid w:val="00DD589B"/>
    <w:rsid w:val="00DD5B83"/>
    <w:rsid w:val="00DD5E4B"/>
    <w:rsid w:val="00DD5E81"/>
    <w:rsid w:val="00DD606B"/>
    <w:rsid w:val="00DD6C46"/>
    <w:rsid w:val="00DD6C7A"/>
    <w:rsid w:val="00DD6F44"/>
    <w:rsid w:val="00DD6F95"/>
    <w:rsid w:val="00DD7089"/>
    <w:rsid w:val="00DD7386"/>
    <w:rsid w:val="00DD7603"/>
    <w:rsid w:val="00DD778D"/>
    <w:rsid w:val="00DD7823"/>
    <w:rsid w:val="00DD7B43"/>
    <w:rsid w:val="00DD7BB1"/>
    <w:rsid w:val="00DD7CCA"/>
    <w:rsid w:val="00DE005A"/>
    <w:rsid w:val="00DE007A"/>
    <w:rsid w:val="00DE0278"/>
    <w:rsid w:val="00DE0462"/>
    <w:rsid w:val="00DE060D"/>
    <w:rsid w:val="00DE06FA"/>
    <w:rsid w:val="00DE0973"/>
    <w:rsid w:val="00DE0B2A"/>
    <w:rsid w:val="00DE0B68"/>
    <w:rsid w:val="00DE0BDE"/>
    <w:rsid w:val="00DE1018"/>
    <w:rsid w:val="00DE10CF"/>
    <w:rsid w:val="00DE124A"/>
    <w:rsid w:val="00DE1270"/>
    <w:rsid w:val="00DE13BC"/>
    <w:rsid w:val="00DE1478"/>
    <w:rsid w:val="00DE1601"/>
    <w:rsid w:val="00DE1835"/>
    <w:rsid w:val="00DE18AD"/>
    <w:rsid w:val="00DE1A45"/>
    <w:rsid w:val="00DE1D73"/>
    <w:rsid w:val="00DE1E1E"/>
    <w:rsid w:val="00DE1F3E"/>
    <w:rsid w:val="00DE206F"/>
    <w:rsid w:val="00DE20BB"/>
    <w:rsid w:val="00DE217C"/>
    <w:rsid w:val="00DE21E1"/>
    <w:rsid w:val="00DE2207"/>
    <w:rsid w:val="00DE223E"/>
    <w:rsid w:val="00DE225E"/>
    <w:rsid w:val="00DE238C"/>
    <w:rsid w:val="00DE2697"/>
    <w:rsid w:val="00DE26B0"/>
    <w:rsid w:val="00DE289E"/>
    <w:rsid w:val="00DE2B39"/>
    <w:rsid w:val="00DE2B6D"/>
    <w:rsid w:val="00DE2CED"/>
    <w:rsid w:val="00DE2D33"/>
    <w:rsid w:val="00DE2F42"/>
    <w:rsid w:val="00DE3017"/>
    <w:rsid w:val="00DE31B3"/>
    <w:rsid w:val="00DE3275"/>
    <w:rsid w:val="00DE34EB"/>
    <w:rsid w:val="00DE3592"/>
    <w:rsid w:val="00DE35F3"/>
    <w:rsid w:val="00DE36D0"/>
    <w:rsid w:val="00DE3757"/>
    <w:rsid w:val="00DE38EF"/>
    <w:rsid w:val="00DE3A3C"/>
    <w:rsid w:val="00DE3ADC"/>
    <w:rsid w:val="00DE3B44"/>
    <w:rsid w:val="00DE3E78"/>
    <w:rsid w:val="00DE3F55"/>
    <w:rsid w:val="00DE4020"/>
    <w:rsid w:val="00DE41F8"/>
    <w:rsid w:val="00DE42FF"/>
    <w:rsid w:val="00DE4811"/>
    <w:rsid w:val="00DE4A95"/>
    <w:rsid w:val="00DE4B81"/>
    <w:rsid w:val="00DE4B9D"/>
    <w:rsid w:val="00DE4C5F"/>
    <w:rsid w:val="00DE50A6"/>
    <w:rsid w:val="00DE50EA"/>
    <w:rsid w:val="00DE51A4"/>
    <w:rsid w:val="00DE51EF"/>
    <w:rsid w:val="00DE5271"/>
    <w:rsid w:val="00DE52D6"/>
    <w:rsid w:val="00DE545C"/>
    <w:rsid w:val="00DE564E"/>
    <w:rsid w:val="00DE5725"/>
    <w:rsid w:val="00DE5C4F"/>
    <w:rsid w:val="00DE5C5E"/>
    <w:rsid w:val="00DE5C9F"/>
    <w:rsid w:val="00DE5F23"/>
    <w:rsid w:val="00DE5F45"/>
    <w:rsid w:val="00DE6091"/>
    <w:rsid w:val="00DE6207"/>
    <w:rsid w:val="00DE6253"/>
    <w:rsid w:val="00DE62AE"/>
    <w:rsid w:val="00DE62B7"/>
    <w:rsid w:val="00DE6351"/>
    <w:rsid w:val="00DE6416"/>
    <w:rsid w:val="00DE668A"/>
    <w:rsid w:val="00DE6B7E"/>
    <w:rsid w:val="00DE6EA1"/>
    <w:rsid w:val="00DE7103"/>
    <w:rsid w:val="00DE734E"/>
    <w:rsid w:val="00DE752C"/>
    <w:rsid w:val="00DE7775"/>
    <w:rsid w:val="00DE7887"/>
    <w:rsid w:val="00DE7AA8"/>
    <w:rsid w:val="00DE7B00"/>
    <w:rsid w:val="00DE7BF8"/>
    <w:rsid w:val="00DE7C56"/>
    <w:rsid w:val="00DE7D59"/>
    <w:rsid w:val="00DE7DB1"/>
    <w:rsid w:val="00DF0274"/>
    <w:rsid w:val="00DF0277"/>
    <w:rsid w:val="00DF0335"/>
    <w:rsid w:val="00DF0562"/>
    <w:rsid w:val="00DF0695"/>
    <w:rsid w:val="00DF0791"/>
    <w:rsid w:val="00DF0DC3"/>
    <w:rsid w:val="00DF0E11"/>
    <w:rsid w:val="00DF0FD9"/>
    <w:rsid w:val="00DF1043"/>
    <w:rsid w:val="00DF1254"/>
    <w:rsid w:val="00DF1443"/>
    <w:rsid w:val="00DF1470"/>
    <w:rsid w:val="00DF14F9"/>
    <w:rsid w:val="00DF171B"/>
    <w:rsid w:val="00DF1C1F"/>
    <w:rsid w:val="00DF1C2D"/>
    <w:rsid w:val="00DF1CA9"/>
    <w:rsid w:val="00DF1E39"/>
    <w:rsid w:val="00DF1FAE"/>
    <w:rsid w:val="00DF2157"/>
    <w:rsid w:val="00DF21BB"/>
    <w:rsid w:val="00DF233B"/>
    <w:rsid w:val="00DF240C"/>
    <w:rsid w:val="00DF257C"/>
    <w:rsid w:val="00DF2731"/>
    <w:rsid w:val="00DF2AD9"/>
    <w:rsid w:val="00DF2C92"/>
    <w:rsid w:val="00DF3007"/>
    <w:rsid w:val="00DF32BE"/>
    <w:rsid w:val="00DF361C"/>
    <w:rsid w:val="00DF3A73"/>
    <w:rsid w:val="00DF3A75"/>
    <w:rsid w:val="00DF3B9B"/>
    <w:rsid w:val="00DF3BFA"/>
    <w:rsid w:val="00DF3D8B"/>
    <w:rsid w:val="00DF3E2E"/>
    <w:rsid w:val="00DF410D"/>
    <w:rsid w:val="00DF41CA"/>
    <w:rsid w:val="00DF425F"/>
    <w:rsid w:val="00DF4546"/>
    <w:rsid w:val="00DF456F"/>
    <w:rsid w:val="00DF4716"/>
    <w:rsid w:val="00DF47E4"/>
    <w:rsid w:val="00DF4977"/>
    <w:rsid w:val="00DF4A30"/>
    <w:rsid w:val="00DF4B7E"/>
    <w:rsid w:val="00DF4C61"/>
    <w:rsid w:val="00DF4F88"/>
    <w:rsid w:val="00DF503A"/>
    <w:rsid w:val="00DF5098"/>
    <w:rsid w:val="00DF51EA"/>
    <w:rsid w:val="00DF52F2"/>
    <w:rsid w:val="00DF54D0"/>
    <w:rsid w:val="00DF5565"/>
    <w:rsid w:val="00DF560C"/>
    <w:rsid w:val="00DF5635"/>
    <w:rsid w:val="00DF57BE"/>
    <w:rsid w:val="00DF580C"/>
    <w:rsid w:val="00DF588B"/>
    <w:rsid w:val="00DF5C06"/>
    <w:rsid w:val="00DF5C1A"/>
    <w:rsid w:val="00DF5CA0"/>
    <w:rsid w:val="00DF60E5"/>
    <w:rsid w:val="00DF65AF"/>
    <w:rsid w:val="00DF6623"/>
    <w:rsid w:val="00DF667E"/>
    <w:rsid w:val="00DF66DE"/>
    <w:rsid w:val="00DF6B08"/>
    <w:rsid w:val="00DF6B41"/>
    <w:rsid w:val="00DF6BCB"/>
    <w:rsid w:val="00DF6C7B"/>
    <w:rsid w:val="00DF6CC8"/>
    <w:rsid w:val="00DF6D45"/>
    <w:rsid w:val="00DF6E4E"/>
    <w:rsid w:val="00DF7042"/>
    <w:rsid w:val="00DF7203"/>
    <w:rsid w:val="00DF7223"/>
    <w:rsid w:val="00DF739B"/>
    <w:rsid w:val="00DF75B4"/>
    <w:rsid w:val="00DF7634"/>
    <w:rsid w:val="00DF788C"/>
    <w:rsid w:val="00DF78AA"/>
    <w:rsid w:val="00DF78FD"/>
    <w:rsid w:val="00DF791C"/>
    <w:rsid w:val="00DF7985"/>
    <w:rsid w:val="00DF7A0E"/>
    <w:rsid w:val="00DF7ADD"/>
    <w:rsid w:val="00DF7BA5"/>
    <w:rsid w:val="00DF7CD7"/>
    <w:rsid w:val="00DF7DAA"/>
    <w:rsid w:val="00DF7E8C"/>
    <w:rsid w:val="00DF7EFE"/>
    <w:rsid w:val="00DF7F00"/>
    <w:rsid w:val="00DF7FB6"/>
    <w:rsid w:val="00E00109"/>
    <w:rsid w:val="00E002A8"/>
    <w:rsid w:val="00E0045A"/>
    <w:rsid w:val="00E0062F"/>
    <w:rsid w:val="00E008F9"/>
    <w:rsid w:val="00E00AAC"/>
    <w:rsid w:val="00E00AC7"/>
    <w:rsid w:val="00E00C0D"/>
    <w:rsid w:val="00E00D57"/>
    <w:rsid w:val="00E00E15"/>
    <w:rsid w:val="00E00F63"/>
    <w:rsid w:val="00E00FBE"/>
    <w:rsid w:val="00E01040"/>
    <w:rsid w:val="00E01148"/>
    <w:rsid w:val="00E01210"/>
    <w:rsid w:val="00E0122D"/>
    <w:rsid w:val="00E01727"/>
    <w:rsid w:val="00E01988"/>
    <w:rsid w:val="00E019DF"/>
    <w:rsid w:val="00E01B54"/>
    <w:rsid w:val="00E01D50"/>
    <w:rsid w:val="00E02077"/>
    <w:rsid w:val="00E020F4"/>
    <w:rsid w:val="00E022F7"/>
    <w:rsid w:val="00E02664"/>
    <w:rsid w:val="00E026A9"/>
    <w:rsid w:val="00E02779"/>
    <w:rsid w:val="00E02785"/>
    <w:rsid w:val="00E02795"/>
    <w:rsid w:val="00E028FE"/>
    <w:rsid w:val="00E02922"/>
    <w:rsid w:val="00E02ACD"/>
    <w:rsid w:val="00E02B14"/>
    <w:rsid w:val="00E02C14"/>
    <w:rsid w:val="00E02C4D"/>
    <w:rsid w:val="00E02D2A"/>
    <w:rsid w:val="00E02EC6"/>
    <w:rsid w:val="00E02F50"/>
    <w:rsid w:val="00E031A5"/>
    <w:rsid w:val="00E0341B"/>
    <w:rsid w:val="00E0348F"/>
    <w:rsid w:val="00E035A6"/>
    <w:rsid w:val="00E037DE"/>
    <w:rsid w:val="00E037ED"/>
    <w:rsid w:val="00E038F4"/>
    <w:rsid w:val="00E038F5"/>
    <w:rsid w:val="00E03B89"/>
    <w:rsid w:val="00E03D31"/>
    <w:rsid w:val="00E03D67"/>
    <w:rsid w:val="00E04132"/>
    <w:rsid w:val="00E04232"/>
    <w:rsid w:val="00E04277"/>
    <w:rsid w:val="00E04510"/>
    <w:rsid w:val="00E045AC"/>
    <w:rsid w:val="00E04661"/>
    <w:rsid w:val="00E046F1"/>
    <w:rsid w:val="00E04784"/>
    <w:rsid w:val="00E048BD"/>
    <w:rsid w:val="00E049A6"/>
    <w:rsid w:val="00E049EE"/>
    <w:rsid w:val="00E049F8"/>
    <w:rsid w:val="00E04ACF"/>
    <w:rsid w:val="00E04B14"/>
    <w:rsid w:val="00E04D33"/>
    <w:rsid w:val="00E050A0"/>
    <w:rsid w:val="00E053C3"/>
    <w:rsid w:val="00E05436"/>
    <w:rsid w:val="00E05569"/>
    <w:rsid w:val="00E057B8"/>
    <w:rsid w:val="00E05A6C"/>
    <w:rsid w:val="00E05C23"/>
    <w:rsid w:val="00E05C75"/>
    <w:rsid w:val="00E05CA8"/>
    <w:rsid w:val="00E05F59"/>
    <w:rsid w:val="00E06256"/>
    <w:rsid w:val="00E062C2"/>
    <w:rsid w:val="00E0632A"/>
    <w:rsid w:val="00E06456"/>
    <w:rsid w:val="00E06535"/>
    <w:rsid w:val="00E0655D"/>
    <w:rsid w:val="00E0658B"/>
    <w:rsid w:val="00E067B8"/>
    <w:rsid w:val="00E0680F"/>
    <w:rsid w:val="00E068AA"/>
    <w:rsid w:val="00E068CA"/>
    <w:rsid w:val="00E069ED"/>
    <w:rsid w:val="00E06A63"/>
    <w:rsid w:val="00E06C35"/>
    <w:rsid w:val="00E06D59"/>
    <w:rsid w:val="00E074A7"/>
    <w:rsid w:val="00E0755A"/>
    <w:rsid w:val="00E07641"/>
    <w:rsid w:val="00E07734"/>
    <w:rsid w:val="00E07870"/>
    <w:rsid w:val="00E079CC"/>
    <w:rsid w:val="00E079FC"/>
    <w:rsid w:val="00E07C70"/>
    <w:rsid w:val="00E1007E"/>
    <w:rsid w:val="00E101BE"/>
    <w:rsid w:val="00E101D3"/>
    <w:rsid w:val="00E1024A"/>
    <w:rsid w:val="00E10313"/>
    <w:rsid w:val="00E10480"/>
    <w:rsid w:val="00E1068F"/>
    <w:rsid w:val="00E10790"/>
    <w:rsid w:val="00E10B17"/>
    <w:rsid w:val="00E10B67"/>
    <w:rsid w:val="00E10D2E"/>
    <w:rsid w:val="00E10DAF"/>
    <w:rsid w:val="00E10E05"/>
    <w:rsid w:val="00E10E47"/>
    <w:rsid w:val="00E10EE8"/>
    <w:rsid w:val="00E10EF4"/>
    <w:rsid w:val="00E11089"/>
    <w:rsid w:val="00E113F1"/>
    <w:rsid w:val="00E113FD"/>
    <w:rsid w:val="00E11532"/>
    <w:rsid w:val="00E11771"/>
    <w:rsid w:val="00E11A4C"/>
    <w:rsid w:val="00E11C8A"/>
    <w:rsid w:val="00E11C92"/>
    <w:rsid w:val="00E11CE6"/>
    <w:rsid w:val="00E11D84"/>
    <w:rsid w:val="00E11E3E"/>
    <w:rsid w:val="00E11E7F"/>
    <w:rsid w:val="00E12113"/>
    <w:rsid w:val="00E122EB"/>
    <w:rsid w:val="00E12742"/>
    <w:rsid w:val="00E1278B"/>
    <w:rsid w:val="00E12AB9"/>
    <w:rsid w:val="00E12B67"/>
    <w:rsid w:val="00E12D26"/>
    <w:rsid w:val="00E13117"/>
    <w:rsid w:val="00E134B1"/>
    <w:rsid w:val="00E135F7"/>
    <w:rsid w:val="00E13669"/>
    <w:rsid w:val="00E1384F"/>
    <w:rsid w:val="00E13970"/>
    <w:rsid w:val="00E13F40"/>
    <w:rsid w:val="00E141D3"/>
    <w:rsid w:val="00E14328"/>
    <w:rsid w:val="00E1456A"/>
    <w:rsid w:val="00E14719"/>
    <w:rsid w:val="00E147FA"/>
    <w:rsid w:val="00E1490D"/>
    <w:rsid w:val="00E14941"/>
    <w:rsid w:val="00E149B3"/>
    <w:rsid w:val="00E14C6F"/>
    <w:rsid w:val="00E14F5A"/>
    <w:rsid w:val="00E15014"/>
    <w:rsid w:val="00E1506A"/>
    <w:rsid w:val="00E1510F"/>
    <w:rsid w:val="00E1515C"/>
    <w:rsid w:val="00E1526B"/>
    <w:rsid w:val="00E1534B"/>
    <w:rsid w:val="00E1537F"/>
    <w:rsid w:val="00E153C2"/>
    <w:rsid w:val="00E15408"/>
    <w:rsid w:val="00E1560F"/>
    <w:rsid w:val="00E15725"/>
    <w:rsid w:val="00E15743"/>
    <w:rsid w:val="00E1584A"/>
    <w:rsid w:val="00E15879"/>
    <w:rsid w:val="00E15ADF"/>
    <w:rsid w:val="00E15BA8"/>
    <w:rsid w:val="00E15C52"/>
    <w:rsid w:val="00E15D71"/>
    <w:rsid w:val="00E15EDA"/>
    <w:rsid w:val="00E15F0B"/>
    <w:rsid w:val="00E15F6A"/>
    <w:rsid w:val="00E16047"/>
    <w:rsid w:val="00E160E8"/>
    <w:rsid w:val="00E16199"/>
    <w:rsid w:val="00E16281"/>
    <w:rsid w:val="00E16311"/>
    <w:rsid w:val="00E163ED"/>
    <w:rsid w:val="00E16475"/>
    <w:rsid w:val="00E1647D"/>
    <w:rsid w:val="00E164CF"/>
    <w:rsid w:val="00E164DC"/>
    <w:rsid w:val="00E165A7"/>
    <w:rsid w:val="00E16680"/>
    <w:rsid w:val="00E166A1"/>
    <w:rsid w:val="00E166E3"/>
    <w:rsid w:val="00E16728"/>
    <w:rsid w:val="00E16760"/>
    <w:rsid w:val="00E16786"/>
    <w:rsid w:val="00E168FC"/>
    <w:rsid w:val="00E16ACD"/>
    <w:rsid w:val="00E16CFB"/>
    <w:rsid w:val="00E16EC0"/>
    <w:rsid w:val="00E1702C"/>
    <w:rsid w:val="00E171F8"/>
    <w:rsid w:val="00E17231"/>
    <w:rsid w:val="00E172F0"/>
    <w:rsid w:val="00E174B3"/>
    <w:rsid w:val="00E17B8E"/>
    <w:rsid w:val="00E17C19"/>
    <w:rsid w:val="00E17D21"/>
    <w:rsid w:val="00E202C2"/>
    <w:rsid w:val="00E20350"/>
    <w:rsid w:val="00E2044B"/>
    <w:rsid w:val="00E2055A"/>
    <w:rsid w:val="00E205E4"/>
    <w:rsid w:val="00E20631"/>
    <w:rsid w:val="00E2081F"/>
    <w:rsid w:val="00E20AD5"/>
    <w:rsid w:val="00E20CC5"/>
    <w:rsid w:val="00E20D83"/>
    <w:rsid w:val="00E20E66"/>
    <w:rsid w:val="00E21058"/>
    <w:rsid w:val="00E214D0"/>
    <w:rsid w:val="00E21589"/>
    <w:rsid w:val="00E2169B"/>
    <w:rsid w:val="00E21774"/>
    <w:rsid w:val="00E2190E"/>
    <w:rsid w:val="00E219DB"/>
    <w:rsid w:val="00E21A3D"/>
    <w:rsid w:val="00E21ACA"/>
    <w:rsid w:val="00E21D4D"/>
    <w:rsid w:val="00E2210D"/>
    <w:rsid w:val="00E22188"/>
    <w:rsid w:val="00E2225D"/>
    <w:rsid w:val="00E2231F"/>
    <w:rsid w:val="00E223B3"/>
    <w:rsid w:val="00E2240B"/>
    <w:rsid w:val="00E226E7"/>
    <w:rsid w:val="00E22A84"/>
    <w:rsid w:val="00E22B80"/>
    <w:rsid w:val="00E22C0E"/>
    <w:rsid w:val="00E22CFF"/>
    <w:rsid w:val="00E23063"/>
    <w:rsid w:val="00E231CD"/>
    <w:rsid w:val="00E231E1"/>
    <w:rsid w:val="00E23211"/>
    <w:rsid w:val="00E2323B"/>
    <w:rsid w:val="00E23404"/>
    <w:rsid w:val="00E23449"/>
    <w:rsid w:val="00E23888"/>
    <w:rsid w:val="00E23A72"/>
    <w:rsid w:val="00E23B9C"/>
    <w:rsid w:val="00E23CA7"/>
    <w:rsid w:val="00E23CE3"/>
    <w:rsid w:val="00E23CF7"/>
    <w:rsid w:val="00E23E76"/>
    <w:rsid w:val="00E23F1E"/>
    <w:rsid w:val="00E24090"/>
    <w:rsid w:val="00E240C0"/>
    <w:rsid w:val="00E243B9"/>
    <w:rsid w:val="00E24542"/>
    <w:rsid w:val="00E247FA"/>
    <w:rsid w:val="00E24879"/>
    <w:rsid w:val="00E2490B"/>
    <w:rsid w:val="00E2496B"/>
    <w:rsid w:val="00E249DB"/>
    <w:rsid w:val="00E24B3C"/>
    <w:rsid w:val="00E24D33"/>
    <w:rsid w:val="00E25016"/>
    <w:rsid w:val="00E253A3"/>
    <w:rsid w:val="00E253C2"/>
    <w:rsid w:val="00E25402"/>
    <w:rsid w:val="00E257EC"/>
    <w:rsid w:val="00E25868"/>
    <w:rsid w:val="00E258FC"/>
    <w:rsid w:val="00E25942"/>
    <w:rsid w:val="00E259B0"/>
    <w:rsid w:val="00E25AE6"/>
    <w:rsid w:val="00E25AF8"/>
    <w:rsid w:val="00E25B6F"/>
    <w:rsid w:val="00E25C96"/>
    <w:rsid w:val="00E25E01"/>
    <w:rsid w:val="00E25E43"/>
    <w:rsid w:val="00E25EC2"/>
    <w:rsid w:val="00E2607A"/>
    <w:rsid w:val="00E260E9"/>
    <w:rsid w:val="00E261CC"/>
    <w:rsid w:val="00E26742"/>
    <w:rsid w:val="00E26AEC"/>
    <w:rsid w:val="00E26C0E"/>
    <w:rsid w:val="00E26C9F"/>
    <w:rsid w:val="00E27005"/>
    <w:rsid w:val="00E2714F"/>
    <w:rsid w:val="00E2756A"/>
    <w:rsid w:val="00E2757B"/>
    <w:rsid w:val="00E2792D"/>
    <w:rsid w:val="00E27B54"/>
    <w:rsid w:val="00E27BE8"/>
    <w:rsid w:val="00E27CBB"/>
    <w:rsid w:val="00E27D13"/>
    <w:rsid w:val="00E27F6F"/>
    <w:rsid w:val="00E300CB"/>
    <w:rsid w:val="00E301AD"/>
    <w:rsid w:val="00E30236"/>
    <w:rsid w:val="00E302CF"/>
    <w:rsid w:val="00E302FA"/>
    <w:rsid w:val="00E3054F"/>
    <w:rsid w:val="00E305BF"/>
    <w:rsid w:val="00E306A0"/>
    <w:rsid w:val="00E306E4"/>
    <w:rsid w:val="00E30828"/>
    <w:rsid w:val="00E309BB"/>
    <w:rsid w:val="00E30A27"/>
    <w:rsid w:val="00E30A3B"/>
    <w:rsid w:val="00E30B13"/>
    <w:rsid w:val="00E30B37"/>
    <w:rsid w:val="00E30C9A"/>
    <w:rsid w:val="00E30F8C"/>
    <w:rsid w:val="00E31050"/>
    <w:rsid w:val="00E3109C"/>
    <w:rsid w:val="00E311D1"/>
    <w:rsid w:val="00E31306"/>
    <w:rsid w:val="00E31405"/>
    <w:rsid w:val="00E31416"/>
    <w:rsid w:val="00E318EC"/>
    <w:rsid w:val="00E31C2D"/>
    <w:rsid w:val="00E31DC3"/>
    <w:rsid w:val="00E32432"/>
    <w:rsid w:val="00E324DF"/>
    <w:rsid w:val="00E326D0"/>
    <w:rsid w:val="00E32755"/>
    <w:rsid w:val="00E328A8"/>
    <w:rsid w:val="00E329D4"/>
    <w:rsid w:val="00E32A5A"/>
    <w:rsid w:val="00E32E7D"/>
    <w:rsid w:val="00E32FDC"/>
    <w:rsid w:val="00E334AF"/>
    <w:rsid w:val="00E33568"/>
    <w:rsid w:val="00E3360F"/>
    <w:rsid w:val="00E3374A"/>
    <w:rsid w:val="00E3378C"/>
    <w:rsid w:val="00E3380E"/>
    <w:rsid w:val="00E33818"/>
    <w:rsid w:val="00E33886"/>
    <w:rsid w:val="00E338B6"/>
    <w:rsid w:val="00E338FA"/>
    <w:rsid w:val="00E33B1E"/>
    <w:rsid w:val="00E33EB7"/>
    <w:rsid w:val="00E33EFF"/>
    <w:rsid w:val="00E33F5E"/>
    <w:rsid w:val="00E3407F"/>
    <w:rsid w:val="00E34145"/>
    <w:rsid w:val="00E341FB"/>
    <w:rsid w:val="00E3423B"/>
    <w:rsid w:val="00E34277"/>
    <w:rsid w:val="00E343F3"/>
    <w:rsid w:val="00E347C7"/>
    <w:rsid w:val="00E348FB"/>
    <w:rsid w:val="00E348FC"/>
    <w:rsid w:val="00E34A47"/>
    <w:rsid w:val="00E34A77"/>
    <w:rsid w:val="00E34ABF"/>
    <w:rsid w:val="00E34BD4"/>
    <w:rsid w:val="00E34C50"/>
    <w:rsid w:val="00E34C62"/>
    <w:rsid w:val="00E34DEE"/>
    <w:rsid w:val="00E34EBB"/>
    <w:rsid w:val="00E3529F"/>
    <w:rsid w:val="00E356AE"/>
    <w:rsid w:val="00E357BA"/>
    <w:rsid w:val="00E359CA"/>
    <w:rsid w:val="00E35A4D"/>
    <w:rsid w:val="00E35AC7"/>
    <w:rsid w:val="00E35CEA"/>
    <w:rsid w:val="00E35DA3"/>
    <w:rsid w:val="00E35EB1"/>
    <w:rsid w:val="00E36079"/>
    <w:rsid w:val="00E3621B"/>
    <w:rsid w:val="00E3627A"/>
    <w:rsid w:val="00E3637B"/>
    <w:rsid w:val="00E36593"/>
    <w:rsid w:val="00E36842"/>
    <w:rsid w:val="00E3696A"/>
    <w:rsid w:val="00E36A7A"/>
    <w:rsid w:val="00E36BCA"/>
    <w:rsid w:val="00E36C11"/>
    <w:rsid w:val="00E36EB6"/>
    <w:rsid w:val="00E36F43"/>
    <w:rsid w:val="00E3701F"/>
    <w:rsid w:val="00E370CC"/>
    <w:rsid w:val="00E370EF"/>
    <w:rsid w:val="00E371C7"/>
    <w:rsid w:val="00E3722B"/>
    <w:rsid w:val="00E373B0"/>
    <w:rsid w:val="00E37438"/>
    <w:rsid w:val="00E37508"/>
    <w:rsid w:val="00E37680"/>
    <w:rsid w:val="00E3788A"/>
    <w:rsid w:val="00E37894"/>
    <w:rsid w:val="00E37A33"/>
    <w:rsid w:val="00E37BF2"/>
    <w:rsid w:val="00E37C36"/>
    <w:rsid w:val="00E37F0C"/>
    <w:rsid w:val="00E4012F"/>
    <w:rsid w:val="00E4061A"/>
    <w:rsid w:val="00E4065F"/>
    <w:rsid w:val="00E40A21"/>
    <w:rsid w:val="00E40ADF"/>
    <w:rsid w:val="00E40B25"/>
    <w:rsid w:val="00E40D16"/>
    <w:rsid w:val="00E40EB8"/>
    <w:rsid w:val="00E41023"/>
    <w:rsid w:val="00E41064"/>
    <w:rsid w:val="00E4118E"/>
    <w:rsid w:val="00E41536"/>
    <w:rsid w:val="00E418E3"/>
    <w:rsid w:val="00E41942"/>
    <w:rsid w:val="00E41C3B"/>
    <w:rsid w:val="00E41D8B"/>
    <w:rsid w:val="00E42259"/>
    <w:rsid w:val="00E4227C"/>
    <w:rsid w:val="00E42326"/>
    <w:rsid w:val="00E423D8"/>
    <w:rsid w:val="00E423DE"/>
    <w:rsid w:val="00E42A1A"/>
    <w:rsid w:val="00E42A8F"/>
    <w:rsid w:val="00E42B29"/>
    <w:rsid w:val="00E42C3C"/>
    <w:rsid w:val="00E42F07"/>
    <w:rsid w:val="00E431A5"/>
    <w:rsid w:val="00E432F3"/>
    <w:rsid w:val="00E4340F"/>
    <w:rsid w:val="00E43704"/>
    <w:rsid w:val="00E4370F"/>
    <w:rsid w:val="00E43B49"/>
    <w:rsid w:val="00E43C70"/>
    <w:rsid w:val="00E43C72"/>
    <w:rsid w:val="00E43E3A"/>
    <w:rsid w:val="00E43EB4"/>
    <w:rsid w:val="00E4441D"/>
    <w:rsid w:val="00E4457D"/>
    <w:rsid w:val="00E44745"/>
    <w:rsid w:val="00E44841"/>
    <w:rsid w:val="00E4495C"/>
    <w:rsid w:val="00E449C7"/>
    <w:rsid w:val="00E44AB9"/>
    <w:rsid w:val="00E44B3E"/>
    <w:rsid w:val="00E44C26"/>
    <w:rsid w:val="00E4518E"/>
    <w:rsid w:val="00E4519F"/>
    <w:rsid w:val="00E452FC"/>
    <w:rsid w:val="00E453AB"/>
    <w:rsid w:val="00E456F3"/>
    <w:rsid w:val="00E4580F"/>
    <w:rsid w:val="00E45AE1"/>
    <w:rsid w:val="00E45D96"/>
    <w:rsid w:val="00E45EC6"/>
    <w:rsid w:val="00E460E3"/>
    <w:rsid w:val="00E462E6"/>
    <w:rsid w:val="00E462FE"/>
    <w:rsid w:val="00E463A0"/>
    <w:rsid w:val="00E465CE"/>
    <w:rsid w:val="00E46652"/>
    <w:rsid w:val="00E466B5"/>
    <w:rsid w:val="00E46A7B"/>
    <w:rsid w:val="00E46AED"/>
    <w:rsid w:val="00E46DF7"/>
    <w:rsid w:val="00E46E56"/>
    <w:rsid w:val="00E46ECA"/>
    <w:rsid w:val="00E46F10"/>
    <w:rsid w:val="00E46F20"/>
    <w:rsid w:val="00E46FE3"/>
    <w:rsid w:val="00E47399"/>
    <w:rsid w:val="00E4739B"/>
    <w:rsid w:val="00E473CE"/>
    <w:rsid w:val="00E4766B"/>
    <w:rsid w:val="00E47839"/>
    <w:rsid w:val="00E478CF"/>
    <w:rsid w:val="00E47948"/>
    <w:rsid w:val="00E47949"/>
    <w:rsid w:val="00E47983"/>
    <w:rsid w:val="00E479E7"/>
    <w:rsid w:val="00E47C23"/>
    <w:rsid w:val="00E47D9D"/>
    <w:rsid w:val="00E5020F"/>
    <w:rsid w:val="00E50243"/>
    <w:rsid w:val="00E5027D"/>
    <w:rsid w:val="00E505E5"/>
    <w:rsid w:val="00E506BA"/>
    <w:rsid w:val="00E50723"/>
    <w:rsid w:val="00E5081E"/>
    <w:rsid w:val="00E508D1"/>
    <w:rsid w:val="00E509BC"/>
    <w:rsid w:val="00E50B85"/>
    <w:rsid w:val="00E50BAA"/>
    <w:rsid w:val="00E50C12"/>
    <w:rsid w:val="00E50E8A"/>
    <w:rsid w:val="00E50EA6"/>
    <w:rsid w:val="00E50FEF"/>
    <w:rsid w:val="00E5100B"/>
    <w:rsid w:val="00E51528"/>
    <w:rsid w:val="00E51582"/>
    <w:rsid w:val="00E515A6"/>
    <w:rsid w:val="00E516E0"/>
    <w:rsid w:val="00E51715"/>
    <w:rsid w:val="00E51764"/>
    <w:rsid w:val="00E517D2"/>
    <w:rsid w:val="00E51817"/>
    <w:rsid w:val="00E518BD"/>
    <w:rsid w:val="00E519DE"/>
    <w:rsid w:val="00E519EC"/>
    <w:rsid w:val="00E51B34"/>
    <w:rsid w:val="00E51C17"/>
    <w:rsid w:val="00E51CC9"/>
    <w:rsid w:val="00E51CDE"/>
    <w:rsid w:val="00E51CE5"/>
    <w:rsid w:val="00E51DCB"/>
    <w:rsid w:val="00E51DE0"/>
    <w:rsid w:val="00E51F06"/>
    <w:rsid w:val="00E51FF2"/>
    <w:rsid w:val="00E5210B"/>
    <w:rsid w:val="00E52176"/>
    <w:rsid w:val="00E521D4"/>
    <w:rsid w:val="00E5261D"/>
    <w:rsid w:val="00E52667"/>
    <w:rsid w:val="00E52A1C"/>
    <w:rsid w:val="00E52C4D"/>
    <w:rsid w:val="00E52CD5"/>
    <w:rsid w:val="00E52D4B"/>
    <w:rsid w:val="00E52E7A"/>
    <w:rsid w:val="00E52E9A"/>
    <w:rsid w:val="00E52EFA"/>
    <w:rsid w:val="00E53542"/>
    <w:rsid w:val="00E53631"/>
    <w:rsid w:val="00E536B8"/>
    <w:rsid w:val="00E53766"/>
    <w:rsid w:val="00E537E8"/>
    <w:rsid w:val="00E5388F"/>
    <w:rsid w:val="00E53CF5"/>
    <w:rsid w:val="00E53D10"/>
    <w:rsid w:val="00E53FCC"/>
    <w:rsid w:val="00E54032"/>
    <w:rsid w:val="00E540C5"/>
    <w:rsid w:val="00E54239"/>
    <w:rsid w:val="00E54272"/>
    <w:rsid w:val="00E542BC"/>
    <w:rsid w:val="00E5447C"/>
    <w:rsid w:val="00E54521"/>
    <w:rsid w:val="00E54617"/>
    <w:rsid w:val="00E546D5"/>
    <w:rsid w:val="00E54786"/>
    <w:rsid w:val="00E5484B"/>
    <w:rsid w:val="00E5491A"/>
    <w:rsid w:val="00E5495A"/>
    <w:rsid w:val="00E54AFC"/>
    <w:rsid w:val="00E54EC1"/>
    <w:rsid w:val="00E54EF6"/>
    <w:rsid w:val="00E54FB8"/>
    <w:rsid w:val="00E550E3"/>
    <w:rsid w:val="00E5518E"/>
    <w:rsid w:val="00E552C5"/>
    <w:rsid w:val="00E556D3"/>
    <w:rsid w:val="00E556DC"/>
    <w:rsid w:val="00E559C0"/>
    <w:rsid w:val="00E56023"/>
    <w:rsid w:val="00E56087"/>
    <w:rsid w:val="00E562CE"/>
    <w:rsid w:val="00E564CC"/>
    <w:rsid w:val="00E56801"/>
    <w:rsid w:val="00E5690A"/>
    <w:rsid w:val="00E56953"/>
    <w:rsid w:val="00E56B73"/>
    <w:rsid w:val="00E56D6E"/>
    <w:rsid w:val="00E56FEF"/>
    <w:rsid w:val="00E570EB"/>
    <w:rsid w:val="00E57460"/>
    <w:rsid w:val="00E575C8"/>
    <w:rsid w:val="00E575C9"/>
    <w:rsid w:val="00E577F9"/>
    <w:rsid w:val="00E57A1F"/>
    <w:rsid w:val="00E57F71"/>
    <w:rsid w:val="00E57FB5"/>
    <w:rsid w:val="00E5C21A"/>
    <w:rsid w:val="00E602C2"/>
    <w:rsid w:val="00E6035D"/>
    <w:rsid w:val="00E606FE"/>
    <w:rsid w:val="00E60706"/>
    <w:rsid w:val="00E6072C"/>
    <w:rsid w:val="00E60A55"/>
    <w:rsid w:val="00E60B77"/>
    <w:rsid w:val="00E60D0C"/>
    <w:rsid w:val="00E60DE1"/>
    <w:rsid w:val="00E60E53"/>
    <w:rsid w:val="00E60EE9"/>
    <w:rsid w:val="00E60F14"/>
    <w:rsid w:val="00E61264"/>
    <w:rsid w:val="00E6148E"/>
    <w:rsid w:val="00E616BF"/>
    <w:rsid w:val="00E6184D"/>
    <w:rsid w:val="00E61A8D"/>
    <w:rsid w:val="00E61B23"/>
    <w:rsid w:val="00E61E82"/>
    <w:rsid w:val="00E61F89"/>
    <w:rsid w:val="00E6201B"/>
    <w:rsid w:val="00E6213E"/>
    <w:rsid w:val="00E624B5"/>
    <w:rsid w:val="00E625BE"/>
    <w:rsid w:val="00E62821"/>
    <w:rsid w:val="00E6284B"/>
    <w:rsid w:val="00E628A1"/>
    <w:rsid w:val="00E628ED"/>
    <w:rsid w:val="00E62B87"/>
    <w:rsid w:val="00E62C68"/>
    <w:rsid w:val="00E62D07"/>
    <w:rsid w:val="00E62DF6"/>
    <w:rsid w:val="00E62EE8"/>
    <w:rsid w:val="00E634D2"/>
    <w:rsid w:val="00E63842"/>
    <w:rsid w:val="00E63885"/>
    <w:rsid w:val="00E638BD"/>
    <w:rsid w:val="00E639D6"/>
    <w:rsid w:val="00E63A22"/>
    <w:rsid w:val="00E63ABB"/>
    <w:rsid w:val="00E63B8F"/>
    <w:rsid w:val="00E63CAE"/>
    <w:rsid w:val="00E63CC8"/>
    <w:rsid w:val="00E63CD2"/>
    <w:rsid w:val="00E63F13"/>
    <w:rsid w:val="00E640AD"/>
    <w:rsid w:val="00E641DC"/>
    <w:rsid w:val="00E643EE"/>
    <w:rsid w:val="00E6459E"/>
    <w:rsid w:val="00E6460F"/>
    <w:rsid w:val="00E646B5"/>
    <w:rsid w:val="00E649DE"/>
    <w:rsid w:val="00E649E0"/>
    <w:rsid w:val="00E64A18"/>
    <w:rsid w:val="00E64A23"/>
    <w:rsid w:val="00E64B24"/>
    <w:rsid w:val="00E64EE4"/>
    <w:rsid w:val="00E64EF7"/>
    <w:rsid w:val="00E65025"/>
    <w:rsid w:val="00E6508A"/>
    <w:rsid w:val="00E651FF"/>
    <w:rsid w:val="00E65202"/>
    <w:rsid w:val="00E65427"/>
    <w:rsid w:val="00E6543F"/>
    <w:rsid w:val="00E65525"/>
    <w:rsid w:val="00E6552F"/>
    <w:rsid w:val="00E655D2"/>
    <w:rsid w:val="00E65756"/>
    <w:rsid w:val="00E65901"/>
    <w:rsid w:val="00E65AA0"/>
    <w:rsid w:val="00E65B99"/>
    <w:rsid w:val="00E65FC5"/>
    <w:rsid w:val="00E661C0"/>
    <w:rsid w:val="00E663F5"/>
    <w:rsid w:val="00E66495"/>
    <w:rsid w:val="00E664BC"/>
    <w:rsid w:val="00E665CF"/>
    <w:rsid w:val="00E666F8"/>
    <w:rsid w:val="00E66828"/>
    <w:rsid w:val="00E6693B"/>
    <w:rsid w:val="00E669DD"/>
    <w:rsid w:val="00E66CB7"/>
    <w:rsid w:val="00E66D7D"/>
    <w:rsid w:val="00E66DCE"/>
    <w:rsid w:val="00E66DDC"/>
    <w:rsid w:val="00E66E68"/>
    <w:rsid w:val="00E66E8A"/>
    <w:rsid w:val="00E66E97"/>
    <w:rsid w:val="00E66EC7"/>
    <w:rsid w:val="00E66F1B"/>
    <w:rsid w:val="00E66FA6"/>
    <w:rsid w:val="00E6719E"/>
    <w:rsid w:val="00E673FE"/>
    <w:rsid w:val="00E674D4"/>
    <w:rsid w:val="00E675EF"/>
    <w:rsid w:val="00E67721"/>
    <w:rsid w:val="00E67904"/>
    <w:rsid w:val="00E67E9C"/>
    <w:rsid w:val="00E67FF5"/>
    <w:rsid w:val="00E703CF"/>
    <w:rsid w:val="00E70BD6"/>
    <w:rsid w:val="00E70C86"/>
    <w:rsid w:val="00E70FA0"/>
    <w:rsid w:val="00E710A9"/>
    <w:rsid w:val="00E71305"/>
    <w:rsid w:val="00E71415"/>
    <w:rsid w:val="00E71440"/>
    <w:rsid w:val="00E716E4"/>
    <w:rsid w:val="00E7186A"/>
    <w:rsid w:val="00E71965"/>
    <w:rsid w:val="00E71B78"/>
    <w:rsid w:val="00E7200E"/>
    <w:rsid w:val="00E72031"/>
    <w:rsid w:val="00E72295"/>
    <w:rsid w:val="00E72383"/>
    <w:rsid w:val="00E724D2"/>
    <w:rsid w:val="00E72674"/>
    <w:rsid w:val="00E726FD"/>
    <w:rsid w:val="00E72791"/>
    <w:rsid w:val="00E72BDE"/>
    <w:rsid w:val="00E72CD1"/>
    <w:rsid w:val="00E72D9F"/>
    <w:rsid w:val="00E72DDB"/>
    <w:rsid w:val="00E72F72"/>
    <w:rsid w:val="00E73028"/>
    <w:rsid w:val="00E730EB"/>
    <w:rsid w:val="00E732FD"/>
    <w:rsid w:val="00E7350E"/>
    <w:rsid w:val="00E7353F"/>
    <w:rsid w:val="00E73640"/>
    <w:rsid w:val="00E7368C"/>
    <w:rsid w:val="00E73C41"/>
    <w:rsid w:val="00E73DB6"/>
    <w:rsid w:val="00E73EF8"/>
    <w:rsid w:val="00E73F12"/>
    <w:rsid w:val="00E740F2"/>
    <w:rsid w:val="00E74326"/>
    <w:rsid w:val="00E7450D"/>
    <w:rsid w:val="00E747DA"/>
    <w:rsid w:val="00E74933"/>
    <w:rsid w:val="00E74982"/>
    <w:rsid w:val="00E74B49"/>
    <w:rsid w:val="00E74B4E"/>
    <w:rsid w:val="00E74BC1"/>
    <w:rsid w:val="00E74C8B"/>
    <w:rsid w:val="00E74CA8"/>
    <w:rsid w:val="00E74CD3"/>
    <w:rsid w:val="00E74EDC"/>
    <w:rsid w:val="00E7502A"/>
    <w:rsid w:val="00E75227"/>
    <w:rsid w:val="00E7544E"/>
    <w:rsid w:val="00E75737"/>
    <w:rsid w:val="00E75875"/>
    <w:rsid w:val="00E75886"/>
    <w:rsid w:val="00E759D2"/>
    <w:rsid w:val="00E75A8A"/>
    <w:rsid w:val="00E75C0B"/>
    <w:rsid w:val="00E75D6E"/>
    <w:rsid w:val="00E75DC2"/>
    <w:rsid w:val="00E75F5D"/>
    <w:rsid w:val="00E76007"/>
    <w:rsid w:val="00E76181"/>
    <w:rsid w:val="00E7638C"/>
    <w:rsid w:val="00E764F5"/>
    <w:rsid w:val="00E7665C"/>
    <w:rsid w:val="00E76893"/>
    <w:rsid w:val="00E76DCB"/>
    <w:rsid w:val="00E76E70"/>
    <w:rsid w:val="00E770F2"/>
    <w:rsid w:val="00E77223"/>
    <w:rsid w:val="00E775F0"/>
    <w:rsid w:val="00E777CE"/>
    <w:rsid w:val="00E77849"/>
    <w:rsid w:val="00E77EA6"/>
    <w:rsid w:val="00E77EAC"/>
    <w:rsid w:val="00E8038F"/>
    <w:rsid w:val="00E806D8"/>
    <w:rsid w:val="00E806DA"/>
    <w:rsid w:val="00E8081E"/>
    <w:rsid w:val="00E8086C"/>
    <w:rsid w:val="00E80B0A"/>
    <w:rsid w:val="00E80B5F"/>
    <w:rsid w:val="00E80F5E"/>
    <w:rsid w:val="00E81069"/>
    <w:rsid w:val="00E810CA"/>
    <w:rsid w:val="00E81148"/>
    <w:rsid w:val="00E8124F"/>
    <w:rsid w:val="00E81615"/>
    <w:rsid w:val="00E81636"/>
    <w:rsid w:val="00E816FE"/>
    <w:rsid w:val="00E817AD"/>
    <w:rsid w:val="00E817EF"/>
    <w:rsid w:val="00E8184F"/>
    <w:rsid w:val="00E81B90"/>
    <w:rsid w:val="00E820F9"/>
    <w:rsid w:val="00E82194"/>
    <w:rsid w:val="00E82420"/>
    <w:rsid w:val="00E8263C"/>
    <w:rsid w:val="00E8269F"/>
    <w:rsid w:val="00E82895"/>
    <w:rsid w:val="00E828D5"/>
    <w:rsid w:val="00E82D81"/>
    <w:rsid w:val="00E83092"/>
    <w:rsid w:val="00E83259"/>
    <w:rsid w:val="00E83292"/>
    <w:rsid w:val="00E83544"/>
    <w:rsid w:val="00E83716"/>
    <w:rsid w:val="00E83726"/>
    <w:rsid w:val="00E8380F"/>
    <w:rsid w:val="00E83899"/>
    <w:rsid w:val="00E838DD"/>
    <w:rsid w:val="00E839BE"/>
    <w:rsid w:val="00E83A95"/>
    <w:rsid w:val="00E83BD7"/>
    <w:rsid w:val="00E83C10"/>
    <w:rsid w:val="00E83CAC"/>
    <w:rsid w:val="00E83FAB"/>
    <w:rsid w:val="00E840E2"/>
    <w:rsid w:val="00E84467"/>
    <w:rsid w:val="00E845B0"/>
    <w:rsid w:val="00E845E9"/>
    <w:rsid w:val="00E84AA6"/>
    <w:rsid w:val="00E84BC3"/>
    <w:rsid w:val="00E84C89"/>
    <w:rsid w:val="00E84DD1"/>
    <w:rsid w:val="00E85597"/>
    <w:rsid w:val="00E856E3"/>
    <w:rsid w:val="00E856EA"/>
    <w:rsid w:val="00E85788"/>
    <w:rsid w:val="00E8586D"/>
    <w:rsid w:val="00E85872"/>
    <w:rsid w:val="00E85989"/>
    <w:rsid w:val="00E859F8"/>
    <w:rsid w:val="00E85A15"/>
    <w:rsid w:val="00E85B27"/>
    <w:rsid w:val="00E85C0D"/>
    <w:rsid w:val="00E85E56"/>
    <w:rsid w:val="00E85F10"/>
    <w:rsid w:val="00E85F1B"/>
    <w:rsid w:val="00E860DD"/>
    <w:rsid w:val="00E86491"/>
    <w:rsid w:val="00E8682E"/>
    <w:rsid w:val="00E868FE"/>
    <w:rsid w:val="00E869F3"/>
    <w:rsid w:val="00E86CCE"/>
    <w:rsid w:val="00E86D49"/>
    <w:rsid w:val="00E86F0E"/>
    <w:rsid w:val="00E870A2"/>
    <w:rsid w:val="00E8713D"/>
    <w:rsid w:val="00E87271"/>
    <w:rsid w:val="00E87406"/>
    <w:rsid w:val="00E874DC"/>
    <w:rsid w:val="00E87724"/>
    <w:rsid w:val="00E8798B"/>
    <w:rsid w:val="00E87B6D"/>
    <w:rsid w:val="00E87EBD"/>
    <w:rsid w:val="00E90006"/>
    <w:rsid w:val="00E901B2"/>
    <w:rsid w:val="00E90329"/>
    <w:rsid w:val="00E90681"/>
    <w:rsid w:val="00E9068F"/>
    <w:rsid w:val="00E9102B"/>
    <w:rsid w:val="00E910D5"/>
    <w:rsid w:val="00E9137B"/>
    <w:rsid w:val="00E91589"/>
    <w:rsid w:val="00E9161A"/>
    <w:rsid w:val="00E9185D"/>
    <w:rsid w:val="00E918C9"/>
    <w:rsid w:val="00E918ED"/>
    <w:rsid w:val="00E91C72"/>
    <w:rsid w:val="00E91CFB"/>
    <w:rsid w:val="00E91F58"/>
    <w:rsid w:val="00E922C4"/>
    <w:rsid w:val="00E92844"/>
    <w:rsid w:val="00E92876"/>
    <w:rsid w:val="00E92C93"/>
    <w:rsid w:val="00E92D43"/>
    <w:rsid w:val="00E92D99"/>
    <w:rsid w:val="00E92EAF"/>
    <w:rsid w:val="00E92EEB"/>
    <w:rsid w:val="00E931AF"/>
    <w:rsid w:val="00E9328C"/>
    <w:rsid w:val="00E93430"/>
    <w:rsid w:val="00E935C6"/>
    <w:rsid w:val="00E936BD"/>
    <w:rsid w:val="00E9370E"/>
    <w:rsid w:val="00E93752"/>
    <w:rsid w:val="00E93810"/>
    <w:rsid w:val="00E93886"/>
    <w:rsid w:val="00E9394C"/>
    <w:rsid w:val="00E939DE"/>
    <w:rsid w:val="00E939F6"/>
    <w:rsid w:val="00E93A9E"/>
    <w:rsid w:val="00E93EAC"/>
    <w:rsid w:val="00E94012"/>
    <w:rsid w:val="00E94026"/>
    <w:rsid w:val="00E941FC"/>
    <w:rsid w:val="00E9423D"/>
    <w:rsid w:val="00E943AE"/>
    <w:rsid w:val="00E94445"/>
    <w:rsid w:val="00E944D8"/>
    <w:rsid w:val="00E94529"/>
    <w:rsid w:val="00E947B0"/>
    <w:rsid w:val="00E94848"/>
    <w:rsid w:val="00E949EF"/>
    <w:rsid w:val="00E94B88"/>
    <w:rsid w:val="00E95099"/>
    <w:rsid w:val="00E950C3"/>
    <w:rsid w:val="00E952DC"/>
    <w:rsid w:val="00E95304"/>
    <w:rsid w:val="00E95384"/>
    <w:rsid w:val="00E95449"/>
    <w:rsid w:val="00E9560D"/>
    <w:rsid w:val="00E95940"/>
    <w:rsid w:val="00E95AC6"/>
    <w:rsid w:val="00E95AD6"/>
    <w:rsid w:val="00E95D16"/>
    <w:rsid w:val="00E95D82"/>
    <w:rsid w:val="00E95F21"/>
    <w:rsid w:val="00E95F29"/>
    <w:rsid w:val="00E95FB5"/>
    <w:rsid w:val="00E96000"/>
    <w:rsid w:val="00E96048"/>
    <w:rsid w:val="00E960E5"/>
    <w:rsid w:val="00E96273"/>
    <w:rsid w:val="00E9631E"/>
    <w:rsid w:val="00E9648E"/>
    <w:rsid w:val="00E968A3"/>
    <w:rsid w:val="00E96A89"/>
    <w:rsid w:val="00E96BA9"/>
    <w:rsid w:val="00E96C64"/>
    <w:rsid w:val="00E96E97"/>
    <w:rsid w:val="00E97025"/>
    <w:rsid w:val="00E972A4"/>
    <w:rsid w:val="00E97592"/>
    <w:rsid w:val="00E97664"/>
    <w:rsid w:val="00E97706"/>
    <w:rsid w:val="00E9771B"/>
    <w:rsid w:val="00E978F3"/>
    <w:rsid w:val="00E97A8B"/>
    <w:rsid w:val="00E97CCC"/>
    <w:rsid w:val="00E97D49"/>
    <w:rsid w:val="00EA0251"/>
    <w:rsid w:val="00EA043C"/>
    <w:rsid w:val="00EA0604"/>
    <w:rsid w:val="00EA06B6"/>
    <w:rsid w:val="00EA0CE5"/>
    <w:rsid w:val="00EA0CEA"/>
    <w:rsid w:val="00EA0E4F"/>
    <w:rsid w:val="00EA1065"/>
    <w:rsid w:val="00EA1434"/>
    <w:rsid w:val="00EA14B7"/>
    <w:rsid w:val="00EA19CA"/>
    <w:rsid w:val="00EA1F01"/>
    <w:rsid w:val="00EA2005"/>
    <w:rsid w:val="00EA2166"/>
    <w:rsid w:val="00EA21EC"/>
    <w:rsid w:val="00EA2552"/>
    <w:rsid w:val="00EA25FB"/>
    <w:rsid w:val="00EA28DE"/>
    <w:rsid w:val="00EA2AD9"/>
    <w:rsid w:val="00EA2EAD"/>
    <w:rsid w:val="00EA2F4A"/>
    <w:rsid w:val="00EA3161"/>
    <w:rsid w:val="00EA3221"/>
    <w:rsid w:val="00EA3290"/>
    <w:rsid w:val="00EA3481"/>
    <w:rsid w:val="00EA359C"/>
    <w:rsid w:val="00EA3711"/>
    <w:rsid w:val="00EA374C"/>
    <w:rsid w:val="00EA3853"/>
    <w:rsid w:val="00EA3905"/>
    <w:rsid w:val="00EA39CA"/>
    <w:rsid w:val="00EA3A96"/>
    <w:rsid w:val="00EA3B5D"/>
    <w:rsid w:val="00EA3C3E"/>
    <w:rsid w:val="00EA3D21"/>
    <w:rsid w:val="00EA3D6A"/>
    <w:rsid w:val="00EA3F30"/>
    <w:rsid w:val="00EA40DB"/>
    <w:rsid w:val="00EA42FF"/>
    <w:rsid w:val="00EA44AA"/>
    <w:rsid w:val="00EA45B7"/>
    <w:rsid w:val="00EA4694"/>
    <w:rsid w:val="00EA48D3"/>
    <w:rsid w:val="00EA4A74"/>
    <w:rsid w:val="00EA4A86"/>
    <w:rsid w:val="00EA4E4F"/>
    <w:rsid w:val="00EA5247"/>
    <w:rsid w:val="00EA52A9"/>
    <w:rsid w:val="00EA53A3"/>
    <w:rsid w:val="00EA53A6"/>
    <w:rsid w:val="00EA545F"/>
    <w:rsid w:val="00EA546B"/>
    <w:rsid w:val="00EA55EB"/>
    <w:rsid w:val="00EA5704"/>
    <w:rsid w:val="00EA57C5"/>
    <w:rsid w:val="00EA58AC"/>
    <w:rsid w:val="00EA5988"/>
    <w:rsid w:val="00EA5B76"/>
    <w:rsid w:val="00EA5BE7"/>
    <w:rsid w:val="00EA5C3F"/>
    <w:rsid w:val="00EA5D7E"/>
    <w:rsid w:val="00EA5DB3"/>
    <w:rsid w:val="00EA5E04"/>
    <w:rsid w:val="00EA5E21"/>
    <w:rsid w:val="00EA5F31"/>
    <w:rsid w:val="00EA5F92"/>
    <w:rsid w:val="00EA6086"/>
    <w:rsid w:val="00EA6351"/>
    <w:rsid w:val="00EA6462"/>
    <w:rsid w:val="00EA64B4"/>
    <w:rsid w:val="00EA659E"/>
    <w:rsid w:val="00EA65C8"/>
    <w:rsid w:val="00EA65F1"/>
    <w:rsid w:val="00EA662D"/>
    <w:rsid w:val="00EA6665"/>
    <w:rsid w:val="00EA670D"/>
    <w:rsid w:val="00EA6935"/>
    <w:rsid w:val="00EA6967"/>
    <w:rsid w:val="00EA697F"/>
    <w:rsid w:val="00EA69CC"/>
    <w:rsid w:val="00EA69E5"/>
    <w:rsid w:val="00EA6DE7"/>
    <w:rsid w:val="00EA6EBC"/>
    <w:rsid w:val="00EA6F44"/>
    <w:rsid w:val="00EA70B4"/>
    <w:rsid w:val="00EA70EF"/>
    <w:rsid w:val="00EA726A"/>
    <w:rsid w:val="00EA743F"/>
    <w:rsid w:val="00EA7613"/>
    <w:rsid w:val="00EA7921"/>
    <w:rsid w:val="00EA793B"/>
    <w:rsid w:val="00EA7980"/>
    <w:rsid w:val="00EA79A9"/>
    <w:rsid w:val="00EA7A65"/>
    <w:rsid w:val="00EA7A7E"/>
    <w:rsid w:val="00EA7B54"/>
    <w:rsid w:val="00EA7BD9"/>
    <w:rsid w:val="00EA7D96"/>
    <w:rsid w:val="00EA7D9A"/>
    <w:rsid w:val="00EA7E4B"/>
    <w:rsid w:val="00EB011E"/>
    <w:rsid w:val="00EB0155"/>
    <w:rsid w:val="00EB03E3"/>
    <w:rsid w:val="00EB04BA"/>
    <w:rsid w:val="00EB05DA"/>
    <w:rsid w:val="00EB0A57"/>
    <w:rsid w:val="00EB0BDE"/>
    <w:rsid w:val="00EB0CAB"/>
    <w:rsid w:val="00EB0E1A"/>
    <w:rsid w:val="00EB0F0A"/>
    <w:rsid w:val="00EB0F84"/>
    <w:rsid w:val="00EB0FB9"/>
    <w:rsid w:val="00EB0FE2"/>
    <w:rsid w:val="00EB127A"/>
    <w:rsid w:val="00EB1720"/>
    <w:rsid w:val="00EB190F"/>
    <w:rsid w:val="00EB19F6"/>
    <w:rsid w:val="00EB1CAF"/>
    <w:rsid w:val="00EB1CE0"/>
    <w:rsid w:val="00EB1D04"/>
    <w:rsid w:val="00EB1EC7"/>
    <w:rsid w:val="00EB21FF"/>
    <w:rsid w:val="00EB235B"/>
    <w:rsid w:val="00EB2559"/>
    <w:rsid w:val="00EB26A8"/>
    <w:rsid w:val="00EB2896"/>
    <w:rsid w:val="00EB289E"/>
    <w:rsid w:val="00EB2953"/>
    <w:rsid w:val="00EB2B4E"/>
    <w:rsid w:val="00EB2BAF"/>
    <w:rsid w:val="00EB2F2E"/>
    <w:rsid w:val="00EB2FEB"/>
    <w:rsid w:val="00EB3163"/>
    <w:rsid w:val="00EB31A3"/>
    <w:rsid w:val="00EB325B"/>
    <w:rsid w:val="00EB32A2"/>
    <w:rsid w:val="00EB3323"/>
    <w:rsid w:val="00EB337B"/>
    <w:rsid w:val="00EB33AB"/>
    <w:rsid w:val="00EB3685"/>
    <w:rsid w:val="00EB3848"/>
    <w:rsid w:val="00EB3BA3"/>
    <w:rsid w:val="00EB3BB7"/>
    <w:rsid w:val="00EB3E22"/>
    <w:rsid w:val="00EB3E47"/>
    <w:rsid w:val="00EB427C"/>
    <w:rsid w:val="00EB45C4"/>
    <w:rsid w:val="00EB46E4"/>
    <w:rsid w:val="00EB46E5"/>
    <w:rsid w:val="00EB478B"/>
    <w:rsid w:val="00EB4922"/>
    <w:rsid w:val="00EB4A6F"/>
    <w:rsid w:val="00EB4ECE"/>
    <w:rsid w:val="00EB4F1A"/>
    <w:rsid w:val="00EB5004"/>
    <w:rsid w:val="00EB5270"/>
    <w:rsid w:val="00EB533A"/>
    <w:rsid w:val="00EB55B3"/>
    <w:rsid w:val="00EB5601"/>
    <w:rsid w:val="00EB5631"/>
    <w:rsid w:val="00EB56B7"/>
    <w:rsid w:val="00EB5B34"/>
    <w:rsid w:val="00EB5C68"/>
    <w:rsid w:val="00EB5CD7"/>
    <w:rsid w:val="00EB5CF6"/>
    <w:rsid w:val="00EB60B2"/>
    <w:rsid w:val="00EB6535"/>
    <w:rsid w:val="00EB6798"/>
    <w:rsid w:val="00EB693B"/>
    <w:rsid w:val="00EB6AC2"/>
    <w:rsid w:val="00EB6AF3"/>
    <w:rsid w:val="00EB6B2F"/>
    <w:rsid w:val="00EB6BF4"/>
    <w:rsid w:val="00EB6D8A"/>
    <w:rsid w:val="00EB6DE9"/>
    <w:rsid w:val="00EB7266"/>
    <w:rsid w:val="00EB73B8"/>
    <w:rsid w:val="00EB73E6"/>
    <w:rsid w:val="00EB74A9"/>
    <w:rsid w:val="00EB76C5"/>
    <w:rsid w:val="00EB7ACA"/>
    <w:rsid w:val="00EB7B60"/>
    <w:rsid w:val="00EB7BA9"/>
    <w:rsid w:val="00EB7D75"/>
    <w:rsid w:val="00EB7EB0"/>
    <w:rsid w:val="00EB7F7A"/>
    <w:rsid w:val="00EC00ED"/>
    <w:rsid w:val="00EC0116"/>
    <w:rsid w:val="00EC0472"/>
    <w:rsid w:val="00EC0714"/>
    <w:rsid w:val="00EC087B"/>
    <w:rsid w:val="00EC08F3"/>
    <w:rsid w:val="00EC09BB"/>
    <w:rsid w:val="00EC0B20"/>
    <w:rsid w:val="00EC0C12"/>
    <w:rsid w:val="00EC0CFD"/>
    <w:rsid w:val="00EC0DA9"/>
    <w:rsid w:val="00EC0EE7"/>
    <w:rsid w:val="00EC104A"/>
    <w:rsid w:val="00EC1140"/>
    <w:rsid w:val="00EC1230"/>
    <w:rsid w:val="00EC13DA"/>
    <w:rsid w:val="00EC16F3"/>
    <w:rsid w:val="00EC1718"/>
    <w:rsid w:val="00EC19F0"/>
    <w:rsid w:val="00EC1A32"/>
    <w:rsid w:val="00EC1C3A"/>
    <w:rsid w:val="00EC1DA3"/>
    <w:rsid w:val="00EC1E19"/>
    <w:rsid w:val="00EC1E79"/>
    <w:rsid w:val="00EC1EA0"/>
    <w:rsid w:val="00EC1F51"/>
    <w:rsid w:val="00EC214E"/>
    <w:rsid w:val="00EC25B2"/>
    <w:rsid w:val="00EC25F0"/>
    <w:rsid w:val="00EC2618"/>
    <w:rsid w:val="00EC2725"/>
    <w:rsid w:val="00EC2B1D"/>
    <w:rsid w:val="00EC2C6A"/>
    <w:rsid w:val="00EC2D8B"/>
    <w:rsid w:val="00EC2E06"/>
    <w:rsid w:val="00EC31AC"/>
    <w:rsid w:val="00EC325B"/>
    <w:rsid w:val="00EC3A04"/>
    <w:rsid w:val="00EC3BC5"/>
    <w:rsid w:val="00EC3E78"/>
    <w:rsid w:val="00EC3FFC"/>
    <w:rsid w:val="00EC4104"/>
    <w:rsid w:val="00EC4233"/>
    <w:rsid w:val="00EC442D"/>
    <w:rsid w:val="00EC4544"/>
    <w:rsid w:val="00EC47A1"/>
    <w:rsid w:val="00EC47E2"/>
    <w:rsid w:val="00EC4A7B"/>
    <w:rsid w:val="00EC4A83"/>
    <w:rsid w:val="00EC4A85"/>
    <w:rsid w:val="00EC4A87"/>
    <w:rsid w:val="00EC4B94"/>
    <w:rsid w:val="00EC4D07"/>
    <w:rsid w:val="00EC4D23"/>
    <w:rsid w:val="00EC4D78"/>
    <w:rsid w:val="00EC4E61"/>
    <w:rsid w:val="00EC4ED4"/>
    <w:rsid w:val="00EC4EFE"/>
    <w:rsid w:val="00EC4F81"/>
    <w:rsid w:val="00EC5108"/>
    <w:rsid w:val="00EC51A2"/>
    <w:rsid w:val="00EC52B9"/>
    <w:rsid w:val="00EC535B"/>
    <w:rsid w:val="00EC56D5"/>
    <w:rsid w:val="00EC579A"/>
    <w:rsid w:val="00EC57B2"/>
    <w:rsid w:val="00EC58F4"/>
    <w:rsid w:val="00EC59E5"/>
    <w:rsid w:val="00EC59F1"/>
    <w:rsid w:val="00EC5D14"/>
    <w:rsid w:val="00EC5DCF"/>
    <w:rsid w:val="00EC5E20"/>
    <w:rsid w:val="00EC5E4F"/>
    <w:rsid w:val="00EC60D4"/>
    <w:rsid w:val="00EC627E"/>
    <w:rsid w:val="00EC62FB"/>
    <w:rsid w:val="00EC6314"/>
    <w:rsid w:val="00EC6478"/>
    <w:rsid w:val="00EC650B"/>
    <w:rsid w:val="00EC69C9"/>
    <w:rsid w:val="00EC6C28"/>
    <w:rsid w:val="00EC6D83"/>
    <w:rsid w:val="00EC6E28"/>
    <w:rsid w:val="00EC70E1"/>
    <w:rsid w:val="00EC73AB"/>
    <w:rsid w:val="00EC7444"/>
    <w:rsid w:val="00EC74CA"/>
    <w:rsid w:val="00EC7512"/>
    <w:rsid w:val="00EC75B7"/>
    <w:rsid w:val="00EC7715"/>
    <w:rsid w:val="00EC7808"/>
    <w:rsid w:val="00EC7BFA"/>
    <w:rsid w:val="00EC7EA2"/>
    <w:rsid w:val="00ED026A"/>
    <w:rsid w:val="00ED042E"/>
    <w:rsid w:val="00ED0518"/>
    <w:rsid w:val="00ED0651"/>
    <w:rsid w:val="00ED067E"/>
    <w:rsid w:val="00ED06A4"/>
    <w:rsid w:val="00ED07EB"/>
    <w:rsid w:val="00ED09E0"/>
    <w:rsid w:val="00ED0C69"/>
    <w:rsid w:val="00ED0E7D"/>
    <w:rsid w:val="00ED1176"/>
    <w:rsid w:val="00ED11BD"/>
    <w:rsid w:val="00ED1295"/>
    <w:rsid w:val="00ED13AA"/>
    <w:rsid w:val="00ED1436"/>
    <w:rsid w:val="00ED1583"/>
    <w:rsid w:val="00ED16C9"/>
    <w:rsid w:val="00ED1739"/>
    <w:rsid w:val="00ED1742"/>
    <w:rsid w:val="00ED1870"/>
    <w:rsid w:val="00ED1C54"/>
    <w:rsid w:val="00ED1EC6"/>
    <w:rsid w:val="00ED20BE"/>
    <w:rsid w:val="00ED2421"/>
    <w:rsid w:val="00ED2569"/>
    <w:rsid w:val="00ED264F"/>
    <w:rsid w:val="00ED2725"/>
    <w:rsid w:val="00ED28CB"/>
    <w:rsid w:val="00ED28DD"/>
    <w:rsid w:val="00ED2B0B"/>
    <w:rsid w:val="00ED2D15"/>
    <w:rsid w:val="00ED2DA2"/>
    <w:rsid w:val="00ED2EE5"/>
    <w:rsid w:val="00ED3186"/>
    <w:rsid w:val="00ED33E6"/>
    <w:rsid w:val="00ED34D1"/>
    <w:rsid w:val="00ED3505"/>
    <w:rsid w:val="00ED367F"/>
    <w:rsid w:val="00ED36C7"/>
    <w:rsid w:val="00ED3CBC"/>
    <w:rsid w:val="00ED3CFC"/>
    <w:rsid w:val="00ED3E05"/>
    <w:rsid w:val="00ED4206"/>
    <w:rsid w:val="00ED42C1"/>
    <w:rsid w:val="00ED450F"/>
    <w:rsid w:val="00ED4525"/>
    <w:rsid w:val="00ED4658"/>
    <w:rsid w:val="00ED47A2"/>
    <w:rsid w:val="00ED47B5"/>
    <w:rsid w:val="00ED4B0E"/>
    <w:rsid w:val="00ED4C32"/>
    <w:rsid w:val="00ED4D64"/>
    <w:rsid w:val="00ED4E76"/>
    <w:rsid w:val="00ED51C5"/>
    <w:rsid w:val="00ED54E4"/>
    <w:rsid w:val="00ED54F4"/>
    <w:rsid w:val="00ED55A5"/>
    <w:rsid w:val="00ED5750"/>
    <w:rsid w:val="00ED57FC"/>
    <w:rsid w:val="00ED58A2"/>
    <w:rsid w:val="00ED58C3"/>
    <w:rsid w:val="00ED5992"/>
    <w:rsid w:val="00ED59F8"/>
    <w:rsid w:val="00ED5AA9"/>
    <w:rsid w:val="00ED5AB5"/>
    <w:rsid w:val="00ED5C71"/>
    <w:rsid w:val="00ED5EEE"/>
    <w:rsid w:val="00ED6023"/>
    <w:rsid w:val="00ED6431"/>
    <w:rsid w:val="00ED655E"/>
    <w:rsid w:val="00ED667C"/>
    <w:rsid w:val="00ED6E81"/>
    <w:rsid w:val="00ED6FDF"/>
    <w:rsid w:val="00ED75C8"/>
    <w:rsid w:val="00ED75CB"/>
    <w:rsid w:val="00ED7666"/>
    <w:rsid w:val="00ED7677"/>
    <w:rsid w:val="00ED7966"/>
    <w:rsid w:val="00ED7A38"/>
    <w:rsid w:val="00ED7A63"/>
    <w:rsid w:val="00ED7BD6"/>
    <w:rsid w:val="00ED7D3D"/>
    <w:rsid w:val="00ED7D57"/>
    <w:rsid w:val="00ED7DF3"/>
    <w:rsid w:val="00ED7E1C"/>
    <w:rsid w:val="00ED7F31"/>
    <w:rsid w:val="00ED7F5F"/>
    <w:rsid w:val="00EE004D"/>
    <w:rsid w:val="00EE01CC"/>
    <w:rsid w:val="00EE03A3"/>
    <w:rsid w:val="00EE040B"/>
    <w:rsid w:val="00EE04EE"/>
    <w:rsid w:val="00EE07A5"/>
    <w:rsid w:val="00EE09A9"/>
    <w:rsid w:val="00EE0AA9"/>
    <w:rsid w:val="00EE0AFA"/>
    <w:rsid w:val="00EE0D74"/>
    <w:rsid w:val="00EE0E46"/>
    <w:rsid w:val="00EE0F4A"/>
    <w:rsid w:val="00EE1069"/>
    <w:rsid w:val="00EE109F"/>
    <w:rsid w:val="00EE1119"/>
    <w:rsid w:val="00EE13A0"/>
    <w:rsid w:val="00EE13D8"/>
    <w:rsid w:val="00EE147E"/>
    <w:rsid w:val="00EE1760"/>
    <w:rsid w:val="00EE1819"/>
    <w:rsid w:val="00EE183B"/>
    <w:rsid w:val="00EE1993"/>
    <w:rsid w:val="00EE1B75"/>
    <w:rsid w:val="00EE223B"/>
    <w:rsid w:val="00EE2639"/>
    <w:rsid w:val="00EE2843"/>
    <w:rsid w:val="00EE287D"/>
    <w:rsid w:val="00EE29C7"/>
    <w:rsid w:val="00EE2A43"/>
    <w:rsid w:val="00EE2A65"/>
    <w:rsid w:val="00EE2B2F"/>
    <w:rsid w:val="00EE2B96"/>
    <w:rsid w:val="00EE2B98"/>
    <w:rsid w:val="00EE2D5E"/>
    <w:rsid w:val="00EE3089"/>
    <w:rsid w:val="00EE3464"/>
    <w:rsid w:val="00EE3648"/>
    <w:rsid w:val="00EE36AC"/>
    <w:rsid w:val="00EE3721"/>
    <w:rsid w:val="00EE3736"/>
    <w:rsid w:val="00EE388E"/>
    <w:rsid w:val="00EE39A4"/>
    <w:rsid w:val="00EE3A15"/>
    <w:rsid w:val="00EE3B32"/>
    <w:rsid w:val="00EE3CE7"/>
    <w:rsid w:val="00EE3CFF"/>
    <w:rsid w:val="00EE3DDE"/>
    <w:rsid w:val="00EE3E27"/>
    <w:rsid w:val="00EE3F1D"/>
    <w:rsid w:val="00EE3F39"/>
    <w:rsid w:val="00EE414C"/>
    <w:rsid w:val="00EE43A9"/>
    <w:rsid w:val="00EE447D"/>
    <w:rsid w:val="00EE44FE"/>
    <w:rsid w:val="00EE4571"/>
    <w:rsid w:val="00EE46B3"/>
    <w:rsid w:val="00EE4867"/>
    <w:rsid w:val="00EE4908"/>
    <w:rsid w:val="00EE491C"/>
    <w:rsid w:val="00EE4A20"/>
    <w:rsid w:val="00EE4BF2"/>
    <w:rsid w:val="00EE4D47"/>
    <w:rsid w:val="00EE502B"/>
    <w:rsid w:val="00EE502C"/>
    <w:rsid w:val="00EE52BA"/>
    <w:rsid w:val="00EE5406"/>
    <w:rsid w:val="00EE544B"/>
    <w:rsid w:val="00EE54EF"/>
    <w:rsid w:val="00EE58FF"/>
    <w:rsid w:val="00EE59E5"/>
    <w:rsid w:val="00EE5A2F"/>
    <w:rsid w:val="00EE5A3B"/>
    <w:rsid w:val="00EE5B83"/>
    <w:rsid w:val="00EE5EF8"/>
    <w:rsid w:val="00EE5F72"/>
    <w:rsid w:val="00EE604B"/>
    <w:rsid w:val="00EE6202"/>
    <w:rsid w:val="00EE6355"/>
    <w:rsid w:val="00EE6698"/>
    <w:rsid w:val="00EE68E6"/>
    <w:rsid w:val="00EE6964"/>
    <w:rsid w:val="00EE6A1D"/>
    <w:rsid w:val="00EE6AD0"/>
    <w:rsid w:val="00EE6C56"/>
    <w:rsid w:val="00EE6C61"/>
    <w:rsid w:val="00EE6D18"/>
    <w:rsid w:val="00EE6E5A"/>
    <w:rsid w:val="00EE6E87"/>
    <w:rsid w:val="00EE6EFE"/>
    <w:rsid w:val="00EE70F6"/>
    <w:rsid w:val="00EE7156"/>
    <w:rsid w:val="00EE75CC"/>
    <w:rsid w:val="00EE7BBD"/>
    <w:rsid w:val="00EE7BCD"/>
    <w:rsid w:val="00EE7D4B"/>
    <w:rsid w:val="00EE7D7D"/>
    <w:rsid w:val="00EE7DFF"/>
    <w:rsid w:val="00EE7E7A"/>
    <w:rsid w:val="00EF04C4"/>
    <w:rsid w:val="00EF0576"/>
    <w:rsid w:val="00EF0642"/>
    <w:rsid w:val="00EF0868"/>
    <w:rsid w:val="00EF0903"/>
    <w:rsid w:val="00EF0D7E"/>
    <w:rsid w:val="00EF0E44"/>
    <w:rsid w:val="00EF1219"/>
    <w:rsid w:val="00EF1230"/>
    <w:rsid w:val="00EF12E8"/>
    <w:rsid w:val="00EF1569"/>
    <w:rsid w:val="00EF18E0"/>
    <w:rsid w:val="00EF1C41"/>
    <w:rsid w:val="00EF2175"/>
    <w:rsid w:val="00EF223B"/>
    <w:rsid w:val="00EF246C"/>
    <w:rsid w:val="00EF26D8"/>
    <w:rsid w:val="00EF2701"/>
    <w:rsid w:val="00EF2811"/>
    <w:rsid w:val="00EF284E"/>
    <w:rsid w:val="00EF29DE"/>
    <w:rsid w:val="00EF2A02"/>
    <w:rsid w:val="00EF2E74"/>
    <w:rsid w:val="00EF2EA6"/>
    <w:rsid w:val="00EF302F"/>
    <w:rsid w:val="00EF3154"/>
    <w:rsid w:val="00EF3216"/>
    <w:rsid w:val="00EF3253"/>
    <w:rsid w:val="00EF3406"/>
    <w:rsid w:val="00EF35CD"/>
    <w:rsid w:val="00EF3619"/>
    <w:rsid w:val="00EF368F"/>
    <w:rsid w:val="00EF3978"/>
    <w:rsid w:val="00EF399E"/>
    <w:rsid w:val="00EF3AAC"/>
    <w:rsid w:val="00EF3BB2"/>
    <w:rsid w:val="00EF40A6"/>
    <w:rsid w:val="00EF4234"/>
    <w:rsid w:val="00EF42F8"/>
    <w:rsid w:val="00EF44A8"/>
    <w:rsid w:val="00EF44BC"/>
    <w:rsid w:val="00EF4506"/>
    <w:rsid w:val="00EF4716"/>
    <w:rsid w:val="00EF49EA"/>
    <w:rsid w:val="00EF4A37"/>
    <w:rsid w:val="00EF4C70"/>
    <w:rsid w:val="00EF4C82"/>
    <w:rsid w:val="00EF4D42"/>
    <w:rsid w:val="00EF4FD1"/>
    <w:rsid w:val="00EF5318"/>
    <w:rsid w:val="00EF538C"/>
    <w:rsid w:val="00EF55BA"/>
    <w:rsid w:val="00EF56EC"/>
    <w:rsid w:val="00EF5758"/>
    <w:rsid w:val="00EF5822"/>
    <w:rsid w:val="00EF5932"/>
    <w:rsid w:val="00EF5BA4"/>
    <w:rsid w:val="00EF5D0A"/>
    <w:rsid w:val="00EF6189"/>
    <w:rsid w:val="00EF61B8"/>
    <w:rsid w:val="00EF65C0"/>
    <w:rsid w:val="00EF65D9"/>
    <w:rsid w:val="00EF697F"/>
    <w:rsid w:val="00EF6980"/>
    <w:rsid w:val="00EF6B73"/>
    <w:rsid w:val="00EF6CBC"/>
    <w:rsid w:val="00EF6E53"/>
    <w:rsid w:val="00EF6EAE"/>
    <w:rsid w:val="00EF6F3A"/>
    <w:rsid w:val="00EF708A"/>
    <w:rsid w:val="00EF70AB"/>
    <w:rsid w:val="00EF72C3"/>
    <w:rsid w:val="00EF73F5"/>
    <w:rsid w:val="00EF7416"/>
    <w:rsid w:val="00EF79CE"/>
    <w:rsid w:val="00EF7A93"/>
    <w:rsid w:val="00EF7B14"/>
    <w:rsid w:val="00F00007"/>
    <w:rsid w:val="00F00152"/>
    <w:rsid w:val="00F00352"/>
    <w:rsid w:val="00F003AB"/>
    <w:rsid w:val="00F003F9"/>
    <w:rsid w:val="00F00466"/>
    <w:rsid w:val="00F005B2"/>
    <w:rsid w:val="00F00604"/>
    <w:rsid w:val="00F00658"/>
    <w:rsid w:val="00F006EF"/>
    <w:rsid w:val="00F007BB"/>
    <w:rsid w:val="00F00A5D"/>
    <w:rsid w:val="00F00B1B"/>
    <w:rsid w:val="00F00E37"/>
    <w:rsid w:val="00F010EE"/>
    <w:rsid w:val="00F011C1"/>
    <w:rsid w:val="00F0124A"/>
    <w:rsid w:val="00F01383"/>
    <w:rsid w:val="00F0151B"/>
    <w:rsid w:val="00F015FB"/>
    <w:rsid w:val="00F015FC"/>
    <w:rsid w:val="00F0167D"/>
    <w:rsid w:val="00F01725"/>
    <w:rsid w:val="00F0177A"/>
    <w:rsid w:val="00F01943"/>
    <w:rsid w:val="00F019A0"/>
    <w:rsid w:val="00F019D5"/>
    <w:rsid w:val="00F0225E"/>
    <w:rsid w:val="00F02500"/>
    <w:rsid w:val="00F02550"/>
    <w:rsid w:val="00F027F3"/>
    <w:rsid w:val="00F0283F"/>
    <w:rsid w:val="00F02858"/>
    <w:rsid w:val="00F028A1"/>
    <w:rsid w:val="00F028F3"/>
    <w:rsid w:val="00F02AE1"/>
    <w:rsid w:val="00F02C14"/>
    <w:rsid w:val="00F02EB2"/>
    <w:rsid w:val="00F02EB9"/>
    <w:rsid w:val="00F02F6D"/>
    <w:rsid w:val="00F03213"/>
    <w:rsid w:val="00F032E2"/>
    <w:rsid w:val="00F0331E"/>
    <w:rsid w:val="00F033A4"/>
    <w:rsid w:val="00F0355B"/>
    <w:rsid w:val="00F037E3"/>
    <w:rsid w:val="00F03866"/>
    <w:rsid w:val="00F03A79"/>
    <w:rsid w:val="00F03C3A"/>
    <w:rsid w:val="00F03FF2"/>
    <w:rsid w:val="00F0441E"/>
    <w:rsid w:val="00F045C7"/>
    <w:rsid w:val="00F045F5"/>
    <w:rsid w:val="00F04651"/>
    <w:rsid w:val="00F047C2"/>
    <w:rsid w:val="00F048BB"/>
    <w:rsid w:val="00F04F3A"/>
    <w:rsid w:val="00F04F88"/>
    <w:rsid w:val="00F04F9E"/>
    <w:rsid w:val="00F05308"/>
    <w:rsid w:val="00F05671"/>
    <w:rsid w:val="00F056B5"/>
    <w:rsid w:val="00F056F5"/>
    <w:rsid w:val="00F05810"/>
    <w:rsid w:val="00F058CC"/>
    <w:rsid w:val="00F0596C"/>
    <w:rsid w:val="00F059C0"/>
    <w:rsid w:val="00F05AE8"/>
    <w:rsid w:val="00F05B6C"/>
    <w:rsid w:val="00F05C79"/>
    <w:rsid w:val="00F06090"/>
    <w:rsid w:val="00F06417"/>
    <w:rsid w:val="00F065D4"/>
    <w:rsid w:val="00F0660C"/>
    <w:rsid w:val="00F069CF"/>
    <w:rsid w:val="00F06A47"/>
    <w:rsid w:val="00F06B2C"/>
    <w:rsid w:val="00F06B6C"/>
    <w:rsid w:val="00F06BA2"/>
    <w:rsid w:val="00F06C9F"/>
    <w:rsid w:val="00F06F4B"/>
    <w:rsid w:val="00F07100"/>
    <w:rsid w:val="00F0717F"/>
    <w:rsid w:val="00F071A4"/>
    <w:rsid w:val="00F0721D"/>
    <w:rsid w:val="00F07371"/>
    <w:rsid w:val="00F0747A"/>
    <w:rsid w:val="00F074E6"/>
    <w:rsid w:val="00F07519"/>
    <w:rsid w:val="00F07581"/>
    <w:rsid w:val="00F07849"/>
    <w:rsid w:val="00F07882"/>
    <w:rsid w:val="00F07883"/>
    <w:rsid w:val="00F07A5C"/>
    <w:rsid w:val="00F07C62"/>
    <w:rsid w:val="00F07CC4"/>
    <w:rsid w:val="00F07DF6"/>
    <w:rsid w:val="00F07ED9"/>
    <w:rsid w:val="00F07F61"/>
    <w:rsid w:val="00F07F68"/>
    <w:rsid w:val="00F07FA7"/>
    <w:rsid w:val="00F10177"/>
    <w:rsid w:val="00F102AA"/>
    <w:rsid w:val="00F10304"/>
    <w:rsid w:val="00F10364"/>
    <w:rsid w:val="00F104C1"/>
    <w:rsid w:val="00F10714"/>
    <w:rsid w:val="00F10A3C"/>
    <w:rsid w:val="00F10C16"/>
    <w:rsid w:val="00F10C48"/>
    <w:rsid w:val="00F10D83"/>
    <w:rsid w:val="00F10E56"/>
    <w:rsid w:val="00F116D4"/>
    <w:rsid w:val="00F11856"/>
    <w:rsid w:val="00F118A7"/>
    <w:rsid w:val="00F118B2"/>
    <w:rsid w:val="00F1195F"/>
    <w:rsid w:val="00F1196B"/>
    <w:rsid w:val="00F11A6A"/>
    <w:rsid w:val="00F11B92"/>
    <w:rsid w:val="00F11C99"/>
    <w:rsid w:val="00F12057"/>
    <w:rsid w:val="00F1216A"/>
    <w:rsid w:val="00F1235E"/>
    <w:rsid w:val="00F125D4"/>
    <w:rsid w:val="00F1265C"/>
    <w:rsid w:val="00F126BD"/>
    <w:rsid w:val="00F12711"/>
    <w:rsid w:val="00F127AA"/>
    <w:rsid w:val="00F12A06"/>
    <w:rsid w:val="00F12A9C"/>
    <w:rsid w:val="00F12ADC"/>
    <w:rsid w:val="00F12C29"/>
    <w:rsid w:val="00F12CF4"/>
    <w:rsid w:val="00F1304A"/>
    <w:rsid w:val="00F13060"/>
    <w:rsid w:val="00F130F0"/>
    <w:rsid w:val="00F1332F"/>
    <w:rsid w:val="00F13433"/>
    <w:rsid w:val="00F1346B"/>
    <w:rsid w:val="00F134FC"/>
    <w:rsid w:val="00F1350E"/>
    <w:rsid w:val="00F13637"/>
    <w:rsid w:val="00F136B7"/>
    <w:rsid w:val="00F13777"/>
    <w:rsid w:val="00F13863"/>
    <w:rsid w:val="00F139A3"/>
    <w:rsid w:val="00F13A1A"/>
    <w:rsid w:val="00F13AD3"/>
    <w:rsid w:val="00F13CBE"/>
    <w:rsid w:val="00F13EF6"/>
    <w:rsid w:val="00F13F08"/>
    <w:rsid w:val="00F14287"/>
    <w:rsid w:val="00F143D3"/>
    <w:rsid w:val="00F14419"/>
    <w:rsid w:val="00F1470E"/>
    <w:rsid w:val="00F14736"/>
    <w:rsid w:val="00F14766"/>
    <w:rsid w:val="00F147A5"/>
    <w:rsid w:val="00F14A25"/>
    <w:rsid w:val="00F14AA7"/>
    <w:rsid w:val="00F14E02"/>
    <w:rsid w:val="00F14E52"/>
    <w:rsid w:val="00F14ECC"/>
    <w:rsid w:val="00F1505B"/>
    <w:rsid w:val="00F15281"/>
    <w:rsid w:val="00F152C8"/>
    <w:rsid w:val="00F1535B"/>
    <w:rsid w:val="00F15561"/>
    <w:rsid w:val="00F1583C"/>
    <w:rsid w:val="00F15884"/>
    <w:rsid w:val="00F159C1"/>
    <w:rsid w:val="00F15A28"/>
    <w:rsid w:val="00F15A32"/>
    <w:rsid w:val="00F15B3A"/>
    <w:rsid w:val="00F15B8E"/>
    <w:rsid w:val="00F15DB1"/>
    <w:rsid w:val="00F1612C"/>
    <w:rsid w:val="00F16223"/>
    <w:rsid w:val="00F165E5"/>
    <w:rsid w:val="00F16665"/>
    <w:rsid w:val="00F16679"/>
    <w:rsid w:val="00F1667C"/>
    <w:rsid w:val="00F166FE"/>
    <w:rsid w:val="00F1670E"/>
    <w:rsid w:val="00F1687E"/>
    <w:rsid w:val="00F1698F"/>
    <w:rsid w:val="00F16A40"/>
    <w:rsid w:val="00F16AAA"/>
    <w:rsid w:val="00F16BA8"/>
    <w:rsid w:val="00F16D8D"/>
    <w:rsid w:val="00F16FB0"/>
    <w:rsid w:val="00F170D3"/>
    <w:rsid w:val="00F1733B"/>
    <w:rsid w:val="00F17474"/>
    <w:rsid w:val="00F1748A"/>
    <w:rsid w:val="00F1779D"/>
    <w:rsid w:val="00F177B3"/>
    <w:rsid w:val="00F17A84"/>
    <w:rsid w:val="00F17AE4"/>
    <w:rsid w:val="00F17B12"/>
    <w:rsid w:val="00F17CF7"/>
    <w:rsid w:val="00F17CFB"/>
    <w:rsid w:val="00F17DFE"/>
    <w:rsid w:val="00F17EE5"/>
    <w:rsid w:val="00F200C8"/>
    <w:rsid w:val="00F20196"/>
    <w:rsid w:val="00F201CC"/>
    <w:rsid w:val="00F202C2"/>
    <w:rsid w:val="00F20322"/>
    <w:rsid w:val="00F20487"/>
    <w:rsid w:val="00F204DB"/>
    <w:rsid w:val="00F209DB"/>
    <w:rsid w:val="00F20E8C"/>
    <w:rsid w:val="00F20F65"/>
    <w:rsid w:val="00F2106D"/>
    <w:rsid w:val="00F21218"/>
    <w:rsid w:val="00F21309"/>
    <w:rsid w:val="00F21329"/>
    <w:rsid w:val="00F214D3"/>
    <w:rsid w:val="00F21585"/>
    <w:rsid w:val="00F21968"/>
    <w:rsid w:val="00F219B3"/>
    <w:rsid w:val="00F219CD"/>
    <w:rsid w:val="00F219D2"/>
    <w:rsid w:val="00F21C56"/>
    <w:rsid w:val="00F21E46"/>
    <w:rsid w:val="00F21F84"/>
    <w:rsid w:val="00F22215"/>
    <w:rsid w:val="00F22337"/>
    <w:rsid w:val="00F223E3"/>
    <w:rsid w:val="00F22457"/>
    <w:rsid w:val="00F2249E"/>
    <w:rsid w:val="00F22513"/>
    <w:rsid w:val="00F22859"/>
    <w:rsid w:val="00F2285D"/>
    <w:rsid w:val="00F228E7"/>
    <w:rsid w:val="00F22A71"/>
    <w:rsid w:val="00F22C41"/>
    <w:rsid w:val="00F22D65"/>
    <w:rsid w:val="00F22EE6"/>
    <w:rsid w:val="00F22F45"/>
    <w:rsid w:val="00F22F87"/>
    <w:rsid w:val="00F23023"/>
    <w:rsid w:val="00F23157"/>
    <w:rsid w:val="00F23175"/>
    <w:rsid w:val="00F231D2"/>
    <w:rsid w:val="00F2372B"/>
    <w:rsid w:val="00F237A5"/>
    <w:rsid w:val="00F23886"/>
    <w:rsid w:val="00F23978"/>
    <w:rsid w:val="00F23A1B"/>
    <w:rsid w:val="00F23A2F"/>
    <w:rsid w:val="00F23BFC"/>
    <w:rsid w:val="00F23D99"/>
    <w:rsid w:val="00F23FB0"/>
    <w:rsid w:val="00F24099"/>
    <w:rsid w:val="00F24277"/>
    <w:rsid w:val="00F24579"/>
    <w:rsid w:val="00F24645"/>
    <w:rsid w:val="00F2477C"/>
    <w:rsid w:val="00F2480A"/>
    <w:rsid w:val="00F24891"/>
    <w:rsid w:val="00F248B9"/>
    <w:rsid w:val="00F24B9F"/>
    <w:rsid w:val="00F24BA6"/>
    <w:rsid w:val="00F24CA6"/>
    <w:rsid w:val="00F250E4"/>
    <w:rsid w:val="00F250E9"/>
    <w:rsid w:val="00F2518D"/>
    <w:rsid w:val="00F251B9"/>
    <w:rsid w:val="00F251F5"/>
    <w:rsid w:val="00F254CB"/>
    <w:rsid w:val="00F256AE"/>
    <w:rsid w:val="00F25773"/>
    <w:rsid w:val="00F257FA"/>
    <w:rsid w:val="00F25812"/>
    <w:rsid w:val="00F259C7"/>
    <w:rsid w:val="00F25A42"/>
    <w:rsid w:val="00F25A70"/>
    <w:rsid w:val="00F25BB7"/>
    <w:rsid w:val="00F25EE8"/>
    <w:rsid w:val="00F26004"/>
    <w:rsid w:val="00F2605D"/>
    <w:rsid w:val="00F26080"/>
    <w:rsid w:val="00F263E2"/>
    <w:rsid w:val="00F2655C"/>
    <w:rsid w:val="00F26690"/>
    <w:rsid w:val="00F26729"/>
    <w:rsid w:val="00F26A8B"/>
    <w:rsid w:val="00F26ACD"/>
    <w:rsid w:val="00F26B34"/>
    <w:rsid w:val="00F26C8B"/>
    <w:rsid w:val="00F26CC7"/>
    <w:rsid w:val="00F26F56"/>
    <w:rsid w:val="00F27072"/>
    <w:rsid w:val="00F270E8"/>
    <w:rsid w:val="00F27303"/>
    <w:rsid w:val="00F273D2"/>
    <w:rsid w:val="00F277D2"/>
    <w:rsid w:val="00F278F2"/>
    <w:rsid w:val="00F27EF5"/>
    <w:rsid w:val="00F27FDB"/>
    <w:rsid w:val="00F30251"/>
    <w:rsid w:val="00F3032C"/>
    <w:rsid w:val="00F304A9"/>
    <w:rsid w:val="00F3050D"/>
    <w:rsid w:val="00F305CC"/>
    <w:rsid w:val="00F30934"/>
    <w:rsid w:val="00F30B0F"/>
    <w:rsid w:val="00F30BB1"/>
    <w:rsid w:val="00F30CF8"/>
    <w:rsid w:val="00F30D70"/>
    <w:rsid w:val="00F30E68"/>
    <w:rsid w:val="00F30EE0"/>
    <w:rsid w:val="00F30F30"/>
    <w:rsid w:val="00F310C9"/>
    <w:rsid w:val="00F310E4"/>
    <w:rsid w:val="00F3112B"/>
    <w:rsid w:val="00F3116B"/>
    <w:rsid w:val="00F3139D"/>
    <w:rsid w:val="00F3179A"/>
    <w:rsid w:val="00F31A67"/>
    <w:rsid w:val="00F31D31"/>
    <w:rsid w:val="00F31D54"/>
    <w:rsid w:val="00F31FE0"/>
    <w:rsid w:val="00F320FA"/>
    <w:rsid w:val="00F32357"/>
    <w:rsid w:val="00F324F2"/>
    <w:rsid w:val="00F3261B"/>
    <w:rsid w:val="00F32B89"/>
    <w:rsid w:val="00F32C5C"/>
    <w:rsid w:val="00F32C70"/>
    <w:rsid w:val="00F32CDB"/>
    <w:rsid w:val="00F32D49"/>
    <w:rsid w:val="00F33282"/>
    <w:rsid w:val="00F3349C"/>
    <w:rsid w:val="00F334CA"/>
    <w:rsid w:val="00F335DB"/>
    <w:rsid w:val="00F33751"/>
    <w:rsid w:val="00F337AB"/>
    <w:rsid w:val="00F33833"/>
    <w:rsid w:val="00F339B8"/>
    <w:rsid w:val="00F33A2E"/>
    <w:rsid w:val="00F33B0C"/>
    <w:rsid w:val="00F33C70"/>
    <w:rsid w:val="00F3420F"/>
    <w:rsid w:val="00F342AA"/>
    <w:rsid w:val="00F344AF"/>
    <w:rsid w:val="00F34625"/>
    <w:rsid w:val="00F34B03"/>
    <w:rsid w:val="00F34DD5"/>
    <w:rsid w:val="00F34E02"/>
    <w:rsid w:val="00F3517A"/>
    <w:rsid w:val="00F35401"/>
    <w:rsid w:val="00F3549E"/>
    <w:rsid w:val="00F3557C"/>
    <w:rsid w:val="00F35652"/>
    <w:rsid w:val="00F35A97"/>
    <w:rsid w:val="00F35B0E"/>
    <w:rsid w:val="00F35B6F"/>
    <w:rsid w:val="00F360A4"/>
    <w:rsid w:val="00F365A7"/>
    <w:rsid w:val="00F3681C"/>
    <w:rsid w:val="00F3682E"/>
    <w:rsid w:val="00F36996"/>
    <w:rsid w:val="00F36B24"/>
    <w:rsid w:val="00F36B78"/>
    <w:rsid w:val="00F36B7C"/>
    <w:rsid w:val="00F36D73"/>
    <w:rsid w:val="00F36EF5"/>
    <w:rsid w:val="00F37138"/>
    <w:rsid w:val="00F37386"/>
    <w:rsid w:val="00F37415"/>
    <w:rsid w:val="00F3745F"/>
    <w:rsid w:val="00F3752A"/>
    <w:rsid w:val="00F37549"/>
    <w:rsid w:val="00F3769D"/>
    <w:rsid w:val="00F37B20"/>
    <w:rsid w:val="00F37C93"/>
    <w:rsid w:val="00F37CC7"/>
    <w:rsid w:val="00F37F79"/>
    <w:rsid w:val="00F4011C"/>
    <w:rsid w:val="00F404F4"/>
    <w:rsid w:val="00F405BF"/>
    <w:rsid w:val="00F405D1"/>
    <w:rsid w:val="00F409D8"/>
    <w:rsid w:val="00F40BFB"/>
    <w:rsid w:val="00F40D52"/>
    <w:rsid w:val="00F40DDB"/>
    <w:rsid w:val="00F40F66"/>
    <w:rsid w:val="00F4115D"/>
    <w:rsid w:val="00F4132D"/>
    <w:rsid w:val="00F4134E"/>
    <w:rsid w:val="00F4143E"/>
    <w:rsid w:val="00F41513"/>
    <w:rsid w:val="00F41B24"/>
    <w:rsid w:val="00F41CC5"/>
    <w:rsid w:val="00F41D25"/>
    <w:rsid w:val="00F41E8A"/>
    <w:rsid w:val="00F4211C"/>
    <w:rsid w:val="00F423A2"/>
    <w:rsid w:val="00F423C2"/>
    <w:rsid w:val="00F42563"/>
    <w:rsid w:val="00F42580"/>
    <w:rsid w:val="00F4259F"/>
    <w:rsid w:val="00F42753"/>
    <w:rsid w:val="00F4293D"/>
    <w:rsid w:val="00F42B4F"/>
    <w:rsid w:val="00F42C6C"/>
    <w:rsid w:val="00F42D66"/>
    <w:rsid w:val="00F42DA6"/>
    <w:rsid w:val="00F43002"/>
    <w:rsid w:val="00F4313C"/>
    <w:rsid w:val="00F433B7"/>
    <w:rsid w:val="00F433F8"/>
    <w:rsid w:val="00F433FE"/>
    <w:rsid w:val="00F43627"/>
    <w:rsid w:val="00F43748"/>
    <w:rsid w:val="00F43781"/>
    <w:rsid w:val="00F4387A"/>
    <w:rsid w:val="00F43925"/>
    <w:rsid w:val="00F439FB"/>
    <w:rsid w:val="00F43A84"/>
    <w:rsid w:val="00F43CB4"/>
    <w:rsid w:val="00F43CC5"/>
    <w:rsid w:val="00F43D15"/>
    <w:rsid w:val="00F44184"/>
    <w:rsid w:val="00F44245"/>
    <w:rsid w:val="00F44347"/>
    <w:rsid w:val="00F445E3"/>
    <w:rsid w:val="00F4463C"/>
    <w:rsid w:val="00F4481B"/>
    <w:rsid w:val="00F44846"/>
    <w:rsid w:val="00F4494C"/>
    <w:rsid w:val="00F44A77"/>
    <w:rsid w:val="00F44D5E"/>
    <w:rsid w:val="00F44DBB"/>
    <w:rsid w:val="00F44FA1"/>
    <w:rsid w:val="00F45049"/>
    <w:rsid w:val="00F45139"/>
    <w:rsid w:val="00F45290"/>
    <w:rsid w:val="00F45571"/>
    <w:rsid w:val="00F45638"/>
    <w:rsid w:val="00F458F0"/>
    <w:rsid w:val="00F45922"/>
    <w:rsid w:val="00F45A16"/>
    <w:rsid w:val="00F45BD4"/>
    <w:rsid w:val="00F45CE6"/>
    <w:rsid w:val="00F45D31"/>
    <w:rsid w:val="00F45E7C"/>
    <w:rsid w:val="00F45F71"/>
    <w:rsid w:val="00F45FAA"/>
    <w:rsid w:val="00F46067"/>
    <w:rsid w:val="00F46158"/>
    <w:rsid w:val="00F4619F"/>
    <w:rsid w:val="00F46354"/>
    <w:rsid w:val="00F465F0"/>
    <w:rsid w:val="00F467AD"/>
    <w:rsid w:val="00F4680A"/>
    <w:rsid w:val="00F46914"/>
    <w:rsid w:val="00F46978"/>
    <w:rsid w:val="00F46C12"/>
    <w:rsid w:val="00F46D38"/>
    <w:rsid w:val="00F470F5"/>
    <w:rsid w:val="00F472F3"/>
    <w:rsid w:val="00F473A5"/>
    <w:rsid w:val="00F473F3"/>
    <w:rsid w:val="00F47442"/>
    <w:rsid w:val="00F474B8"/>
    <w:rsid w:val="00F47580"/>
    <w:rsid w:val="00F4775D"/>
    <w:rsid w:val="00F4780E"/>
    <w:rsid w:val="00F478CA"/>
    <w:rsid w:val="00F479B7"/>
    <w:rsid w:val="00F47B03"/>
    <w:rsid w:val="00F47CE2"/>
    <w:rsid w:val="00F47CFC"/>
    <w:rsid w:val="00F47D1D"/>
    <w:rsid w:val="00F47E4E"/>
    <w:rsid w:val="00F50179"/>
    <w:rsid w:val="00F501F3"/>
    <w:rsid w:val="00F50275"/>
    <w:rsid w:val="00F50680"/>
    <w:rsid w:val="00F507EB"/>
    <w:rsid w:val="00F50A98"/>
    <w:rsid w:val="00F50B4A"/>
    <w:rsid w:val="00F50CB9"/>
    <w:rsid w:val="00F50DF1"/>
    <w:rsid w:val="00F50E5F"/>
    <w:rsid w:val="00F50F33"/>
    <w:rsid w:val="00F50FAA"/>
    <w:rsid w:val="00F51347"/>
    <w:rsid w:val="00F51460"/>
    <w:rsid w:val="00F514CF"/>
    <w:rsid w:val="00F515BE"/>
    <w:rsid w:val="00F51667"/>
    <w:rsid w:val="00F51730"/>
    <w:rsid w:val="00F517C4"/>
    <w:rsid w:val="00F517E9"/>
    <w:rsid w:val="00F51837"/>
    <w:rsid w:val="00F51C6B"/>
    <w:rsid w:val="00F51D98"/>
    <w:rsid w:val="00F51F61"/>
    <w:rsid w:val="00F51FF0"/>
    <w:rsid w:val="00F52011"/>
    <w:rsid w:val="00F5207E"/>
    <w:rsid w:val="00F520E1"/>
    <w:rsid w:val="00F521DC"/>
    <w:rsid w:val="00F521F6"/>
    <w:rsid w:val="00F52242"/>
    <w:rsid w:val="00F523CD"/>
    <w:rsid w:val="00F52692"/>
    <w:rsid w:val="00F52772"/>
    <w:rsid w:val="00F527FB"/>
    <w:rsid w:val="00F52868"/>
    <w:rsid w:val="00F52AD0"/>
    <w:rsid w:val="00F52D0F"/>
    <w:rsid w:val="00F52E14"/>
    <w:rsid w:val="00F52ED5"/>
    <w:rsid w:val="00F52EF3"/>
    <w:rsid w:val="00F52FCD"/>
    <w:rsid w:val="00F5318C"/>
    <w:rsid w:val="00F53199"/>
    <w:rsid w:val="00F532A7"/>
    <w:rsid w:val="00F5331A"/>
    <w:rsid w:val="00F533F2"/>
    <w:rsid w:val="00F53467"/>
    <w:rsid w:val="00F539D4"/>
    <w:rsid w:val="00F53F9D"/>
    <w:rsid w:val="00F53FDD"/>
    <w:rsid w:val="00F541A1"/>
    <w:rsid w:val="00F5422E"/>
    <w:rsid w:val="00F5446E"/>
    <w:rsid w:val="00F544B3"/>
    <w:rsid w:val="00F544F2"/>
    <w:rsid w:val="00F546AB"/>
    <w:rsid w:val="00F5471A"/>
    <w:rsid w:val="00F54B09"/>
    <w:rsid w:val="00F54BEA"/>
    <w:rsid w:val="00F54C24"/>
    <w:rsid w:val="00F54DA6"/>
    <w:rsid w:val="00F54E52"/>
    <w:rsid w:val="00F54E76"/>
    <w:rsid w:val="00F54E8A"/>
    <w:rsid w:val="00F54EB8"/>
    <w:rsid w:val="00F54FDC"/>
    <w:rsid w:val="00F55071"/>
    <w:rsid w:val="00F5514F"/>
    <w:rsid w:val="00F55194"/>
    <w:rsid w:val="00F551B5"/>
    <w:rsid w:val="00F555C2"/>
    <w:rsid w:val="00F55686"/>
    <w:rsid w:val="00F55698"/>
    <w:rsid w:val="00F556C5"/>
    <w:rsid w:val="00F55965"/>
    <w:rsid w:val="00F559A8"/>
    <w:rsid w:val="00F55C14"/>
    <w:rsid w:val="00F55C21"/>
    <w:rsid w:val="00F55C2F"/>
    <w:rsid w:val="00F55E5F"/>
    <w:rsid w:val="00F55F0D"/>
    <w:rsid w:val="00F55F10"/>
    <w:rsid w:val="00F55F6D"/>
    <w:rsid w:val="00F560AC"/>
    <w:rsid w:val="00F560CD"/>
    <w:rsid w:val="00F560F2"/>
    <w:rsid w:val="00F56251"/>
    <w:rsid w:val="00F56687"/>
    <w:rsid w:val="00F56883"/>
    <w:rsid w:val="00F56A5D"/>
    <w:rsid w:val="00F56C34"/>
    <w:rsid w:val="00F56F64"/>
    <w:rsid w:val="00F56FD1"/>
    <w:rsid w:val="00F5736B"/>
    <w:rsid w:val="00F577B9"/>
    <w:rsid w:val="00F577D9"/>
    <w:rsid w:val="00F57880"/>
    <w:rsid w:val="00F5791C"/>
    <w:rsid w:val="00F579A7"/>
    <w:rsid w:val="00F579F0"/>
    <w:rsid w:val="00F579FF"/>
    <w:rsid w:val="00F57B3D"/>
    <w:rsid w:val="00F57F30"/>
    <w:rsid w:val="00F6000A"/>
    <w:rsid w:val="00F60348"/>
    <w:rsid w:val="00F604F6"/>
    <w:rsid w:val="00F608AB"/>
    <w:rsid w:val="00F60BA2"/>
    <w:rsid w:val="00F60BE7"/>
    <w:rsid w:val="00F60C37"/>
    <w:rsid w:val="00F60C80"/>
    <w:rsid w:val="00F60D85"/>
    <w:rsid w:val="00F60D8A"/>
    <w:rsid w:val="00F60E65"/>
    <w:rsid w:val="00F60FCA"/>
    <w:rsid w:val="00F611E1"/>
    <w:rsid w:val="00F6159C"/>
    <w:rsid w:val="00F61605"/>
    <w:rsid w:val="00F61714"/>
    <w:rsid w:val="00F618CF"/>
    <w:rsid w:val="00F61983"/>
    <w:rsid w:val="00F61AAC"/>
    <w:rsid w:val="00F61EBC"/>
    <w:rsid w:val="00F620AC"/>
    <w:rsid w:val="00F620F2"/>
    <w:rsid w:val="00F622F3"/>
    <w:rsid w:val="00F62348"/>
    <w:rsid w:val="00F6238F"/>
    <w:rsid w:val="00F62595"/>
    <w:rsid w:val="00F6274B"/>
    <w:rsid w:val="00F62D45"/>
    <w:rsid w:val="00F62D93"/>
    <w:rsid w:val="00F62E6D"/>
    <w:rsid w:val="00F62EF3"/>
    <w:rsid w:val="00F62F61"/>
    <w:rsid w:val="00F63024"/>
    <w:rsid w:val="00F63425"/>
    <w:rsid w:val="00F63447"/>
    <w:rsid w:val="00F634CC"/>
    <w:rsid w:val="00F6367C"/>
    <w:rsid w:val="00F63817"/>
    <w:rsid w:val="00F63B4A"/>
    <w:rsid w:val="00F63BB3"/>
    <w:rsid w:val="00F63C79"/>
    <w:rsid w:val="00F63E59"/>
    <w:rsid w:val="00F64009"/>
    <w:rsid w:val="00F6412B"/>
    <w:rsid w:val="00F64153"/>
    <w:rsid w:val="00F64247"/>
    <w:rsid w:val="00F6429C"/>
    <w:rsid w:val="00F643AB"/>
    <w:rsid w:val="00F643F4"/>
    <w:rsid w:val="00F6454B"/>
    <w:rsid w:val="00F64680"/>
    <w:rsid w:val="00F648C3"/>
    <w:rsid w:val="00F64BE0"/>
    <w:rsid w:val="00F65048"/>
    <w:rsid w:val="00F65200"/>
    <w:rsid w:val="00F6527C"/>
    <w:rsid w:val="00F652A4"/>
    <w:rsid w:val="00F65390"/>
    <w:rsid w:val="00F6559E"/>
    <w:rsid w:val="00F6572D"/>
    <w:rsid w:val="00F65992"/>
    <w:rsid w:val="00F65B68"/>
    <w:rsid w:val="00F66179"/>
    <w:rsid w:val="00F662DB"/>
    <w:rsid w:val="00F664E1"/>
    <w:rsid w:val="00F66504"/>
    <w:rsid w:val="00F6653F"/>
    <w:rsid w:val="00F66600"/>
    <w:rsid w:val="00F666FC"/>
    <w:rsid w:val="00F668D4"/>
    <w:rsid w:val="00F66ABA"/>
    <w:rsid w:val="00F66CE0"/>
    <w:rsid w:val="00F66D66"/>
    <w:rsid w:val="00F66E75"/>
    <w:rsid w:val="00F66E7F"/>
    <w:rsid w:val="00F66F9C"/>
    <w:rsid w:val="00F67022"/>
    <w:rsid w:val="00F6707A"/>
    <w:rsid w:val="00F670BF"/>
    <w:rsid w:val="00F6714C"/>
    <w:rsid w:val="00F6727E"/>
    <w:rsid w:val="00F674EB"/>
    <w:rsid w:val="00F6756D"/>
    <w:rsid w:val="00F675B6"/>
    <w:rsid w:val="00F675C3"/>
    <w:rsid w:val="00F67812"/>
    <w:rsid w:val="00F67814"/>
    <w:rsid w:val="00F67846"/>
    <w:rsid w:val="00F67B42"/>
    <w:rsid w:val="00F67B54"/>
    <w:rsid w:val="00F67C74"/>
    <w:rsid w:val="00F67CEE"/>
    <w:rsid w:val="00F70147"/>
    <w:rsid w:val="00F70155"/>
    <w:rsid w:val="00F70165"/>
    <w:rsid w:val="00F702BF"/>
    <w:rsid w:val="00F70681"/>
    <w:rsid w:val="00F706A4"/>
    <w:rsid w:val="00F7077D"/>
    <w:rsid w:val="00F70A49"/>
    <w:rsid w:val="00F70AD7"/>
    <w:rsid w:val="00F70B1D"/>
    <w:rsid w:val="00F70B72"/>
    <w:rsid w:val="00F70C22"/>
    <w:rsid w:val="00F70D07"/>
    <w:rsid w:val="00F70DEF"/>
    <w:rsid w:val="00F70EA3"/>
    <w:rsid w:val="00F710DE"/>
    <w:rsid w:val="00F71374"/>
    <w:rsid w:val="00F71398"/>
    <w:rsid w:val="00F71451"/>
    <w:rsid w:val="00F715A2"/>
    <w:rsid w:val="00F71613"/>
    <w:rsid w:val="00F717F5"/>
    <w:rsid w:val="00F718B1"/>
    <w:rsid w:val="00F718CB"/>
    <w:rsid w:val="00F71957"/>
    <w:rsid w:val="00F71A0B"/>
    <w:rsid w:val="00F71A7A"/>
    <w:rsid w:val="00F71BB1"/>
    <w:rsid w:val="00F71BDD"/>
    <w:rsid w:val="00F71F1B"/>
    <w:rsid w:val="00F72035"/>
    <w:rsid w:val="00F72367"/>
    <w:rsid w:val="00F723AC"/>
    <w:rsid w:val="00F723B1"/>
    <w:rsid w:val="00F727CA"/>
    <w:rsid w:val="00F728B3"/>
    <w:rsid w:val="00F7294C"/>
    <w:rsid w:val="00F72A6D"/>
    <w:rsid w:val="00F72C5F"/>
    <w:rsid w:val="00F72DA5"/>
    <w:rsid w:val="00F73292"/>
    <w:rsid w:val="00F732BE"/>
    <w:rsid w:val="00F7331E"/>
    <w:rsid w:val="00F73400"/>
    <w:rsid w:val="00F73549"/>
    <w:rsid w:val="00F735B2"/>
    <w:rsid w:val="00F736BE"/>
    <w:rsid w:val="00F73A46"/>
    <w:rsid w:val="00F740F3"/>
    <w:rsid w:val="00F7451B"/>
    <w:rsid w:val="00F74527"/>
    <w:rsid w:val="00F745FF"/>
    <w:rsid w:val="00F7479A"/>
    <w:rsid w:val="00F747EA"/>
    <w:rsid w:val="00F747F0"/>
    <w:rsid w:val="00F74A09"/>
    <w:rsid w:val="00F74BD1"/>
    <w:rsid w:val="00F74D94"/>
    <w:rsid w:val="00F74FAA"/>
    <w:rsid w:val="00F751D7"/>
    <w:rsid w:val="00F752EA"/>
    <w:rsid w:val="00F7571E"/>
    <w:rsid w:val="00F75782"/>
    <w:rsid w:val="00F759EC"/>
    <w:rsid w:val="00F76064"/>
    <w:rsid w:val="00F7614F"/>
    <w:rsid w:val="00F76266"/>
    <w:rsid w:val="00F76555"/>
    <w:rsid w:val="00F765EF"/>
    <w:rsid w:val="00F76692"/>
    <w:rsid w:val="00F76937"/>
    <w:rsid w:val="00F769E9"/>
    <w:rsid w:val="00F76B92"/>
    <w:rsid w:val="00F76C69"/>
    <w:rsid w:val="00F76D00"/>
    <w:rsid w:val="00F76D71"/>
    <w:rsid w:val="00F773D2"/>
    <w:rsid w:val="00F774A5"/>
    <w:rsid w:val="00F7759C"/>
    <w:rsid w:val="00F7774E"/>
    <w:rsid w:val="00F77AB1"/>
    <w:rsid w:val="00F77B2D"/>
    <w:rsid w:val="00F77B60"/>
    <w:rsid w:val="00F77EA1"/>
    <w:rsid w:val="00F800A1"/>
    <w:rsid w:val="00F8019D"/>
    <w:rsid w:val="00F8033F"/>
    <w:rsid w:val="00F8039A"/>
    <w:rsid w:val="00F803DD"/>
    <w:rsid w:val="00F804AA"/>
    <w:rsid w:val="00F804DD"/>
    <w:rsid w:val="00F80C1D"/>
    <w:rsid w:val="00F80DAB"/>
    <w:rsid w:val="00F81026"/>
    <w:rsid w:val="00F8103B"/>
    <w:rsid w:val="00F81130"/>
    <w:rsid w:val="00F816F1"/>
    <w:rsid w:val="00F81741"/>
    <w:rsid w:val="00F818F7"/>
    <w:rsid w:val="00F81991"/>
    <w:rsid w:val="00F81A3F"/>
    <w:rsid w:val="00F81DA9"/>
    <w:rsid w:val="00F81E47"/>
    <w:rsid w:val="00F81F9A"/>
    <w:rsid w:val="00F8211B"/>
    <w:rsid w:val="00F82199"/>
    <w:rsid w:val="00F8244B"/>
    <w:rsid w:val="00F8259B"/>
    <w:rsid w:val="00F829E2"/>
    <w:rsid w:val="00F82BA3"/>
    <w:rsid w:val="00F82C0E"/>
    <w:rsid w:val="00F82CC9"/>
    <w:rsid w:val="00F8325D"/>
    <w:rsid w:val="00F832A9"/>
    <w:rsid w:val="00F832B0"/>
    <w:rsid w:val="00F83307"/>
    <w:rsid w:val="00F833A5"/>
    <w:rsid w:val="00F83545"/>
    <w:rsid w:val="00F83748"/>
    <w:rsid w:val="00F837C9"/>
    <w:rsid w:val="00F83A72"/>
    <w:rsid w:val="00F83C1D"/>
    <w:rsid w:val="00F83C59"/>
    <w:rsid w:val="00F83C7B"/>
    <w:rsid w:val="00F83EAE"/>
    <w:rsid w:val="00F83F73"/>
    <w:rsid w:val="00F83FB7"/>
    <w:rsid w:val="00F83FE6"/>
    <w:rsid w:val="00F84310"/>
    <w:rsid w:val="00F844D3"/>
    <w:rsid w:val="00F8460D"/>
    <w:rsid w:val="00F84629"/>
    <w:rsid w:val="00F84716"/>
    <w:rsid w:val="00F84888"/>
    <w:rsid w:val="00F84B71"/>
    <w:rsid w:val="00F84C99"/>
    <w:rsid w:val="00F84CC4"/>
    <w:rsid w:val="00F84D3E"/>
    <w:rsid w:val="00F84EA4"/>
    <w:rsid w:val="00F84F0E"/>
    <w:rsid w:val="00F8519E"/>
    <w:rsid w:val="00F85220"/>
    <w:rsid w:val="00F8549C"/>
    <w:rsid w:val="00F85656"/>
    <w:rsid w:val="00F85798"/>
    <w:rsid w:val="00F859DE"/>
    <w:rsid w:val="00F859E7"/>
    <w:rsid w:val="00F85B0D"/>
    <w:rsid w:val="00F85BBF"/>
    <w:rsid w:val="00F85CF1"/>
    <w:rsid w:val="00F85E41"/>
    <w:rsid w:val="00F85FF5"/>
    <w:rsid w:val="00F86122"/>
    <w:rsid w:val="00F8612B"/>
    <w:rsid w:val="00F861A8"/>
    <w:rsid w:val="00F8621D"/>
    <w:rsid w:val="00F8624C"/>
    <w:rsid w:val="00F863FE"/>
    <w:rsid w:val="00F86497"/>
    <w:rsid w:val="00F86595"/>
    <w:rsid w:val="00F86BB4"/>
    <w:rsid w:val="00F86E2C"/>
    <w:rsid w:val="00F86E52"/>
    <w:rsid w:val="00F86E6B"/>
    <w:rsid w:val="00F870F5"/>
    <w:rsid w:val="00F87437"/>
    <w:rsid w:val="00F874B0"/>
    <w:rsid w:val="00F87575"/>
    <w:rsid w:val="00F878D3"/>
    <w:rsid w:val="00F87B58"/>
    <w:rsid w:val="00F87D16"/>
    <w:rsid w:val="00F87FE9"/>
    <w:rsid w:val="00F902D2"/>
    <w:rsid w:val="00F9054B"/>
    <w:rsid w:val="00F90A47"/>
    <w:rsid w:val="00F90B12"/>
    <w:rsid w:val="00F90BB7"/>
    <w:rsid w:val="00F90CBD"/>
    <w:rsid w:val="00F90FA1"/>
    <w:rsid w:val="00F9109E"/>
    <w:rsid w:val="00F913A2"/>
    <w:rsid w:val="00F913F3"/>
    <w:rsid w:val="00F9177E"/>
    <w:rsid w:val="00F91AE5"/>
    <w:rsid w:val="00F91D19"/>
    <w:rsid w:val="00F91E4F"/>
    <w:rsid w:val="00F91FDF"/>
    <w:rsid w:val="00F9220E"/>
    <w:rsid w:val="00F922AB"/>
    <w:rsid w:val="00F9251C"/>
    <w:rsid w:val="00F92647"/>
    <w:rsid w:val="00F92779"/>
    <w:rsid w:val="00F92AA1"/>
    <w:rsid w:val="00F92AD5"/>
    <w:rsid w:val="00F92B2D"/>
    <w:rsid w:val="00F92BD3"/>
    <w:rsid w:val="00F92E09"/>
    <w:rsid w:val="00F92F2B"/>
    <w:rsid w:val="00F92FB7"/>
    <w:rsid w:val="00F92FDC"/>
    <w:rsid w:val="00F930BB"/>
    <w:rsid w:val="00F931D2"/>
    <w:rsid w:val="00F932D0"/>
    <w:rsid w:val="00F93431"/>
    <w:rsid w:val="00F934FA"/>
    <w:rsid w:val="00F938AB"/>
    <w:rsid w:val="00F938AC"/>
    <w:rsid w:val="00F938B2"/>
    <w:rsid w:val="00F938ED"/>
    <w:rsid w:val="00F9399F"/>
    <w:rsid w:val="00F93A09"/>
    <w:rsid w:val="00F93A29"/>
    <w:rsid w:val="00F93A4A"/>
    <w:rsid w:val="00F93A50"/>
    <w:rsid w:val="00F93ABA"/>
    <w:rsid w:val="00F93AC8"/>
    <w:rsid w:val="00F93C4F"/>
    <w:rsid w:val="00F93D27"/>
    <w:rsid w:val="00F940E7"/>
    <w:rsid w:val="00F94199"/>
    <w:rsid w:val="00F9420C"/>
    <w:rsid w:val="00F942A6"/>
    <w:rsid w:val="00F942E9"/>
    <w:rsid w:val="00F94B70"/>
    <w:rsid w:val="00F94C46"/>
    <w:rsid w:val="00F94CD9"/>
    <w:rsid w:val="00F94FBE"/>
    <w:rsid w:val="00F94FF3"/>
    <w:rsid w:val="00F9505A"/>
    <w:rsid w:val="00F9507E"/>
    <w:rsid w:val="00F95136"/>
    <w:rsid w:val="00F953EA"/>
    <w:rsid w:val="00F9542F"/>
    <w:rsid w:val="00F954D0"/>
    <w:rsid w:val="00F95B99"/>
    <w:rsid w:val="00F95BD8"/>
    <w:rsid w:val="00F95DD6"/>
    <w:rsid w:val="00F95DE6"/>
    <w:rsid w:val="00F96060"/>
    <w:rsid w:val="00F9630D"/>
    <w:rsid w:val="00F96370"/>
    <w:rsid w:val="00F9669C"/>
    <w:rsid w:val="00F96943"/>
    <w:rsid w:val="00F96AF8"/>
    <w:rsid w:val="00F96B0F"/>
    <w:rsid w:val="00F96F67"/>
    <w:rsid w:val="00F96F91"/>
    <w:rsid w:val="00F97162"/>
    <w:rsid w:val="00F97297"/>
    <w:rsid w:val="00F972F4"/>
    <w:rsid w:val="00F973BF"/>
    <w:rsid w:val="00F973C5"/>
    <w:rsid w:val="00F973F1"/>
    <w:rsid w:val="00F97616"/>
    <w:rsid w:val="00F97622"/>
    <w:rsid w:val="00F97775"/>
    <w:rsid w:val="00F97940"/>
    <w:rsid w:val="00F97B9B"/>
    <w:rsid w:val="00F97BA3"/>
    <w:rsid w:val="00F97E19"/>
    <w:rsid w:val="00F97EA2"/>
    <w:rsid w:val="00F97EAE"/>
    <w:rsid w:val="00F97F0D"/>
    <w:rsid w:val="00FA03DE"/>
    <w:rsid w:val="00FA060D"/>
    <w:rsid w:val="00FA083C"/>
    <w:rsid w:val="00FA09FD"/>
    <w:rsid w:val="00FA0A85"/>
    <w:rsid w:val="00FA0B0A"/>
    <w:rsid w:val="00FA10E5"/>
    <w:rsid w:val="00FA121C"/>
    <w:rsid w:val="00FA12F6"/>
    <w:rsid w:val="00FA1407"/>
    <w:rsid w:val="00FA171F"/>
    <w:rsid w:val="00FA1782"/>
    <w:rsid w:val="00FA19D2"/>
    <w:rsid w:val="00FA1A57"/>
    <w:rsid w:val="00FA1A68"/>
    <w:rsid w:val="00FA1B1A"/>
    <w:rsid w:val="00FA1B46"/>
    <w:rsid w:val="00FA1C6A"/>
    <w:rsid w:val="00FA1CD1"/>
    <w:rsid w:val="00FA1DF0"/>
    <w:rsid w:val="00FA1FFF"/>
    <w:rsid w:val="00FA204A"/>
    <w:rsid w:val="00FA2076"/>
    <w:rsid w:val="00FA20E8"/>
    <w:rsid w:val="00FA21A4"/>
    <w:rsid w:val="00FA24DD"/>
    <w:rsid w:val="00FA2747"/>
    <w:rsid w:val="00FA27D7"/>
    <w:rsid w:val="00FA28C4"/>
    <w:rsid w:val="00FA2942"/>
    <w:rsid w:val="00FA2A33"/>
    <w:rsid w:val="00FA2A37"/>
    <w:rsid w:val="00FA2A54"/>
    <w:rsid w:val="00FA2B6F"/>
    <w:rsid w:val="00FA2C8F"/>
    <w:rsid w:val="00FA2CBF"/>
    <w:rsid w:val="00FA2CF7"/>
    <w:rsid w:val="00FA2D81"/>
    <w:rsid w:val="00FA2D82"/>
    <w:rsid w:val="00FA305A"/>
    <w:rsid w:val="00FA30CA"/>
    <w:rsid w:val="00FA314B"/>
    <w:rsid w:val="00FA3410"/>
    <w:rsid w:val="00FA34CA"/>
    <w:rsid w:val="00FA34EA"/>
    <w:rsid w:val="00FA360B"/>
    <w:rsid w:val="00FA36EA"/>
    <w:rsid w:val="00FA3860"/>
    <w:rsid w:val="00FA3A50"/>
    <w:rsid w:val="00FA3A5E"/>
    <w:rsid w:val="00FA3A7D"/>
    <w:rsid w:val="00FA3A82"/>
    <w:rsid w:val="00FA3B2B"/>
    <w:rsid w:val="00FA3E5B"/>
    <w:rsid w:val="00FA404B"/>
    <w:rsid w:val="00FA41CB"/>
    <w:rsid w:val="00FA45EE"/>
    <w:rsid w:val="00FA464F"/>
    <w:rsid w:val="00FA4763"/>
    <w:rsid w:val="00FA4830"/>
    <w:rsid w:val="00FA4E34"/>
    <w:rsid w:val="00FA5032"/>
    <w:rsid w:val="00FA532E"/>
    <w:rsid w:val="00FA53CE"/>
    <w:rsid w:val="00FA54F0"/>
    <w:rsid w:val="00FA582D"/>
    <w:rsid w:val="00FA5DC7"/>
    <w:rsid w:val="00FA5DCA"/>
    <w:rsid w:val="00FA5DFB"/>
    <w:rsid w:val="00FA5E14"/>
    <w:rsid w:val="00FA5E3E"/>
    <w:rsid w:val="00FA5FA8"/>
    <w:rsid w:val="00FA5FC3"/>
    <w:rsid w:val="00FA611D"/>
    <w:rsid w:val="00FA61C5"/>
    <w:rsid w:val="00FA6252"/>
    <w:rsid w:val="00FA6535"/>
    <w:rsid w:val="00FA6711"/>
    <w:rsid w:val="00FA6740"/>
    <w:rsid w:val="00FA679B"/>
    <w:rsid w:val="00FA6980"/>
    <w:rsid w:val="00FA6AE5"/>
    <w:rsid w:val="00FA6C48"/>
    <w:rsid w:val="00FA6CDF"/>
    <w:rsid w:val="00FA6CEB"/>
    <w:rsid w:val="00FA7137"/>
    <w:rsid w:val="00FA75B3"/>
    <w:rsid w:val="00FA75F4"/>
    <w:rsid w:val="00FA7615"/>
    <w:rsid w:val="00FA7764"/>
    <w:rsid w:val="00FA78D4"/>
    <w:rsid w:val="00FA791F"/>
    <w:rsid w:val="00FA79E0"/>
    <w:rsid w:val="00FA7A89"/>
    <w:rsid w:val="00FA7BB5"/>
    <w:rsid w:val="00FA7C00"/>
    <w:rsid w:val="00FA7C3D"/>
    <w:rsid w:val="00FA7C85"/>
    <w:rsid w:val="00FA7F2D"/>
    <w:rsid w:val="00FB011F"/>
    <w:rsid w:val="00FB0176"/>
    <w:rsid w:val="00FB036D"/>
    <w:rsid w:val="00FB037E"/>
    <w:rsid w:val="00FB04FD"/>
    <w:rsid w:val="00FB05BC"/>
    <w:rsid w:val="00FB08EB"/>
    <w:rsid w:val="00FB08EE"/>
    <w:rsid w:val="00FB0903"/>
    <w:rsid w:val="00FB0E53"/>
    <w:rsid w:val="00FB0EE1"/>
    <w:rsid w:val="00FB1019"/>
    <w:rsid w:val="00FB1096"/>
    <w:rsid w:val="00FB11E5"/>
    <w:rsid w:val="00FB12D8"/>
    <w:rsid w:val="00FB136C"/>
    <w:rsid w:val="00FB14CB"/>
    <w:rsid w:val="00FB150F"/>
    <w:rsid w:val="00FB1644"/>
    <w:rsid w:val="00FB176A"/>
    <w:rsid w:val="00FB17D6"/>
    <w:rsid w:val="00FB188E"/>
    <w:rsid w:val="00FB1940"/>
    <w:rsid w:val="00FB19D5"/>
    <w:rsid w:val="00FB1AAD"/>
    <w:rsid w:val="00FB1BA1"/>
    <w:rsid w:val="00FB1CDC"/>
    <w:rsid w:val="00FB2099"/>
    <w:rsid w:val="00FB234D"/>
    <w:rsid w:val="00FB237F"/>
    <w:rsid w:val="00FB238A"/>
    <w:rsid w:val="00FB2446"/>
    <w:rsid w:val="00FB2BFB"/>
    <w:rsid w:val="00FB2C81"/>
    <w:rsid w:val="00FB2E72"/>
    <w:rsid w:val="00FB2EDC"/>
    <w:rsid w:val="00FB31CF"/>
    <w:rsid w:val="00FB335A"/>
    <w:rsid w:val="00FB33BA"/>
    <w:rsid w:val="00FB35CB"/>
    <w:rsid w:val="00FB382C"/>
    <w:rsid w:val="00FB3906"/>
    <w:rsid w:val="00FB3BC4"/>
    <w:rsid w:val="00FB3DEE"/>
    <w:rsid w:val="00FB3F9C"/>
    <w:rsid w:val="00FB3FDE"/>
    <w:rsid w:val="00FB40BC"/>
    <w:rsid w:val="00FB40E8"/>
    <w:rsid w:val="00FB43C2"/>
    <w:rsid w:val="00FB450C"/>
    <w:rsid w:val="00FB4676"/>
    <w:rsid w:val="00FB49B0"/>
    <w:rsid w:val="00FB4A1B"/>
    <w:rsid w:val="00FB4AAE"/>
    <w:rsid w:val="00FB4CCD"/>
    <w:rsid w:val="00FB5077"/>
    <w:rsid w:val="00FB52A6"/>
    <w:rsid w:val="00FB5402"/>
    <w:rsid w:val="00FB5500"/>
    <w:rsid w:val="00FB5552"/>
    <w:rsid w:val="00FB5789"/>
    <w:rsid w:val="00FB5A9E"/>
    <w:rsid w:val="00FB5BB4"/>
    <w:rsid w:val="00FB5C78"/>
    <w:rsid w:val="00FB5C85"/>
    <w:rsid w:val="00FB5C8B"/>
    <w:rsid w:val="00FB5CAB"/>
    <w:rsid w:val="00FB5F3A"/>
    <w:rsid w:val="00FB5F52"/>
    <w:rsid w:val="00FB609F"/>
    <w:rsid w:val="00FB60CD"/>
    <w:rsid w:val="00FB60DA"/>
    <w:rsid w:val="00FB6196"/>
    <w:rsid w:val="00FB62F3"/>
    <w:rsid w:val="00FB6329"/>
    <w:rsid w:val="00FB652A"/>
    <w:rsid w:val="00FB6647"/>
    <w:rsid w:val="00FB66D5"/>
    <w:rsid w:val="00FB6757"/>
    <w:rsid w:val="00FB675E"/>
    <w:rsid w:val="00FB6791"/>
    <w:rsid w:val="00FB68CA"/>
    <w:rsid w:val="00FB68CD"/>
    <w:rsid w:val="00FB6A6B"/>
    <w:rsid w:val="00FB6AA9"/>
    <w:rsid w:val="00FB6AD4"/>
    <w:rsid w:val="00FB6B11"/>
    <w:rsid w:val="00FB6C40"/>
    <w:rsid w:val="00FB6D5C"/>
    <w:rsid w:val="00FB7084"/>
    <w:rsid w:val="00FB70FE"/>
    <w:rsid w:val="00FB7297"/>
    <w:rsid w:val="00FB7388"/>
    <w:rsid w:val="00FB7683"/>
    <w:rsid w:val="00FB7742"/>
    <w:rsid w:val="00FB7AF7"/>
    <w:rsid w:val="00FB7D3C"/>
    <w:rsid w:val="00FB7E7C"/>
    <w:rsid w:val="00FB7F22"/>
    <w:rsid w:val="00FC00AA"/>
    <w:rsid w:val="00FC00F3"/>
    <w:rsid w:val="00FC02FC"/>
    <w:rsid w:val="00FC0336"/>
    <w:rsid w:val="00FC06F1"/>
    <w:rsid w:val="00FC097C"/>
    <w:rsid w:val="00FC0A33"/>
    <w:rsid w:val="00FC0DDE"/>
    <w:rsid w:val="00FC10B0"/>
    <w:rsid w:val="00FC1416"/>
    <w:rsid w:val="00FC14B2"/>
    <w:rsid w:val="00FC1672"/>
    <w:rsid w:val="00FC1823"/>
    <w:rsid w:val="00FC18BD"/>
    <w:rsid w:val="00FC1929"/>
    <w:rsid w:val="00FC1BEF"/>
    <w:rsid w:val="00FC1C94"/>
    <w:rsid w:val="00FC1E63"/>
    <w:rsid w:val="00FC2182"/>
    <w:rsid w:val="00FC2198"/>
    <w:rsid w:val="00FC2286"/>
    <w:rsid w:val="00FC243F"/>
    <w:rsid w:val="00FC26A4"/>
    <w:rsid w:val="00FC2A57"/>
    <w:rsid w:val="00FC2ACB"/>
    <w:rsid w:val="00FC2C3E"/>
    <w:rsid w:val="00FC2C93"/>
    <w:rsid w:val="00FC2EC4"/>
    <w:rsid w:val="00FC2F17"/>
    <w:rsid w:val="00FC2F61"/>
    <w:rsid w:val="00FC313E"/>
    <w:rsid w:val="00FC325A"/>
    <w:rsid w:val="00FC331B"/>
    <w:rsid w:val="00FC33ED"/>
    <w:rsid w:val="00FC3626"/>
    <w:rsid w:val="00FC3636"/>
    <w:rsid w:val="00FC378A"/>
    <w:rsid w:val="00FC37A4"/>
    <w:rsid w:val="00FC394A"/>
    <w:rsid w:val="00FC3A4E"/>
    <w:rsid w:val="00FC43AD"/>
    <w:rsid w:val="00FC43F3"/>
    <w:rsid w:val="00FC4460"/>
    <w:rsid w:val="00FC447C"/>
    <w:rsid w:val="00FC44D5"/>
    <w:rsid w:val="00FC486D"/>
    <w:rsid w:val="00FC4961"/>
    <w:rsid w:val="00FC4E41"/>
    <w:rsid w:val="00FC5129"/>
    <w:rsid w:val="00FC5183"/>
    <w:rsid w:val="00FC53F5"/>
    <w:rsid w:val="00FC54E1"/>
    <w:rsid w:val="00FC556C"/>
    <w:rsid w:val="00FC5876"/>
    <w:rsid w:val="00FC588C"/>
    <w:rsid w:val="00FC5CFA"/>
    <w:rsid w:val="00FC5F12"/>
    <w:rsid w:val="00FC600D"/>
    <w:rsid w:val="00FC6078"/>
    <w:rsid w:val="00FC6209"/>
    <w:rsid w:val="00FC62F5"/>
    <w:rsid w:val="00FC63A5"/>
    <w:rsid w:val="00FC63DE"/>
    <w:rsid w:val="00FC64DA"/>
    <w:rsid w:val="00FC6717"/>
    <w:rsid w:val="00FC679E"/>
    <w:rsid w:val="00FC68DF"/>
    <w:rsid w:val="00FC6B1E"/>
    <w:rsid w:val="00FC6D78"/>
    <w:rsid w:val="00FC6DC3"/>
    <w:rsid w:val="00FC6DD1"/>
    <w:rsid w:val="00FC6E98"/>
    <w:rsid w:val="00FC6F89"/>
    <w:rsid w:val="00FC6FCD"/>
    <w:rsid w:val="00FC731D"/>
    <w:rsid w:val="00FC731E"/>
    <w:rsid w:val="00FC740C"/>
    <w:rsid w:val="00FC75AC"/>
    <w:rsid w:val="00FC7622"/>
    <w:rsid w:val="00FC77EB"/>
    <w:rsid w:val="00FC7BB2"/>
    <w:rsid w:val="00FC7CAF"/>
    <w:rsid w:val="00FC7D0A"/>
    <w:rsid w:val="00FD001C"/>
    <w:rsid w:val="00FD0084"/>
    <w:rsid w:val="00FD01D1"/>
    <w:rsid w:val="00FD035A"/>
    <w:rsid w:val="00FD0A7C"/>
    <w:rsid w:val="00FD0ACD"/>
    <w:rsid w:val="00FD0CA3"/>
    <w:rsid w:val="00FD0E4A"/>
    <w:rsid w:val="00FD0F4E"/>
    <w:rsid w:val="00FD1205"/>
    <w:rsid w:val="00FD15CE"/>
    <w:rsid w:val="00FD1651"/>
    <w:rsid w:val="00FD1685"/>
    <w:rsid w:val="00FD1813"/>
    <w:rsid w:val="00FD19F1"/>
    <w:rsid w:val="00FD1A7E"/>
    <w:rsid w:val="00FD1AB7"/>
    <w:rsid w:val="00FD1BA5"/>
    <w:rsid w:val="00FD1C93"/>
    <w:rsid w:val="00FD1E74"/>
    <w:rsid w:val="00FD1EBF"/>
    <w:rsid w:val="00FD1F7B"/>
    <w:rsid w:val="00FD2065"/>
    <w:rsid w:val="00FD2511"/>
    <w:rsid w:val="00FD255A"/>
    <w:rsid w:val="00FD279E"/>
    <w:rsid w:val="00FD293C"/>
    <w:rsid w:val="00FD2A56"/>
    <w:rsid w:val="00FD2A64"/>
    <w:rsid w:val="00FD2BB1"/>
    <w:rsid w:val="00FD2CC3"/>
    <w:rsid w:val="00FD2D80"/>
    <w:rsid w:val="00FD2F9F"/>
    <w:rsid w:val="00FD2FAA"/>
    <w:rsid w:val="00FD2FFA"/>
    <w:rsid w:val="00FD31BF"/>
    <w:rsid w:val="00FD3248"/>
    <w:rsid w:val="00FD35A1"/>
    <w:rsid w:val="00FD3637"/>
    <w:rsid w:val="00FD363C"/>
    <w:rsid w:val="00FD36CA"/>
    <w:rsid w:val="00FD379F"/>
    <w:rsid w:val="00FD3BEE"/>
    <w:rsid w:val="00FD3CC7"/>
    <w:rsid w:val="00FD3F83"/>
    <w:rsid w:val="00FD401D"/>
    <w:rsid w:val="00FD4148"/>
    <w:rsid w:val="00FD43BB"/>
    <w:rsid w:val="00FD4428"/>
    <w:rsid w:val="00FD4506"/>
    <w:rsid w:val="00FD4630"/>
    <w:rsid w:val="00FD46B4"/>
    <w:rsid w:val="00FD4728"/>
    <w:rsid w:val="00FD47C8"/>
    <w:rsid w:val="00FD484D"/>
    <w:rsid w:val="00FD49C9"/>
    <w:rsid w:val="00FD4D5B"/>
    <w:rsid w:val="00FD4DC2"/>
    <w:rsid w:val="00FD4EA3"/>
    <w:rsid w:val="00FD507C"/>
    <w:rsid w:val="00FD538F"/>
    <w:rsid w:val="00FD54FE"/>
    <w:rsid w:val="00FD56F4"/>
    <w:rsid w:val="00FD5A9A"/>
    <w:rsid w:val="00FD5AE9"/>
    <w:rsid w:val="00FD5BDE"/>
    <w:rsid w:val="00FD6022"/>
    <w:rsid w:val="00FD6373"/>
    <w:rsid w:val="00FD6453"/>
    <w:rsid w:val="00FD6503"/>
    <w:rsid w:val="00FD662C"/>
    <w:rsid w:val="00FD6685"/>
    <w:rsid w:val="00FD67FD"/>
    <w:rsid w:val="00FD6B31"/>
    <w:rsid w:val="00FD6C3D"/>
    <w:rsid w:val="00FD6C56"/>
    <w:rsid w:val="00FD6D27"/>
    <w:rsid w:val="00FD6DA4"/>
    <w:rsid w:val="00FD6E27"/>
    <w:rsid w:val="00FD6FE6"/>
    <w:rsid w:val="00FD70FB"/>
    <w:rsid w:val="00FD714E"/>
    <w:rsid w:val="00FD71DE"/>
    <w:rsid w:val="00FD72AA"/>
    <w:rsid w:val="00FD7399"/>
    <w:rsid w:val="00FD7536"/>
    <w:rsid w:val="00FD768B"/>
    <w:rsid w:val="00FD77DF"/>
    <w:rsid w:val="00FD7C8C"/>
    <w:rsid w:val="00FD7CB2"/>
    <w:rsid w:val="00FD7D46"/>
    <w:rsid w:val="00FD7D8B"/>
    <w:rsid w:val="00FD7EEF"/>
    <w:rsid w:val="00FE03CF"/>
    <w:rsid w:val="00FE040E"/>
    <w:rsid w:val="00FE04DB"/>
    <w:rsid w:val="00FE0550"/>
    <w:rsid w:val="00FE08BE"/>
    <w:rsid w:val="00FE0A68"/>
    <w:rsid w:val="00FE0AF2"/>
    <w:rsid w:val="00FE0C72"/>
    <w:rsid w:val="00FE0D80"/>
    <w:rsid w:val="00FE10EF"/>
    <w:rsid w:val="00FE15EA"/>
    <w:rsid w:val="00FE1631"/>
    <w:rsid w:val="00FE1644"/>
    <w:rsid w:val="00FE17CB"/>
    <w:rsid w:val="00FE17F3"/>
    <w:rsid w:val="00FE184E"/>
    <w:rsid w:val="00FE1964"/>
    <w:rsid w:val="00FE1B30"/>
    <w:rsid w:val="00FE1C47"/>
    <w:rsid w:val="00FE1ECA"/>
    <w:rsid w:val="00FE1EDE"/>
    <w:rsid w:val="00FE1F2B"/>
    <w:rsid w:val="00FE1F54"/>
    <w:rsid w:val="00FE202B"/>
    <w:rsid w:val="00FE2081"/>
    <w:rsid w:val="00FE20C1"/>
    <w:rsid w:val="00FE2139"/>
    <w:rsid w:val="00FE21D1"/>
    <w:rsid w:val="00FE21F9"/>
    <w:rsid w:val="00FE22DD"/>
    <w:rsid w:val="00FE239F"/>
    <w:rsid w:val="00FE23A5"/>
    <w:rsid w:val="00FE24F7"/>
    <w:rsid w:val="00FE2502"/>
    <w:rsid w:val="00FE25E6"/>
    <w:rsid w:val="00FE26AE"/>
    <w:rsid w:val="00FE27C5"/>
    <w:rsid w:val="00FE29A1"/>
    <w:rsid w:val="00FE2B15"/>
    <w:rsid w:val="00FE2CFB"/>
    <w:rsid w:val="00FE2DB2"/>
    <w:rsid w:val="00FE2F6A"/>
    <w:rsid w:val="00FE345A"/>
    <w:rsid w:val="00FE35E2"/>
    <w:rsid w:val="00FE362F"/>
    <w:rsid w:val="00FE37A1"/>
    <w:rsid w:val="00FE39B3"/>
    <w:rsid w:val="00FE3AFC"/>
    <w:rsid w:val="00FE4191"/>
    <w:rsid w:val="00FE43D3"/>
    <w:rsid w:val="00FE45D4"/>
    <w:rsid w:val="00FE4764"/>
    <w:rsid w:val="00FE482F"/>
    <w:rsid w:val="00FE4A60"/>
    <w:rsid w:val="00FE4BBF"/>
    <w:rsid w:val="00FE4BF8"/>
    <w:rsid w:val="00FE4C10"/>
    <w:rsid w:val="00FE4D5A"/>
    <w:rsid w:val="00FE4F85"/>
    <w:rsid w:val="00FE5027"/>
    <w:rsid w:val="00FE514A"/>
    <w:rsid w:val="00FE516E"/>
    <w:rsid w:val="00FE528B"/>
    <w:rsid w:val="00FE528D"/>
    <w:rsid w:val="00FE52C2"/>
    <w:rsid w:val="00FE52D3"/>
    <w:rsid w:val="00FE53FC"/>
    <w:rsid w:val="00FE5454"/>
    <w:rsid w:val="00FE54E0"/>
    <w:rsid w:val="00FE558A"/>
    <w:rsid w:val="00FE55F0"/>
    <w:rsid w:val="00FE5834"/>
    <w:rsid w:val="00FE5B0A"/>
    <w:rsid w:val="00FE5D5A"/>
    <w:rsid w:val="00FE5DE1"/>
    <w:rsid w:val="00FE5ECA"/>
    <w:rsid w:val="00FE60B9"/>
    <w:rsid w:val="00FE60CF"/>
    <w:rsid w:val="00FE6331"/>
    <w:rsid w:val="00FE648C"/>
    <w:rsid w:val="00FE65BC"/>
    <w:rsid w:val="00FE67C6"/>
    <w:rsid w:val="00FE685B"/>
    <w:rsid w:val="00FE6C12"/>
    <w:rsid w:val="00FE70DA"/>
    <w:rsid w:val="00FE7284"/>
    <w:rsid w:val="00FE7459"/>
    <w:rsid w:val="00FE7623"/>
    <w:rsid w:val="00FE7678"/>
    <w:rsid w:val="00FE7702"/>
    <w:rsid w:val="00FE7767"/>
    <w:rsid w:val="00FE782B"/>
    <w:rsid w:val="00FE7894"/>
    <w:rsid w:val="00FE7E88"/>
    <w:rsid w:val="00FF01FA"/>
    <w:rsid w:val="00FF035B"/>
    <w:rsid w:val="00FF046F"/>
    <w:rsid w:val="00FF0552"/>
    <w:rsid w:val="00FF080B"/>
    <w:rsid w:val="00FF0B20"/>
    <w:rsid w:val="00FF0B83"/>
    <w:rsid w:val="00FF0BA5"/>
    <w:rsid w:val="00FF0D92"/>
    <w:rsid w:val="00FF0E37"/>
    <w:rsid w:val="00FF1581"/>
    <w:rsid w:val="00FF1614"/>
    <w:rsid w:val="00FF1616"/>
    <w:rsid w:val="00FF194C"/>
    <w:rsid w:val="00FF1A38"/>
    <w:rsid w:val="00FF1C71"/>
    <w:rsid w:val="00FF2065"/>
    <w:rsid w:val="00FF21B5"/>
    <w:rsid w:val="00FF21C3"/>
    <w:rsid w:val="00FF2443"/>
    <w:rsid w:val="00FF24BF"/>
    <w:rsid w:val="00FF27BA"/>
    <w:rsid w:val="00FF27E3"/>
    <w:rsid w:val="00FF2982"/>
    <w:rsid w:val="00FF2A11"/>
    <w:rsid w:val="00FF2AA0"/>
    <w:rsid w:val="00FF2CA9"/>
    <w:rsid w:val="00FF2CB2"/>
    <w:rsid w:val="00FF2E08"/>
    <w:rsid w:val="00FF2E77"/>
    <w:rsid w:val="00FF2F12"/>
    <w:rsid w:val="00FF2FA2"/>
    <w:rsid w:val="00FF3444"/>
    <w:rsid w:val="00FF34A3"/>
    <w:rsid w:val="00FF354A"/>
    <w:rsid w:val="00FF3602"/>
    <w:rsid w:val="00FF386E"/>
    <w:rsid w:val="00FF38E6"/>
    <w:rsid w:val="00FF3A1D"/>
    <w:rsid w:val="00FF3BBA"/>
    <w:rsid w:val="00FF3D36"/>
    <w:rsid w:val="00FF3F6C"/>
    <w:rsid w:val="00FF408A"/>
    <w:rsid w:val="00FF427B"/>
    <w:rsid w:val="00FF447D"/>
    <w:rsid w:val="00FF4603"/>
    <w:rsid w:val="00FF497E"/>
    <w:rsid w:val="00FF4B07"/>
    <w:rsid w:val="00FF4B20"/>
    <w:rsid w:val="00FF4BFC"/>
    <w:rsid w:val="00FF4C11"/>
    <w:rsid w:val="00FF5606"/>
    <w:rsid w:val="00FF562C"/>
    <w:rsid w:val="00FF56B9"/>
    <w:rsid w:val="00FF57E8"/>
    <w:rsid w:val="00FF5850"/>
    <w:rsid w:val="00FF58C0"/>
    <w:rsid w:val="00FF5948"/>
    <w:rsid w:val="00FF5C15"/>
    <w:rsid w:val="00FF5ECC"/>
    <w:rsid w:val="00FF6031"/>
    <w:rsid w:val="00FF60EC"/>
    <w:rsid w:val="00FF613E"/>
    <w:rsid w:val="00FF63AA"/>
    <w:rsid w:val="00FF65F8"/>
    <w:rsid w:val="00FF6768"/>
    <w:rsid w:val="00FF685A"/>
    <w:rsid w:val="00FF69AB"/>
    <w:rsid w:val="00FF69EE"/>
    <w:rsid w:val="00FF6A34"/>
    <w:rsid w:val="00FF6B71"/>
    <w:rsid w:val="00FF6EDF"/>
    <w:rsid w:val="00FF6EEA"/>
    <w:rsid w:val="00FF7080"/>
    <w:rsid w:val="00FF7150"/>
    <w:rsid w:val="00FF73C3"/>
    <w:rsid w:val="00FF7560"/>
    <w:rsid w:val="00FF7614"/>
    <w:rsid w:val="00FF764A"/>
    <w:rsid w:val="00FF7777"/>
    <w:rsid w:val="00FF77DF"/>
    <w:rsid w:val="00FF782D"/>
    <w:rsid w:val="00FF7A18"/>
    <w:rsid w:val="00FF7A55"/>
    <w:rsid w:val="00FF7A72"/>
    <w:rsid w:val="00FF7AA6"/>
    <w:rsid w:val="00FF7ABB"/>
    <w:rsid w:val="00FF7B99"/>
    <w:rsid w:val="00FF7C26"/>
    <w:rsid w:val="00FF7E0F"/>
    <w:rsid w:val="0111FBB7"/>
    <w:rsid w:val="0114ADD0"/>
    <w:rsid w:val="0117CA5B"/>
    <w:rsid w:val="01270CF4"/>
    <w:rsid w:val="01343F20"/>
    <w:rsid w:val="014A6FC6"/>
    <w:rsid w:val="015B65C9"/>
    <w:rsid w:val="01754E17"/>
    <w:rsid w:val="01A1C88B"/>
    <w:rsid w:val="01A932F5"/>
    <w:rsid w:val="01AE3BD8"/>
    <w:rsid w:val="01C052E2"/>
    <w:rsid w:val="01F00396"/>
    <w:rsid w:val="01FA2D0C"/>
    <w:rsid w:val="01FE1E03"/>
    <w:rsid w:val="020BDCF2"/>
    <w:rsid w:val="02112149"/>
    <w:rsid w:val="02130C82"/>
    <w:rsid w:val="021D9A91"/>
    <w:rsid w:val="0223937E"/>
    <w:rsid w:val="0243178A"/>
    <w:rsid w:val="025ABBDB"/>
    <w:rsid w:val="0264DBD7"/>
    <w:rsid w:val="0269C73C"/>
    <w:rsid w:val="027CDB1F"/>
    <w:rsid w:val="0285D76A"/>
    <w:rsid w:val="02882BDC"/>
    <w:rsid w:val="028B6C81"/>
    <w:rsid w:val="028FBC09"/>
    <w:rsid w:val="02960CA4"/>
    <w:rsid w:val="029BB036"/>
    <w:rsid w:val="02A13A94"/>
    <w:rsid w:val="02B918FD"/>
    <w:rsid w:val="02C05FDA"/>
    <w:rsid w:val="02DB0C0B"/>
    <w:rsid w:val="032B5F90"/>
    <w:rsid w:val="032EC04D"/>
    <w:rsid w:val="034A5593"/>
    <w:rsid w:val="0368C96E"/>
    <w:rsid w:val="037D9BEA"/>
    <w:rsid w:val="038E585B"/>
    <w:rsid w:val="039AD075"/>
    <w:rsid w:val="03AD87FC"/>
    <w:rsid w:val="03C5AE38"/>
    <w:rsid w:val="03D55FA6"/>
    <w:rsid w:val="03DBBF2B"/>
    <w:rsid w:val="03E64B2F"/>
    <w:rsid w:val="03F6B39D"/>
    <w:rsid w:val="03FE6359"/>
    <w:rsid w:val="040E4D40"/>
    <w:rsid w:val="04222899"/>
    <w:rsid w:val="042A6AFE"/>
    <w:rsid w:val="0441BF6F"/>
    <w:rsid w:val="045119C5"/>
    <w:rsid w:val="04672E42"/>
    <w:rsid w:val="04744712"/>
    <w:rsid w:val="049D6F42"/>
    <w:rsid w:val="049E0968"/>
    <w:rsid w:val="04B2789C"/>
    <w:rsid w:val="04BAC353"/>
    <w:rsid w:val="04BEFC80"/>
    <w:rsid w:val="04D82AEF"/>
    <w:rsid w:val="050EEDB6"/>
    <w:rsid w:val="051B370A"/>
    <w:rsid w:val="05347884"/>
    <w:rsid w:val="053EDD37"/>
    <w:rsid w:val="054DD3B2"/>
    <w:rsid w:val="055F0B5D"/>
    <w:rsid w:val="056483FB"/>
    <w:rsid w:val="05672AB9"/>
    <w:rsid w:val="0571910F"/>
    <w:rsid w:val="0583159D"/>
    <w:rsid w:val="058AD748"/>
    <w:rsid w:val="05A78359"/>
    <w:rsid w:val="05AB22E5"/>
    <w:rsid w:val="05C850CF"/>
    <w:rsid w:val="05E4268B"/>
    <w:rsid w:val="05E80BC4"/>
    <w:rsid w:val="06415610"/>
    <w:rsid w:val="06509ADA"/>
    <w:rsid w:val="0650B9EE"/>
    <w:rsid w:val="0677C769"/>
    <w:rsid w:val="0689BECF"/>
    <w:rsid w:val="06A76BF3"/>
    <w:rsid w:val="06E07830"/>
    <w:rsid w:val="06E7E761"/>
    <w:rsid w:val="06FB9425"/>
    <w:rsid w:val="07099771"/>
    <w:rsid w:val="07555A57"/>
    <w:rsid w:val="07617E81"/>
    <w:rsid w:val="07912E70"/>
    <w:rsid w:val="079398B0"/>
    <w:rsid w:val="0796CEBC"/>
    <w:rsid w:val="07A1CB49"/>
    <w:rsid w:val="07A7E1C9"/>
    <w:rsid w:val="07ADD7E3"/>
    <w:rsid w:val="07CB05FA"/>
    <w:rsid w:val="07D3D141"/>
    <w:rsid w:val="07DEC2F7"/>
    <w:rsid w:val="07E2D5A1"/>
    <w:rsid w:val="080D93A3"/>
    <w:rsid w:val="08368D29"/>
    <w:rsid w:val="0837FF9C"/>
    <w:rsid w:val="08457F23"/>
    <w:rsid w:val="08493F02"/>
    <w:rsid w:val="084F6B98"/>
    <w:rsid w:val="0862BE31"/>
    <w:rsid w:val="08BA45F8"/>
    <w:rsid w:val="08D0F15B"/>
    <w:rsid w:val="08DC07B5"/>
    <w:rsid w:val="08EBEBC4"/>
    <w:rsid w:val="08FC6A83"/>
    <w:rsid w:val="090D5090"/>
    <w:rsid w:val="0931B97D"/>
    <w:rsid w:val="093E90A6"/>
    <w:rsid w:val="0969BF40"/>
    <w:rsid w:val="096F9C53"/>
    <w:rsid w:val="09753E3E"/>
    <w:rsid w:val="0979674F"/>
    <w:rsid w:val="0984C8E7"/>
    <w:rsid w:val="09B600AA"/>
    <w:rsid w:val="09B837C7"/>
    <w:rsid w:val="09BF1C25"/>
    <w:rsid w:val="09D94126"/>
    <w:rsid w:val="09DD05D6"/>
    <w:rsid w:val="0A124E5A"/>
    <w:rsid w:val="0A1C12AC"/>
    <w:rsid w:val="0A26EBBC"/>
    <w:rsid w:val="0A2ECB14"/>
    <w:rsid w:val="0A2FEC3E"/>
    <w:rsid w:val="0A3D03C8"/>
    <w:rsid w:val="0A439151"/>
    <w:rsid w:val="0A4B8BC5"/>
    <w:rsid w:val="0A5166C8"/>
    <w:rsid w:val="0A5296EA"/>
    <w:rsid w:val="0A675008"/>
    <w:rsid w:val="0A6756E2"/>
    <w:rsid w:val="0A808425"/>
    <w:rsid w:val="0AA4B197"/>
    <w:rsid w:val="0AD828F5"/>
    <w:rsid w:val="0AD8E9A1"/>
    <w:rsid w:val="0AEA42BB"/>
    <w:rsid w:val="0B08913B"/>
    <w:rsid w:val="0B290586"/>
    <w:rsid w:val="0B2E1BB7"/>
    <w:rsid w:val="0B37138B"/>
    <w:rsid w:val="0B4330C9"/>
    <w:rsid w:val="0B46100E"/>
    <w:rsid w:val="0B49E411"/>
    <w:rsid w:val="0B4F0D82"/>
    <w:rsid w:val="0B5DD0B0"/>
    <w:rsid w:val="0B659037"/>
    <w:rsid w:val="0B739192"/>
    <w:rsid w:val="0BCFE0D5"/>
    <w:rsid w:val="0C01634F"/>
    <w:rsid w:val="0C09A87E"/>
    <w:rsid w:val="0C10A8F6"/>
    <w:rsid w:val="0C238C86"/>
    <w:rsid w:val="0C43E38F"/>
    <w:rsid w:val="0C52E507"/>
    <w:rsid w:val="0C615966"/>
    <w:rsid w:val="0C622A8F"/>
    <w:rsid w:val="0C642094"/>
    <w:rsid w:val="0C6F6A52"/>
    <w:rsid w:val="0C74B6B6"/>
    <w:rsid w:val="0C8179C4"/>
    <w:rsid w:val="0C838AE3"/>
    <w:rsid w:val="0C8DE1D9"/>
    <w:rsid w:val="0CA55DF4"/>
    <w:rsid w:val="0CDB8991"/>
    <w:rsid w:val="0CEB83B2"/>
    <w:rsid w:val="0CF47952"/>
    <w:rsid w:val="0CF68692"/>
    <w:rsid w:val="0CF78354"/>
    <w:rsid w:val="0D032742"/>
    <w:rsid w:val="0D11F09A"/>
    <w:rsid w:val="0D34AA0E"/>
    <w:rsid w:val="0D351F75"/>
    <w:rsid w:val="0D381F47"/>
    <w:rsid w:val="0D383808"/>
    <w:rsid w:val="0D479656"/>
    <w:rsid w:val="0D54DF4A"/>
    <w:rsid w:val="0D697914"/>
    <w:rsid w:val="0D6F7A86"/>
    <w:rsid w:val="0D79259E"/>
    <w:rsid w:val="0D7A0E87"/>
    <w:rsid w:val="0D9F6D7A"/>
    <w:rsid w:val="0DA4241C"/>
    <w:rsid w:val="0DA56838"/>
    <w:rsid w:val="0DA92643"/>
    <w:rsid w:val="0DB6375E"/>
    <w:rsid w:val="0DC8D637"/>
    <w:rsid w:val="0DF728C4"/>
    <w:rsid w:val="0E099BE8"/>
    <w:rsid w:val="0E0B8043"/>
    <w:rsid w:val="0E0FF16F"/>
    <w:rsid w:val="0E1D34FD"/>
    <w:rsid w:val="0E2E4FAB"/>
    <w:rsid w:val="0E2FF667"/>
    <w:rsid w:val="0E3C293D"/>
    <w:rsid w:val="0E621146"/>
    <w:rsid w:val="0E79ABCF"/>
    <w:rsid w:val="0E976AAB"/>
    <w:rsid w:val="0EAC6E7A"/>
    <w:rsid w:val="0EAD3646"/>
    <w:rsid w:val="0EAD4CD3"/>
    <w:rsid w:val="0EB2DAA4"/>
    <w:rsid w:val="0EB55E41"/>
    <w:rsid w:val="0EBE09B4"/>
    <w:rsid w:val="0EC8262F"/>
    <w:rsid w:val="0EF81DAB"/>
    <w:rsid w:val="0F167B7B"/>
    <w:rsid w:val="0F27EFF4"/>
    <w:rsid w:val="0F458EF1"/>
    <w:rsid w:val="0F4AF7D9"/>
    <w:rsid w:val="0F4EED24"/>
    <w:rsid w:val="0F63DA2F"/>
    <w:rsid w:val="0F656DC6"/>
    <w:rsid w:val="0F6A363E"/>
    <w:rsid w:val="0F93153C"/>
    <w:rsid w:val="0FA78C4E"/>
    <w:rsid w:val="0FB09623"/>
    <w:rsid w:val="0FC1933C"/>
    <w:rsid w:val="0FDCD62F"/>
    <w:rsid w:val="0FFD33D2"/>
    <w:rsid w:val="10042335"/>
    <w:rsid w:val="10250283"/>
    <w:rsid w:val="1028CD0A"/>
    <w:rsid w:val="10331F40"/>
    <w:rsid w:val="10359431"/>
    <w:rsid w:val="103AA7DC"/>
    <w:rsid w:val="103E1ECE"/>
    <w:rsid w:val="104D9FD5"/>
    <w:rsid w:val="106C20E2"/>
    <w:rsid w:val="108F5263"/>
    <w:rsid w:val="10907938"/>
    <w:rsid w:val="1098457D"/>
    <w:rsid w:val="10ABB1A7"/>
    <w:rsid w:val="10C33CE7"/>
    <w:rsid w:val="10C68BEA"/>
    <w:rsid w:val="10C8E491"/>
    <w:rsid w:val="10D14621"/>
    <w:rsid w:val="10F9CBEC"/>
    <w:rsid w:val="10FE03A1"/>
    <w:rsid w:val="11249FD9"/>
    <w:rsid w:val="11365AF4"/>
    <w:rsid w:val="11508A08"/>
    <w:rsid w:val="117697C6"/>
    <w:rsid w:val="117BC59E"/>
    <w:rsid w:val="11C3F673"/>
    <w:rsid w:val="11CABAC2"/>
    <w:rsid w:val="11F00A07"/>
    <w:rsid w:val="11F0342F"/>
    <w:rsid w:val="11F51AC8"/>
    <w:rsid w:val="11FDBA0E"/>
    <w:rsid w:val="12133EEA"/>
    <w:rsid w:val="1215EC2A"/>
    <w:rsid w:val="1265C832"/>
    <w:rsid w:val="128329F9"/>
    <w:rsid w:val="12BB931D"/>
    <w:rsid w:val="12C814A6"/>
    <w:rsid w:val="12D43E4D"/>
    <w:rsid w:val="12D76D88"/>
    <w:rsid w:val="12DDF2B9"/>
    <w:rsid w:val="134D06BE"/>
    <w:rsid w:val="13507BC6"/>
    <w:rsid w:val="135DEB3C"/>
    <w:rsid w:val="138735AB"/>
    <w:rsid w:val="13A0C2EB"/>
    <w:rsid w:val="13B15D73"/>
    <w:rsid w:val="13CF65C5"/>
    <w:rsid w:val="13D43ECE"/>
    <w:rsid w:val="13E60942"/>
    <w:rsid w:val="13F678BA"/>
    <w:rsid w:val="13FD687A"/>
    <w:rsid w:val="13FF0E9C"/>
    <w:rsid w:val="14013A38"/>
    <w:rsid w:val="141F30D2"/>
    <w:rsid w:val="1422A839"/>
    <w:rsid w:val="1422B9A8"/>
    <w:rsid w:val="144AE7B8"/>
    <w:rsid w:val="145029D7"/>
    <w:rsid w:val="1454EB88"/>
    <w:rsid w:val="145B2D48"/>
    <w:rsid w:val="14604688"/>
    <w:rsid w:val="1471954F"/>
    <w:rsid w:val="14A1EC46"/>
    <w:rsid w:val="14A41FBA"/>
    <w:rsid w:val="14AE0CA6"/>
    <w:rsid w:val="14C0E0C0"/>
    <w:rsid w:val="14C11DC8"/>
    <w:rsid w:val="14C6DFF9"/>
    <w:rsid w:val="14CD8410"/>
    <w:rsid w:val="14E4B819"/>
    <w:rsid w:val="14EE2E3A"/>
    <w:rsid w:val="14FE74CD"/>
    <w:rsid w:val="1505E84E"/>
    <w:rsid w:val="1516D2E1"/>
    <w:rsid w:val="151DF61E"/>
    <w:rsid w:val="15257A46"/>
    <w:rsid w:val="153A85CF"/>
    <w:rsid w:val="154FC75E"/>
    <w:rsid w:val="15533ED4"/>
    <w:rsid w:val="155BE7C2"/>
    <w:rsid w:val="15618F04"/>
    <w:rsid w:val="1581422B"/>
    <w:rsid w:val="1583C4EB"/>
    <w:rsid w:val="159E2346"/>
    <w:rsid w:val="15AF83D3"/>
    <w:rsid w:val="15CA6ECC"/>
    <w:rsid w:val="15CE23E4"/>
    <w:rsid w:val="15CEAC8E"/>
    <w:rsid w:val="15D770F6"/>
    <w:rsid w:val="15DAFFC6"/>
    <w:rsid w:val="15DD7114"/>
    <w:rsid w:val="15E9146A"/>
    <w:rsid w:val="15E98E8F"/>
    <w:rsid w:val="15F503F2"/>
    <w:rsid w:val="16043F9D"/>
    <w:rsid w:val="160E2A48"/>
    <w:rsid w:val="162D2DDA"/>
    <w:rsid w:val="1637A769"/>
    <w:rsid w:val="16554E3F"/>
    <w:rsid w:val="165B62A2"/>
    <w:rsid w:val="1660B721"/>
    <w:rsid w:val="1664DD0B"/>
    <w:rsid w:val="16775014"/>
    <w:rsid w:val="168FED4B"/>
    <w:rsid w:val="16932B6C"/>
    <w:rsid w:val="1699B731"/>
    <w:rsid w:val="169E8AD3"/>
    <w:rsid w:val="16AB8B98"/>
    <w:rsid w:val="16AD1F2F"/>
    <w:rsid w:val="16D40358"/>
    <w:rsid w:val="16E68698"/>
    <w:rsid w:val="16F22CE3"/>
    <w:rsid w:val="16FEB941"/>
    <w:rsid w:val="17005CDC"/>
    <w:rsid w:val="1717E888"/>
    <w:rsid w:val="174B6240"/>
    <w:rsid w:val="1769C9F3"/>
    <w:rsid w:val="17746305"/>
    <w:rsid w:val="177BCD1D"/>
    <w:rsid w:val="1787E103"/>
    <w:rsid w:val="178D054D"/>
    <w:rsid w:val="178D8869"/>
    <w:rsid w:val="179A2C0C"/>
    <w:rsid w:val="17A074A5"/>
    <w:rsid w:val="17D0861F"/>
    <w:rsid w:val="17D7F6D9"/>
    <w:rsid w:val="17E7ED05"/>
    <w:rsid w:val="17EF26EE"/>
    <w:rsid w:val="17F7DE2F"/>
    <w:rsid w:val="182A6830"/>
    <w:rsid w:val="183C219C"/>
    <w:rsid w:val="18487639"/>
    <w:rsid w:val="1861E51C"/>
    <w:rsid w:val="18640524"/>
    <w:rsid w:val="1871EC8A"/>
    <w:rsid w:val="1871F18F"/>
    <w:rsid w:val="189075C6"/>
    <w:rsid w:val="18943798"/>
    <w:rsid w:val="18AF91E4"/>
    <w:rsid w:val="18BB65AD"/>
    <w:rsid w:val="18CE6284"/>
    <w:rsid w:val="18D7054B"/>
    <w:rsid w:val="18E00A31"/>
    <w:rsid w:val="18EB5964"/>
    <w:rsid w:val="190C9C8B"/>
    <w:rsid w:val="194107A6"/>
    <w:rsid w:val="1958668D"/>
    <w:rsid w:val="19765755"/>
    <w:rsid w:val="197E9A35"/>
    <w:rsid w:val="19824B91"/>
    <w:rsid w:val="1987A1FB"/>
    <w:rsid w:val="1987C7BA"/>
    <w:rsid w:val="199B79EB"/>
    <w:rsid w:val="19A5C5CF"/>
    <w:rsid w:val="19BDF357"/>
    <w:rsid w:val="19BE5FA1"/>
    <w:rsid w:val="19FD420A"/>
    <w:rsid w:val="1A12791B"/>
    <w:rsid w:val="1A19A765"/>
    <w:rsid w:val="1A42A0D9"/>
    <w:rsid w:val="1A4B2021"/>
    <w:rsid w:val="1A4FA136"/>
    <w:rsid w:val="1A5C3650"/>
    <w:rsid w:val="1A62E807"/>
    <w:rsid w:val="1A650B4F"/>
    <w:rsid w:val="1A705E6B"/>
    <w:rsid w:val="1A7A9905"/>
    <w:rsid w:val="1A905127"/>
    <w:rsid w:val="1AAA7560"/>
    <w:rsid w:val="1AB5613F"/>
    <w:rsid w:val="1AD643B9"/>
    <w:rsid w:val="1AD86D18"/>
    <w:rsid w:val="1AF1EBAE"/>
    <w:rsid w:val="1AF72A29"/>
    <w:rsid w:val="1AFE009C"/>
    <w:rsid w:val="1B0DDD2B"/>
    <w:rsid w:val="1B1DF977"/>
    <w:rsid w:val="1B27F20B"/>
    <w:rsid w:val="1B28DB79"/>
    <w:rsid w:val="1B398B86"/>
    <w:rsid w:val="1B3BA70B"/>
    <w:rsid w:val="1B3C3656"/>
    <w:rsid w:val="1B46AE1F"/>
    <w:rsid w:val="1B4A916E"/>
    <w:rsid w:val="1B7D5E1D"/>
    <w:rsid w:val="1B7FBE2E"/>
    <w:rsid w:val="1B83FFE2"/>
    <w:rsid w:val="1B856512"/>
    <w:rsid w:val="1B88680C"/>
    <w:rsid w:val="1BAE8BFE"/>
    <w:rsid w:val="1BAFE439"/>
    <w:rsid w:val="1BC641C7"/>
    <w:rsid w:val="1BC753B2"/>
    <w:rsid w:val="1BD01E96"/>
    <w:rsid w:val="1BD06AE6"/>
    <w:rsid w:val="1BDF16AE"/>
    <w:rsid w:val="1BE9B7C4"/>
    <w:rsid w:val="1C042CC1"/>
    <w:rsid w:val="1C06DB14"/>
    <w:rsid w:val="1C0AEF74"/>
    <w:rsid w:val="1C2D5885"/>
    <w:rsid w:val="1C4A51D3"/>
    <w:rsid w:val="1C4C124A"/>
    <w:rsid w:val="1C579DB8"/>
    <w:rsid w:val="1C6CA1D7"/>
    <w:rsid w:val="1C6FF194"/>
    <w:rsid w:val="1C7B5117"/>
    <w:rsid w:val="1C84A8C2"/>
    <w:rsid w:val="1C903881"/>
    <w:rsid w:val="1C98D700"/>
    <w:rsid w:val="1CA822B7"/>
    <w:rsid w:val="1CC738AD"/>
    <w:rsid w:val="1CFD0931"/>
    <w:rsid w:val="1D345C3C"/>
    <w:rsid w:val="1D451254"/>
    <w:rsid w:val="1D54F572"/>
    <w:rsid w:val="1D61BAFE"/>
    <w:rsid w:val="1D8591C3"/>
    <w:rsid w:val="1D8AFB25"/>
    <w:rsid w:val="1DA31BD0"/>
    <w:rsid w:val="1DB7FA41"/>
    <w:rsid w:val="1DBF10DD"/>
    <w:rsid w:val="1DC1B738"/>
    <w:rsid w:val="1DC73DFD"/>
    <w:rsid w:val="1DD9CAB3"/>
    <w:rsid w:val="1DFAEF7D"/>
    <w:rsid w:val="1DFF4D19"/>
    <w:rsid w:val="1E0164CF"/>
    <w:rsid w:val="1E018F4A"/>
    <w:rsid w:val="1E03D5F6"/>
    <w:rsid w:val="1E18AA66"/>
    <w:rsid w:val="1E1F1BDB"/>
    <w:rsid w:val="1E27A282"/>
    <w:rsid w:val="1E53D5D9"/>
    <w:rsid w:val="1E802C34"/>
    <w:rsid w:val="1E853472"/>
    <w:rsid w:val="1E8BA2D1"/>
    <w:rsid w:val="1EA7DA9F"/>
    <w:rsid w:val="1ECA94BA"/>
    <w:rsid w:val="1EE63416"/>
    <w:rsid w:val="1EFA2A64"/>
    <w:rsid w:val="1F10F302"/>
    <w:rsid w:val="1F1940B4"/>
    <w:rsid w:val="1F19E5BB"/>
    <w:rsid w:val="1F1D21CB"/>
    <w:rsid w:val="1F4531CD"/>
    <w:rsid w:val="1F67A0D4"/>
    <w:rsid w:val="1F6E417B"/>
    <w:rsid w:val="1F798193"/>
    <w:rsid w:val="1F9E142F"/>
    <w:rsid w:val="1F9F2613"/>
    <w:rsid w:val="1FA21D8D"/>
    <w:rsid w:val="1FB37BEB"/>
    <w:rsid w:val="1FBE716D"/>
    <w:rsid w:val="1FE5720A"/>
    <w:rsid w:val="20022086"/>
    <w:rsid w:val="200FD331"/>
    <w:rsid w:val="205AECE5"/>
    <w:rsid w:val="205F3310"/>
    <w:rsid w:val="205FEA0F"/>
    <w:rsid w:val="2063FE94"/>
    <w:rsid w:val="2064BBDF"/>
    <w:rsid w:val="2076139F"/>
    <w:rsid w:val="20797DA5"/>
    <w:rsid w:val="208F8865"/>
    <w:rsid w:val="209CF730"/>
    <w:rsid w:val="20BBEDCD"/>
    <w:rsid w:val="20D7F525"/>
    <w:rsid w:val="20F69A86"/>
    <w:rsid w:val="21055F4B"/>
    <w:rsid w:val="211654D5"/>
    <w:rsid w:val="21273247"/>
    <w:rsid w:val="2131C339"/>
    <w:rsid w:val="21768C8D"/>
    <w:rsid w:val="218490C7"/>
    <w:rsid w:val="2188A78B"/>
    <w:rsid w:val="218B5996"/>
    <w:rsid w:val="219267E4"/>
    <w:rsid w:val="21AB2859"/>
    <w:rsid w:val="21B5A05C"/>
    <w:rsid w:val="21C9E3DB"/>
    <w:rsid w:val="21CB1DAB"/>
    <w:rsid w:val="21F13D34"/>
    <w:rsid w:val="22086F28"/>
    <w:rsid w:val="22329D47"/>
    <w:rsid w:val="2232B064"/>
    <w:rsid w:val="2238C311"/>
    <w:rsid w:val="223D7465"/>
    <w:rsid w:val="22465112"/>
    <w:rsid w:val="224C8F61"/>
    <w:rsid w:val="2263751C"/>
    <w:rsid w:val="2273FC0D"/>
    <w:rsid w:val="22AAC5B8"/>
    <w:rsid w:val="22AE9204"/>
    <w:rsid w:val="22C49601"/>
    <w:rsid w:val="22CF29EE"/>
    <w:rsid w:val="22D37607"/>
    <w:rsid w:val="22DA0914"/>
    <w:rsid w:val="22E74F66"/>
    <w:rsid w:val="23093B40"/>
    <w:rsid w:val="230F25F2"/>
    <w:rsid w:val="2315C906"/>
    <w:rsid w:val="23403AC1"/>
    <w:rsid w:val="23406919"/>
    <w:rsid w:val="238463E9"/>
    <w:rsid w:val="23917082"/>
    <w:rsid w:val="23975AA1"/>
    <w:rsid w:val="239D129C"/>
    <w:rsid w:val="23A70FBC"/>
    <w:rsid w:val="23BBF949"/>
    <w:rsid w:val="23BCAA80"/>
    <w:rsid w:val="23C53CFD"/>
    <w:rsid w:val="23D7F661"/>
    <w:rsid w:val="23DFBA0C"/>
    <w:rsid w:val="23E1ABC4"/>
    <w:rsid w:val="23ECE7B6"/>
    <w:rsid w:val="24084697"/>
    <w:rsid w:val="241FDDA0"/>
    <w:rsid w:val="24249555"/>
    <w:rsid w:val="242B4CF8"/>
    <w:rsid w:val="242C8C5E"/>
    <w:rsid w:val="24414E20"/>
    <w:rsid w:val="2448408F"/>
    <w:rsid w:val="2448DBFD"/>
    <w:rsid w:val="24662701"/>
    <w:rsid w:val="2472D10F"/>
    <w:rsid w:val="247CC0B5"/>
    <w:rsid w:val="2490A2BE"/>
    <w:rsid w:val="24A2550F"/>
    <w:rsid w:val="24B77E4A"/>
    <w:rsid w:val="24C4A92D"/>
    <w:rsid w:val="24D0890A"/>
    <w:rsid w:val="24D39DB7"/>
    <w:rsid w:val="24E57981"/>
    <w:rsid w:val="24F20BD8"/>
    <w:rsid w:val="253D7589"/>
    <w:rsid w:val="2542C1FB"/>
    <w:rsid w:val="25465C39"/>
    <w:rsid w:val="2546FC69"/>
    <w:rsid w:val="254C3BCF"/>
    <w:rsid w:val="25522732"/>
    <w:rsid w:val="255C8376"/>
    <w:rsid w:val="257068F8"/>
    <w:rsid w:val="257A039A"/>
    <w:rsid w:val="2588C4C4"/>
    <w:rsid w:val="25A12D96"/>
    <w:rsid w:val="25B3755A"/>
    <w:rsid w:val="25D086BD"/>
    <w:rsid w:val="25E1928C"/>
    <w:rsid w:val="25F38B09"/>
    <w:rsid w:val="25F8967E"/>
    <w:rsid w:val="2626710E"/>
    <w:rsid w:val="262E35CF"/>
    <w:rsid w:val="26447837"/>
    <w:rsid w:val="2649B3DA"/>
    <w:rsid w:val="2674AFD3"/>
    <w:rsid w:val="269FD645"/>
    <w:rsid w:val="26B26CC9"/>
    <w:rsid w:val="26B6EEEC"/>
    <w:rsid w:val="26EE6FE0"/>
    <w:rsid w:val="27182F37"/>
    <w:rsid w:val="272775AD"/>
    <w:rsid w:val="274BF911"/>
    <w:rsid w:val="276D79B7"/>
    <w:rsid w:val="277D00C3"/>
    <w:rsid w:val="277E9DBC"/>
    <w:rsid w:val="278C8CEC"/>
    <w:rsid w:val="278F4047"/>
    <w:rsid w:val="278FD07D"/>
    <w:rsid w:val="279DCEEE"/>
    <w:rsid w:val="27AE1871"/>
    <w:rsid w:val="27BF657F"/>
    <w:rsid w:val="27C25CDC"/>
    <w:rsid w:val="27E17675"/>
    <w:rsid w:val="27FF09D5"/>
    <w:rsid w:val="2802EB2F"/>
    <w:rsid w:val="2805E1A4"/>
    <w:rsid w:val="28277351"/>
    <w:rsid w:val="28785263"/>
    <w:rsid w:val="287DD5BD"/>
    <w:rsid w:val="2880849A"/>
    <w:rsid w:val="288B4950"/>
    <w:rsid w:val="2890CC2D"/>
    <w:rsid w:val="28954362"/>
    <w:rsid w:val="28BDC923"/>
    <w:rsid w:val="28C17070"/>
    <w:rsid w:val="28CB15BF"/>
    <w:rsid w:val="28DC85B1"/>
    <w:rsid w:val="28DFB3B7"/>
    <w:rsid w:val="28E72730"/>
    <w:rsid w:val="28FFF0DB"/>
    <w:rsid w:val="2901CE25"/>
    <w:rsid w:val="290B77E6"/>
    <w:rsid w:val="290E13F1"/>
    <w:rsid w:val="291C57C6"/>
    <w:rsid w:val="292BB9AA"/>
    <w:rsid w:val="293A5720"/>
    <w:rsid w:val="293AC6B5"/>
    <w:rsid w:val="293B8B1D"/>
    <w:rsid w:val="293BF17C"/>
    <w:rsid w:val="295935D8"/>
    <w:rsid w:val="2971D250"/>
    <w:rsid w:val="29730E31"/>
    <w:rsid w:val="298DB4A7"/>
    <w:rsid w:val="299719B8"/>
    <w:rsid w:val="29ABFF2D"/>
    <w:rsid w:val="29BA8875"/>
    <w:rsid w:val="29BC9E3D"/>
    <w:rsid w:val="29C54C6A"/>
    <w:rsid w:val="29CC04EA"/>
    <w:rsid w:val="29D3F9A1"/>
    <w:rsid w:val="29E28538"/>
    <w:rsid w:val="29F2CDEE"/>
    <w:rsid w:val="2A252B9C"/>
    <w:rsid w:val="2A2D0158"/>
    <w:rsid w:val="2A52FC7B"/>
    <w:rsid w:val="2A551A10"/>
    <w:rsid w:val="2A7D607A"/>
    <w:rsid w:val="2A838AEE"/>
    <w:rsid w:val="2A8AC672"/>
    <w:rsid w:val="2AB9E7E9"/>
    <w:rsid w:val="2AD4F053"/>
    <w:rsid w:val="2AE50E9D"/>
    <w:rsid w:val="2B1E8F88"/>
    <w:rsid w:val="2B25EDA0"/>
    <w:rsid w:val="2B267238"/>
    <w:rsid w:val="2B289B25"/>
    <w:rsid w:val="2B5E7010"/>
    <w:rsid w:val="2B69B453"/>
    <w:rsid w:val="2B9A3808"/>
    <w:rsid w:val="2BA535FB"/>
    <w:rsid w:val="2BAEF71F"/>
    <w:rsid w:val="2BC55C40"/>
    <w:rsid w:val="2BDA2A92"/>
    <w:rsid w:val="2BF178FA"/>
    <w:rsid w:val="2C004E85"/>
    <w:rsid w:val="2C0E964C"/>
    <w:rsid w:val="2C13BC46"/>
    <w:rsid w:val="2C21F94F"/>
    <w:rsid w:val="2C273E50"/>
    <w:rsid w:val="2C32A6AB"/>
    <w:rsid w:val="2C376143"/>
    <w:rsid w:val="2C439DB8"/>
    <w:rsid w:val="2C4B1FE9"/>
    <w:rsid w:val="2C6E4EC2"/>
    <w:rsid w:val="2C8C2C63"/>
    <w:rsid w:val="2C938F27"/>
    <w:rsid w:val="2CC79B2E"/>
    <w:rsid w:val="2CC849C6"/>
    <w:rsid w:val="2CE0E543"/>
    <w:rsid w:val="2CE3C4CF"/>
    <w:rsid w:val="2CE471A4"/>
    <w:rsid w:val="2CEFEDDC"/>
    <w:rsid w:val="2D0675C7"/>
    <w:rsid w:val="2D2A6EB0"/>
    <w:rsid w:val="2D35E03E"/>
    <w:rsid w:val="2D39869F"/>
    <w:rsid w:val="2D688ABF"/>
    <w:rsid w:val="2DAF85B7"/>
    <w:rsid w:val="2DCEFE97"/>
    <w:rsid w:val="2DD2728F"/>
    <w:rsid w:val="2DE205DB"/>
    <w:rsid w:val="2DE5E71D"/>
    <w:rsid w:val="2DEB709B"/>
    <w:rsid w:val="2E1D991C"/>
    <w:rsid w:val="2E1DE33D"/>
    <w:rsid w:val="2E28912A"/>
    <w:rsid w:val="2E302200"/>
    <w:rsid w:val="2E7E8AFE"/>
    <w:rsid w:val="2E9B7F5D"/>
    <w:rsid w:val="2EA2C0C6"/>
    <w:rsid w:val="2EAAB040"/>
    <w:rsid w:val="2EB6FC20"/>
    <w:rsid w:val="2EC7936F"/>
    <w:rsid w:val="2ECA1473"/>
    <w:rsid w:val="2EFF0DDD"/>
    <w:rsid w:val="2F0DFB52"/>
    <w:rsid w:val="2F454176"/>
    <w:rsid w:val="2F608C13"/>
    <w:rsid w:val="2F6FB637"/>
    <w:rsid w:val="2F7FC3B0"/>
    <w:rsid w:val="2F8AF5CB"/>
    <w:rsid w:val="2F9FFDF4"/>
    <w:rsid w:val="2FA358C0"/>
    <w:rsid w:val="2FB30400"/>
    <w:rsid w:val="2FBFC53D"/>
    <w:rsid w:val="2FD4809D"/>
    <w:rsid w:val="2FD7EAAA"/>
    <w:rsid w:val="2FEA0214"/>
    <w:rsid w:val="2FFEA1D1"/>
    <w:rsid w:val="30225B7C"/>
    <w:rsid w:val="3022AD6C"/>
    <w:rsid w:val="302C5996"/>
    <w:rsid w:val="3034400E"/>
    <w:rsid w:val="3034B120"/>
    <w:rsid w:val="30452630"/>
    <w:rsid w:val="306F8496"/>
    <w:rsid w:val="30702AAA"/>
    <w:rsid w:val="3075A932"/>
    <w:rsid w:val="307CF3AD"/>
    <w:rsid w:val="3080A5BC"/>
    <w:rsid w:val="3087BBB8"/>
    <w:rsid w:val="308B97FD"/>
    <w:rsid w:val="309486D8"/>
    <w:rsid w:val="309CF44A"/>
    <w:rsid w:val="30AE2660"/>
    <w:rsid w:val="30C3BB2D"/>
    <w:rsid w:val="30F699D4"/>
    <w:rsid w:val="3110D2B9"/>
    <w:rsid w:val="3124A98B"/>
    <w:rsid w:val="312AC9A7"/>
    <w:rsid w:val="312F9A9E"/>
    <w:rsid w:val="31302B92"/>
    <w:rsid w:val="315E074D"/>
    <w:rsid w:val="31665344"/>
    <w:rsid w:val="31673583"/>
    <w:rsid w:val="316D5F5E"/>
    <w:rsid w:val="317F9397"/>
    <w:rsid w:val="3181F434"/>
    <w:rsid w:val="31888E2F"/>
    <w:rsid w:val="31B7716A"/>
    <w:rsid w:val="31B9F27F"/>
    <w:rsid w:val="31CD086F"/>
    <w:rsid w:val="31D33610"/>
    <w:rsid w:val="31D889B5"/>
    <w:rsid w:val="31E64AF9"/>
    <w:rsid w:val="31F109D4"/>
    <w:rsid w:val="31F1AEB1"/>
    <w:rsid w:val="320D32F6"/>
    <w:rsid w:val="3214777F"/>
    <w:rsid w:val="322D37FC"/>
    <w:rsid w:val="32405A82"/>
    <w:rsid w:val="3240994E"/>
    <w:rsid w:val="3254DCEB"/>
    <w:rsid w:val="325EAE25"/>
    <w:rsid w:val="3287A85C"/>
    <w:rsid w:val="3294A100"/>
    <w:rsid w:val="3297F46F"/>
    <w:rsid w:val="32AF53D9"/>
    <w:rsid w:val="32F9A255"/>
    <w:rsid w:val="331845B4"/>
    <w:rsid w:val="331938E9"/>
    <w:rsid w:val="331C2E41"/>
    <w:rsid w:val="331DFED2"/>
    <w:rsid w:val="3326A424"/>
    <w:rsid w:val="334477D3"/>
    <w:rsid w:val="3350F110"/>
    <w:rsid w:val="3354105E"/>
    <w:rsid w:val="3381D733"/>
    <w:rsid w:val="3387D23E"/>
    <w:rsid w:val="33ACD9BA"/>
    <w:rsid w:val="33AE3E38"/>
    <w:rsid w:val="33B55AAF"/>
    <w:rsid w:val="33B64F87"/>
    <w:rsid w:val="33BF98AA"/>
    <w:rsid w:val="33F869C3"/>
    <w:rsid w:val="3409329E"/>
    <w:rsid w:val="340B22B9"/>
    <w:rsid w:val="340BDF80"/>
    <w:rsid w:val="34205903"/>
    <w:rsid w:val="3420CFE4"/>
    <w:rsid w:val="34258DE7"/>
    <w:rsid w:val="344D89D0"/>
    <w:rsid w:val="34AFAF32"/>
    <w:rsid w:val="34B2F3A8"/>
    <w:rsid w:val="34BC172F"/>
    <w:rsid w:val="34BEBE31"/>
    <w:rsid w:val="34C4DB8C"/>
    <w:rsid w:val="34D0CE40"/>
    <w:rsid w:val="34E5D105"/>
    <w:rsid w:val="3505E3C3"/>
    <w:rsid w:val="351DD590"/>
    <w:rsid w:val="3530D92E"/>
    <w:rsid w:val="3543AA89"/>
    <w:rsid w:val="354AEF5F"/>
    <w:rsid w:val="356DECE8"/>
    <w:rsid w:val="357955CA"/>
    <w:rsid w:val="35892632"/>
    <w:rsid w:val="35DF1030"/>
    <w:rsid w:val="35F8093D"/>
    <w:rsid w:val="36084C4F"/>
    <w:rsid w:val="36133330"/>
    <w:rsid w:val="361ADECD"/>
    <w:rsid w:val="36214C73"/>
    <w:rsid w:val="363A693D"/>
    <w:rsid w:val="36422E8A"/>
    <w:rsid w:val="3642C12F"/>
    <w:rsid w:val="364DD91B"/>
    <w:rsid w:val="36515456"/>
    <w:rsid w:val="368B4A8D"/>
    <w:rsid w:val="3699415E"/>
    <w:rsid w:val="369E9F74"/>
    <w:rsid w:val="36A067C5"/>
    <w:rsid w:val="36A187B1"/>
    <w:rsid w:val="36A36CE1"/>
    <w:rsid w:val="371E0FD0"/>
    <w:rsid w:val="372FFEBB"/>
    <w:rsid w:val="3732BFB7"/>
    <w:rsid w:val="3740E773"/>
    <w:rsid w:val="374E8692"/>
    <w:rsid w:val="37993ACD"/>
    <w:rsid w:val="379D5CE4"/>
    <w:rsid w:val="37A5C940"/>
    <w:rsid w:val="37B2C7D1"/>
    <w:rsid w:val="37CE744B"/>
    <w:rsid w:val="37F700A1"/>
    <w:rsid w:val="3807319D"/>
    <w:rsid w:val="38180C40"/>
    <w:rsid w:val="382355F0"/>
    <w:rsid w:val="38268D42"/>
    <w:rsid w:val="382B0F2C"/>
    <w:rsid w:val="38326B44"/>
    <w:rsid w:val="3846CB27"/>
    <w:rsid w:val="3851BA50"/>
    <w:rsid w:val="385D8FA3"/>
    <w:rsid w:val="38603214"/>
    <w:rsid w:val="3860D12D"/>
    <w:rsid w:val="387E40BC"/>
    <w:rsid w:val="38BEC4D6"/>
    <w:rsid w:val="38E34B29"/>
    <w:rsid w:val="38F1B626"/>
    <w:rsid w:val="38F249E6"/>
    <w:rsid w:val="3906A1B2"/>
    <w:rsid w:val="390DBF4C"/>
    <w:rsid w:val="393B33FA"/>
    <w:rsid w:val="395217DD"/>
    <w:rsid w:val="39559336"/>
    <w:rsid w:val="395D1082"/>
    <w:rsid w:val="398C3605"/>
    <w:rsid w:val="3994C7F6"/>
    <w:rsid w:val="399891E7"/>
    <w:rsid w:val="39AD78A9"/>
    <w:rsid w:val="39B81338"/>
    <w:rsid w:val="39C04E47"/>
    <w:rsid w:val="39DBC26E"/>
    <w:rsid w:val="39DC9C38"/>
    <w:rsid w:val="39FC0BF0"/>
    <w:rsid w:val="3A084C0D"/>
    <w:rsid w:val="3A1452C0"/>
    <w:rsid w:val="3A2CE0F5"/>
    <w:rsid w:val="3A3BD21D"/>
    <w:rsid w:val="3A40C6EE"/>
    <w:rsid w:val="3A4C5D20"/>
    <w:rsid w:val="3A532116"/>
    <w:rsid w:val="3A5B50BC"/>
    <w:rsid w:val="3A8ADD7A"/>
    <w:rsid w:val="3AC4BD16"/>
    <w:rsid w:val="3AC99FCC"/>
    <w:rsid w:val="3AD5384F"/>
    <w:rsid w:val="3AE8317A"/>
    <w:rsid w:val="3AF74093"/>
    <w:rsid w:val="3AFA2B89"/>
    <w:rsid w:val="3B173ED7"/>
    <w:rsid w:val="3B275FD2"/>
    <w:rsid w:val="3B3E96A4"/>
    <w:rsid w:val="3B56A5B1"/>
    <w:rsid w:val="3B6676D1"/>
    <w:rsid w:val="3B6ECB5E"/>
    <w:rsid w:val="3B7493DA"/>
    <w:rsid w:val="3B8403B3"/>
    <w:rsid w:val="3B884A77"/>
    <w:rsid w:val="3BA6CEAA"/>
    <w:rsid w:val="3BAEFD72"/>
    <w:rsid w:val="3BB44D0F"/>
    <w:rsid w:val="3BBBCC9D"/>
    <w:rsid w:val="3BCD052E"/>
    <w:rsid w:val="3BDE8AD7"/>
    <w:rsid w:val="3BF0D573"/>
    <w:rsid w:val="3C06BDB8"/>
    <w:rsid w:val="3C140EA4"/>
    <w:rsid w:val="3C3FAE6E"/>
    <w:rsid w:val="3C52EFD3"/>
    <w:rsid w:val="3C5DD32D"/>
    <w:rsid w:val="3C86D85A"/>
    <w:rsid w:val="3C93D7A4"/>
    <w:rsid w:val="3C9D2348"/>
    <w:rsid w:val="3CC3CDAB"/>
    <w:rsid w:val="3D0B6C0D"/>
    <w:rsid w:val="3D316B1F"/>
    <w:rsid w:val="3D3B6884"/>
    <w:rsid w:val="3D4EEA2E"/>
    <w:rsid w:val="3D5A2F3F"/>
    <w:rsid w:val="3D5FE77D"/>
    <w:rsid w:val="3D6808D3"/>
    <w:rsid w:val="3D6EB55D"/>
    <w:rsid w:val="3D9D9052"/>
    <w:rsid w:val="3D9E385C"/>
    <w:rsid w:val="3DC67F1B"/>
    <w:rsid w:val="3DE48F2E"/>
    <w:rsid w:val="3DE7D3C3"/>
    <w:rsid w:val="3DF842BC"/>
    <w:rsid w:val="3E005CF5"/>
    <w:rsid w:val="3E3DD698"/>
    <w:rsid w:val="3E41FCA2"/>
    <w:rsid w:val="3E60F5B6"/>
    <w:rsid w:val="3EA3ADFA"/>
    <w:rsid w:val="3EA63779"/>
    <w:rsid w:val="3EBC4903"/>
    <w:rsid w:val="3EC0CB34"/>
    <w:rsid w:val="3ED2A643"/>
    <w:rsid w:val="3EE46638"/>
    <w:rsid w:val="3EEA67B3"/>
    <w:rsid w:val="3EEDF8CA"/>
    <w:rsid w:val="3F073C88"/>
    <w:rsid w:val="3F1B0842"/>
    <w:rsid w:val="3F5618E4"/>
    <w:rsid w:val="3F59903E"/>
    <w:rsid w:val="3F691449"/>
    <w:rsid w:val="3F6F62A5"/>
    <w:rsid w:val="3F71A5B2"/>
    <w:rsid w:val="3F772328"/>
    <w:rsid w:val="3F7BE7A5"/>
    <w:rsid w:val="3F80F1AA"/>
    <w:rsid w:val="3FB5C4F2"/>
    <w:rsid w:val="3FC1EEE4"/>
    <w:rsid w:val="3FCFCE24"/>
    <w:rsid w:val="3FD0CEF5"/>
    <w:rsid w:val="3FE41710"/>
    <w:rsid w:val="40024D40"/>
    <w:rsid w:val="4005203B"/>
    <w:rsid w:val="40370F1E"/>
    <w:rsid w:val="404A508C"/>
    <w:rsid w:val="404D8602"/>
    <w:rsid w:val="4061CE6F"/>
    <w:rsid w:val="406866A7"/>
    <w:rsid w:val="406C0E42"/>
    <w:rsid w:val="40738361"/>
    <w:rsid w:val="407DB175"/>
    <w:rsid w:val="40950792"/>
    <w:rsid w:val="40CF106A"/>
    <w:rsid w:val="40D41CEF"/>
    <w:rsid w:val="40DAC074"/>
    <w:rsid w:val="40E918F7"/>
    <w:rsid w:val="40F1B79C"/>
    <w:rsid w:val="40FE5EB8"/>
    <w:rsid w:val="4119908B"/>
    <w:rsid w:val="412660C9"/>
    <w:rsid w:val="412A87C1"/>
    <w:rsid w:val="41366F27"/>
    <w:rsid w:val="414C387E"/>
    <w:rsid w:val="4151F21F"/>
    <w:rsid w:val="4155065D"/>
    <w:rsid w:val="417DE68C"/>
    <w:rsid w:val="41926C92"/>
    <w:rsid w:val="41B4E60A"/>
    <w:rsid w:val="41BB8294"/>
    <w:rsid w:val="41D3E315"/>
    <w:rsid w:val="41D92551"/>
    <w:rsid w:val="41E48AB8"/>
    <w:rsid w:val="4216102E"/>
    <w:rsid w:val="42178FF3"/>
    <w:rsid w:val="42193A52"/>
    <w:rsid w:val="4236A7BC"/>
    <w:rsid w:val="423997C5"/>
    <w:rsid w:val="42488A58"/>
    <w:rsid w:val="424FC6FA"/>
    <w:rsid w:val="426A28F4"/>
    <w:rsid w:val="429D677F"/>
    <w:rsid w:val="42AB249C"/>
    <w:rsid w:val="42BBA266"/>
    <w:rsid w:val="42BE8DE2"/>
    <w:rsid w:val="42CF98DA"/>
    <w:rsid w:val="43008E90"/>
    <w:rsid w:val="43085F6B"/>
    <w:rsid w:val="43174980"/>
    <w:rsid w:val="432E84CA"/>
    <w:rsid w:val="433350E7"/>
    <w:rsid w:val="434CCE09"/>
    <w:rsid w:val="43632363"/>
    <w:rsid w:val="43879507"/>
    <w:rsid w:val="4388632A"/>
    <w:rsid w:val="438BCD9D"/>
    <w:rsid w:val="43C7AC1F"/>
    <w:rsid w:val="43CF7F58"/>
    <w:rsid w:val="43DB4B1F"/>
    <w:rsid w:val="440BF756"/>
    <w:rsid w:val="442437FE"/>
    <w:rsid w:val="445360D7"/>
    <w:rsid w:val="4471A24A"/>
    <w:rsid w:val="447F1E7B"/>
    <w:rsid w:val="4485BEB6"/>
    <w:rsid w:val="448C16EE"/>
    <w:rsid w:val="448D41D7"/>
    <w:rsid w:val="44C552DE"/>
    <w:rsid w:val="44C80672"/>
    <w:rsid w:val="44F77908"/>
    <w:rsid w:val="450EE890"/>
    <w:rsid w:val="4514797E"/>
    <w:rsid w:val="451BF9E2"/>
    <w:rsid w:val="452DA53B"/>
    <w:rsid w:val="453A2FE5"/>
    <w:rsid w:val="453FE684"/>
    <w:rsid w:val="454FE67E"/>
    <w:rsid w:val="4556A1FD"/>
    <w:rsid w:val="4559323F"/>
    <w:rsid w:val="455A45F1"/>
    <w:rsid w:val="457994FD"/>
    <w:rsid w:val="457C3311"/>
    <w:rsid w:val="458042BA"/>
    <w:rsid w:val="458AF694"/>
    <w:rsid w:val="458E369C"/>
    <w:rsid w:val="4593534B"/>
    <w:rsid w:val="45CCED90"/>
    <w:rsid w:val="45CDA5C0"/>
    <w:rsid w:val="45E22DE6"/>
    <w:rsid w:val="45F8D2CE"/>
    <w:rsid w:val="45FBA8DC"/>
    <w:rsid w:val="45FCDBBF"/>
    <w:rsid w:val="4602CFC6"/>
    <w:rsid w:val="46115B4C"/>
    <w:rsid w:val="461967B8"/>
    <w:rsid w:val="4623C73E"/>
    <w:rsid w:val="465D6080"/>
    <w:rsid w:val="467FC3E8"/>
    <w:rsid w:val="468979EC"/>
    <w:rsid w:val="46990DC6"/>
    <w:rsid w:val="469D240A"/>
    <w:rsid w:val="46A816EF"/>
    <w:rsid w:val="46B7280A"/>
    <w:rsid w:val="46D39FA9"/>
    <w:rsid w:val="46FC8706"/>
    <w:rsid w:val="4722CE48"/>
    <w:rsid w:val="47311CE5"/>
    <w:rsid w:val="473A6E39"/>
    <w:rsid w:val="47469996"/>
    <w:rsid w:val="4753CFFC"/>
    <w:rsid w:val="477CA628"/>
    <w:rsid w:val="4795DC56"/>
    <w:rsid w:val="47A2248A"/>
    <w:rsid w:val="47A56B62"/>
    <w:rsid w:val="47A8F87E"/>
    <w:rsid w:val="47C54592"/>
    <w:rsid w:val="47CD33CB"/>
    <w:rsid w:val="47DD4444"/>
    <w:rsid w:val="47E8A0CF"/>
    <w:rsid w:val="48082E63"/>
    <w:rsid w:val="480FDD85"/>
    <w:rsid w:val="482F89A3"/>
    <w:rsid w:val="48465FF6"/>
    <w:rsid w:val="4853CC3C"/>
    <w:rsid w:val="486B83ED"/>
    <w:rsid w:val="487DBF1E"/>
    <w:rsid w:val="4881D257"/>
    <w:rsid w:val="48820D2E"/>
    <w:rsid w:val="48B5DF7F"/>
    <w:rsid w:val="48E8D40A"/>
    <w:rsid w:val="49144BB2"/>
    <w:rsid w:val="491E0A38"/>
    <w:rsid w:val="49205851"/>
    <w:rsid w:val="4940B574"/>
    <w:rsid w:val="49419C1B"/>
    <w:rsid w:val="4941BF66"/>
    <w:rsid w:val="4955DE95"/>
    <w:rsid w:val="496014D7"/>
    <w:rsid w:val="49A1637B"/>
    <w:rsid w:val="49C029F0"/>
    <w:rsid w:val="49D1034D"/>
    <w:rsid w:val="49D170C5"/>
    <w:rsid w:val="49DC8E1D"/>
    <w:rsid w:val="49E87BFE"/>
    <w:rsid w:val="4A102ADC"/>
    <w:rsid w:val="4A161915"/>
    <w:rsid w:val="4A2012AA"/>
    <w:rsid w:val="4A2A2269"/>
    <w:rsid w:val="4A3EB950"/>
    <w:rsid w:val="4A498877"/>
    <w:rsid w:val="4A4B65D3"/>
    <w:rsid w:val="4A861E81"/>
    <w:rsid w:val="4AAB99EB"/>
    <w:rsid w:val="4AB2CD14"/>
    <w:rsid w:val="4AB8D476"/>
    <w:rsid w:val="4AE5CA7A"/>
    <w:rsid w:val="4B0326AB"/>
    <w:rsid w:val="4B086E07"/>
    <w:rsid w:val="4B0BA075"/>
    <w:rsid w:val="4B113279"/>
    <w:rsid w:val="4B14E159"/>
    <w:rsid w:val="4B61DA55"/>
    <w:rsid w:val="4B63C534"/>
    <w:rsid w:val="4B67DC7F"/>
    <w:rsid w:val="4B75E1BB"/>
    <w:rsid w:val="4B95B2D7"/>
    <w:rsid w:val="4B9CE6BF"/>
    <w:rsid w:val="4B9EDB32"/>
    <w:rsid w:val="4BD4E7DD"/>
    <w:rsid w:val="4BDB3543"/>
    <w:rsid w:val="4BE344E1"/>
    <w:rsid w:val="4C2008F3"/>
    <w:rsid w:val="4C25B820"/>
    <w:rsid w:val="4C333E97"/>
    <w:rsid w:val="4C55DCD0"/>
    <w:rsid w:val="4C5682A9"/>
    <w:rsid w:val="4C88DBC1"/>
    <w:rsid w:val="4C8F8811"/>
    <w:rsid w:val="4C9C6ED0"/>
    <w:rsid w:val="4CAE5C68"/>
    <w:rsid w:val="4CC52438"/>
    <w:rsid w:val="4CE80CA0"/>
    <w:rsid w:val="4CF52D4B"/>
    <w:rsid w:val="4D26A720"/>
    <w:rsid w:val="4D4DD739"/>
    <w:rsid w:val="4D8320F1"/>
    <w:rsid w:val="4DA045E3"/>
    <w:rsid w:val="4DA46510"/>
    <w:rsid w:val="4DB9A476"/>
    <w:rsid w:val="4DEE6822"/>
    <w:rsid w:val="4DF22A59"/>
    <w:rsid w:val="4DFEBA23"/>
    <w:rsid w:val="4E1D8931"/>
    <w:rsid w:val="4E26594A"/>
    <w:rsid w:val="4E37EAFC"/>
    <w:rsid w:val="4E38CFBB"/>
    <w:rsid w:val="4E56A945"/>
    <w:rsid w:val="4E717A73"/>
    <w:rsid w:val="4E725917"/>
    <w:rsid w:val="4E76CB79"/>
    <w:rsid w:val="4E80996C"/>
    <w:rsid w:val="4E8F7DA2"/>
    <w:rsid w:val="4EAB4DA8"/>
    <w:rsid w:val="4EAC24F2"/>
    <w:rsid w:val="4EC4BFE3"/>
    <w:rsid w:val="4ED63719"/>
    <w:rsid w:val="4EEB76B1"/>
    <w:rsid w:val="4EEC2019"/>
    <w:rsid w:val="4EF00425"/>
    <w:rsid w:val="4F049F67"/>
    <w:rsid w:val="4F09CC22"/>
    <w:rsid w:val="4F1E023F"/>
    <w:rsid w:val="4F25AF5F"/>
    <w:rsid w:val="4F3BEB80"/>
    <w:rsid w:val="4F511421"/>
    <w:rsid w:val="4F6C8513"/>
    <w:rsid w:val="4F7547B7"/>
    <w:rsid w:val="4F87405A"/>
    <w:rsid w:val="4F9E7442"/>
    <w:rsid w:val="4FDFC75C"/>
    <w:rsid w:val="4FE38972"/>
    <w:rsid w:val="4FEC8721"/>
    <w:rsid w:val="5013FF2A"/>
    <w:rsid w:val="502C64ED"/>
    <w:rsid w:val="50497DC6"/>
    <w:rsid w:val="50572F53"/>
    <w:rsid w:val="507D648C"/>
    <w:rsid w:val="508AB467"/>
    <w:rsid w:val="50A8F7FC"/>
    <w:rsid w:val="50A9BC5B"/>
    <w:rsid w:val="50B86D61"/>
    <w:rsid w:val="50BAA0C6"/>
    <w:rsid w:val="50DC9D4A"/>
    <w:rsid w:val="50E345B5"/>
    <w:rsid w:val="50E8AD60"/>
    <w:rsid w:val="50E911C9"/>
    <w:rsid w:val="50EDE47B"/>
    <w:rsid w:val="51070052"/>
    <w:rsid w:val="5107CC89"/>
    <w:rsid w:val="5126E337"/>
    <w:rsid w:val="512BD5CE"/>
    <w:rsid w:val="5141EE68"/>
    <w:rsid w:val="5142EEBD"/>
    <w:rsid w:val="5170DF22"/>
    <w:rsid w:val="518CA861"/>
    <w:rsid w:val="51B8E73E"/>
    <w:rsid w:val="51BB4AF6"/>
    <w:rsid w:val="51C6208A"/>
    <w:rsid w:val="51EB6B0C"/>
    <w:rsid w:val="51EED5D3"/>
    <w:rsid w:val="5213B668"/>
    <w:rsid w:val="5228690F"/>
    <w:rsid w:val="5256846E"/>
    <w:rsid w:val="525CC1C5"/>
    <w:rsid w:val="5269E359"/>
    <w:rsid w:val="526C1634"/>
    <w:rsid w:val="5279DBA0"/>
    <w:rsid w:val="5292298A"/>
    <w:rsid w:val="52B97F96"/>
    <w:rsid w:val="52C06758"/>
    <w:rsid w:val="52C5F755"/>
    <w:rsid w:val="52D85909"/>
    <w:rsid w:val="52FB29AB"/>
    <w:rsid w:val="531075FB"/>
    <w:rsid w:val="53112DE8"/>
    <w:rsid w:val="5326A7E2"/>
    <w:rsid w:val="53522969"/>
    <w:rsid w:val="535CB09C"/>
    <w:rsid w:val="536F09EA"/>
    <w:rsid w:val="5385E852"/>
    <w:rsid w:val="538D3784"/>
    <w:rsid w:val="53921B06"/>
    <w:rsid w:val="5392D431"/>
    <w:rsid w:val="53999FEE"/>
    <w:rsid w:val="53B2B280"/>
    <w:rsid w:val="53DBBC28"/>
    <w:rsid w:val="53E40DC9"/>
    <w:rsid w:val="53E915AA"/>
    <w:rsid w:val="53F10A42"/>
    <w:rsid w:val="540793A9"/>
    <w:rsid w:val="5427F201"/>
    <w:rsid w:val="5435E196"/>
    <w:rsid w:val="544E7A56"/>
    <w:rsid w:val="5463D9D4"/>
    <w:rsid w:val="5467C488"/>
    <w:rsid w:val="5489591E"/>
    <w:rsid w:val="548C9976"/>
    <w:rsid w:val="54C879A3"/>
    <w:rsid w:val="54D224FC"/>
    <w:rsid w:val="54F7AC1C"/>
    <w:rsid w:val="55190905"/>
    <w:rsid w:val="55215B32"/>
    <w:rsid w:val="554BBD6B"/>
    <w:rsid w:val="554E0EAE"/>
    <w:rsid w:val="554FF9B2"/>
    <w:rsid w:val="5556BD4C"/>
    <w:rsid w:val="555E84DD"/>
    <w:rsid w:val="5575617A"/>
    <w:rsid w:val="5580377D"/>
    <w:rsid w:val="55A23DB8"/>
    <w:rsid w:val="55A40902"/>
    <w:rsid w:val="55A9CAA8"/>
    <w:rsid w:val="55AD9AEE"/>
    <w:rsid w:val="55DA28E4"/>
    <w:rsid w:val="55E4D6C7"/>
    <w:rsid w:val="55E7884A"/>
    <w:rsid w:val="55F10628"/>
    <w:rsid w:val="560D0F52"/>
    <w:rsid w:val="56123EE3"/>
    <w:rsid w:val="562F77C2"/>
    <w:rsid w:val="56445045"/>
    <w:rsid w:val="566B0496"/>
    <w:rsid w:val="568924ED"/>
    <w:rsid w:val="569EF282"/>
    <w:rsid w:val="56BAAA95"/>
    <w:rsid w:val="56CC088A"/>
    <w:rsid w:val="56FE506E"/>
    <w:rsid w:val="5707ED9E"/>
    <w:rsid w:val="570A4E38"/>
    <w:rsid w:val="570D7E66"/>
    <w:rsid w:val="5713F58B"/>
    <w:rsid w:val="574055A1"/>
    <w:rsid w:val="57408416"/>
    <w:rsid w:val="575D38C0"/>
    <w:rsid w:val="576EF949"/>
    <w:rsid w:val="578BAABE"/>
    <w:rsid w:val="57AB2C58"/>
    <w:rsid w:val="57BE26C3"/>
    <w:rsid w:val="57CDD9BD"/>
    <w:rsid w:val="57D5DCCF"/>
    <w:rsid w:val="57DA3FB1"/>
    <w:rsid w:val="57DBD07A"/>
    <w:rsid w:val="5805C753"/>
    <w:rsid w:val="58158016"/>
    <w:rsid w:val="58179DD2"/>
    <w:rsid w:val="582CB6EE"/>
    <w:rsid w:val="58393FF7"/>
    <w:rsid w:val="5862C5F2"/>
    <w:rsid w:val="586A3D8D"/>
    <w:rsid w:val="587D0FD1"/>
    <w:rsid w:val="58974B58"/>
    <w:rsid w:val="58DA1992"/>
    <w:rsid w:val="58E72B01"/>
    <w:rsid w:val="58FDC573"/>
    <w:rsid w:val="59536883"/>
    <w:rsid w:val="5970C70C"/>
    <w:rsid w:val="5988A7C1"/>
    <w:rsid w:val="59900A50"/>
    <w:rsid w:val="5991C0D9"/>
    <w:rsid w:val="5992082C"/>
    <w:rsid w:val="59B67E30"/>
    <w:rsid w:val="59D3592F"/>
    <w:rsid w:val="59DEB015"/>
    <w:rsid w:val="59ECD2A5"/>
    <w:rsid w:val="5A224D99"/>
    <w:rsid w:val="5A2FAAAF"/>
    <w:rsid w:val="5A2FD13A"/>
    <w:rsid w:val="5A3E51F9"/>
    <w:rsid w:val="5A4424BA"/>
    <w:rsid w:val="5A4D50C7"/>
    <w:rsid w:val="5A6C3C53"/>
    <w:rsid w:val="5A6FC130"/>
    <w:rsid w:val="5A9F9F07"/>
    <w:rsid w:val="5AA06CDF"/>
    <w:rsid w:val="5AA60CFE"/>
    <w:rsid w:val="5ABCE6E5"/>
    <w:rsid w:val="5AC0B796"/>
    <w:rsid w:val="5AC9B05D"/>
    <w:rsid w:val="5AD721A0"/>
    <w:rsid w:val="5ADC440E"/>
    <w:rsid w:val="5ADD074C"/>
    <w:rsid w:val="5AE85C08"/>
    <w:rsid w:val="5AF55E35"/>
    <w:rsid w:val="5B0F53E9"/>
    <w:rsid w:val="5B3959FE"/>
    <w:rsid w:val="5B5C4BE3"/>
    <w:rsid w:val="5B60DA95"/>
    <w:rsid w:val="5B83D33B"/>
    <w:rsid w:val="5B90917A"/>
    <w:rsid w:val="5B9D92DC"/>
    <w:rsid w:val="5BB00241"/>
    <w:rsid w:val="5BC48AA4"/>
    <w:rsid w:val="5BCAE443"/>
    <w:rsid w:val="5BEE3B4F"/>
    <w:rsid w:val="5BF75714"/>
    <w:rsid w:val="5C0042FA"/>
    <w:rsid w:val="5C26FF13"/>
    <w:rsid w:val="5C3B6118"/>
    <w:rsid w:val="5C50F07B"/>
    <w:rsid w:val="5C58810E"/>
    <w:rsid w:val="5C594F31"/>
    <w:rsid w:val="5C674978"/>
    <w:rsid w:val="5C6F9F91"/>
    <w:rsid w:val="5C791445"/>
    <w:rsid w:val="5C916BA0"/>
    <w:rsid w:val="5CB8645C"/>
    <w:rsid w:val="5CB958D4"/>
    <w:rsid w:val="5CBCC207"/>
    <w:rsid w:val="5CCA2975"/>
    <w:rsid w:val="5CD3D3B1"/>
    <w:rsid w:val="5CD7F43A"/>
    <w:rsid w:val="5CDF71E0"/>
    <w:rsid w:val="5CE28A54"/>
    <w:rsid w:val="5D0746B1"/>
    <w:rsid w:val="5D10A259"/>
    <w:rsid w:val="5D187E71"/>
    <w:rsid w:val="5D1F3A7C"/>
    <w:rsid w:val="5D2FD46B"/>
    <w:rsid w:val="5D4E8F18"/>
    <w:rsid w:val="5D51E246"/>
    <w:rsid w:val="5D5BF646"/>
    <w:rsid w:val="5D73CEA4"/>
    <w:rsid w:val="5D7C533E"/>
    <w:rsid w:val="5D89A8E0"/>
    <w:rsid w:val="5D91B93D"/>
    <w:rsid w:val="5D91C742"/>
    <w:rsid w:val="5D91F1CA"/>
    <w:rsid w:val="5DA5B69B"/>
    <w:rsid w:val="5DCB8B39"/>
    <w:rsid w:val="5DCFD30A"/>
    <w:rsid w:val="5DD6F1B5"/>
    <w:rsid w:val="5DDEF99C"/>
    <w:rsid w:val="5DE15F3E"/>
    <w:rsid w:val="5DE3EF80"/>
    <w:rsid w:val="5E09C15E"/>
    <w:rsid w:val="5E6DB9EA"/>
    <w:rsid w:val="5E710B19"/>
    <w:rsid w:val="5E75CD0A"/>
    <w:rsid w:val="5E7B5EF7"/>
    <w:rsid w:val="5E7B7BB3"/>
    <w:rsid w:val="5E877264"/>
    <w:rsid w:val="5E99239F"/>
    <w:rsid w:val="5EAA34AD"/>
    <w:rsid w:val="5EC32A39"/>
    <w:rsid w:val="5EC4733F"/>
    <w:rsid w:val="5EC6C77F"/>
    <w:rsid w:val="5EE94E57"/>
    <w:rsid w:val="5EF412A1"/>
    <w:rsid w:val="5EF61C08"/>
    <w:rsid w:val="5EFAE59E"/>
    <w:rsid w:val="5EFBB143"/>
    <w:rsid w:val="5F1B345A"/>
    <w:rsid w:val="5F1D6621"/>
    <w:rsid w:val="5F3D8AED"/>
    <w:rsid w:val="5F3DA601"/>
    <w:rsid w:val="5F55157A"/>
    <w:rsid w:val="5F60113E"/>
    <w:rsid w:val="5F637692"/>
    <w:rsid w:val="5F7466F6"/>
    <w:rsid w:val="5F90458E"/>
    <w:rsid w:val="5F9208B6"/>
    <w:rsid w:val="5FA0877D"/>
    <w:rsid w:val="5FC117EA"/>
    <w:rsid w:val="5FC413C8"/>
    <w:rsid w:val="5FFA297B"/>
    <w:rsid w:val="5FFB998A"/>
    <w:rsid w:val="60044C55"/>
    <w:rsid w:val="600885D5"/>
    <w:rsid w:val="6030BDB2"/>
    <w:rsid w:val="604669B5"/>
    <w:rsid w:val="60589BFB"/>
    <w:rsid w:val="6062C558"/>
    <w:rsid w:val="6081EB43"/>
    <w:rsid w:val="60938249"/>
    <w:rsid w:val="60A3CDD0"/>
    <w:rsid w:val="60BBEADD"/>
    <w:rsid w:val="60CD72B0"/>
    <w:rsid w:val="60D540D5"/>
    <w:rsid w:val="60E972C8"/>
    <w:rsid w:val="610958C0"/>
    <w:rsid w:val="6109B58C"/>
    <w:rsid w:val="610A0198"/>
    <w:rsid w:val="61230281"/>
    <w:rsid w:val="6146AC7A"/>
    <w:rsid w:val="615FA59A"/>
    <w:rsid w:val="61699788"/>
    <w:rsid w:val="6177F11A"/>
    <w:rsid w:val="618ED902"/>
    <w:rsid w:val="619D9A98"/>
    <w:rsid w:val="61BF9146"/>
    <w:rsid w:val="61BFFBD6"/>
    <w:rsid w:val="61DD2CE5"/>
    <w:rsid w:val="61E2627C"/>
    <w:rsid w:val="61E8BAEB"/>
    <w:rsid w:val="61FA5151"/>
    <w:rsid w:val="61FE7240"/>
    <w:rsid w:val="620FA0B8"/>
    <w:rsid w:val="6212D3E6"/>
    <w:rsid w:val="622C2E78"/>
    <w:rsid w:val="623544AE"/>
    <w:rsid w:val="62386964"/>
    <w:rsid w:val="6296301E"/>
    <w:rsid w:val="629BCD2F"/>
    <w:rsid w:val="62ABA645"/>
    <w:rsid w:val="62C14546"/>
    <w:rsid w:val="631519C1"/>
    <w:rsid w:val="63206403"/>
    <w:rsid w:val="6321FF75"/>
    <w:rsid w:val="633919C8"/>
    <w:rsid w:val="63403A39"/>
    <w:rsid w:val="636D1A2E"/>
    <w:rsid w:val="6375F13D"/>
    <w:rsid w:val="637A565B"/>
    <w:rsid w:val="637D7A1C"/>
    <w:rsid w:val="63843195"/>
    <w:rsid w:val="6386B306"/>
    <w:rsid w:val="63874103"/>
    <w:rsid w:val="63A4075F"/>
    <w:rsid w:val="63A5972E"/>
    <w:rsid w:val="63AA7081"/>
    <w:rsid w:val="63D9CBE3"/>
    <w:rsid w:val="63EDDD7C"/>
    <w:rsid w:val="63F8DB65"/>
    <w:rsid w:val="63FF1013"/>
    <w:rsid w:val="640D2259"/>
    <w:rsid w:val="641396EA"/>
    <w:rsid w:val="641670A5"/>
    <w:rsid w:val="64491F75"/>
    <w:rsid w:val="644E384A"/>
    <w:rsid w:val="64546A00"/>
    <w:rsid w:val="64651BC0"/>
    <w:rsid w:val="646AAE80"/>
    <w:rsid w:val="646FE374"/>
    <w:rsid w:val="64783994"/>
    <w:rsid w:val="64869EAE"/>
    <w:rsid w:val="64AB83B1"/>
    <w:rsid w:val="64B1C876"/>
    <w:rsid w:val="64C9F9F9"/>
    <w:rsid w:val="64CF3A8E"/>
    <w:rsid w:val="64DE7741"/>
    <w:rsid w:val="64E21F8F"/>
    <w:rsid w:val="650978B2"/>
    <w:rsid w:val="650FE71C"/>
    <w:rsid w:val="651BB727"/>
    <w:rsid w:val="653FE7EE"/>
    <w:rsid w:val="654A12BE"/>
    <w:rsid w:val="654F4F47"/>
    <w:rsid w:val="6565803F"/>
    <w:rsid w:val="656BC4E1"/>
    <w:rsid w:val="656E01A8"/>
    <w:rsid w:val="6576BA47"/>
    <w:rsid w:val="658599E6"/>
    <w:rsid w:val="6589A43A"/>
    <w:rsid w:val="659CA5BF"/>
    <w:rsid w:val="65A87663"/>
    <w:rsid w:val="65AA473E"/>
    <w:rsid w:val="65AB2EA1"/>
    <w:rsid w:val="65B5887D"/>
    <w:rsid w:val="65B858B9"/>
    <w:rsid w:val="65BDEA78"/>
    <w:rsid w:val="65BE55CF"/>
    <w:rsid w:val="65CC1AA3"/>
    <w:rsid w:val="65D019BD"/>
    <w:rsid w:val="65F94836"/>
    <w:rsid w:val="66036696"/>
    <w:rsid w:val="66054FF3"/>
    <w:rsid w:val="661F311C"/>
    <w:rsid w:val="6625D284"/>
    <w:rsid w:val="662F0915"/>
    <w:rsid w:val="66404F7D"/>
    <w:rsid w:val="66424252"/>
    <w:rsid w:val="66667416"/>
    <w:rsid w:val="666D16B4"/>
    <w:rsid w:val="6683C661"/>
    <w:rsid w:val="669FEE43"/>
    <w:rsid w:val="66A7E82F"/>
    <w:rsid w:val="66B4A2FA"/>
    <w:rsid w:val="66BE9CB3"/>
    <w:rsid w:val="66C254BD"/>
    <w:rsid w:val="66C45EB0"/>
    <w:rsid w:val="66D027C2"/>
    <w:rsid w:val="66EDB57B"/>
    <w:rsid w:val="678A53CA"/>
    <w:rsid w:val="67DA7536"/>
    <w:rsid w:val="67DEBD26"/>
    <w:rsid w:val="67E97856"/>
    <w:rsid w:val="67EBA9B9"/>
    <w:rsid w:val="6824CAFF"/>
    <w:rsid w:val="68308480"/>
    <w:rsid w:val="68392BE7"/>
    <w:rsid w:val="683C122A"/>
    <w:rsid w:val="6854C08F"/>
    <w:rsid w:val="685F8595"/>
    <w:rsid w:val="686AEFE0"/>
    <w:rsid w:val="686F33E6"/>
    <w:rsid w:val="687B7D7B"/>
    <w:rsid w:val="68812F76"/>
    <w:rsid w:val="68A82FD5"/>
    <w:rsid w:val="68AA3EEE"/>
    <w:rsid w:val="68C43F19"/>
    <w:rsid w:val="68D236C9"/>
    <w:rsid w:val="68FBF7C0"/>
    <w:rsid w:val="69009F0F"/>
    <w:rsid w:val="69084CC9"/>
    <w:rsid w:val="690A89E7"/>
    <w:rsid w:val="692C7AD7"/>
    <w:rsid w:val="6937B534"/>
    <w:rsid w:val="694F73F5"/>
    <w:rsid w:val="6971B37E"/>
    <w:rsid w:val="6979344D"/>
    <w:rsid w:val="698F484C"/>
    <w:rsid w:val="699CB64B"/>
    <w:rsid w:val="69A47FA1"/>
    <w:rsid w:val="69CD81FB"/>
    <w:rsid w:val="69D48428"/>
    <w:rsid w:val="69FB42C3"/>
    <w:rsid w:val="6A0D1725"/>
    <w:rsid w:val="6A273D1D"/>
    <w:rsid w:val="6A47D070"/>
    <w:rsid w:val="6A4A4C34"/>
    <w:rsid w:val="6A573539"/>
    <w:rsid w:val="6A65EDD7"/>
    <w:rsid w:val="6A7FF6CF"/>
    <w:rsid w:val="6A890EB3"/>
    <w:rsid w:val="6A8B0EFE"/>
    <w:rsid w:val="6A8CE09B"/>
    <w:rsid w:val="6A98D911"/>
    <w:rsid w:val="6AA64AAA"/>
    <w:rsid w:val="6AA8B9AA"/>
    <w:rsid w:val="6AD14CE0"/>
    <w:rsid w:val="6AEA7750"/>
    <w:rsid w:val="6AEFD35E"/>
    <w:rsid w:val="6B04C071"/>
    <w:rsid w:val="6B0EBAF0"/>
    <w:rsid w:val="6B261CE5"/>
    <w:rsid w:val="6B3B54ED"/>
    <w:rsid w:val="6B6A0B6E"/>
    <w:rsid w:val="6B703531"/>
    <w:rsid w:val="6B82846A"/>
    <w:rsid w:val="6BA4999C"/>
    <w:rsid w:val="6BBAF834"/>
    <w:rsid w:val="6BDAFE44"/>
    <w:rsid w:val="6BDFBEC9"/>
    <w:rsid w:val="6BE93A07"/>
    <w:rsid w:val="6C04995B"/>
    <w:rsid w:val="6C0DCF20"/>
    <w:rsid w:val="6C135636"/>
    <w:rsid w:val="6C21260C"/>
    <w:rsid w:val="6C2200A1"/>
    <w:rsid w:val="6C36B9C0"/>
    <w:rsid w:val="6C383FD1"/>
    <w:rsid w:val="6C4B5C49"/>
    <w:rsid w:val="6C74C615"/>
    <w:rsid w:val="6C870DD3"/>
    <w:rsid w:val="6C8BED1E"/>
    <w:rsid w:val="6C8F58C4"/>
    <w:rsid w:val="6C93B222"/>
    <w:rsid w:val="6CA95440"/>
    <w:rsid w:val="6CABABA3"/>
    <w:rsid w:val="6CE4329A"/>
    <w:rsid w:val="6CEA714D"/>
    <w:rsid w:val="6D01DE5E"/>
    <w:rsid w:val="6D0711F6"/>
    <w:rsid w:val="6D23BDCD"/>
    <w:rsid w:val="6D23C121"/>
    <w:rsid w:val="6D2B187C"/>
    <w:rsid w:val="6D4817B1"/>
    <w:rsid w:val="6D937B2D"/>
    <w:rsid w:val="6DB64086"/>
    <w:rsid w:val="6DD41DAE"/>
    <w:rsid w:val="6DDC404F"/>
    <w:rsid w:val="6DDEDD52"/>
    <w:rsid w:val="6DE58663"/>
    <w:rsid w:val="6DF48EAB"/>
    <w:rsid w:val="6DF4B8A6"/>
    <w:rsid w:val="6DF86BA1"/>
    <w:rsid w:val="6E109676"/>
    <w:rsid w:val="6E1FC5C5"/>
    <w:rsid w:val="6E262BE1"/>
    <w:rsid w:val="6E2646F2"/>
    <w:rsid w:val="6E277169"/>
    <w:rsid w:val="6E2FF9E5"/>
    <w:rsid w:val="6E3605F2"/>
    <w:rsid w:val="6E43B86A"/>
    <w:rsid w:val="6E7D8CDD"/>
    <w:rsid w:val="6E80048A"/>
    <w:rsid w:val="6E8208EA"/>
    <w:rsid w:val="6E8BB04A"/>
    <w:rsid w:val="6E8F9FCD"/>
    <w:rsid w:val="6E90D2B9"/>
    <w:rsid w:val="6E97F756"/>
    <w:rsid w:val="6E9D780E"/>
    <w:rsid w:val="6EB73CFC"/>
    <w:rsid w:val="6EE7A581"/>
    <w:rsid w:val="6EEACC65"/>
    <w:rsid w:val="6EFDB354"/>
    <w:rsid w:val="6F14476E"/>
    <w:rsid w:val="6F2A0986"/>
    <w:rsid w:val="6F2B7692"/>
    <w:rsid w:val="6F3199F3"/>
    <w:rsid w:val="6F3D5CB9"/>
    <w:rsid w:val="6F42D579"/>
    <w:rsid w:val="6F5E1B7A"/>
    <w:rsid w:val="6F879566"/>
    <w:rsid w:val="6F99D37C"/>
    <w:rsid w:val="6FA5FA99"/>
    <w:rsid w:val="6FAB9D89"/>
    <w:rsid w:val="6FB0CE08"/>
    <w:rsid w:val="6FC3C2AA"/>
    <w:rsid w:val="6FC51371"/>
    <w:rsid w:val="6FD5828C"/>
    <w:rsid w:val="6FD644DA"/>
    <w:rsid w:val="6FD8CA13"/>
    <w:rsid w:val="70173A3F"/>
    <w:rsid w:val="7031EEC1"/>
    <w:rsid w:val="704313AA"/>
    <w:rsid w:val="70505157"/>
    <w:rsid w:val="7051B008"/>
    <w:rsid w:val="706D0F5F"/>
    <w:rsid w:val="70789536"/>
    <w:rsid w:val="707FF3AB"/>
    <w:rsid w:val="7094B6BD"/>
    <w:rsid w:val="70AC5935"/>
    <w:rsid w:val="70ACEA15"/>
    <w:rsid w:val="70B50FFD"/>
    <w:rsid w:val="70D394DB"/>
    <w:rsid w:val="70D7DD85"/>
    <w:rsid w:val="71067147"/>
    <w:rsid w:val="710E0EE2"/>
    <w:rsid w:val="712F75B6"/>
    <w:rsid w:val="713142F1"/>
    <w:rsid w:val="7139D2DC"/>
    <w:rsid w:val="713D5478"/>
    <w:rsid w:val="715970C7"/>
    <w:rsid w:val="71634D3E"/>
    <w:rsid w:val="7164F794"/>
    <w:rsid w:val="71882C2A"/>
    <w:rsid w:val="71BE1DAF"/>
    <w:rsid w:val="71C470CD"/>
    <w:rsid w:val="71D96877"/>
    <w:rsid w:val="71EB56CF"/>
    <w:rsid w:val="71EBBC02"/>
    <w:rsid w:val="71FC6D25"/>
    <w:rsid w:val="72052E91"/>
    <w:rsid w:val="7212D707"/>
    <w:rsid w:val="721CB792"/>
    <w:rsid w:val="721F2817"/>
    <w:rsid w:val="72349DFB"/>
    <w:rsid w:val="723B455D"/>
    <w:rsid w:val="72480EF0"/>
    <w:rsid w:val="725948BC"/>
    <w:rsid w:val="7259833E"/>
    <w:rsid w:val="7265F438"/>
    <w:rsid w:val="727A099B"/>
    <w:rsid w:val="72921BA4"/>
    <w:rsid w:val="72945177"/>
    <w:rsid w:val="729CA5CB"/>
    <w:rsid w:val="72B22995"/>
    <w:rsid w:val="72C02692"/>
    <w:rsid w:val="72CD79A8"/>
    <w:rsid w:val="72DDBF8B"/>
    <w:rsid w:val="72E21B02"/>
    <w:rsid w:val="72EB6E6F"/>
    <w:rsid w:val="72F28769"/>
    <w:rsid w:val="72F7A288"/>
    <w:rsid w:val="72FFDEC4"/>
    <w:rsid w:val="730FEDD7"/>
    <w:rsid w:val="731EC89D"/>
    <w:rsid w:val="7327641A"/>
    <w:rsid w:val="73276907"/>
    <w:rsid w:val="73451173"/>
    <w:rsid w:val="735DBCB7"/>
    <w:rsid w:val="7372F143"/>
    <w:rsid w:val="737CB48C"/>
    <w:rsid w:val="7390F1D2"/>
    <w:rsid w:val="73B94BAD"/>
    <w:rsid w:val="73BDC2B9"/>
    <w:rsid w:val="73CB1E9D"/>
    <w:rsid w:val="73D7D9CF"/>
    <w:rsid w:val="73EA63FD"/>
    <w:rsid w:val="73EB4036"/>
    <w:rsid w:val="73EDFAC3"/>
    <w:rsid w:val="7416EF66"/>
    <w:rsid w:val="741ABBC2"/>
    <w:rsid w:val="7432B327"/>
    <w:rsid w:val="7443F6AA"/>
    <w:rsid w:val="74502F9D"/>
    <w:rsid w:val="7456D19E"/>
    <w:rsid w:val="7484C470"/>
    <w:rsid w:val="748D3DDB"/>
    <w:rsid w:val="748F9DEC"/>
    <w:rsid w:val="74A30854"/>
    <w:rsid w:val="74BD3689"/>
    <w:rsid w:val="74E4F16D"/>
    <w:rsid w:val="74E8B0F0"/>
    <w:rsid w:val="74FCD077"/>
    <w:rsid w:val="7500B6E0"/>
    <w:rsid w:val="7528F676"/>
    <w:rsid w:val="7536E685"/>
    <w:rsid w:val="75454CA7"/>
    <w:rsid w:val="7564CDE1"/>
    <w:rsid w:val="75741F1B"/>
    <w:rsid w:val="757BE643"/>
    <w:rsid w:val="759A01A4"/>
    <w:rsid w:val="759FDC96"/>
    <w:rsid w:val="75A75E5E"/>
    <w:rsid w:val="75B6E39E"/>
    <w:rsid w:val="75DC5592"/>
    <w:rsid w:val="75E63032"/>
    <w:rsid w:val="75FB5EF5"/>
    <w:rsid w:val="75FC341E"/>
    <w:rsid w:val="762C0D77"/>
    <w:rsid w:val="764556D3"/>
    <w:rsid w:val="7650DA34"/>
    <w:rsid w:val="766D31B0"/>
    <w:rsid w:val="766E7D54"/>
    <w:rsid w:val="76726ECB"/>
    <w:rsid w:val="7672EB2F"/>
    <w:rsid w:val="76848151"/>
    <w:rsid w:val="768757CC"/>
    <w:rsid w:val="768E175B"/>
    <w:rsid w:val="769D8039"/>
    <w:rsid w:val="76C988F5"/>
    <w:rsid w:val="76CD10F7"/>
    <w:rsid w:val="76DBCCBD"/>
    <w:rsid w:val="76DDBF20"/>
    <w:rsid w:val="76EDC0F0"/>
    <w:rsid w:val="76F19D1B"/>
    <w:rsid w:val="77099688"/>
    <w:rsid w:val="7733DDB0"/>
    <w:rsid w:val="774810B0"/>
    <w:rsid w:val="774A320C"/>
    <w:rsid w:val="77564519"/>
    <w:rsid w:val="775D22CC"/>
    <w:rsid w:val="77664B3D"/>
    <w:rsid w:val="776CFC7E"/>
    <w:rsid w:val="778EADAE"/>
    <w:rsid w:val="77A381AC"/>
    <w:rsid w:val="77A9A140"/>
    <w:rsid w:val="77B10C7E"/>
    <w:rsid w:val="77CDE3E6"/>
    <w:rsid w:val="77CF6F5B"/>
    <w:rsid w:val="780B7DCA"/>
    <w:rsid w:val="781E9322"/>
    <w:rsid w:val="78330CD6"/>
    <w:rsid w:val="78422D1A"/>
    <w:rsid w:val="7863ADED"/>
    <w:rsid w:val="787FAFD9"/>
    <w:rsid w:val="788FC1EE"/>
    <w:rsid w:val="789D71F7"/>
    <w:rsid w:val="78A46E90"/>
    <w:rsid w:val="78BACFA5"/>
    <w:rsid w:val="78CDDA73"/>
    <w:rsid w:val="78DAFE5B"/>
    <w:rsid w:val="78E0C19F"/>
    <w:rsid w:val="78F2CA3F"/>
    <w:rsid w:val="78F55CA2"/>
    <w:rsid w:val="7915736C"/>
    <w:rsid w:val="792C2292"/>
    <w:rsid w:val="79623354"/>
    <w:rsid w:val="79701B47"/>
    <w:rsid w:val="7972931A"/>
    <w:rsid w:val="7988836A"/>
    <w:rsid w:val="7994F321"/>
    <w:rsid w:val="79A759BC"/>
    <w:rsid w:val="79B86290"/>
    <w:rsid w:val="79BC52AF"/>
    <w:rsid w:val="79D41D95"/>
    <w:rsid w:val="79EBC031"/>
    <w:rsid w:val="79F60FD7"/>
    <w:rsid w:val="79FC405B"/>
    <w:rsid w:val="7A1777BB"/>
    <w:rsid w:val="7A27861E"/>
    <w:rsid w:val="7A2854C3"/>
    <w:rsid w:val="7A6C1D07"/>
    <w:rsid w:val="7A783B46"/>
    <w:rsid w:val="7A7DBFF1"/>
    <w:rsid w:val="7A7EA55A"/>
    <w:rsid w:val="7A939ED7"/>
    <w:rsid w:val="7AE02DE2"/>
    <w:rsid w:val="7AE8B266"/>
    <w:rsid w:val="7B19D12B"/>
    <w:rsid w:val="7B264182"/>
    <w:rsid w:val="7B3235B0"/>
    <w:rsid w:val="7B357B8A"/>
    <w:rsid w:val="7B60F099"/>
    <w:rsid w:val="7B726FC7"/>
    <w:rsid w:val="7B884A91"/>
    <w:rsid w:val="7B9079F2"/>
    <w:rsid w:val="7BBD8C70"/>
    <w:rsid w:val="7BC4F89F"/>
    <w:rsid w:val="7BC714C0"/>
    <w:rsid w:val="7BCBF7CF"/>
    <w:rsid w:val="7BDA8776"/>
    <w:rsid w:val="7BEBF36F"/>
    <w:rsid w:val="7BED4159"/>
    <w:rsid w:val="7BF3646E"/>
    <w:rsid w:val="7C062253"/>
    <w:rsid w:val="7C1E9422"/>
    <w:rsid w:val="7C2FECA9"/>
    <w:rsid w:val="7C602852"/>
    <w:rsid w:val="7C688964"/>
    <w:rsid w:val="7C814BDB"/>
    <w:rsid w:val="7C90295E"/>
    <w:rsid w:val="7C93DF9D"/>
    <w:rsid w:val="7CA52DE2"/>
    <w:rsid w:val="7CB823ED"/>
    <w:rsid w:val="7CC89975"/>
    <w:rsid w:val="7CE35E60"/>
    <w:rsid w:val="7CE98CEA"/>
    <w:rsid w:val="7CF00352"/>
    <w:rsid w:val="7D092BAF"/>
    <w:rsid w:val="7D0AD4A3"/>
    <w:rsid w:val="7D259E56"/>
    <w:rsid w:val="7D61C2AA"/>
    <w:rsid w:val="7D629BCF"/>
    <w:rsid w:val="7D6CBE59"/>
    <w:rsid w:val="7D963AC1"/>
    <w:rsid w:val="7D9DF142"/>
    <w:rsid w:val="7DB8B240"/>
    <w:rsid w:val="7DC27D6D"/>
    <w:rsid w:val="7DC46733"/>
    <w:rsid w:val="7DC580DA"/>
    <w:rsid w:val="7DEBFA72"/>
    <w:rsid w:val="7DFA6039"/>
    <w:rsid w:val="7DFC9203"/>
    <w:rsid w:val="7E033803"/>
    <w:rsid w:val="7E08B161"/>
    <w:rsid w:val="7E1D03BF"/>
    <w:rsid w:val="7E3A727E"/>
    <w:rsid w:val="7E3D9E21"/>
    <w:rsid w:val="7E6C528F"/>
    <w:rsid w:val="7E83EE53"/>
    <w:rsid w:val="7E84859E"/>
    <w:rsid w:val="7EB57839"/>
    <w:rsid w:val="7EBC4091"/>
    <w:rsid w:val="7EBFCEBE"/>
    <w:rsid w:val="7ECE12E0"/>
    <w:rsid w:val="7EE6CCBC"/>
    <w:rsid w:val="7EF0D3CC"/>
    <w:rsid w:val="7EFE37FF"/>
    <w:rsid w:val="7F0203FA"/>
    <w:rsid w:val="7F065A18"/>
    <w:rsid w:val="7F21B464"/>
    <w:rsid w:val="7F31516A"/>
    <w:rsid w:val="7F42C791"/>
    <w:rsid w:val="7F4E2932"/>
    <w:rsid w:val="7F566D27"/>
    <w:rsid w:val="7F577CCD"/>
    <w:rsid w:val="7F6422AB"/>
    <w:rsid w:val="7F7394C0"/>
    <w:rsid w:val="7FA4247F"/>
    <w:rsid w:val="7FA9CD09"/>
    <w:rsid w:val="7FAA06D0"/>
    <w:rsid w:val="7FABD98D"/>
    <w:rsid w:val="7FAE6786"/>
    <w:rsid w:val="7FB0E406"/>
    <w:rsid w:val="7FB1FB36"/>
    <w:rsid w:val="7FBE0C09"/>
    <w:rsid w:val="7FD2F132"/>
    <w:rsid w:val="7FDB5633"/>
    <w:rsid w:val="7FF55F1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0"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E57"/>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DC5684"/>
    <w:pPr>
      <w:keepNext/>
      <w:tabs>
        <w:tab w:val="left" w:pos="851"/>
      </w:tabs>
      <w:spacing w:before="100" w:beforeAutospacing="1" w:after="100" w:afterAutospacing="1"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autoRedefine/>
    <w:qFormat/>
    <w:rsid w:val="00C23B66"/>
    <w:pPr>
      <w:keepNext/>
      <w:tabs>
        <w:tab w:val="left" w:pos="851"/>
      </w:tabs>
      <w:spacing w:before="24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A760B3"/>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74184D"/>
    <w:pPr>
      <w:spacing w:before="240"/>
      <w:outlineLvl w:val="3"/>
    </w:pPr>
    <w:rPr>
      <w:sz w:val="24"/>
    </w:rPr>
  </w:style>
  <w:style w:type="paragraph" w:styleId="Heading5">
    <w:name w:val="heading 5"/>
    <w:basedOn w:val="Normal"/>
    <w:next w:val="BodyText"/>
    <w:link w:val="Heading5Char"/>
    <w:qFormat/>
    <w:rsid w:val="00C245E7"/>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684"/>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CA3497"/>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A760B3"/>
    <w:rPr>
      <w:rFonts w:ascii="Georgia" w:eastAsiaTheme="majorEastAsia" w:hAnsi="Georgia" w:cstheme="majorBidi"/>
      <w:b/>
      <w:bCs/>
      <w:sz w:val="28"/>
      <w:szCs w:val="22"/>
    </w:rPr>
  </w:style>
  <w:style w:type="character" w:customStyle="1" w:styleId="Heading4Char">
    <w:name w:val="Heading 4 Char"/>
    <w:basedOn w:val="DefaultParagraphFont"/>
    <w:link w:val="Heading4"/>
    <w:rsid w:val="0074184D"/>
    <w:rPr>
      <w:rFonts w:ascii="Georgia" w:eastAsiaTheme="majorEastAsia" w:hAnsi="Georgia" w:cstheme="majorBidi"/>
      <w:b/>
      <w:bCs/>
      <w:sz w:val="24"/>
      <w:szCs w:val="22"/>
    </w:rPr>
  </w:style>
  <w:style w:type="character" w:customStyle="1" w:styleId="Heading5Char">
    <w:name w:val="Heading 5 Char"/>
    <w:basedOn w:val="DefaultParagraphFont"/>
    <w:link w:val="Heading5"/>
    <w:rsid w:val="00C245E7"/>
    <w:rPr>
      <w:rFonts w:eastAsiaTheme="majorEastAsia" w:cstheme="majorBidi"/>
      <w:i/>
      <w:sz w:val="24"/>
      <w:szCs w:val="22"/>
    </w:rPr>
  </w:style>
  <w:style w:type="paragraph" w:styleId="BodyText">
    <w:name w:val="Body Text"/>
    <w:basedOn w:val="Normal"/>
    <w:link w:val="BodyTextChar"/>
    <w:qFormat/>
    <w:rsid w:val="00A760B3"/>
    <w:pPr>
      <w:jc w:val="left"/>
    </w:pPr>
    <w:rPr>
      <w:rFonts w:eastAsiaTheme="minorEastAsia" w:cstheme="minorBidi"/>
    </w:rPr>
  </w:style>
  <w:style w:type="character" w:customStyle="1" w:styleId="BodyTextChar">
    <w:name w:val="Body Text Char"/>
    <w:basedOn w:val="DefaultParagraphFont"/>
    <w:link w:val="BodyText"/>
    <w:rsid w:val="00A760B3"/>
    <w:rPr>
      <w:rFonts w:eastAsiaTheme="minorEastAsia" w:cstheme="minorBidi"/>
      <w:sz w:val="22"/>
      <w:szCs w:val="22"/>
    </w:rPr>
  </w:style>
  <w:style w:type="table" w:styleId="TableGrid">
    <w:name w:val="Table Grid"/>
    <w:aliases w:val="RS Table Grid a"/>
    <w:basedOn w:val="TableNormal"/>
    <w:uiPriority w:val="59"/>
    <w:rsid w:val="00AE3AD7"/>
    <w:pPr>
      <w:jc w:val="both"/>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A760B3"/>
    <w:pPr>
      <w:spacing w:before="60" w:after="60"/>
      <w:ind w:left="567" w:right="567"/>
      <w:jc w:val="left"/>
    </w:pPr>
    <w:rPr>
      <w:rFonts w:eastAsiaTheme="minorEastAsia" w:cstheme="minorBidi"/>
      <w:sz w:val="20"/>
    </w:rPr>
  </w:style>
  <w:style w:type="character" w:customStyle="1" w:styleId="QuoteChar">
    <w:name w:val="Quote Char"/>
    <w:basedOn w:val="DefaultParagraphFont"/>
    <w:link w:val="Quote"/>
    <w:uiPriority w:val="1"/>
    <w:rsid w:val="00252E57"/>
    <w:rPr>
      <w:rFonts w:eastAsiaTheme="minorEastAsia" w:cstheme="minorBidi"/>
      <w:szCs w:val="22"/>
    </w:rPr>
  </w:style>
  <w:style w:type="paragraph" w:customStyle="1" w:styleId="Boxbullet">
    <w:name w:val="Box bullet"/>
    <w:basedOn w:val="Boxtext"/>
    <w:uiPriority w:val="1"/>
    <w:qFormat/>
    <w:rsid w:val="00A760B3"/>
    <w:pPr>
      <w:numPr>
        <w:numId w:val="12"/>
      </w:numPr>
      <w:tabs>
        <w:tab w:val="left" w:pos="680"/>
      </w:tabs>
      <w:spacing w:before="0"/>
    </w:pPr>
    <w:rPr>
      <w:rFonts w:cs="Times New Roman"/>
      <w:szCs w:val="20"/>
    </w:rPr>
  </w:style>
  <w:style w:type="paragraph" w:customStyle="1" w:styleId="Boxheading">
    <w:name w:val="Box heading"/>
    <w:basedOn w:val="Boxtext"/>
    <w:next w:val="Boxtext"/>
    <w:uiPriority w:val="1"/>
    <w:qFormat/>
    <w:rsid w:val="00A760B3"/>
    <w:pPr>
      <w:keepNext/>
      <w:spacing w:before="240" w:after="0"/>
    </w:pPr>
    <w:rPr>
      <w:rFonts w:cs="Times New Roman"/>
      <w:b/>
      <w:sz w:val="22"/>
      <w:szCs w:val="20"/>
    </w:rPr>
  </w:style>
  <w:style w:type="paragraph" w:customStyle="1" w:styleId="Bullet">
    <w:name w:val="Bullet"/>
    <w:basedOn w:val="Normal"/>
    <w:link w:val="BulletChar"/>
    <w:qFormat/>
    <w:rsid w:val="00A760B3"/>
    <w:pPr>
      <w:numPr>
        <w:numId w:val="14"/>
      </w:numPr>
      <w:spacing w:before="0"/>
      <w:jc w:val="left"/>
    </w:pPr>
    <w:rPr>
      <w:szCs w:val="20"/>
    </w:rPr>
  </w:style>
  <w:style w:type="paragraph" w:customStyle="1" w:styleId="Heading">
    <w:name w:val="Heading"/>
    <w:basedOn w:val="Heading1"/>
    <w:next w:val="Normal"/>
    <w:uiPriority w:val="3"/>
    <w:rsid w:val="00A760B3"/>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uiPriority w:val="99"/>
    <w:qFormat/>
    <w:rsid w:val="00A760B3"/>
    <w:pPr>
      <w:numPr>
        <w:numId w:val="16"/>
      </w:numPr>
      <w:tabs>
        <w:tab w:val="left" w:pos="794"/>
      </w:tabs>
      <w:spacing w:before="0"/>
      <w:jc w:val="left"/>
    </w:pPr>
    <w:rPr>
      <w:rFonts w:eastAsiaTheme="minorEastAsia" w:cstheme="minorBidi"/>
    </w:rPr>
  </w:style>
  <w:style w:type="paragraph" w:customStyle="1" w:styleId="Figureheading">
    <w:name w:val="Figure heading"/>
    <w:basedOn w:val="Normal"/>
    <w:next w:val="BodyText"/>
    <w:qFormat/>
    <w:rsid w:val="00A760B3"/>
    <w:pPr>
      <w:keepNext/>
      <w:ind w:left="1134" w:hanging="1134"/>
      <w:jc w:val="left"/>
    </w:pPr>
    <w:rPr>
      <w:rFonts w:eastAsiaTheme="minorEastAsia" w:cstheme="minorBidi"/>
      <w:b/>
      <w:sz w:val="20"/>
    </w:rPr>
  </w:style>
  <w:style w:type="character" w:styleId="FootnoteReference">
    <w:name w:val="footnote reference"/>
    <w:rsid w:val="00A760B3"/>
    <w:rPr>
      <w:rFonts w:ascii="Calibri" w:hAnsi="Calibri"/>
      <w:color w:val="183C47"/>
      <w:sz w:val="22"/>
      <w:vertAlign w:val="superscript"/>
    </w:rPr>
  </w:style>
  <w:style w:type="paragraph" w:styleId="FootnoteText">
    <w:name w:val="footnote text"/>
    <w:basedOn w:val="Normal"/>
    <w:link w:val="FootnoteTextChar"/>
    <w:qFormat/>
    <w:rsid w:val="00430B4A"/>
    <w:pPr>
      <w:spacing w:before="0" w:after="60" w:line="240" w:lineRule="atLeast"/>
      <w:jc w:val="left"/>
    </w:pPr>
    <w:rPr>
      <w:rFonts w:eastAsiaTheme="minorEastAsia" w:cstheme="minorBidi"/>
      <w:sz w:val="19"/>
    </w:rPr>
  </w:style>
  <w:style w:type="character" w:customStyle="1" w:styleId="FootnoteTextChar">
    <w:name w:val="Footnote Text Char"/>
    <w:basedOn w:val="DefaultParagraphFont"/>
    <w:link w:val="FootnoteText"/>
    <w:rsid w:val="00430B4A"/>
    <w:rPr>
      <w:rFonts w:eastAsiaTheme="minorEastAsia" w:cstheme="minorBidi"/>
      <w:sz w:val="19"/>
      <w:szCs w:val="22"/>
    </w:rPr>
  </w:style>
  <w:style w:type="character" w:styleId="Hyperlink">
    <w:name w:val="Hyperlink"/>
    <w:uiPriority w:val="99"/>
    <w:qFormat/>
    <w:rsid w:val="00A760B3"/>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803761"/>
    <w:pPr>
      <w:spacing w:before="0" w:line="240" w:lineRule="atLeast"/>
    </w:pPr>
    <w:rPr>
      <w:sz w:val="18"/>
    </w:rPr>
  </w:style>
  <w:style w:type="paragraph" w:customStyle="1" w:styleId="References">
    <w:name w:val="References"/>
    <w:basedOn w:val="Normal"/>
    <w:uiPriority w:val="1"/>
    <w:semiHidden/>
    <w:qFormat/>
    <w:rsid w:val="00A760B3"/>
    <w:pPr>
      <w:spacing w:before="0" w:line="260" w:lineRule="atLeast"/>
      <w:jc w:val="left"/>
    </w:pPr>
    <w:rPr>
      <w:rFonts w:eastAsiaTheme="minorEastAsia" w:cstheme="minorBidi"/>
      <w:sz w:val="20"/>
    </w:rPr>
  </w:style>
  <w:style w:type="paragraph" w:customStyle="1" w:styleId="Source">
    <w:name w:val="Source"/>
    <w:basedOn w:val="Normal"/>
    <w:next w:val="Normal"/>
    <w:uiPriority w:val="1"/>
    <w:qFormat/>
    <w:rsid w:val="00A760B3"/>
    <w:pPr>
      <w:tabs>
        <w:tab w:val="left" w:pos="680"/>
      </w:tabs>
      <w:jc w:val="left"/>
    </w:pPr>
    <w:rPr>
      <w:rFonts w:eastAsiaTheme="minorEastAsia" w:cstheme="minorBidi"/>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A760B3"/>
    <w:rPr>
      <w:rFonts w:eastAsia="Times New Roman"/>
      <w:b/>
      <w:color w:val="17556C"/>
      <w:sz w:val="52"/>
      <w:szCs w:val="22"/>
    </w:rPr>
  </w:style>
  <w:style w:type="paragraph" w:styleId="Subtitle">
    <w:name w:val="Subtitle"/>
    <w:basedOn w:val="Title"/>
    <w:link w:val="SubtitleChar"/>
    <w:uiPriority w:val="11"/>
    <w:qFormat/>
    <w:rsid w:val="00D94120"/>
    <w:pPr>
      <w:spacing w:before="600" w:line="240" w:lineRule="auto"/>
    </w:pPr>
    <w:rPr>
      <w:sz w:val="36"/>
      <w:szCs w:val="36"/>
    </w:rPr>
  </w:style>
  <w:style w:type="character" w:customStyle="1" w:styleId="SubtitleChar">
    <w:name w:val="Subtitle Char"/>
    <w:link w:val="Subtitle"/>
    <w:uiPriority w:val="11"/>
    <w:rsid w:val="00A760B3"/>
    <w:rPr>
      <w:rFonts w:eastAsia="Times New Roman"/>
      <w:b/>
      <w:color w:val="17556C"/>
      <w:sz w:val="36"/>
      <w:szCs w:val="36"/>
    </w:rPr>
  </w:style>
  <w:style w:type="paragraph" w:customStyle="1" w:styleId="Tableheading">
    <w:name w:val="Table heading"/>
    <w:basedOn w:val="Normal"/>
    <w:next w:val="Normal"/>
    <w:qFormat/>
    <w:rsid w:val="00573718"/>
    <w:pPr>
      <w:keepNext/>
      <w:spacing w:line="240" w:lineRule="atLeast"/>
      <w:ind w:left="1134" w:hanging="1134"/>
      <w:jc w:val="left"/>
    </w:pPr>
    <w:rPr>
      <w:rFonts w:eastAsia="Calibri"/>
      <w:b/>
      <w:sz w:val="20"/>
    </w:rPr>
  </w:style>
  <w:style w:type="paragraph" w:customStyle="1" w:styleId="TableText">
    <w:name w:val="TableText"/>
    <w:basedOn w:val="Normal"/>
    <w:qFormat/>
    <w:rsid w:val="00A760B3"/>
    <w:pPr>
      <w:spacing w:before="60" w:after="60" w:line="240" w:lineRule="atLeast"/>
      <w:jc w:val="left"/>
    </w:pPr>
    <w:rPr>
      <w:rFonts w:eastAsiaTheme="minorEastAsia" w:cstheme="minorBidi"/>
      <w:sz w:val="18"/>
    </w:rPr>
  </w:style>
  <w:style w:type="paragraph" w:customStyle="1" w:styleId="TableTextbold">
    <w:name w:val="TableText bold"/>
    <w:basedOn w:val="TableText"/>
    <w:rsid w:val="00A760B3"/>
    <w:rPr>
      <w:b/>
    </w:rPr>
  </w:style>
  <w:style w:type="paragraph" w:styleId="TOC1">
    <w:name w:val="toc 1"/>
    <w:basedOn w:val="Normal"/>
    <w:next w:val="Normal"/>
    <w:uiPriority w:val="39"/>
    <w:rsid w:val="008C13CA"/>
    <w:pPr>
      <w:tabs>
        <w:tab w:val="right" w:pos="8505"/>
      </w:tabs>
      <w:spacing w:before="240" w:after="0" w:line="240" w:lineRule="auto"/>
      <w:ind w:right="567"/>
      <w:jc w:val="left"/>
    </w:pPr>
    <w:rPr>
      <w:noProof/>
    </w:r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A760B3"/>
    <w:pPr>
      <w:tabs>
        <w:tab w:val="left" w:pos="2835"/>
      </w:tabs>
      <w:spacing w:after="0"/>
      <w:jc w:val="left"/>
    </w:pPr>
    <w:rPr>
      <w:rFonts w:eastAsiaTheme="minorEastAsia" w:cstheme="minorBidi"/>
    </w:rPr>
  </w:style>
  <w:style w:type="paragraph" w:customStyle="1" w:styleId="Footerodd">
    <w:name w:val="Footer odd"/>
    <w:basedOn w:val="Normal"/>
    <w:uiPriority w:val="2"/>
    <w:semiHidden/>
    <w:rsid w:val="00A760B3"/>
    <w:pPr>
      <w:tabs>
        <w:tab w:val="right" w:pos="7938"/>
        <w:tab w:val="right" w:pos="8505"/>
      </w:tabs>
      <w:jc w:val="left"/>
    </w:pPr>
    <w:rPr>
      <w:rFonts w:eastAsiaTheme="minorEastAsia" w:cstheme="minorBidi"/>
      <w:sz w:val="16"/>
    </w:rPr>
  </w:style>
  <w:style w:type="paragraph" w:customStyle="1" w:styleId="Footereven">
    <w:name w:val="Footer even"/>
    <w:basedOn w:val="Normal"/>
    <w:uiPriority w:val="2"/>
    <w:semiHidden/>
    <w:rsid w:val="00A760B3"/>
    <w:pPr>
      <w:tabs>
        <w:tab w:val="left" w:pos="567"/>
      </w:tabs>
    </w:pPr>
    <w:rPr>
      <w:rFonts w:eastAsiaTheme="minorEastAsia" w:cstheme="minorBidi"/>
      <w:sz w:val="16"/>
    </w:rPr>
  </w:style>
  <w:style w:type="paragraph" w:customStyle="1" w:styleId="Numberedparagraph">
    <w:name w:val="Numbered paragraph"/>
    <w:basedOn w:val="Normal"/>
    <w:uiPriority w:val="1"/>
    <w:qFormat/>
    <w:rsid w:val="00A760B3"/>
    <w:pPr>
      <w:numPr>
        <w:numId w:val="15"/>
      </w:numPr>
      <w:spacing w:before="0"/>
      <w:jc w:val="left"/>
    </w:pPr>
    <w:rPr>
      <w:rFonts w:eastAsiaTheme="minorEastAsia" w:cstheme="minorBidi"/>
    </w:rPr>
  </w:style>
  <w:style w:type="paragraph" w:customStyle="1" w:styleId="Sub-lista">
    <w:name w:val="Sub-list a"/>
    <w:aliases w:val="b"/>
    <w:basedOn w:val="Normal"/>
    <w:uiPriority w:val="2"/>
    <w:rsid w:val="00A760B3"/>
    <w:pPr>
      <w:numPr>
        <w:numId w:val="17"/>
      </w:numPr>
      <w:spacing w:before="0"/>
      <w:jc w:val="left"/>
    </w:pPr>
    <w:rPr>
      <w:rFonts w:eastAsiaTheme="minorEastAsia" w:cstheme="minorBidi"/>
    </w:r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uiPriority w:val="39"/>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A760B3"/>
    <w:pPr>
      <w:numPr>
        <w:numId w:val="18"/>
      </w:numPr>
      <w:spacing w:before="60" w:after="60"/>
    </w:pPr>
  </w:style>
  <w:style w:type="paragraph" w:customStyle="1" w:styleId="TableBullet0">
    <w:name w:val="TableBullet"/>
    <w:basedOn w:val="Normal"/>
    <w:qFormat/>
    <w:rsid w:val="00A760B3"/>
    <w:pPr>
      <w:numPr>
        <w:numId w:val="22"/>
      </w:numPr>
      <w:spacing w:before="0" w:after="60" w:line="240" w:lineRule="atLeast"/>
      <w:jc w:val="left"/>
    </w:pPr>
    <w:rPr>
      <w:rFonts w:eastAsiaTheme="minorEastAsia" w:cs="Arial"/>
      <w:sz w:val="18"/>
      <w:szCs w:val="16"/>
    </w:rPr>
  </w:style>
  <w:style w:type="paragraph" w:customStyle="1" w:styleId="TableDash">
    <w:name w:val="TableDash"/>
    <w:basedOn w:val="TableBullet0"/>
    <w:qFormat/>
    <w:rsid w:val="00A760B3"/>
    <w:pPr>
      <w:numPr>
        <w:numId w:val="19"/>
      </w:numPr>
    </w:p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Book Antiqua" w:eastAsia="Times New Roman" w:hAnsi="Book Antiqu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Book Antiqua" w:eastAsia="Times New Roman" w:hAnsi="Book Antiqua"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Normal"/>
    <w:semiHidden/>
    <w:rsid w:val="00F32C5C"/>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hAnsi="Arial"/>
      <w:sz w:val="20"/>
      <w:szCs w:val="20"/>
      <w:lang w:eastAsia="en-GB"/>
    </w:rPr>
  </w:style>
  <w:style w:type="paragraph" w:customStyle="1" w:styleId="BoxHeading0">
    <w:name w:val="BoxHeading"/>
    <w:basedOn w:val="Normal"/>
    <w:next w:val="Normal"/>
    <w:semiHidden/>
    <w:rsid w:val="00F32C5C"/>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hAnsi="Arial"/>
      <w:b/>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character" w:customStyle="1" w:styleId="BulletChar">
    <w:name w:val="Bullet Char"/>
    <w:basedOn w:val="DefaultParagraphFont"/>
    <w:link w:val="Bullet"/>
    <w:locked/>
    <w:rsid w:val="00A760B3"/>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3"/>
      </w:numPr>
    </w:pPr>
  </w:style>
  <w:style w:type="numbering" w:customStyle="1" w:styleId="Style2">
    <w:name w:val="Style2"/>
    <w:uiPriority w:val="99"/>
    <w:rsid w:val="008E0688"/>
    <w:pPr>
      <w:numPr>
        <w:numId w:val="4"/>
      </w:numPr>
    </w:pPr>
  </w:style>
  <w:style w:type="paragraph" w:customStyle="1" w:styleId="Greenbullet-casestudytables">
    <w:name w:val="Green bullet - case study tables"/>
    <w:basedOn w:val="Greentext-casestudytables"/>
    <w:uiPriority w:val="1"/>
    <w:semiHidden/>
    <w:rsid w:val="00C15722"/>
    <w:pPr>
      <w:numPr>
        <w:numId w:val="5"/>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6"/>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B73ABB"/>
    <w:pPr>
      <w:numPr>
        <w:numId w:val="7"/>
      </w:numPr>
      <w:spacing w:before="0"/>
    </w:pPr>
    <w:rPr>
      <w:bCs/>
      <w:color w:val="1B556B"/>
    </w:rPr>
  </w:style>
  <w:style w:type="character" w:styleId="UnresolvedMention">
    <w:name w:val="Unresolved Mention"/>
    <w:basedOn w:val="DefaultParagraphFont"/>
    <w:uiPriority w:val="99"/>
    <w:semiHidden/>
    <w:rsid w:val="00B73ABB"/>
    <w:rPr>
      <w:color w:val="605E5C"/>
      <w:shd w:val="clear" w:color="auto" w:fill="E1DFDD"/>
    </w:rPr>
  </w:style>
  <w:style w:type="paragraph" w:styleId="CommentText">
    <w:name w:val="annotation text"/>
    <w:basedOn w:val="Normal"/>
    <w:link w:val="CommentTextChar"/>
    <w:rsid w:val="004E63D3"/>
    <w:pPr>
      <w:spacing w:line="240" w:lineRule="auto"/>
    </w:pPr>
    <w:rPr>
      <w:sz w:val="20"/>
      <w:szCs w:val="20"/>
    </w:rPr>
  </w:style>
  <w:style w:type="character" w:customStyle="1" w:styleId="CommentTextChar">
    <w:name w:val="Comment Text Char"/>
    <w:basedOn w:val="DefaultParagraphFont"/>
    <w:link w:val="CommentText"/>
    <w:rsid w:val="00F6454B"/>
    <w:rPr>
      <w:rFonts w:eastAsia="Times New Roman"/>
    </w:rPr>
  </w:style>
  <w:style w:type="table" w:customStyle="1" w:styleId="MinistryfortheEnvironment">
    <w:name w:val="Ministry for the Environment"/>
    <w:basedOn w:val="TableNormal"/>
    <w:uiPriority w:val="99"/>
    <w:rsid w:val="00AF56C9"/>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NumberedHeading1">
    <w:name w:val="Numbered Heading 1"/>
    <w:basedOn w:val="Heading1"/>
    <w:semiHidden/>
    <w:qFormat/>
    <w:rsid w:val="006B5A4A"/>
    <w:pPr>
      <w:numPr>
        <w:numId w:val="8"/>
      </w:numPr>
      <w:spacing w:after="240"/>
    </w:pPr>
    <w:rPr>
      <w:color w:val="auto"/>
      <w:sz w:val="56"/>
      <w:szCs w:val="84"/>
    </w:rPr>
  </w:style>
  <w:style w:type="paragraph" w:customStyle="1" w:styleId="NumberedHeading2">
    <w:name w:val="Numbered Heading 2"/>
    <w:basedOn w:val="Heading2"/>
    <w:semiHidden/>
    <w:qFormat/>
    <w:rsid w:val="006B5A4A"/>
    <w:pPr>
      <w:numPr>
        <w:ilvl w:val="1"/>
        <w:numId w:val="8"/>
      </w:numPr>
    </w:pPr>
    <w:rPr>
      <w:color w:val="auto"/>
      <w:sz w:val="40"/>
      <w:szCs w:val="56"/>
    </w:rPr>
  </w:style>
  <w:style w:type="paragraph" w:customStyle="1" w:styleId="Boxtext">
    <w:name w:val="Box text"/>
    <w:basedOn w:val="Normal"/>
    <w:uiPriority w:val="1"/>
    <w:qFormat/>
    <w:rsid w:val="00A760B3"/>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A760B3"/>
    <w:pPr>
      <w:numPr>
        <w:numId w:val="13"/>
      </w:numPr>
      <w:spacing w:before="0"/>
    </w:pPr>
    <w:rPr>
      <w:rFonts w:cs="Times New Roman"/>
      <w:szCs w:val="20"/>
    </w:rPr>
  </w:style>
  <w:style w:type="character" w:styleId="HTMLDefinition">
    <w:name w:val="HTML Definition"/>
    <w:basedOn w:val="DefaultParagraphFont"/>
    <w:uiPriority w:val="99"/>
    <w:semiHidden/>
    <w:unhideWhenUsed/>
    <w:rsid w:val="00EF5822"/>
    <w:rPr>
      <w:i/>
      <w:iCs/>
    </w:rPr>
  </w:style>
  <w:style w:type="character" w:styleId="Mention">
    <w:name w:val="Mention"/>
    <w:basedOn w:val="DefaultParagraphFont"/>
    <w:uiPriority w:val="99"/>
    <w:semiHidden/>
    <w:rsid w:val="00335477"/>
    <w:rPr>
      <w:color w:val="2B579A"/>
      <w:shd w:val="clear" w:color="auto" w:fill="E6E6E6"/>
    </w:rPr>
  </w:style>
  <w:style w:type="paragraph" w:styleId="ListBullet">
    <w:name w:val="List Bullet"/>
    <w:basedOn w:val="Normal"/>
    <w:uiPriority w:val="99"/>
    <w:semiHidden/>
    <w:rsid w:val="003345C1"/>
    <w:pPr>
      <w:numPr>
        <w:numId w:val="9"/>
      </w:numPr>
      <w:contextualSpacing/>
    </w:pPr>
  </w:style>
  <w:style w:type="character" w:styleId="Emphasis">
    <w:name w:val="Emphasis"/>
    <w:basedOn w:val="DefaultParagraphFont"/>
    <w:uiPriority w:val="20"/>
    <w:semiHidden/>
    <w:qFormat/>
    <w:rsid w:val="00B83F30"/>
    <w:rPr>
      <w:i/>
      <w:iCs/>
    </w:rPr>
  </w:style>
  <w:style w:type="paragraph" w:styleId="ListBullet2">
    <w:name w:val="List Bullet 2"/>
    <w:basedOn w:val="Normal"/>
    <w:uiPriority w:val="99"/>
    <w:semiHidden/>
    <w:rsid w:val="00396755"/>
    <w:pPr>
      <w:numPr>
        <w:numId w:val="10"/>
      </w:numPr>
      <w:contextualSpacing/>
    </w:pPr>
  </w:style>
  <w:style w:type="paragraph" w:styleId="ListNumber">
    <w:name w:val="List Number"/>
    <w:basedOn w:val="Normal"/>
    <w:uiPriority w:val="99"/>
    <w:semiHidden/>
    <w:rsid w:val="00620898"/>
    <w:pPr>
      <w:numPr>
        <w:numId w:val="11"/>
      </w:numPr>
      <w:contextualSpacing/>
    </w:pPr>
  </w:style>
  <w:style w:type="paragraph" w:customStyle="1" w:styleId="Boxquestion">
    <w:name w:val="Box question"/>
    <w:basedOn w:val="Boxtext"/>
    <w:uiPriority w:val="1"/>
    <w:qFormat/>
    <w:rsid w:val="00AE3AD7"/>
    <w:pPr>
      <w:numPr>
        <w:numId w:val="20"/>
      </w:numPr>
      <w:spacing w:after="240"/>
    </w:pPr>
    <w:rPr>
      <w:rFonts w:cs="Calibri"/>
    </w:rPr>
  </w:style>
  <w:style w:type="character" w:customStyle="1" w:styleId="normaltextrun">
    <w:name w:val="normaltextrun"/>
    <w:basedOn w:val="DefaultParagraphFont"/>
    <w:rsid w:val="007212F8"/>
  </w:style>
  <w:style w:type="paragraph" w:styleId="ListParagraph">
    <w:name w:val="List Paragraph"/>
    <w:basedOn w:val="Normal"/>
    <w:uiPriority w:val="34"/>
    <w:qFormat/>
    <w:rsid w:val="00382C49"/>
    <w:pPr>
      <w:spacing w:before="0" w:after="160" w:line="259" w:lineRule="auto"/>
      <w:ind w:left="720"/>
      <w:contextualSpacing/>
      <w:jc w:val="left"/>
    </w:pPr>
    <w:rPr>
      <w:rFonts w:asciiTheme="minorHAnsi" w:eastAsiaTheme="minorHAnsi" w:hAnsiTheme="minorHAnsi" w:cstheme="minorBidi"/>
      <w:kern w:val="2"/>
      <w:lang w:eastAsia="en-US"/>
      <w14:ligatures w14:val="standardContextual"/>
    </w:rPr>
  </w:style>
  <w:style w:type="character" w:customStyle="1" w:styleId="ui-provider">
    <w:name w:val="ui-provider"/>
    <w:basedOn w:val="DefaultParagraphFont"/>
    <w:rsid w:val="00382C49"/>
  </w:style>
  <w:style w:type="paragraph" w:customStyle="1" w:styleId="paragraph">
    <w:name w:val="paragraph"/>
    <w:basedOn w:val="Normal"/>
    <w:rsid w:val="00242B06"/>
    <w:pPr>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242B06"/>
  </w:style>
  <w:style w:type="character" w:customStyle="1" w:styleId="superscript">
    <w:name w:val="superscript"/>
    <w:basedOn w:val="DefaultParagraphFont"/>
    <w:rsid w:val="009106F7"/>
  </w:style>
  <w:style w:type="paragraph" w:styleId="NormalWeb">
    <w:name w:val="Normal (Web)"/>
    <w:basedOn w:val="Normal"/>
    <w:uiPriority w:val="99"/>
    <w:semiHidden/>
    <w:unhideWhenUsed/>
    <w:rsid w:val="002D351D"/>
    <w:pPr>
      <w:spacing w:before="100" w:beforeAutospacing="1" w:after="100" w:afterAutospacing="1" w:line="240" w:lineRule="auto"/>
      <w:jc w:val="left"/>
    </w:pPr>
    <w:rPr>
      <w:rFonts w:ascii="Times New Roman" w:hAnsi="Times New Roman"/>
      <w:sz w:val="24"/>
      <w:szCs w:val="24"/>
    </w:rPr>
  </w:style>
  <w:style w:type="paragraph" w:customStyle="1" w:styleId="Listnumbered">
    <w:name w:val="List–numbered"/>
    <w:basedOn w:val="Normal"/>
    <w:uiPriority w:val="9"/>
    <w:qFormat/>
    <w:rsid w:val="00DA4CD4"/>
    <w:pPr>
      <w:numPr>
        <w:ilvl w:val="1"/>
        <w:numId w:val="23"/>
      </w:numPr>
      <w:spacing w:line="264" w:lineRule="auto"/>
    </w:pPr>
    <w:rPr>
      <w:rFonts w:ascii="Arial" w:eastAsiaTheme="minorHAnsi" w:hAnsi="Arial" w:cs="Arial"/>
      <w:sz w:val="24"/>
      <w:szCs w:val="23"/>
      <w:lang w:eastAsia="en-US"/>
    </w:rPr>
  </w:style>
  <w:style w:type="paragraph" w:customStyle="1" w:styleId="Paragraph-numbered">
    <w:name w:val="Paragraph-numbered"/>
    <w:basedOn w:val="Normal"/>
    <w:uiPriority w:val="6"/>
    <w:qFormat/>
    <w:rsid w:val="00F25BB7"/>
    <w:pPr>
      <w:numPr>
        <w:numId w:val="23"/>
      </w:numPr>
      <w:spacing w:line="276" w:lineRule="auto"/>
    </w:pPr>
    <w:rPr>
      <w:rFonts w:ascii="Arial" w:eastAsiaTheme="minorHAnsi" w:hAnsi="Arial" w:cs="Arial"/>
      <w:sz w:val="24"/>
      <w:szCs w:val="23"/>
      <w:lang w:eastAsia="en-US"/>
    </w:rPr>
  </w:style>
  <w:style w:type="paragraph" w:customStyle="1" w:styleId="TableText0">
    <w:name w:val="Table Text"/>
    <w:basedOn w:val="Normal"/>
    <w:rsid w:val="006C1341"/>
    <w:pPr>
      <w:autoSpaceDE w:val="0"/>
      <w:autoSpaceDN w:val="0"/>
      <w:adjustRightInd w:val="0"/>
      <w:spacing w:before="60" w:after="60" w:line="240" w:lineRule="atLeast"/>
      <w:jc w:val="left"/>
    </w:pPr>
    <w:rPr>
      <w:rFonts w:ascii="Arial" w:hAnsi="Arial" w:cs="GillSans"/>
      <w:sz w:val="20"/>
      <w:lang w:val="en-GB" w:eastAsia="en-AU"/>
    </w:rPr>
  </w:style>
  <w:style w:type="paragraph" w:customStyle="1" w:styleId="Pa24">
    <w:name w:val="Pa24"/>
    <w:basedOn w:val="Normal"/>
    <w:next w:val="Normal"/>
    <w:uiPriority w:val="99"/>
    <w:rsid w:val="0027652F"/>
    <w:pPr>
      <w:autoSpaceDE w:val="0"/>
      <w:autoSpaceDN w:val="0"/>
      <w:adjustRightInd w:val="0"/>
      <w:spacing w:before="0" w:after="0" w:line="181" w:lineRule="atLeast"/>
      <w:jc w:val="left"/>
    </w:pPr>
    <w:rPr>
      <w:rFonts w:ascii="Ebony Xb" w:eastAsia="Calibri" w:hAnsi="Ebony Xb"/>
      <w:sz w:val="24"/>
      <w:szCs w:val="24"/>
    </w:rPr>
  </w:style>
  <w:style w:type="paragraph" w:customStyle="1" w:styleId="Pa34">
    <w:name w:val="Pa34"/>
    <w:basedOn w:val="Normal"/>
    <w:next w:val="Normal"/>
    <w:uiPriority w:val="99"/>
    <w:rsid w:val="0027652F"/>
    <w:pPr>
      <w:autoSpaceDE w:val="0"/>
      <w:autoSpaceDN w:val="0"/>
      <w:adjustRightInd w:val="0"/>
      <w:spacing w:before="0" w:after="0" w:line="181" w:lineRule="atLeast"/>
      <w:jc w:val="left"/>
    </w:pPr>
    <w:rPr>
      <w:rFonts w:ascii="Ebony Xb" w:eastAsia="Calibri" w:hAnsi="Ebony Xb"/>
      <w:sz w:val="24"/>
      <w:szCs w:val="24"/>
    </w:rPr>
  </w:style>
  <w:style w:type="paragraph" w:customStyle="1" w:styleId="Pa35">
    <w:name w:val="Pa35"/>
    <w:basedOn w:val="Normal"/>
    <w:next w:val="Normal"/>
    <w:uiPriority w:val="99"/>
    <w:rsid w:val="0027652F"/>
    <w:pPr>
      <w:autoSpaceDE w:val="0"/>
      <w:autoSpaceDN w:val="0"/>
      <w:adjustRightInd w:val="0"/>
      <w:spacing w:before="0" w:after="0" w:line="181" w:lineRule="atLeast"/>
      <w:jc w:val="left"/>
    </w:pPr>
    <w:rPr>
      <w:rFonts w:ascii="Ebony Xb" w:eastAsia="Calibri" w:hAnsi="Ebony Xb"/>
      <w:sz w:val="24"/>
      <w:szCs w:val="24"/>
    </w:rPr>
  </w:style>
  <w:style w:type="paragraph" w:customStyle="1" w:styleId="Pa29">
    <w:name w:val="Pa29"/>
    <w:basedOn w:val="Normal"/>
    <w:next w:val="Normal"/>
    <w:uiPriority w:val="99"/>
    <w:rsid w:val="004E7F64"/>
    <w:pPr>
      <w:autoSpaceDE w:val="0"/>
      <w:autoSpaceDN w:val="0"/>
      <w:adjustRightInd w:val="0"/>
      <w:spacing w:before="0" w:after="0" w:line="221" w:lineRule="atLeast"/>
      <w:jc w:val="left"/>
    </w:pPr>
    <w:rPr>
      <w:rFonts w:ascii="Ebony" w:eastAsia="Calibri" w:hAnsi="Ebony"/>
      <w:sz w:val="24"/>
      <w:szCs w:val="24"/>
    </w:rPr>
  </w:style>
  <w:style w:type="paragraph" w:customStyle="1" w:styleId="BodyText-Numbered">
    <w:name w:val="Body Text - Numbered"/>
    <w:basedOn w:val="BodyText"/>
    <w:link w:val="BodyText-NumberedChar"/>
    <w:qFormat/>
    <w:rsid w:val="00F25BB7"/>
    <w:pPr>
      <w:numPr>
        <w:numId w:val="24"/>
      </w:numPr>
      <w:spacing w:before="60" w:line="240" w:lineRule="auto"/>
    </w:pPr>
    <w:rPr>
      <w:rFonts w:ascii="Arial" w:eastAsia="Times New Roman" w:hAnsi="Arial" w:cs="Arial"/>
      <w:szCs w:val="20"/>
      <w:lang w:eastAsia="en-GB"/>
    </w:rPr>
  </w:style>
  <w:style w:type="character" w:customStyle="1" w:styleId="BodyText-NumberedChar">
    <w:name w:val="Body Text - Numbered Char"/>
    <w:link w:val="BodyText-Numbered"/>
    <w:rsid w:val="00C83B69"/>
    <w:rPr>
      <w:rFonts w:ascii="Arial" w:eastAsia="Times New Roman" w:hAnsi="Arial" w:cs="Arial"/>
      <w:sz w:val="22"/>
      <w:lang w:eastAsia="en-GB"/>
    </w:rPr>
  </w:style>
  <w:style w:type="paragraph" w:customStyle="1" w:styleId="Tablebullet">
    <w:name w:val="Table bullet"/>
    <w:basedOn w:val="Normal"/>
    <w:qFormat/>
    <w:rsid w:val="00F25BB7"/>
    <w:pPr>
      <w:numPr>
        <w:numId w:val="25"/>
      </w:numPr>
      <w:autoSpaceDE w:val="0"/>
      <w:autoSpaceDN w:val="0"/>
      <w:adjustRightInd w:val="0"/>
      <w:spacing w:before="60" w:after="60"/>
      <w:jc w:val="left"/>
    </w:pPr>
    <w:rPr>
      <w:rFonts w:ascii="Arial" w:hAnsi="Arial" w:cs="GillSans"/>
      <w:lang w:val="en-GB" w:eastAsia="en-AU"/>
    </w:rPr>
  </w:style>
  <w:style w:type="paragraph" w:customStyle="1" w:styleId="TableHeadings">
    <w:name w:val="Table Headings"/>
    <w:basedOn w:val="Normal"/>
    <w:qFormat/>
    <w:rsid w:val="003E218E"/>
    <w:pPr>
      <w:spacing w:before="60" w:after="60"/>
      <w:jc w:val="left"/>
    </w:pPr>
    <w:rPr>
      <w:rFonts w:ascii="Arial" w:hAnsi="Arial" w:cs="Arial"/>
      <w:b/>
      <w:color w:val="000000"/>
      <w:szCs w:val="20"/>
      <w:lang w:val="en-GB" w:eastAsia="en-GB"/>
    </w:rPr>
  </w:style>
  <w:style w:type="paragraph" w:styleId="TOCHeading">
    <w:name w:val="TOC Heading"/>
    <w:basedOn w:val="Heading1"/>
    <w:next w:val="Normal"/>
    <w:uiPriority w:val="39"/>
    <w:unhideWhenUsed/>
    <w:qFormat/>
    <w:rsid w:val="007A15A3"/>
    <w:pPr>
      <w:keepLines/>
      <w:tabs>
        <w:tab w:val="clear" w:pos="851"/>
      </w:tabs>
      <w:spacing w:before="240" w:beforeAutospacing="0" w:after="0" w:afterAutospacing="0" w:line="259" w:lineRule="auto"/>
      <w:outlineLvl w:val="9"/>
    </w:pPr>
    <w:rPr>
      <w:rFonts w:asciiTheme="majorHAnsi" w:hAnsiTheme="majorHAnsi"/>
      <w:b w:val="0"/>
      <w:bCs w:val="0"/>
      <w:color w:val="153F50" w:themeColor="accent1" w:themeShade="BF"/>
      <w:sz w:val="32"/>
      <w:szCs w:val="32"/>
      <w:lang w:val="en-US" w:eastAsia="en-US"/>
    </w:rPr>
  </w:style>
  <w:style w:type="paragraph" w:styleId="Caption">
    <w:name w:val="caption"/>
    <w:basedOn w:val="Normal"/>
    <w:next w:val="Normal"/>
    <w:rsid w:val="00190240"/>
    <w:pPr>
      <w:spacing w:before="0" w:after="180"/>
      <w:jc w:val="left"/>
    </w:pPr>
    <w:rPr>
      <w:rFonts w:ascii="Arial" w:hAnsi="Arial"/>
      <w:b/>
      <w:bCs/>
      <w:sz w:val="20"/>
      <w:szCs w:val="20"/>
      <w:lang w:val="en-GB" w:eastAsia="en-GB"/>
    </w:rPr>
  </w:style>
  <w:style w:type="character" w:customStyle="1" w:styleId="wacimagecontainer">
    <w:name w:val="wacimagecontainer"/>
    <w:basedOn w:val="DefaultParagraphFont"/>
    <w:rsid w:val="00482BCA"/>
  </w:style>
  <w:style w:type="paragraph" w:customStyle="1" w:styleId="Questions">
    <w:name w:val="Questions"/>
    <w:basedOn w:val="Boxtext"/>
    <w:qFormat/>
    <w:rsid w:val="00170A71"/>
    <w:pPr>
      <w:numPr>
        <w:numId w:val="37"/>
      </w:numPr>
    </w:pPr>
    <w:rPr>
      <w:rFonts w:cs="Times New Roman"/>
      <w:color w:val="auto"/>
      <w:szCs w:val="20"/>
    </w:rPr>
  </w:style>
  <w:style w:type="paragraph" w:customStyle="1" w:styleId="CabStandard">
    <w:name w:val="CabStandard"/>
    <w:basedOn w:val="Normal"/>
    <w:qFormat/>
    <w:rsid w:val="00021B63"/>
    <w:pPr>
      <w:numPr>
        <w:numId w:val="78"/>
      </w:numPr>
      <w:spacing w:before="0" w:after="240" w:line="240" w:lineRule="auto"/>
    </w:pPr>
    <w:rPr>
      <w:rFonts w:ascii="Arial" w:hAnsi="Arial"/>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486">
      <w:bodyDiv w:val="1"/>
      <w:marLeft w:val="0"/>
      <w:marRight w:val="0"/>
      <w:marTop w:val="0"/>
      <w:marBottom w:val="0"/>
      <w:divBdr>
        <w:top w:val="none" w:sz="0" w:space="0" w:color="auto"/>
        <w:left w:val="none" w:sz="0" w:space="0" w:color="auto"/>
        <w:bottom w:val="none" w:sz="0" w:space="0" w:color="auto"/>
        <w:right w:val="none" w:sz="0" w:space="0" w:color="auto"/>
      </w:divBdr>
    </w:div>
    <w:div w:id="135879076">
      <w:bodyDiv w:val="1"/>
      <w:marLeft w:val="0"/>
      <w:marRight w:val="0"/>
      <w:marTop w:val="0"/>
      <w:marBottom w:val="0"/>
      <w:divBdr>
        <w:top w:val="none" w:sz="0" w:space="0" w:color="auto"/>
        <w:left w:val="none" w:sz="0" w:space="0" w:color="auto"/>
        <w:bottom w:val="none" w:sz="0" w:space="0" w:color="auto"/>
        <w:right w:val="none" w:sz="0" w:space="0" w:color="auto"/>
      </w:divBdr>
    </w:div>
    <w:div w:id="160314822">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74599493">
      <w:bodyDiv w:val="1"/>
      <w:marLeft w:val="0"/>
      <w:marRight w:val="0"/>
      <w:marTop w:val="0"/>
      <w:marBottom w:val="0"/>
      <w:divBdr>
        <w:top w:val="none" w:sz="0" w:space="0" w:color="auto"/>
        <w:left w:val="none" w:sz="0" w:space="0" w:color="auto"/>
        <w:bottom w:val="none" w:sz="0" w:space="0" w:color="auto"/>
        <w:right w:val="none" w:sz="0" w:space="0" w:color="auto"/>
      </w:divBdr>
    </w:div>
    <w:div w:id="309091295">
      <w:bodyDiv w:val="1"/>
      <w:marLeft w:val="0"/>
      <w:marRight w:val="0"/>
      <w:marTop w:val="0"/>
      <w:marBottom w:val="0"/>
      <w:divBdr>
        <w:top w:val="none" w:sz="0" w:space="0" w:color="auto"/>
        <w:left w:val="none" w:sz="0" w:space="0" w:color="auto"/>
        <w:bottom w:val="none" w:sz="0" w:space="0" w:color="auto"/>
        <w:right w:val="none" w:sz="0" w:space="0" w:color="auto"/>
      </w:divBdr>
    </w:div>
    <w:div w:id="336615937">
      <w:bodyDiv w:val="1"/>
      <w:marLeft w:val="0"/>
      <w:marRight w:val="0"/>
      <w:marTop w:val="0"/>
      <w:marBottom w:val="0"/>
      <w:divBdr>
        <w:top w:val="none" w:sz="0" w:space="0" w:color="auto"/>
        <w:left w:val="none" w:sz="0" w:space="0" w:color="auto"/>
        <w:bottom w:val="none" w:sz="0" w:space="0" w:color="auto"/>
        <w:right w:val="none" w:sz="0" w:space="0" w:color="auto"/>
      </w:divBdr>
    </w:div>
    <w:div w:id="354891639">
      <w:bodyDiv w:val="1"/>
      <w:marLeft w:val="0"/>
      <w:marRight w:val="0"/>
      <w:marTop w:val="0"/>
      <w:marBottom w:val="0"/>
      <w:divBdr>
        <w:top w:val="none" w:sz="0" w:space="0" w:color="auto"/>
        <w:left w:val="none" w:sz="0" w:space="0" w:color="auto"/>
        <w:bottom w:val="none" w:sz="0" w:space="0" w:color="auto"/>
        <w:right w:val="none" w:sz="0" w:space="0" w:color="auto"/>
      </w:divBdr>
    </w:div>
    <w:div w:id="376121772">
      <w:bodyDiv w:val="1"/>
      <w:marLeft w:val="0"/>
      <w:marRight w:val="0"/>
      <w:marTop w:val="0"/>
      <w:marBottom w:val="0"/>
      <w:divBdr>
        <w:top w:val="none" w:sz="0" w:space="0" w:color="auto"/>
        <w:left w:val="none" w:sz="0" w:space="0" w:color="auto"/>
        <w:bottom w:val="none" w:sz="0" w:space="0" w:color="auto"/>
        <w:right w:val="none" w:sz="0" w:space="0" w:color="auto"/>
      </w:divBdr>
    </w:div>
    <w:div w:id="407070473">
      <w:bodyDiv w:val="1"/>
      <w:marLeft w:val="0"/>
      <w:marRight w:val="0"/>
      <w:marTop w:val="0"/>
      <w:marBottom w:val="0"/>
      <w:divBdr>
        <w:top w:val="none" w:sz="0" w:space="0" w:color="auto"/>
        <w:left w:val="none" w:sz="0" w:space="0" w:color="auto"/>
        <w:bottom w:val="none" w:sz="0" w:space="0" w:color="auto"/>
        <w:right w:val="none" w:sz="0" w:space="0" w:color="auto"/>
      </w:divBdr>
    </w:div>
    <w:div w:id="421341707">
      <w:bodyDiv w:val="1"/>
      <w:marLeft w:val="0"/>
      <w:marRight w:val="0"/>
      <w:marTop w:val="0"/>
      <w:marBottom w:val="0"/>
      <w:divBdr>
        <w:top w:val="none" w:sz="0" w:space="0" w:color="auto"/>
        <w:left w:val="none" w:sz="0" w:space="0" w:color="auto"/>
        <w:bottom w:val="none" w:sz="0" w:space="0" w:color="auto"/>
        <w:right w:val="none" w:sz="0" w:space="0" w:color="auto"/>
      </w:divBdr>
    </w:div>
    <w:div w:id="483351503">
      <w:bodyDiv w:val="1"/>
      <w:marLeft w:val="0"/>
      <w:marRight w:val="0"/>
      <w:marTop w:val="0"/>
      <w:marBottom w:val="0"/>
      <w:divBdr>
        <w:top w:val="none" w:sz="0" w:space="0" w:color="auto"/>
        <w:left w:val="none" w:sz="0" w:space="0" w:color="auto"/>
        <w:bottom w:val="none" w:sz="0" w:space="0" w:color="auto"/>
        <w:right w:val="none" w:sz="0" w:space="0" w:color="auto"/>
      </w:divBdr>
      <w:divsChild>
        <w:div w:id="36398090">
          <w:marLeft w:val="0"/>
          <w:marRight w:val="0"/>
          <w:marTop w:val="0"/>
          <w:marBottom w:val="0"/>
          <w:divBdr>
            <w:top w:val="none" w:sz="0" w:space="0" w:color="auto"/>
            <w:left w:val="none" w:sz="0" w:space="0" w:color="auto"/>
            <w:bottom w:val="none" w:sz="0" w:space="0" w:color="auto"/>
            <w:right w:val="none" w:sz="0" w:space="0" w:color="auto"/>
          </w:divBdr>
        </w:div>
        <w:div w:id="356464229">
          <w:marLeft w:val="0"/>
          <w:marRight w:val="0"/>
          <w:marTop w:val="0"/>
          <w:marBottom w:val="0"/>
          <w:divBdr>
            <w:top w:val="none" w:sz="0" w:space="0" w:color="auto"/>
            <w:left w:val="none" w:sz="0" w:space="0" w:color="auto"/>
            <w:bottom w:val="none" w:sz="0" w:space="0" w:color="auto"/>
            <w:right w:val="none" w:sz="0" w:space="0" w:color="auto"/>
          </w:divBdr>
        </w:div>
        <w:div w:id="525489302">
          <w:marLeft w:val="0"/>
          <w:marRight w:val="0"/>
          <w:marTop w:val="0"/>
          <w:marBottom w:val="0"/>
          <w:divBdr>
            <w:top w:val="none" w:sz="0" w:space="0" w:color="auto"/>
            <w:left w:val="none" w:sz="0" w:space="0" w:color="auto"/>
            <w:bottom w:val="none" w:sz="0" w:space="0" w:color="auto"/>
            <w:right w:val="none" w:sz="0" w:space="0" w:color="auto"/>
          </w:divBdr>
        </w:div>
        <w:div w:id="568656046">
          <w:marLeft w:val="0"/>
          <w:marRight w:val="0"/>
          <w:marTop w:val="0"/>
          <w:marBottom w:val="0"/>
          <w:divBdr>
            <w:top w:val="none" w:sz="0" w:space="0" w:color="auto"/>
            <w:left w:val="none" w:sz="0" w:space="0" w:color="auto"/>
            <w:bottom w:val="none" w:sz="0" w:space="0" w:color="auto"/>
            <w:right w:val="none" w:sz="0" w:space="0" w:color="auto"/>
          </w:divBdr>
        </w:div>
        <w:div w:id="577248276">
          <w:marLeft w:val="0"/>
          <w:marRight w:val="0"/>
          <w:marTop w:val="0"/>
          <w:marBottom w:val="0"/>
          <w:divBdr>
            <w:top w:val="none" w:sz="0" w:space="0" w:color="auto"/>
            <w:left w:val="none" w:sz="0" w:space="0" w:color="auto"/>
            <w:bottom w:val="none" w:sz="0" w:space="0" w:color="auto"/>
            <w:right w:val="none" w:sz="0" w:space="0" w:color="auto"/>
          </w:divBdr>
        </w:div>
        <w:div w:id="864711999">
          <w:marLeft w:val="0"/>
          <w:marRight w:val="0"/>
          <w:marTop w:val="0"/>
          <w:marBottom w:val="0"/>
          <w:divBdr>
            <w:top w:val="none" w:sz="0" w:space="0" w:color="auto"/>
            <w:left w:val="none" w:sz="0" w:space="0" w:color="auto"/>
            <w:bottom w:val="none" w:sz="0" w:space="0" w:color="auto"/>
            <w:right w:val="none" w:sz="0" w:space="0" w:color="auto"/>
          </w:divBdr>
        </w:div>
        <w:div w:id="954213748">
          <w:marLeft w:val="0"/>
          <w:marRight w:val="0"/>
          <w:marTop w:val="0"/>
          <w:marBottom w:val="0"/>
          <w:divBdr>
            <w:top w:val="none" w:sz="0" w:space="0" w:color="auto"/>
            <w:left w:val="none" w:sz="0" w:space="0" w:color="auto"/>
            <w:bottom w:val="none" w:sz="0" w:space="0" w:color="auto"/>
            <w:right w:val="none" w:sz="0" w:space="0" w:color="auto"/>
          </w:divBdr>
        </w:div>
        <w:div w:id="1179780011">
          <w:marLeft w:val="0"/>
          <w:marRight w:val="0"/>
          <w:marTop w:val="0"/>
          <w:marBottom w:val="0"/>
          <w:divBdr>
            <w:top w:val="none" w:sz="0" w:space="0" w:color="auto"/>
            <w:left w:val="none" w:sz="0" w:space="0" w:color="auto"/>
            <w:bottom w:val="none" w:sz="0" w:space="0" w:color="auto"/>
            <w:right w:val="none" w:sz="0" w:space="0" w:color="auto"/>
          </w:divBdr>
        </w:div>
        <w:div w:id="1462647496">
          <w:marLeft w:val="0"/>
          <w:marRight w:val="0"/>
          <w:marTop w:val="0"/>
          <w:marBottom w:val="0"/>
          <w:divBdr>
            <w:top w:val="none" w:sz="0" w:space="0" w:color="auto"/>
            <w:left w:val="none" w:sz="0" w:space="0" w:color="auto"/>
            <w:bottom w:val="none" w:sz="0" w:space="0" w:color="auto"/>
            <w:right w:val="none" w:sz="0" w:space="0" w:color="auto"/>
          </w:divBdr>
        </w:div>
        <w:div w:id="1509951793">
          <w:marLeft w:val="0"/>
          <w:marRight w:val="0"/>
          <w:marTop w:val="0"/>
          <w:marBottom w:val="0"/>
          <w:divBdr>
            <w:top w:val="none" w:sz="0" w:space="0" w:color="auto"/>
            <w:left w:val="none" w:sz="0" w:space="0" w:color="auto"/>
            <w:bottom w:val="none" w:sz="0" w:space="0" w:color="auto"/>
            <w:right w:val="none" w:sz="0" w:space="0" w:color="auto"/>
          </w:divBdr>
        </w:div>
        <w:div w:id="1539658265">
          <w:marLeft w:val="0"/>
          <w:marRight w:val="0"/>
          <w:marTop w:val="0"/>
          <w:marBottom w:val="0"/>
          <w:divBdr>
            <w:top w:val="none" w:sz="0" w:space="0" w:color="auto"/>
            <w:left w:val="none" w:sz="0" w:space="0" w:color="auto"/>
            <w:bottom w:val="none" w:sz="0" w:space="0" w:color="auto"/>
            <w:right w:val="none" w:sz="0" w:space="0" w:color="auto"/>
          </w:divBdr>
        </w:div>
        <w:div w:id="1800612818">
          <w:marLeft w:val="0"/>
          <w:marRight w:val="0"/>
          <w:marTop w:val="0"/>
          <w:marBottom w:val="0"/>
          <w:divBdr>
            <w:top w:val="none" w:sz="0" w:space="0" w:color="auto"/>
            <w:left w:val="none" w:sz="0" w:space="0" w:color="auto"/>
            <w:bottom w:val="none" w:sz="0" w:space="0" w:color="auto"/>
            <w:right w:val="none" w:sz="0" w:space="0" w:color="auto"/>
          </w:divBdr>
        </w:div>
        <w:div w:id="1843741001">
          <w:marLeft w:val="0"/>
          <w:marRight w:val="0"/>
          <w:marTop w:val="0"/>
          <w:marBottom w:val="0"/>
          <w:divBdr>
            <w:top w:val="none" w:sz="0" w:space="0" w:color="auto"/>
            <w:left w:val="none" w:sz="0" w:space="0" w:color="auto"/>
            <w:bottom w:val="none" w:sz="0" w:space="0" w:color="auto"/>
            <w:right w:val="none" w:sz="0" w:space="0" w:color="auto"/>
          </w:divBdr>
        </w:div>
        <w:div w:id="1872762650">
          <w:marLeft w:val="0"/>
          <w:marRight w:val="0"/>
          <w:marTop w:val="0"/>
          <w:marBottom w:val="0"/>
          <w:divBdr>
            <w:top w:val="none" w:sz="0" w:space="0" w:color="auto"/>
            <w:left w:val="none" w:sz="0" w:space="0" w:color="auto"/>
            <w:bottom w:val="none" w:sz="0" w:space="0" w:color="auto"/>
            <w:right w:val="none" w:sz="0" w:space="0" w:color="auto"/>
          </w:divBdr>
        </w:div>
        <w:div w:id="1902062298">
          <w:marLeft w:val="0"/>
          <w:marRight w:val="0"/>
          <w:marTop w:val="0"/>
          <w:marBottom w:val="0"/>
          <w:divBdr>
            <w:top w:val="none" w:sz="0" w:space="0" w:color="auto"/>
            <w:left w:val="none" w:sz="0" w:space="0" w:color="auto"/>
            <w:bottom w:val="none" w:sz="0" w:space="0" w:color="auto"/>
            <w:right w:val="none" w:sz="0" w:space="0" w:color="auto"/>
          </w:divBdr>
        </w:div>
        <w:div w:id="1916746148">
          <w:marLeft w:val="0"/>
          <w:marRight w:val="0"/>
          <w:marTop w:val="0"/>
          <w:marBottom w:val="0"/>
          <w:divBdr>
            <w:top w:val="none" w:sz="0" w:space="0" w:color="auto"/>
            <w:left w:val="none" w:sz="0" w:space="0" w:color="auto"/>
            <w:bottom w:val="none" w:sz="0" w:space="0" w:color="auto"/>
            <w:right w:val="none" w:sz="0" w:space="0" w:color="auto"/>
          </w:divBdr>
        </w:div>
        <w:div w:id="1941597374">
          <w:marLeft w:val="0"/>
          <w:marRight w:val="0"/>
          <w:marTop w:val="0"/>
          <w:marBottom w:val="0"/>
          <w:divBdr>
            <w:top w:val="none" w:sz="0" w:space="0" w:color="auto"/>
            <w:left w:val="none" w:sz="0" w:space="0" w:color="auto"/>
            <w:bottom w:val="none" w:sz="0" w:space="0" w:color="auto"/>
            <w:right w:val="none" w:sz="0" w:space="0" w:color="auto"/>
          </w:divBdr>
        </w:div>
        <w:div w:id="2130279104">
          <w:marLeft w:val="0"/>
          <w:marRight w:val="0"/>
          <w:marTop w:val="0"/>
          <w:marBottom w:val="0"/>
          <w:divBdr>
            <w:top w:val="none" w:sz="0" w:space="0" w:color="auto"/>
            <w:left w:val="none" w:sz="0" w:space="0" w:color="auto"/>
            <w:bottom w:val="none" w:sz="0" w:space="0" w:color="auto"/>
            <w:right w:val="none" w:sz="0" w:space="0" w:color="auto"/>
          </w:divBdr>
        </w:div>
      </w:divsChild>
    </w:div>
    <w:div w:id="590623198">
      <w:bodyDiv w:val="1"/>
      <w:marLeft w:val="0"/>
      <w:marRight w:val="0"/>
      <w:marTop w:val="0"/>
      <w:marBottom w:val="0"/>
      <w:divBdr>
        <w:top w:val="none" w:sz="0" w:space="0" w:color="auto"/>
        <w:left w:val="none" w:sz="0" w:space="0" w:color="auto"/>
        <w:bottom w:val="none" w:sz="0" w:space="0" w:color="auto"/>
        <w:right w:val="none" w:sz="0" w:space="0" w:color="auto"/>
      </w:divBdr>
    </w:div>
    <w:div w:id="597300571">
      <w:bodyDiv w:val="1"/>
      <w:marLeft w:val="0"/>
      <w:marRight w:val="0"/>
      <w:marTop w:val="0"/>
      <w:marBottom w:val="0"/>
      <w:divBdr>
        <w:top w:val="none" w:sz="0" w:space="0" w:color="auto"/>
        <w:left w:val="none" w:sz="0" w:space="0" w:color="auto"/>
        <w:bottom w:val="none" w:sz="0" w:space="0" w:color="auto"/>
        <w:right w:val="none" w:sz="0" w:space="0" w:color="auto"/>
      </w:divBdr>
    </w:div>
    <w:div w:id="597637383">
      <w:bodyDiv w:val="1"/>
      <w:marLeft w:val="0"/>
      <w:marRight w:val="0"/>
      <w:marTop w:val="0"/>
      <w:marBottom w:val="0"/>
      <w:divBdr>
        <w:top w:val="none" w:sz="0" w:space="0" w:color="auto"/>
        <w:left w:val="none" w:sz="0" w:space="0" w:color="auto"/>
        <w:bottom w:val="none" w:sz="0" w:space="0" w:color="auto"/>
        <w:right w:val="none" w:sz="0" w:space="0" w:color="auto"/>
      </w:divBdr>
    </w:div>
    <w:div w:id="603076478">
      <w:bodyDiv w:val="1"/>
      <w:marLeft w:val="0"/>
      <w:marRight w:val="0"/>
      <w:marTop w:val="0"/>
      <w:marBottom w:val="0"/>
      <w:divBdr>
        <w:top w:val="none" w:sz="0" w:space="0" w:color="auto"/>
        <w:left w:val="none" w:sz="0" w:space="0" w:color="auto"/>
        <w:bottom w:val="none" w:sz="0" w:space="0" w:color="auto"/>
        <w:right w:val="none" w:sz="0" w:space="0" w:color="auto"/>
      </w:divBdr>
    </w:div>
    <w:div w:id="604847592">
      <w:bodyDiv w:val="1"/>
      <w:marLeft w:val="0"/>
      <w:marRight w:val="0"/>
      <w:marTop w:val="0"/>
      <w:marBottom w:val="0"/>
      <w:divBdr>
        <w:top w:val="none" w:sz="0" w:space="0" w:color="auto"/>
        <w:left w:val="none" w:sz="0" w:space="0" w:color="auto"/>
        <w:bottom w:val="none" w:sz="0" w:space="0" w:color="auto"/>
        <w:right w:val="none" w:sz="0" w:space="0" w:color="auto"/>
      </w:divBdr>
    </w:div>
    <w:div w:id="610622802">
      <w:bodyDiv w:val="1"/>
      <w:marLeft w:val="0"/>
      <w:marRight w:val="0"/>
      <w:marTop w:val="0"/>
      <w:marBottom w:val="0"/>
      <w:divBdr>
        <w:top w:val="none" w:sz="0" w:space="0" w:color="auto"/>
        <w:left w:val="none" w:sz="0" w:space="0" w:color="auto"/>
        <w:bottom w:val="none" w:sz="0" w:space="0" w:color="auto"/>
        <w:right w:val="none" w:sz="0" w:space="0" w:color="auto"/>
      </w:divBdr>
    </w:div>
    <w:div w:id="626937652">
      <w:bodyDiv w:val="1"/>
      <w:marLeft w:val="0"/>
      <w:marRight w:val="0"/>
      <w:marTop w:val="0"/>
      <w:marBottom w:val="0"/>
      <w:divBdr>
        <w:top w:val="none" w:sz="0" w:space="0" w:color="auto"/>
        <w:left w:val="none" w:sz="0" w:space="0" w:color="auto"/>
        <w:bottom w:val="none" w:sz="0" w:space="0" w:color="auto"/>
        <w:right w:val="none" w:sz="0" w:space="0" w:color="auto"/>
      </w:divBdr>
    </w:div>
    <w:div w:id="637146544">
      <w:bodyDiv w:val="1"/>
      <w:marLeft w:val="0"/>
      <w:marRight w:val="0"/>
      <w:marTop w:val="0"/>
      <w:marBottom w:val="0"/>
      <w:divBdr>
        <w:top w:val="none" w:sz="0" w:space="0" w:color="auto"/>
        <w:left w:val="none" w:sz="0" w:space="0" w:color="auto"/>
        <w:bottom w:val="none" w:sz="0" w:space="0" w:color="auto"/>
        <w:right w:val="none" w:sz="0" w:space="0" w:color="auto"/>
      </w:divBdr>
    </w:div>
    <w:div w:id="646469646">
      <w:bodyDiv w:val="1"/>
      <w:marLeft w:val="0"/>
      <w:marRight w:val="0"/>
      <w:marTop w:val="0"/>
      <w:marBottom w:val="0"/>
      <w:divBdr>
        <w:top w:val="none" w:sz="0" w:space="0" w:color="auto"/>
        <w:left w:val="none" w:sz="0" w:space="0" w:color="auto"/>
        <w:bottom w:val="none" w:sz="0" w:space="0" w:color="auto"/>
        <w:right w:val="none" w:sz="0" w:space="0" w:color="auto"/>
      </w:divBdr>
      <w:divsChild>
        <w:div w:id="188303217">
          <w:marLeft w:val="0"/>
          <w:marRight w:val="0"/>
          <w:marTop w:val="0"/>
          <w:marBottom w:val="0"/>
          <w:divBdr>
            <w:top w:val="none" w:sz="0" w:space="0" w:color="auto"/>
            <w:left w:val="none" w:sz="0" w:space="0" w:color="auto"/>
            <w:bottom w:val="none" w:sz="0" w:space="0" w:color="auto"/>
            <w:right w:val="none" w:sz="0" w:space="0" w:color="auto"/>
          </w:divBdr>
        </w:div>
        <w:div w:id="231084063">
          <w:marLeft w:val="0"/>
          <w:marRight w:val="0"/>
          <w:marTop w:val="0"/>
          <w:marBottom w:val="0"/>
          <w:divBdr>
            <w:top w:val="none" w:sz="0" w:space="0" w:color="auto"/>
            <w:left w:val="none" w:sz="0" w:space="0" w:color="auto"/>
            <w:bottom w:val="none" w:sz="0" w:space="0" w:color="auto"/>
            <w:right w:val="none" w:sz="0" w:space="0" w:color="auto"/>
          </w:divBdr>
        </w:div>
        <w:div w:id="642926194">
          <w:marLeft w:val="0"/>
          <w:marRight w:val="0"/>
          <w:marTop w:val="0"/>
          <w:marBottom w:val="0"/>
          <w:divBdr>
            <w:top w:val="none" w:sz="0" w:space="0" w:color="auto"/>
            <w:left w:val="none" w:sz="0" w:space="0" w:color="auto"/>
            <w:bottom w:val="none" w:sz="0" w:space="0" w:color="auto"/>
            <w:right w:val="none" w:sz="0" w:space="0" w:color="auto"/>
          </w:divBdr>
        </w:div>
        <w:div w:id="805122247">
          <w:marLeft w:val="0"/>
          <w:marRight w:val="0"/>
          <w:marTop w:val="0"/>
          <w:marBottom w:val="0"/>
          <w:divBdr>
            <w:top w:val="none" w:sz="0" w:space="0" w:color="auto"/>
            <w:left w:val="none" w:sz="0" w:space="0" w:color="auto"/>
            <w:bottom w:val="none" w:sz="0" w:space="0" w:color="auto"/>
            <w:right w:val="none" w:sz="0" w:space="0" w:color="auto"/>
          </w:divBdr>
        </w:div>
        <w:div w:id="1016468721">
          <w:marLeft w:val="0"/>
          <w:marRight w:val="0"/>
          <w:marTop w:val="0"/>
          <w:marBottom w:val="0"/>
          <w:divBdr>
            <w:top w:val="none" w:sz="0" w:space="0" w:color="auto"/>
            <w:left w:val="none" w:sz="0" w:space="0" w:color="auto"/>
            <w:bottom w:val="none" w:sz="0" w:space="0" w:color="auto"/>
            <w:right w:val="none" w:sz="0" w:space="0" w:color="auto"/>
          </w:divBdr>
        </w:div>
        <w:div w:id="1019625351">
          <w:marLeft w:val="0"/>
          <w:marRight w:val="0"/>
          <w:marTop w:val="0"/>
          <w:marBottom w:val="0"/>
          <w:divBdr>
            <w:top w:val="none" w:sz="0" w:space="0" w:color="auto"/>
            <w:left w:val="none" w:sz="0" w:space="0" w:color="auto"/>
            <w:bottom w:val="none" w:sz="0" w:space="0" w:color="auto"/>
            <w:right w:val="none" w:sz="0" w:space="0" w:color="auto"/>
          </w:divBdr>
        </w:div>
        <w:div w:id="1176306021">
          <w:marLeft w:val="0"/>
          <w:marRight w:val="0"/>
          <w:marTop w:val="0"/>
          <w:marBottom w:val="0"/>
          <w:divBdr>
            <w:top w:val="none" w:sz="0" w:space="0" w:color="auto"/>
            <w:left w:val="none" w:sz="0" w:space="0" w:color="auto"/>
            <w:bottom w:val="none" w:sz="0" w:space="0" w:color="auto"/>
            <w:right w:val="none" w:sz="0" w:space="0" w:color="auto"/>
          </w:divBdr>
        </w:div>
        <w:div w:id="1340893462">
          <w:marLeft w:val="0"/>
          <w:marRight w:val="0"/>
          <w:marTop w:val="0"/>
          <w:marBottom w:val="0"/>
          <w:divBdr>
            <w:top w:val="none" w:sz="0" w:space="0" w:color="auto"/>
            <w:left w:val="none" w:sz="0" w:space="0" w:color="auto"/>
            <w:bottom w:val="none" w:sz="0" w:space="0" w:color="auto"/>
            <w:right w:val="none" w:sz="0" w:space="0" w:color="auto"/>
          </w:divBdr>
        </w:div>
        <w:div w:id="1431779694">
          <w:marLeft w:val="0"/>
          <w:marRight w:val="0"/>
          <w:marTop w:val="0"/>
          <w:marBottom w:val="0"/>
          <w:divBdr>
            <w:top w:val="none" w:sz="0" w:space="0" w:color="auto"/>
            <w:left w:val="none" w:sz="0" w:space="0" w:color="auto"/>
            <w:bottom w:val="none" w:sz="0" w:space="0" w:color="auto"/>
            <w:right w:val="none" w:sz="0" w:space="0" w:color="auto"/>
          </w:divBdr>
        </w:div>
        <w:div w:id="1443378566">
          <w:marLeft w:val="0"/>
          <w:marRight w:val="0"/>
          <w:marTop w:val="0"/>
          <w:marBottom w:val="0"/>
          <w:divBdr>
            <w:top w:val="none" w:sz="0" w:space="0" w:color="auto"/>
            <w:left w:val="none" w:sz="0" w:space="0" w:color="auto"/>
            <w:bottom w:val="none" w:sz="0" w:space="0" w:color="auto"/>
            <w:right w:val="none" w:sz="0" w:space="0" w:color="auto"/>
          </w:divBdr>
        </w:div>
        <w:div w:id="1476996213">
          <w:marLeft w:val="0"/>
          <w:marRight w:val="0"/>
          <w:marTop w:val="0"/>
          <w:marBottom w:val="0"/>
          <w:divBdr>
            <w:top w:val="none" w:sz="0" w:space="0" w:color="auto"/>
            <w:left w:val="none" w:sz="0" w:space="0" w:color="auto"/>
            <w:bottom w:val="none" w:sz="0" w:space="0" w:color="auto"/>
            <w:right w:val="none" w:sz="0" w:space="0" w:color="auto"/>
          </w:divBdr>
        </w:div>
        <w:div w:id="1701973685">
          <w:marLeft w:val="0"/>
          <w:marRight w:val="0"/>
          <w:marTop w:val="0"/>
          <w:marBottom w:val="0"/>
          <w:divBdr>
            <w:top w:val="none" w:sz="0" w:space="0" w:color="auto"/>
            <w:left w:val="none" w:sz="0" w:space="0" w:color="auto"/>
            <w:bottom w:val="none" w:sz="0" w:space="0" w:color="auto"/>
            <w:right w:val="none" w:sz="0" w:space="0" w:color="auto"/>
          </w:divBdr>
        </w:div>
        <w:div w:id="1779792993">
          <w:marLeft w:val="0"/>
          <w:marRight w:val="0"/>
          <w:marTop w:val="0"/>
          <w:marBottom w:val="0"/>
          <w:divBdr>
            <w:top w:val="none" w:sz="0" w:space="0" w:color="auto"/>
            <w:left w:val="none" w:sz="0" w:space="0" w:color="auto"/>
            <w:bottom w:val="none" w:sz="0" w:space="0" w:color="auto"/>
            <w:right w:val="none" w:sz="0" w:space="0" w:color="auto"/>
          </w:divBdr>
        </w:div>
        <w:div w:id="1862670426">
          <w:marLeft w:val="0"/>
          <w:marRight w:val="0"/>
          <w:marTop w:val="0"/>
          <w:marBottom w:val="0"/>
          <w:divBdr>
            <w:top w:val="none" w:sz="0" w:space="0" w:color="auto"/>
            <w:left w:val="none" w:sz="0" w:space="0" w:color="auto"/>
            <w:bottom w:val="none" w:sz="0" w:space="0" w:color="auto"/>
            <w:right w:val="none" w:sz="0" w:space="0" w:color="auto"/>
          </w:divBdr>
        </w:div>
        <w:div w:id="1933318625">
          <w:marLeft w:val="0"/>
          <w:marRight w:val="0"/>
          <w:marTop w:val="0"/>
          <w:marBottom w:val="0"/>
          <w:divBdr>
            <w:top w:val="none" w:sz="0" w:space="0" w:color="auto"/>
            <w:left w:val="none" w:sz="0" w:space="0" w:color="auto"/>
            <w:bottom w:val="none" w:sz="0" w:space="0" w:color="auto"/>
            <w:right w:val="none" w:sz="0" w:space="0" w:color="auto"/>
          </w:divBdr>
        </w:div>
        <w:div w:id="1982340387">
          <w:marLeft w:val="0"/>
          <w:marRight w:val="0"/>
          <w:marTop w:val="0"/>
          <w:marBottom w:val="0"/>
          <w:divBdr>
            <w:top w:val="none" w:sz="0" w:space="0" w:color="auto"/>
            <w:left w:val="none" w:sz="0" w:space="0" w:color="auto"/>
            <w:bottom w:val="none" w:sz="0" w:space="0" w:color="auto"/>
            <w:right w:val="none" w:sz="0" w:space="0" w:color="auto"/>
          </w:divBdr>
        </w:div>
      </w:divsChild>
    </w:div>
    <w:div w:id="657538326">
      <w:bodyDiv w:val="1"/>
      <w:marLeft w:val="0"/>
      <w:marRight w:val="0"/>
      <w:marTop w:val="0"/>
      <w:marBottom w:val="0"/>
      <w:divBdr>
        <w:top w:val="none" w:sz="0" w:space="0" w:color="auto"/>
        <w:left w:val="none" w:sz="0" w:space="0" w:color="auto"/>
        <w:bottom w:val="none" w:sz="0" w:space="0" w:color="auto"/>
        <w:right w:val="none" w:sz="0" w:space="0" w:color="auto"/>
      </w:divBdr>
    </w:div>
    <w:div w:id="664087307">
      <w:bodyDiv w:val="1"/>
      <w:marLeft w:val="0"/>
      <w:marRight w:val="0"/>
      <w:marTop w:val="0"/>
      <w:marBottom w:val="0"/>
      <w:divBdr>
        <w:top w:val="none" w:sz="0" w:space="0" w:color="auto"/>
        <w:left w:val="none" w:sz="0" w:space="0" w:color="auto"/>
        <w:bottom w:val="none" w:sz="0" w:space="0" w:color="auto"/>
        <w:right w:val="none" w:sz="0" w:space="0" w:color="auto"/>
      </w:divBdr>
    </w:div>
    <w:div w:id="692536447">
      <w:bodyDiv w:val="1"/>
      <w:marLeft w:val="0"/>
      <w:marRight w:val="0"/>
      <w:marTop w:val="0"/>
      <w:marBottom w:val="0"/>
      <w:divBdr>
        <w:top w:val="none" w:sz="0" w:space="0" w:color="auto"/>
        <w:left w:val="none" w:sz="0" w:space="0" w:color="auto"/>
        <w:bottom w:val="none" w:sz="0" w:space="0" w:color="auto"/>
        <w:right w:val="none" w:sz="0" w:space="0" w:color="auto"/>
      </w:divBdr>
    </w:div>
    <w:div w:id="754400388">
      <w:bodyDiv w:val="1"/>
      <w:marLeft w:val="0"/>
      <w:marRight w:val="0"/>
      <w:marTop w:val="0"/>
      <w:marBottom w:val="0"/>
      <w:divBdr>
        <w:top w:val="none" w:sz="0" w:space="0" w:color="auto"/>
        <w:left w:val="none" w:sz="0" w:space="0" w:color="auto"/>
        <w:bottom w:val="none" w:sz="0" w:space="0" w:color="auto"/>
        <w:right w:val="none" w:sz="0" w:space="0" w:color="auto"/>
      </w:divBdr>
      <w:divsChild>
        <w:div w:id="379594475">
          <w:marLeft w:val="0"/>
          <w:marRight w:val="0"/>
          <w:marTop w:val="0"/>
          <w:marBottom w:val="0"/>
          <w:divBdr>
            <w:top w:val="none" w:sz="0" w:space="0" w:color="auto"/>
            <w:left w:val="none" w:sz="0" w:space="0" w:color="auto"/>
            <w:bottom w:val="none" w:sz="0" w:space="0" w:color="auto"/>
            <w:right w:val="none" w:sz="0" w:space="0" w:color="auto"/>
          </w:divBdr>
          <w:divsChild>
            <w:div w:id="273631374">
              <w:marLeft w:val="0"/>
              <w:marRight w:val="0"/>
              <w:marTop w:val="0"/>
              <w:marBottom w:val="0"/>
              <w:divBdr>
                <w:top w:val="none" w:sz="0" w:space="0" w:color="auto"/>
                <w:left w:val="none" w:sz="0" w:space="0" w:color="auto"/>
                <w:bottom w:val="none" w:sz="0" w:space="0" w:color="auto"/>
                <w:right w:val="none" w:sz="0" w:space="0" w:color="auto"/>
              </w:divBdr>
            </w:div>
          </w:divsChild>
        </w:div>
        <w:div w:id="472602628">
          <w:marLeft w:val="0"/>
          <w:marRight w:val="0"/>
          <w:marTop w:val="0"/>
          <w:marBottom w:val="0"/>
          <w:divBdr>
            <w:top w:val="none" w:sz="0" w:space="0" w:color="auto"/>
            <w:left w:val="none" w:sz="0" w:space="0" w:color="auto"/>
            <w:bottom w:val="none" w:sz="0" w:space="0" w:color="auto"/>
            <w:right w:val="none" w:sz="0" w:space="0" w:color="auto"/>
          </w:divBdr>
          <w:divsChild>
            <w:div w:id="1799646687">
              <w:marLeft w:val="0"/>
              <w:marRight w:val="0"/>
              <w:marTop w:val="0"/>
              <w:marBottom w:val="0"/>
              <w:divBdr>
                <w:top w:val="none" w:sz="0" w:space="0" w:color="auto"/>
                <w:left w:val="none" w:sz="0" w:space="0" w:color="auto"/>
                <w:bottom w:val="none" w:sz="0" w:space="0" w:color="auto"/>
                <w:right w:val="none" w:sz="0" w:space="0" w:color="auto"/>
              </w:divBdr>
            </w:div>
          </w:divsChild>
        </w:div>
        <w:div w:id="500510187">
          <w:marLeft w:val="0"/>
          <w:marRight w:val="0"/>
          <w:marTop w:val="0"/>
          <w:marBottom w:val="0"/>
          <w:divBdr>
            <w:top w:val="none" w:sz="0" w:space="0" w:color="auto"/>
            <w:left w:val="none" w:sz="0" w:space="0" w:color="auto"/>
            <w:bottom w:val="none" w:sz="0" w:space="0" w:color="auto"/>
            <w:right w:val="none" w:sz="0" w:space="0" w:color="auto"/>
          </w:divBdr>
          <w:divsChild>
            <w:div w:id="853147945">
              <w:marLeft w:val="0"/>
              <w:marRight w:val="0"/>
              <w:marTop w:val="0"/>
              <w:marBottom w:val="0"/>
              <w:divBdr>
                <w:top w:val="none" w:sz="0" w:space="0" w:color="auto"/>
                <w:left w:val="none" w:sz="0" w:space="0" w:color="auto"/>
                <w:bottom w:val="none" w:sz="0" w:space="0" w:color="auto"/>
                <w:right w:val="none" w:sz="0" w:space="0" w:color="auto"/>
              </w:divBdr>
            </w:div>
            <w:div w:id="2140416544">
              <w:marLeft w:val="0"/>
              <w:marRight w:val="0"/>
              <w:marTop w:val="0"/>
              <w:marBottom w:val="0"/>
              <w:divBdr>
                <w:top w:val="none" w:sz="0" w:space="0" w:color="auto"/>
                <w:left w:val="none" w:sz="0" w:space="0" w:color="auto"/>
                <w:bottom w:val="none" w:sz="0" w:space="0" w:color="auto"/>
                <w:right w:val="none" w:sz="0" w:space="0" w:color="auto"/>
              </w:divBdr>
            </w:div>
          </w:divsChild>
        </w:div>
        <w:div w:id="668676310">
          <w:marLeft w:val="0"/>
          <w:marRight w:val="0"/>
          <w:marTop w:val="0"/>
          <w:marBottom w:val="0"/>
          <w:divBdr>
            <w:top w:val="none" w:sz="0" w:space="0" w:color="auto"/>
            <w:left w:val="none" w:sz="0" w:space="0" w:color="auto"/>
            <w:bottom w:val="none" w:sz="0" w:space="0" w:color="auto"/>
            <w:right w:val="none" w:sz="0" w:space="0" w:color="auto"/>
          </w:divBdr>
          <w:divsChild>
            <w:div w:id="1925526643">
              <w:marLeft w:val="0"/>
              <w:marRight w:val="0"/>
              <w:marTop w:val="0"/>
              <w:marBottom w:val="0"/>
              <w:divBdr>
                <w:top w:val="none" w:sz="0" w:space="0" w:color="auto"/>
                <w:left w:val="none" w:sz="0" w:space="0" w:color="auto"/>
                <w:bottom w:val="none" w:sz="0" w:space="0" w:color="auto"/>
                <w:right w:val="none" w:sz="0" w:space="0" w:color="auto"/>
              </w:divBdr>
            </w:div>
          </w:divsChild>
        </w:div>
        <w:div w:id="669453456">
          <w:marLeft w:val="0"/>
          <w:marRight w:val="0"/>
          <w:marTop w:val="0"/>
          <w:marBottom w:val="0"/>
          <w:divBdr>
            <w:top w:val="none" w:sz="0" w:space="0" w:color="auto"/>
            <w:left w:val="none" w:sz="0" w:space="0" w:color="auto"/>
            <w:bottom w:val="none" w:sz="0" w:space="0" w:color="auto"/>
            <w:right w:val="none" w:sz="0" w:space="0" w:color="auto"/>
          </w:divBdr>
          <w:divsChild>
            <w:div w:id="709302525">
              <w:marLeft w:val="0"/>
              <w:marRight w:val="0"/>
              <w:marTop w:val="0"/>
              <w:marBottom w:val="0"/>
              <w:divBdr>
                <w:top w:val="none" w:sz="0" w:space="0" w:color="auto"/>
                <w:left w:val="none" w:sz="0" w:space="0" w:color="auto"/>
                <w:bottom w:val="none" w:sz="0" w:space="0" w:color="auto"/>
                <w:right w:val="none" w:sz="0" w:space="0" w:color="auto"/>
              </w:divBdr>
            </w:div>
          </w:divsChild>
        </w:div>
        <w:div w:id="740909594">
          <w:marLeft w:val="0"/>
          <w:marRight w:val="0"/>
          <w:marTop w:val="0"/>
          <w:marBottom w:val="0"/>
          <w:divBdr>
            <w:top w:val="none" w:sz="0" w:space="0" w:color="auto"/>
            <w:left w:val="none" w:sz="0" w:space="0" w:color="auto"/>
            <w:bottom w:val="none" w:sz="0" w:space="0" w:color="auto"/>
            <w:right w:val="none" w:sz="0" w:space="0" w:color="auto"/>
          </w:divBdr>
          <w:divsChild>
            <w:div w:id="2098208047">
              <w:marLeft w:val="0"/>
              <w:marRight w:val="0"/>
              <w:marTop w:val="0"/>
              <w:marBottom w:val="0"/>
              <w:divBdr>
                <w:top w:val="none" w:sz="0" w:space="0" w:color="auto"/>
                <w:left w:val="none" w:sz="0" w:space="0" w:color="auto"/>
                <w:bottom w:val="none" w:sz="0" w:space="0" w:color="auto"/>
                <w:right w:val="none" w:sz="0" w:space="0" w:color="auto"/>
              </w:divBdr>
            </w:div>
          </w:divsChild>
        </w:div>
        <w:div w:id="1435973888">
          <w:marLeft w:val="0"/>
          <w:marRight w:val="0"/>
          <w:marTop w:val="0"/>
          <w:marBottom w:val="0"/>
          <w:divBdr>
            <w:top w:val="none" w:sz="0" w:space="0" w:color="auto"/>
            <w:left w:val="none" w:sz="0" w:space="0" w:color="auto"/>
            <w:bottom w:val="none" w:sz="0" w:space="0" w:color="auto"/>
            <w:right w:val="none" w:sz="0" w:space="0" w:color="auto"/>
          </w:divBdr>
          <w:divsChild>
            <w:div w:id="681711303">
              <w:marLeft w:val="0"/>
              <w:marRight w:val="0"/>
              <w:marTop w:val="0"/>
              <w:marBottom w:val="0"/>
              <w:divBdr>
                <w:top w:val="none" w:sz="0" w:space="0" w:color="auto"/>
                <w:left w:val="none" w:sz="0" w:space="0" w:color="auto"/>
                <w:bottom w:val="none" w:sz="0" w:space="0" w:color="auto"/>
                <w:right w:val="none" w:sz="0" w:space="0" w:color="auto"/>
              </w:divBdr>
            </w:div>
          </w:divsChild>
        </w:div>
        <w:div w:id="1571111977">
          <w:marLeft w:val="0"/>
          <w:marRight w:val="0"/>
          <w:marTop w:val="0"/>
          <w:marBottom w:val="0"/>
          <w:divBdr>
            <w:top w:val="none" w:sz="0" w:space="0" w:color="auto"/>
            <w:left w:val="none" w:sz="0" w:space="0" w:color="auto"/>
            <w:bottom w:val="none" w:sz="0" w:space="0" w:color="auto"/>
            <w:right w:val="none" w:sz="0" w:space="0" w:color="auto"/>
          </w:divBdr>
          <w:divsChild>
            <w:div w:id="634674775">
              <w:marLeft w:val="0"/>
              <w:marRight w:val="0"/>
              <w:marTop w:val="0"/>
              <w:marBottom w:val="0"/>
              <w:divBdr>
                <w:top w:val="none" w:sz="0" w:space="0" w:color="auto"/>
                <w:left w:val="none" w:sz="0" w:space="0" w:color="auto"/>
                <w:bottom w:val="none" w:sz="0" w:space="0" w:color="auto"/>
                <w:right w:val="none" w:sz="0" w:space="0" w:color="auto"/>
              </w:divBdr>
            </w:div>
            <w:div w:id="1664967739">
              <w:marLeft w:val="0"/>
              <w:marRight w:val="0"/>
              <w:marTop w:val="0"/>
              <w:marBottom w:val="0"/>
              <w:divBdr>
                <w:top w:val="none" w:sz="0" w:space="0" w:color="auto"/>
                <w:left w:val="none" w:sz="0" w:space="0" w:color="auto"/>
                <w:bottom w:val="none" w:sz="0" w:space="0" w:color="auto"/>
                <w:right w:val="none" w:sz="0" w:space="0" w:color="auto"/>
              </w:divBdr>
            </w:div>
          </w:divsChild>
        </w:div>
        <w:div w:id="1745839094">
          <w:marLeft w:val="0"/>
          <w:marRight w:val="0"/>
          <w:marTop w:val="0"/>
          <w:marBottom w:val="0"/>
          <w:divBdr>
            <w:top w:val="none" w:sz="0" w:space="0" w:color="auto"/>
            <w:left w:val="none" w:sz="0" w:space="0" w:color="auto"/>
            <w:bottom w:val="none" w:sz="0" w:space="0" w:color="auto"/>
            <w:right w:val="none" w:sz="0" w:space="0" w:color="auto"/>
          </w:divBdr>
          <w:divsChild>
            <w:div w:id="249581886">
              <w:marLeft w:val="0"/>
              <w:marRight w:val="0"/>
              <w:marTop w:val="0"/>
              <w:marBottom w:val="0"/>
              <w:divBdr>
                <w:top w:val="none" w:sz="0" w:space="0" w:color="auto"/>
                <w:left w:val="none" w:sz="0" w:space="0" w:color="auto"/>
                <w:bottom w:val="none" w:sz="0" w:space="0" w:color="auto"/>
                <w:right w:val="none" w:sz="0" w:space="0" w:color="auto"/>
              </w:divBdr>
            </w:div>
            <w:div w:id="1011840261">
              <w:marLeft w:val="0"/>
              <w:marRight w:val="0"/>
              <w:marTop w:val="0"/>
              <w:marBottom w:val="0"/>
              <w:divBdr>
                <w:top w:val="none" w:sz="0" w:space="0" w:color="auto"/>
                <w:left w:val="none" w:sz="0" w:space="0" w:color="auto"/>
                <w:bottom w:val="none" w:sz="0" w:space="0" w:color="auto"/>
                <w:right w:val="none" w:sz="0" w:space="0" w:color="auto"/>
              </w:divBdr>
            </w:div>
            <w:div w:id="1654025128">
              <w:marLeft w:val="0"/>
              <w:marRight w:val="0"/>
              <w:marTop w:val="0"/>
              <w:marBottom w:val="0"/>
              <w:divBdr>
                <w:top w:val="none" w:sz="0" w:space="0" w:color="auto"/>
                <w:left w:val="none" w:sz="0" w:space="0" w:color="auto"/>
                <w:bottom w:val="none" w:sz="0" w:space="0" w:color="auto"/>
                <w:right w:val="none" w:sz="0" w:space="0" w:color="auto"/>
              </w:divBdr>
            </w:div>
          </w:divsChild>
        </w:div>
        <w:div w:id="1825974976">
          <w:marLeft w:val="0"/>
          <w:marRight w:val="0"/>
          <w:marTop w:val="0"/>
          <w:marBottom w:val="0"/>
          <w:divBdr>
            <w:top w:val="none" w:sz="0" w:space="0" w:color="auto"/>
            <w:left w:val="none" w:sz="0" w:space="0" w:color="auto"/>
            <w:bottom w:val="none" w:sz="0" w:space="0" w:color="auto"/>
            <w:right w:val="none" w:sz="0" w:space="0" w:color="auto"/>
          </w:divBdr>
          <w:divsChild>
            <w:div w:id="476413053">
              <w:marLeft w:val="0"/>
              <w:marRight w:val="0"/>
              <w:marTop w:val="0"/>
              <w:marBottom w:val="0"/>
              <w:divBdr>
                <w:top w:val="none" w:sz="0" w:space="0" w:color="auto"/>
                <w:left w:val="none" w:sz="0" w:space="0" w:color="auto"/>
                <w:bottom w:val="none" w:sz="0" w:space="0" w:color="auto"/>
                <w:right w:val="none" w:sz="0" w:space="0" w:color="auto"/>
              </w:divBdr>
            </w:div>
          </w:divsChild>
        </w:div>
        <w:div w:id="1874615932">
          <w:marLeft w:val="0"/>
          <w:marRight w:val="0"/>
          <w:marTop w:val="0"/>
          <w:marBottom w:val="0"/>
          <w:divBdr>
            <w:top w:val="none" w:sz="0" w:space="0" w:color="auto"/>
            <w:left w:val="none" w:sz="0" w:space="0" w:color="auto"/>
            <w:bottom w:val="none" w:sz="0" w:space="0" w:color="auto"/>
            <w:right w:val="none" w:sz="0" w:space="0" w:color="auto"/>
          </w:divBdr>
          <w:divsChild>
            <w:div w:id="719087453">
              <w:marLeft w:val="0"/>
              <w:marRight w:val="0"/>
              <w:marTop w:val="0"/>
              <w:marBottom w:val="0"/>
              <w:divBdr>
                <w:top w:val="none" w:sz="0" w:space="0" w:color="auto"/>
                <w:left w:val="none" w:sz="0" w:space="0" w:color="auto"/>
                <w:bottom w:val="none" w:sz="0" w:space="0" w:color="auto"/>
                <w:right w:val="none" w:sz="0" w:space="0" w:color="auto"/>
              </w:divBdr>
            </w:div>
          </w:divsChild>
        </w:div>
        <w:div w:id="2106727927">
          <w:marLeft w:val="0"/>
          <w:marRight w:val="0"/>
          <w:marTop w:val="0"/>
          <w:marBottom w:val="0"/>
          <w:divBdr>
            <w:top w:val="none" w:sz="0" w:space="0" w:color="auto"/>
            <w:left w:val="none" w:sz="0" w:space="0" w:color="auto"/>
            <w:bottom w:val="none" w:sz="0" w:space="0" w:color="auto"/>
            <w:right w:val="none" w:sz="0" w:space="0" w:color="auto"/>
          </w:divBdr>
          <w:divsChild>
            <w:div w:id="1788624373">
              <w:marLeft w:val="0"/>
              <w:marRight w:val="0"/>
              <w:marTop w:val="0"/>
              <w:marBottom w:val="0"/>
              <w:divBdr>
                <w:top w:val="none" w:sz="0" w:space="0" w:color="auto"/>
                <w:left w:val="none" w:sz="0" w:space="0" w:color="auto"/>
                <w:bottom w:val="none" w:sz="0" w:space="0" w:color="auto"/>
                <w:right w:val="none" w:sz="0" w:space="0" w:color="auto"/>
              </w:divBdr>
            </w:div>
            <w:div w:id="20052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104">
      <w:bodyDiv w:val="1"/>
      <w:marLeft w:val="0"/>
      <w:marRight w:val="0"/>
      <w:marTop w:val="0"/>
      <w:marBottom w:val="0"/>
      <w:divBdr>
        <w:top w:val="none" w:sz="0" w:space="0" w:color="auto"/>
        <w:left w:val="none" w:sz="0" w:space="0" w:color="auto"/>
        <w:bottom w:val="none" w:sz="0" w:space="0" w:color="auto"/>
        <w:right w:val="none" w:sz="0" w:space="0" w:color="auto"/>
      </w:divBdr>
    </w:div>
    <w:div w:id="767963965">
      <w:bodyDiv w:val="1"/>
      <w:marLeft w:val="0"/>
      <w:marRight w:val="0"/>
      <w:marTop w:val="0"/>
      <w:marBottom w:val="0"/>
      <w:divBdr>
        <w:top w:val="none" w:sz="0" w:space="0" w:color="auto"/>
        <w:left w:val="none" w:sz="0" w:space="0" w:color="auto"/>
        <w:bottom w:val="none" w:sz="0" w:space="0" w:color="auto"/>
        <w:right w:val="none" w:sz="0" w:space="0" w:color="auto"/>
      </w:divBdr>
    </w:div>
    <w:div w:id="884606081">
      <w:bodyDiv w:val="1"/>
      <w:marLeft w:val="0"/>
      <w:marRight w:val="0"/>
      <w:marTop w:val="0"/>
      <w:marBottom w:val="0"/>
      <w:divBdr>
        <w:top w:val="none" w:sz="0" w:space="0" w:color="auto"/>
        <w:left w:val="none" w:sz="0" w:space="0" w:color="auto"/>
        <w:bottom w:val="none" w:sz="0" w:space="0" w:color="auto"/>
        <w:right w:val="none" w:sz="0" w:space="0" w:color="auto"/>
      </w:divBdr>
      <w:divsChild>
        <w:div w:id="2030989585">
          <w:marLeft w:val="0"/>
          <w:marRight w:val="0"/>
          <w:marTop w:val="0"/>
          <w:marBottom w:val="0"/>
          <w:divBdr>
            <w:top w:val="none" w:sz="0" w:space="0" w:color="auto"/>
            <w:left w:val="none" w:sz="0" w:space="0" w:color="auto"/>
            <w:bottom w:val="none" w:sz="0" w:space="0" w:color="auto"/>
            <w:right w:val="none" w:sz="0" w:space="0" w:color="auto"/>
          </w:divBdr>
        </w:div>
        <w:div w:id="2142729782">
          <w:marLeft w:val="0"/>
          <w:marRight w:val="0"/>
          <w:marTop w:val="0"/>
          <w:marBottom w:val="0"/>
          <w:divBdr>
            <w:top w:val="none" w:sz="0" w:space="0" w:color="auto"/>
            <w:left w:val="none" w:sz="0" w:space="0" w:color="auto"/>
            <w:bottom w:val="none" w:sz="0" w:space="0" w:color="auto"/>
            <w:right w:val="none" w:sz="0" w:space="0" w:color="auto"/>
          </w:divBdr>
        </w:div>
      </w:divsChild>
    </w:div>
    <w:div w:id="905653558">
      <w:bodyDiv w:val="1"/>
      <w:marLeft w:val="0"/>
      <w:marRight w:val="0"/>
      <w:marTop w:val="0"/>
      <w:marBottom w:val="0"/>
      <w:divBdr>
        <w:top w:val="none" w:sz="0" w:space="0" w:color="auto"/>
        <w:left w:val="none" w:sz="0" w:space="0" w:color="auto"/>
        <w:bottom w:val="none" w:sz="0" w:space="0" w:color="auto"/>
        <w:right w:val="none" w:sz="0" w:space="0" w:color="auto"/>
      </w:divBdr>
    </w:div>
    <w:div w:id="947002383">
      <w:bodyDiv w:val="1"/>
      <w:marLeft w:val="0"/>
      <w:marRight w:val="0"/>
      <w:marTop w:val="0"/>
      <w:marBottom w:val="0"/>
      <w:divBdr>
        <w:top w:val="none" w:sz="0" w:space="0" w:color="auto"/>
        <w:left w:val="none" w:sz="0" w:space="0" w:color="auto"/>
        <w:bottom w:val="none" w:sz="0" w:space="0" w:color="auto"/>
        <w:right w:val="none" w:sz="0" w:space="0" w:color="auto"/>
      </w:divBdr>
      <w:divsChild>
        <w:div w:id="453643093">
          <w:marLeft w:val="0"/>
          <w:marRight w:val="0"/>
          <w:marTop w:val="0"/>
          <w:marBottom w:val="0"/>
          <w:divBdr>
            <w:top w:val="none" w:sz="0" w:space="0" w:color="auto"/>
            <w:left w:val="none" w:sz="0" w:space="0" w:color="auto"/>
            <w:bottom w:val="none" w:sz="0" w:space="0" w:color="auto"/>
            <w:right w:val="none" w:sz="0" w:space="0" w:color="auto"/>
          </w:divBdr>
        </w:div>
      </w:divsChild>
    </w:div>
    <w:div w:id="953974044">
      <w:bodyDiv w:val="1"/>
      <w:marLeft w:val="0"/>
      <w:marRight w:val="0"/>
      <w:marTop w:val="0"/>
      <w:marBottom w:val="0"/>
      <w:divBdr>
        <w:top w:val="none" w:sz="0" w:space="0" w:color="auto"/>
        <w:left w:val="none" w:sz="0" w:space="0" w:color="auto"/>
        <w:bottom w:val="none" w:sz="0" w:space="0" w:color="auto"/>
        <w:right w:val="none" w:sz="0" w:space="0" w:color="auto"/>
      </w:divBdr>
    </w:div>
    <w:div w:id="981278433">
      <w:bodyDiv w:val="1"/>
      <w:marLeft w:val="0"/>
      <w:marRight w:val="0"/>
      <w:marTop w:val="0"/>
      <w:marBottom w:val="0"/>
      <w:divBdr>
        <w:top w:val="none" w:sz="0" w:space="0" w:color="auto"/>
        <w:left w:val="none" w:sz="0" w:space="0" w:color="auto"/>
        <w:bottom w:val="none" w:sz="0" w:space="0" w:color="auto"/>
        <w:right w:val="none" w:sz="0" w:space="0" w:color="auto"/>
      </w:divBdr>
    </w:div>
    <w:div w:id="1035934293">
      <w:bodyDiv w:val="1"/>
      <w:marLeft w:val="0"/>
      <w:marRight w:val="0"/>
      <w:marTop w:val="0"/>
      <w:marBottom w:val="0"/>
      <w:divBdr>
        <w:top w:val="none" w:sz="0" w:space="0" w:color="auto"/>
        <w:left w:val="none" w:sz="0" w:space="0" w:color="auto"/>
        <w:bottom w:val="none" w:sz="0" w:space="0" w:color="auto"/>
        <w:right w:val="none" w:sz="0" w:space="0" w:color="auto"/>
      </w:divBdr>
    </w:div>
    <w:div w:id="1061758693">
      <w:bodyDiv w:val="1"/>
      <w:marLeft w:val="0"/>
      <w:marRight w:val="0"/>
      <w:marTop w:val="0"/>
      <w:marBottom w:val="0"/>
      <w:divBdr>
        <w:top w:val="none" w:sz="0" w:space="0" w:color="auto"/>
        <w:left w:val="none" w:sz="0" w:space="0" w:color="auto"/>
        <w:bottom w:val="none" w:sz="0" w:space="0" w:color="auto"/>
        <w:right w:val="none" w:sz="0" w:space="0" w:color="auto"/>
      </w:divBdr>
    </w:div>
    <w:div w:id="1079135116">
      <w:bodyDiv w:val="1"/>
      <w:marLeft w:val="0"/>
      <w:marRight w:val="0"/>
      <w:marTop w:val="0"/>
      <w:marBottom w:val="0"/>
      <w:divBdr>
        <w:top w:val="none" w:sz="0" w:space="0" w:color="auto"/>
        <w:left w:val="none" w:sz="0" w:space="0" w:color="auto"/>
        <w:bottom w:val="none" w:sz="0" w:space="0" w:color="auto"/>
        <w:right w:val="none" w:sz="0" w:space="0" w:color="auto"/>
      </w:divBdr>
    </w:div>
    <w:div w:id="1119641065">
      <w:bodyDiv w:val="1"/>
      <w:marLeft w:val="0"/>
      <w:marRight w:val="0"/>
      <w:marTop w:val="0"/>
      <w:marBottom w:val="0"/>
      <w:divBdr>
        <w:top w:val="none" w:sz="0" w:space="0" w:color="auto"/>
        <w:left w:val="none" w:sz="0" w:space="0" w:color="auto"/>
        <w:bottom w:val="none" w:sz="0" w:space="0" w:color="auto"/>
        <w:right w:val="none" w:sz="0" w:space="0" w:color="auto"/>
      </w:divBdr>
    </w:div>
    <w:div w:id="1141650772">
      <w:bodyDiv w:val="1"/>
      <w:marLeft w:val="0"/>
      <w:marRight w:val="0"/>
      <w:marTop w:val="0"/>
      <w:marBottom w:val="0"/>
      <w:divBdr>
        <w:top w:val="none" w:sz="0" w:space="0" w:color="auto"/>
        <w:left w:val="none" w:sz="0" w:space="0" w:color="auto"/>
        <w:bottom w:val="none" w:sz="0" w:space="0" w:color="auto"/>
        <w:right w:val="none" w:sz="0" w:space="0" w:color="auto"/>
      </w:divBdr>
    </w:div>
    <w:div w:id="1203207346">
      <w:bodyDiv w:val="1"/>
      <w:marLeft w:val="0"/>
      <w:marRight w:val="0"/>
      <w:marTop w:val="0"/>
      <w:marBottom w:val="0"/>
      <w:divBdr>
        <w:top w:val="none" w:sz="0" w:space="0" w:color="auto"/>
        <w:left w:val="none" w:sz="0" w:space="0" w:color="auto"/>
        <w:bottom w:val="none" w:sz="0" w:space="0" w:color="auto"/>
        <w:right w:val="none" w:sz="0" w:space="0" w:color="auto"/>
      </w:divBdr>
    </w:div>
    <w:div w:id="1225096694">
      <w:bodyDiv w:val="1"/>
      <w:marLeft w:val="0"/>
      <w:marRight w:val="0"/>
      <w:marTop w:val="0"/>
      <w:marBottom w:val="0"/>
      <w:divBdr>
        <w:top w:val="none" w:sz="0" w:space="0" w:color="auto"/>
        <w:left w:val="none" w:sz="0" w:space="0" w:color="auto"/>
        <w:bottom w:val="none" w:sz="0" w:space="0" w:color="auto"/>
        <w:right w:val="none" w:sz="0" w:space="0" w:color="auto"/>
      </w:divBdr>
      <w:divsChild>
        <w:div w:id="765081209">
          <w:marLeft w:val="0"/>
          <w:marRight w:val="0"/>
          <w:marTop w:val="83"/>
          <w:marBottom w:val="0"/>
          <w:divBdr>
            <w:top w:val="none" w:sz="0" w:space="0" w:color="auto"/>
            <w:left w:val="none" w:sz="0" w:space="0" w:color="auto"/>
            <w:bottom w:val="none" w:sz="0" w:space="0" w:color="auto"/>
            <w:right w:val="none" w:sz="0" w:space="0" w:color="auto"/>
          </w:divBdr>
          <w:divsChild>
            <w:div w:id="178930531">
              <w:marLeft w:val="0"/>
              <w:marRight w:val="0"/>
              <w:marTop w:val="83"/>
              <w:marBottom w:val="0"/>
              <w:divBdr>
                <w:top w:val="none" w:sz="0" w:space="0" w:color="auto"/>
                <w:left w:val="none" w:sz="0" w:space="0" w:color="auto"/>
                <w:bottom w:val="none" w:sz="0" w:space="0" w:color="auto"/>
                <w:right w:val="none" w:sz="0" w:space="0" w:color="auto"/>
              </w:divBdr>
              <w:divsChild>
                <w:div w:id="940189562">
                  <w:marLeft w:val="0"/>
                  <w:marRight w:val="0"/>
                  <w:marTop w:val="83"/>
                  <w:marBottom w:val="0"/>
                  <w:divBdr>
                    <w:top w:val="none" w:sz="0" w:space="0" w:color="auto"/>
                    <w:left w:val="none" w:sz="0" w:space="0" w:color="auto"/>
                    <w:bottom w:val="none" w:sz="0" w:space="0" w:color="auto"/>
                    <w:right w:val="none" w:sz="0" w:space="0" w:color="auto"/>
                  </w:divBdr>
                </w:div>
                <w:div w:id="1189560039">
                  <w:marLeft w:val="0"/>
                  <w:marRight w:val="0"/>
                  <w:marTop w:val="83"/>
                  <w:marBottom w:val="0"/>
                  <w:divBdr>
                    <w:top w:val="none" w:sz="0" w:space="0" w:color="auto"/>
                    <w:left w:val="none" w:sz="0" w:space="0" w:color="auto"/>
                    <w:bottom w:val="none" w:sz="0" w:space="0" w:color="auto"/>
                    <w:right w:val="none" w:sz="0" w:space="0" w:color="auto"/>
                  </w:divBdr>
                </w:div>
              </w:divsChild>
            </w:div>
            <w:div w:id="687176084">
              <w:marLeft w:val="0"/>
              <w:marRight w:val="0"/>
              <w:marTop w:val="83"/>
              <w:marBottom w:val="0"/>
              <w:divBdr>
                <w:top w:val="none" w:sz="0" w:space="0" w:color="auto"/>
                <w:left w:val="none" w:sz="0" w:space="0" w:color="auto"/>
                <w:bottom w:val="none" w:sz="0" w:space="0" w:color="auto"/>
                <w:right w:val="none" w:sz="0" w:space="0" w:color="auto"/>
              </w:divBdr>
            </w:div>
            <w:div w:id="1432622034">
              <w:marLeft w:val="0"/>
              <w:marRight w:val="0"/>
              <w:marTop w:val="83"/>
              <w:marBottom w:val="0"/>
              <w:divBdr>
                <w:top w:val="none" w:sz="0" w:space="0" w:color="auto"/>
                <w:left w:val="none" w:sz="0" w:space="0" w:color="auto"/>
                <w:bottom w:val="none" w:sz="0" w:space="0" w:color="auto"/>
                <w:right w:val="none" w:sz="0" w:space="0" w:color="auto"/>
              </w:divBdr>
            </w:div>
            <w:div w:id="1540584575">
              <w:marLeft w:val="0"/>
              <w:marRight w:val="0"/>
              <w:marTop w:val="83"/>
              <w:marBottom w:val="0"/>
              <w:divBdr>
                <w:top w:val="none" w:sz="0" w:space="0" w:color="auto"/>
                <w:left w:val="none" w:sz="0" w:space="0" w:color="auto"/>
                <w:bottom w:val="none" w:sz="0" w:space="0" w:color="auto"/>
                <w:right w:val="none" w:sz="0" w:space="0" w:color="auto"/>
              </w:divBdr>
            </w:div>
            <w:div w:id="1599681914">
              <w:marLeft w:val="0"/>
              <w:marRight w:val="0"/>
              <w:marTop w:val="83"/>
              <w:marBottom w:val="0"/>
              <w:divBdr>
                <w:top w:val="none" w:sz="0" w:space="0" w:color="auto"/>
                <w:left w:val="none" w:sz="0" w:space="0" w:color="auto"/>
                <w:bottom w:val="none" w:sz="0" w:space="0" w:color="auto"/>
                <w:right w:val="none" w:sz="0" w:space="0" w:color="auto"/>
              </w:divBdr>
            </w:div>
            <w:div w:id="1833374869">
              <w:marLeft w:val="0"/>
              <w:marRight w:val="0"/>
              <w:marTop w:val="83"/>
              <w:marBottom w:val="0"/>
              <w:divBdr>
                <w:top w:val="none" w:sz="0" w:space="0" w:color="auto"/>
                <w:left w:val="none" w:sz="0" w:space="0" w:color="auto"/>
                <w:bottom w:val="none" w:sz="0" w:space="0" w:color="auto"/>
                <w:right w:val="none" w:sz="0" w:space="0" w:color="auto"/>
              </w:divBdr>
            </w:div>
          </w:divsChild>
        </w:div>
        <w:div w:id="1504931830">
          <w:marLeft w:val="0"/>
          <w:marRight w:val="0"/>
          <w:marTop w:val="83"/>
          <w:marBottom w:val="0"/>
          <w:divBdr>
            <w:top w:val="none" w:sz="0" w:space="0" w:color="auto"/>
            <w:left w:val="none" w:sz="0" w:space="0" w:color="auto"/>
            <w:bottom w:val="none" w:sz="0" w:space="0" w:color="auto"/>
            <w:right w:val="none" w:sz="0" w:space="0" w:color="auto"/>
          </w:divBdr>
          <w:divsChild>
            <w:div w:id="615067120">
              <w:marLeft w:val="0"/>
              <w:marRight w:val="0"/>
              <w:marTop w:val="83"/>
              <w:marBottom w:val="0"/>
              <w:divBdr>
                <w:top w:val="none" w:sz="0" w:space="0" w:color="auto"/>
                <w:left w:val="none" w:sz="0" w:space="0" w:color="auto"/>
                <w:bottom w:val="none" w:sz="0" w:space="0" w:color="auto"/>
                <w:right w:val="none" w:sz="0" w:space="0" w:color="auto"/>
              </w:divBdr>
            </w:div>
            <w:div w:id="996497225">
              <w:marLeft w:val="0"/>
              <w:marRight w:val="0"/>
              <w:marTop w:val="83"/>
              <w:marBottom w:val="0"/>
              <w:divBdr>
                <w:top w:val="none" w:sz="0" w:space="0" w:color="auto"/>
                <w:left w:val="none" w:sz="0" w:space="0" w:color="auto"/>
                <w:bottom w:val="none" w:sz="0" w:space="0" w:color="auto"/>
                <w:right w:val="none" w:sz="0" w:space="0" w:color="auto"/>
              </w:divBdr>
            </w:div>
            <w:div w:id="12822261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33545875">
      <w:bodyDiv w:val="1"/>
      <w:marLeft w:val="0"/>
      <w:marRight w:val="0"/>
      <w:marTop w:val="0"/>
      <w:marBottom w:val="0"/>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1884250629">
              <w:marLeft w:val="0"/>
              <w:marRight w:val="0"/>
              <w:marTop w:val="0"/>
              <w:marBottom w:val="0"/>
              <w:divBdr>
                <w:top w:val="none" w:sz="0" w:space="0" w:color="auto"/>
                <w:left w:val="none" w:sz="0" w:space="0" w:color="auto"/>
                <w:bottom w:val="none" w:sz="0" w:space="0" w:color="auto"/>
                <w:right w:val="none" w:sz="0" w:space="0" w:color="auto"/>
              </w:divBdr>
            </w:div>
          </w:divsChild>
        </w:div>
        <w:div w:id="108937874">
          <w:marLeft w:val="0"/>
          <w:marRight w:val="0"/>
          <w:marTop w:val="0"/>
          <w:marBottom w:val="0"/>
          <w:divBdr>
            <w:top w:val="none" w:sz="0" w:space="0" w:color="auto"/>
            <w:left w:val="none" w:sz="0" w:space="0" w:color="auto"/>
            <w:bottom w:val="none" w:sz="0" w:space="0" w:color="auto"/>
            <w:right w:val="none" w:sz="0" w:space="0" w:color="auto"/>
          </w:divBdr>
          <w:divsChild>
            <w:div w:id="923488682">
              <w:marLeft w:val="0"/>
              <w:marRight w:val="0"/>
              <w:marTop w:val="0"/>
              <w:marBottom w:val="0"/>
              <w:divBdr>
                <w:top w:val="none" w:sz="0" w:space="0" w:color="auto"/>
                <w:left w:val="none" w:sz="0" w:space="0" w:color="auto"/>
                <w:bottom w:val="none" w:sz="0" w:space="0" w:color="auto"/>
                <w:right w:val="none" w:sz="0" w:space="0" w:color="auto"/>
              </w:divBdr>
            </w:div>
          </w:divsChild>
        </w:div>
        <w:div w:id="139199670">
          <w:marLeft w:val="0"/>
          <w:marRight w:val="0"/>
          <w:marTop w:val="0"/>
          <w:marBottom w:val="0"/>
          <w:divBdr>
            <w:top w:val="none" w:sz="0" w:space="0" w:color="auto"/>
            <w:left w:val="none" w:sz="0" w:space="0" w:color="auto"/>
            <w:bottom w:val="none" w:sz="0" w:space="0" w:color="auto"/>
            <w:right w:val="none" w:sz="0" w:space="0" w:color="auto"/>
          </w:divBdr>
          <w:divsChild>
            <w:div w:id="877161633">
              <w:marLeft w:val="0"/>
              <w:marRight w:val="0"/>
              <w:marTop w:val="0"/>
              <w:marBottom w:val="0"/>
              <w:divBdr>
                <w:top w:val="none" w:sz="0" w:space="0" w:color="auto"/>
                <w:left w:val="none" w:sz="0" w:space="0" w:color="auto"/>
                <w:bottom w:val="none" w:sz="0" w:space="0" w:color="auto"/>
                <w:right w:val="none" w:sz="0" w:space="0" w:color="auto"/>
              </w:divBdr>
            </w:div>
          </w:divsChild>
        </w:div>
        <w:div w:id="215508561">
          <w:marLeft w:val="0"/>
          <w:marRight w:val="0"/>
          <w:marTop w:val="0"/>
          <w:marBottom w:val="0"/>
          <w:divBdr>
            <w:top w:val="none" w:sz="0" w:space="0" w:color="auto"/>
            <w:left w:val="none" w:sz="0" w:space="0" w:color="auto"/>
            <w:bottom w:val="none" w:sz="0" w:space="0" w:color="auto"/>
            <w:right w:val="none" w:sz="0" w:space="0" w:color="auto"/>
          </w:divBdr>
          <w:divsChild>
            <w:div w:id="1717386455">
              <w:marLeft w:val="0"/>
              <w:marRight w:val="0"/>
              <w:marTop w:val="0"/>
              <w:marBottom w:val="0"/>
              <w:divBdr>
                <w:top w:val="none" w:sz="0" w:space="0" w:color="auto"/>
                <w:left w:val="none" w:sz="0" w:space="0" w:color="auto"/>
                <w:bottom w:val="none" w:sz="0" w:space="0" w:color="auto"/>
                <w:right w:val="none" w:sz="0" w:space="0" w:color="auto"/>
              </w:divBdr>
            </w:div>
          </w:divsChild>
        </w:div>
        <w:div w:id="264189933">
          <w:marLeft w:val="0"/>
          <w:marRight w:val="0"/>
          <w:marTop w:val="0"/>
          <w:marBottom w:val="0"/>
          <w:divBdr>
            <w:top w:val="none" w:sz="0" w:space="0" w:color="auto"/>
            <w:left w:val="none" w:sz="0" w:space="0" w:color="auto"/>
            <w:bottom w:val="none" w:sz="0" w:space="0" w:color="auto"/>
            <w:right w:val="none" w:sz="0" w:space="0" w:color="auto"/>
          </w:divBdr>
          <w:divsChild>
            <w:div w:id="793014644">
              <w:marLeft w:val="0"/>
              <w:marRight w:val="0"/>
              <w:marTop w:val="0"/>
              <w:marBottom w:val="0"/>
              <w:divBdr>
                <w:top w:val="none" w:sz="0" w:space="0" w:color="auto"/>
                <w:left w:val="none" w:sz="0" w:space="0" w:color="auto"/>
                <w:bottom w:val="none" w:sz="0" w:space="0" w:color="auto"/>
                <w:right w:val="none" w:sz="0" w:space="0" w:color="auto"/>
              </w:divBdr>
            </w:div>
          </w:divsChild>
        </w:div>
        <w:div w:id="273294993">
          <w:marLeft w:val="0"/>
          <w:marRight w:val="0"/>
          <w:marTop w:val="0"/>
          <w:marBottom w:val="0"/>
          <w:divBdr>
            <w:top w:val="none" w:sz="0" w:space="0" w:color="auto"/>
            <w:left w:val="none" w:sz="0" w:space="0" w:color="auto"/>
            <w:bottom w:val="none" w:sz="0" w:space="0" w:color="auto"/>
            <w:right w:val="none" w:sz="0" w:space="0" w:color="auto"/>
          </w:divBdr>
          <w:divsChild>
            <w:div w:id="1385788251">
              <w:marLeft w:val="0"/>
              <w:marRight w:val="0"/>
              <w:marTop w:val="0"/>
              <w:marBottom w:val="0"/>
              <w:divBdr>
                <w:top w:val="none" w:sz="0" w:space="0" w:color="auto"/>
                <w:left w:val="none" w:sz="0" w:space="0" w:color="auto"/>
                <w:bottom w:val="none" w:sz="0" w:space="0" w:color="auto"/>
                <w:right w:val="none" w:sz="0" w:space="0" w:color="auto"/>
              </w:divBdr>
            </w:div>
          </w:divsChild>
        </w:div>
        <w:div w:id="383218624">
          <w:marLeft w:val="0"/>
          <w:marRight w:val="0"/>
          <w:marTop w:val="0"/>
          <w:marBottom w:val="0"/>
          <w:divBdr>
            <w:top w:val="none" w:sz="0" w:space="0" w:color="auto"/>
            <w:left w:val="none" w:sz="0" w:space="0" w:color="auto"/>
            <w:bottom w:val="none" w:sz="0" w:space="0" w:color="auto"/>
            <w:right w:val="none" w:sz="0" w:space="0" w:color="auto"/>
          </w:divBdr>
          <w:divsChild>
            <w:div w:id="923146596">
              <w:marLeft w:val="0"/>
              <w:marRight w:val="0"/>
              <w:marTop w:val="0"/>
              <w:marBottom w:val="0"/>
              <w:divBdr>
                <w:top w:val="none" w:sz="0" w:space="0" w:color="auto"/>
                <w:left w:val="none" w:sz="0" w:space="0" w:color="auto"/>
                <w:bottom w:val="none" w:sz="0" w:space="0" w:color="auto"/>
                <w:right w:val="none" w:sz="0" w:space="0" w:color="auto"/>
              </w:divBdr>
            </w:div>
          </w:divsChild>
        </w:div>
        <w:div w:id="676541928">
          <w:marLeft w:val="0"/>
          <w:marRight w:val="0"/>
          <w:marTop w:val="0"/>
          <w:marBottom w:val="0"/>
          <w:divBdr>
            <w:top w:val="none" w:sz="0" w:space="0" w:color="auto"/>
            <w:left w:val="none" w:sz="0" w:space="0" w:color="auto"/>
            <w:bottom w:val="none" w:sz="0" w:space="0" w:color="auto"/>
            <w:right w:val="none" w:sz="0" w:space="0" w:color="auto"/>
          </w:divBdr>
          <w:divsChild>
            <w:div w:id="1944991388">
              <w:marLeft w:val="0"/>
              <w:marRight w:val="0"/>
              <w:marTop w:val="0"/>
              <w:marBottom w:val="0"/>
              <w:divBdr>
                <w:top w:val="none" w:sz="0" w:space="0" w:color="auto"/>
                <w:left w:val="none" w:sz="0" w:space="0" w:color="auto"/>
                <w:bottom w:val="none" w:sz="0" w:space="0" w:color="auto"/>
                <w:right w:val="none" w:sz="0" w:space="0" w:color="auto"/>
              </w:divBdr>
            </w:div>
          </w:divsChild>
        </w:div>
        <w:div w:id="711923190">
          <w:marLeft w:val="0"/>
          <w:marRight w:val="0"/>
          <w:marTop w:val="0"/>
          <w:marBottom w:val="0"/>
          <w:divBdr>
            <w:top w:val="none" w:sz="0" w:space="0" w:color="auto"/>
            <w:left w:val="none" w:sz="0" w:space="0" w:color="auto"/>
            <w:bottom w:val="none" w:sz="0" w:space="0" w:color="auto"/>
            <w:right w:val="none" w:sz="0" w:space="0" w:color="auto"/>
          </w:divBdr>
          <w:divsChild>
            <w:div w:id="971865378">
              <w:marLeft w:val="0"/>
              <w:marRight w:val="0"/>
              <w:marTop w:val="0"/>
              <w:marBottom w:val="0"/>
              <w:divBdr>
                <w:top w:val="none" w:sz="0" w:space="0" w:color="auto"/>
                <w:left w:val="none" w:sz="0" w:space="0" w:color="auto"/>
                <w:bottom w:val="none" w:sz="0" w:space="0" w:color="auto"/>
                <w:right w:val="none" w:sz="0" w:space="0" w:color="auto"/>
              </w:divBdr>
            </w:div>
          </w:divsChild>
        </w:div>
        <w:div w:id="831914782">
          <w:marLeft w:val="0"/>
          <w:marRight w:val="0"/>
          <w:marTop w:val="0"/>
          <w:marBottom w:val="0"/>
          <w:divBdr>
            <w:top w:val="none" w:sz="0" w:space="0" w:color="auto"/>
            <w:left w:val="none" w:sz="0" w:space="0" w:color="auto"/>
            <w:bottom w:val="none" w:sz="0" w:space="0" w:color="auto"/>
            <w:right w:val="none" w:sz="0" w:space="0" w:color="auto"/>
          </w:divBdr>
          <w:divsChild>
            <w:div w:id="1571426316">
              <w:marLeft w:val="0"/>
              <w:marRight w:val="0"/>
              <w:marTop w:val="0"/>
              <w:marBottom w:val="0"/>
              <w:divBdr>
                <w:top w:val="none" w:sz="0" w:space="0" w:color="auto"/>
                <w:left w:val="none" w:sz="0" w:space="0" w:color="auto"/>
                <w:bottom w:val="none" w:sz="0" w:space="0" w:color="auto"/>
                <w:right w:val="none" w:sz="0" w:space="0" w:color="auto"/>
              </w:divBdr>
            </w:div>
          </w:divsChild>
        </w:div>
        <w:div w:id="843475116">
          <w:marLeft w:val="0"/>
          <w:marRight w:val="0"/>
          <w:marTop w:val="0"/>
          <w:marBottom w:val="0"/>
          <w:divBdr>
            <w:top w:val="none" w:sz="0" w:space="0" w:color="auto"/>
            <w:left w:val="none" w:sz="0" w:space="0" w:color="auto"/>
            <w:bottom w:val="none" w:sz="0" w:space="0" w:color="auto"/>
            <w:right w:val="none" w:sz="0" w:space="0" w:color="auto"/>
          </w:divBdr>
          <w:divsChild>
            <w:div w:id="326594265">
              <w:marLeft w:val="0"/>
              <w:marRight w:val="0"/>
              <w:marTop w:val="0"/>
              <w:marBottom w:val="0"/>
              <w:divBdr>
                <w:top w:val="none" w:sz="0" w:space="0" w:color="auto"/>
                <w:left w:val="none" w:sz="0" w:space="0" w:color="auto"/>
                <w:bottom w:val="none" w:sz="0" w:space="0" w:color="auto"/>
                <w:right w:val="none" w:sz="0" w:space="0" w:color="auto"/>
              </w:divBdr>
            </w:div>
          </w:divsChild>
        </w:div>
        <w:div w:id="873467936">
          <w:marLeft w:val="0"/>
          <w:marRight w:val="0"/>
          <w:marTop w:val="0"/>
          <w:marBottom w:val="0"/>
          <w:divBdr>
            <w:top w:val="none" w:sz="0" w:space="0" w:color="auto"/>
            <w:left w:val="none" w:sz="0" w:space="0" w:color="auto"/>
            <w:bottom w:val="none" w:sz="0" w:space="0" w:color="auto"/>
            <w:right w:val="none" w:sz="0" w:space="0" w:color="auto"/>
          </w:divBdr>
          <w:divsChild>
            <w:div w:id="2030140092">
              <w:marLeft w:val="0"/>
              <w:marRight w:val="0"/>
              <w:marTop w:val="0"/>
              <w:marBottom w:val="0"/>
              <w:divBdr>
                <w:top w:val="none" w:sz="0" w:space="0" w:color="auto"/>
                <w:left w:val="none" w:sz="0" w:space="0" w:color="auto"/>
                <w:bottom w:val="none" w:sz="0" w:space="0" w:color="auto"/>
                <w:right w:val="none" w:sz="0" w:space="0" w:color="auto"/>
              </w:divBdr>
            </w:div>
          </w:divsChild>
        </w:div>
        <w:div w:id="905384697">
          <w:marLeft w:val="0"/>
          <w:marRight w:val="0"/>
          <w:marTop w:val="0"/>
          <w:marBottom w:val="0"/>
          <w:divBdr>
            <w:top w:val="none" w:sz="0" w:space="0" w:color="auto"/>
            <w:left w:val="none" w:sz="0" w:space="0" w:color="auto"/>
            <w:bottom w:val="none" w:sz="0" w:space="0" w:color="auto"/>
            <w:right w:val="none" w:sz="0" w:space="0" w:color="auto"/>
          </w:divBdr>
          <w:divsChild>
            <w:div w:id="1097869516">
              <w:marLeft w:val="0"/>
              <w:marRight w:val="0"/>
              <w:marTop w:val="0"/>
              <w:marBottom w:val="0"/>
              <w:divBdr>
                <w:top w:val="none" w:sz="0" w:space="0" w:color="auto"/>
                <w:left w:val="none" w:sz="0" w:space="0" w:color="auto"/>
                <w:bottom w:val="none" w:sz="0" w:space="0" w:color="auto"/>
                <w:right w:val="none" w:sz="0" w:space="0" w:color="auto"/>
              </w:divBdr>
            </w:div>
          </w:divsChild>
        </w:div>
        <w:div w:id="1191529333">
          <w:marLeft w:val="0"/>
          <w:marRight w:val="0"/>
          <w:marTop w:val="0"/>
          <w:marBottom w:val="0"/>
          <w:divBdr>
            <w:top w:val="none" w:sz="0" w:space="0" w:color="auto"/>
            <w:left w:val="none" w:sz="0" w:space="0" w:color="auto"/>
            <w:bottom w:val="none" w:sz="0" w:space="0" w:color="auto"/>
            <w:right w:val="none" w:sz="0" w:space="0" w:color="auto"/>
          </w:divBdr>
          <w:divsChild>
            <w:div w:id="130102207">
              <w:marLeft w:val="0"/>
              <w:marRight w:val="0"/>
              <w:marTop w:val="0"/>
              <w:marBottom w:val="0"/>
              <w:divBdr>
                <w:top w:val="none" w:sz="0" w:space="0" w:color="auto"/>
                <w:left w:val="none" w:sz="0" w:space="0" w:color="auto"/>
                <w:bottom w:val="none" w:sz="0" w:space="0" w:color="auto"/>
                <w:right w:val="none" w:sz="0" w:space="0" w:color="auto"/>
              </w:divBdr>
            </w:div>
          </w:divsChild>
        </w:div>
        <w:div w:id="1328316288">
          <w:marLeft w:val="0"/>
          <w:marRight w:val="0"/>
          <w:marTop w:val="0"/>
          <w:marBottom w:val="0"/>
          <w:divBdr>
            <w:top w:val="none" w:sz="0" w:space="0" w:color="auto"/>
            <w:left w:val="none" w:sz="0" w:space="0" w:color="auto"/>
            <w:bottom w:val="none" w:sz="0" w:space="0" w:color="auto"/>
            <w:right w:val="none" w:sz="0" w:space="0" w:color="auto"/>
          </w:divBdr>
          <w:divsChild>
            <w:div w:id="1664359364">
              <w:marLeft w:val="0"/>
              <w:marRight w:val="0"/>
              <w:marTop w:val="0"/>
              <w:marBottom w:val="0"/>
              <w:divBdr>
                <w:top w:val="none" w:sz="0" w:space="0" w:color="auto"/>
                <w:left w:val="none" w:sz="0" w:space="0" w:color="auto"/>
                <w:bottom w:val="none" w:sz="0" w:space="0" w:color="auto"/>
                <w:right w:val="none" w:sz="0" w:space="0" w:color="auto"/>
              </w:divBdr>
            </w:div>
          </w:divsChild>
        </w:div>
        <w:div w:id="1401753493">
          <w:marLeft w:val="0"/>
          <w:marRight w:val="0"/>
          <w:marTop w:val="0"/>
          <w:marBottom w:val="0"/>
          <w:divBdr>
            <w:top w:val="none" w:sz="0" w:space="0" w:color="auto"/>
            <w:left w:val="none" w:sz="0" w:space="0" w:color="auto"/>
            <w:bottom w:val="none" w:sz="0" w:space="0" w:color="auto"/>
            <w:right w:val="none" w:sz="0" w:space="0" w:color="auto"/>
          </w:divBdr>
          <w:divsChild>
            <w:div w:id="1181702442">
              <w:marLeft w:val="0"/>
              <w:marRight w:val="0"/>
              <w:marTop w:val="0"/>
              <w:marBottom w:val="0"/>
              <w:divBdr>
                <w:top w:val="none" w:sz="0" w:space="0" w:color="auto"/>
                <w:left w:val="none" w:sz="0" w:space="0" w:color="auto"/>
                <w:bottom w:val="none" w:sz="0" w:space="0" w:color="auto"/>
                <w:right w:val="none" w:sz="0" w:space="0" w:color="auto"/>
              </w:divBdr>
            </w:div>
          </w:divsChild>
        </w:div>
        <w:div w:id="1413309266">
          <w:marLeft w:val="0"/>
          <w:marRight w:val="0"/>
          <w:marTop w:val="0"/>
          <w:marBottom w:val="0"/>
          <w:divBdr>
            <w:top w:val="none" w:sz="0" w:space="0" w:color="auto"/>
            <w:left w:val="none" w:sz="0" w:space="0" w:color="auto"/>
            <w:bottom w:val="none" w:sz="0" w:space="0" w:color="auto"/>
            <w:right w:val="none" w:sz="0" w:space="0" w:color="auto"/>
          </w:divBdr>
          <w:divsChild>
            <w:div w:id="2056812828">
              <w:marLeft w:val="0"/>
              <w:marRight w:val="0"/>
              <w:marTop w:val="0"/>
              <w:marBottom w:val="0"/>
              <w:divBdr>
                <w:top w:val="none" w:sz="0" w:space="0" w:color="auto"/>
                <w:left w:val="none" w:sz="0" w:space="0" w:color="auto"/>
                <w:bottom w:val="none" w:sz="0" w:space="0" w:color="auto"/>
                <w:right w:val="none" w:sz="0" w:space="0" w:color="auto"/>
              </w:divBdr>
            </w:div>
          </w:divsChild>
        </w:div>
        <w:div w:id="1437482141">
          <w:marLeft w:val="0"/>
          <w:marRight w:val="0"/>
          <w:marTop w:val="0"/>
          <w:marBottom w:val="0"/>
          <w:divBdr>
            <w:top w:val="none" w:sz="0" w:space="0" w:color="auto"/>
            <w:left w:val="none" w:sz="0" w:space="0" w:color="auto"/>
            <w:bottom w:val="none" w:sz="0" w:space="0" w:color="auto"/>
            <w:right w:val="none" w:sz="0" w:space="0" w:color="auto"/>
          </w:divBdr>
          <w:divsChild>
            <w:div w:id="1483621189">
              <w:marLeft w:val="0"/>
              <w:marRight w:val="0"/>
              <w:marTop w:val="0"/>
              <w:marBottom w:val="0"/>
              <w:divBdr>
                <w:top w:val="none" w:sz="0" w:space="0" w:color="auto"/>
                <w:left w:val="none" w:sz="0" w:space="0" w:color="auto"/>
                <w:bottom w:val="none" w:sz="0" w:space="0" w:color="auto"/>
                <w:right w:val="none" w:sz="0" w:space="0" w:color="auto"/>
              </w:divBdr>
            </w:div>
          </w:divsChild>
        </w:div>
        <w:div w:id="1514999608">
          <w:marLeft w:val="0"/>
          <w:marRight w:val="0"/>
          <w:marTop w:val="0"/>
          <w:marBottom w:val="0"/>
          <w:divBdr>
            <w:top w:val="none" w:sz="0" w:space="0" w:color="auto"/>
            <w:left w:val="none" w:sz="0" w:space="0" w:color="auto"/>
            <w:bottom w:val="none" w:sz="0" w:space="0" w:color="auto"/>
            <w:right w:val="none" w:sz="0" w:space="0" w:color="auto"/>
          </w:divBdr>
          <w:divsChild>
            <w:div w:id="768233737">
              <w:marLeft w:val="0"/>
              <w:marRight w:val="0"/>
              <w:marTop w:val="0"/>
              <w:marBottom w:val="0"/>
              <w:divBdr>
                <w:top w:val="none" w:sz="0" w:space="0" w:color="auto"/>
                <w:left w:val="none" w:sz="0" w:space="0" w:color="auto"/>
                <w:bottom w:val="none" w:sz="0" w:space="0" w:color="auto"/>
                <w:right w:val="none" w:sz="0" w:space="0" w:color="auto"/>
              </w:divBdr>
            </w:div>
          </w:divsChild>
        </w:div>
        <w:div w:id="1559631671">
          <w:marLeft w:val="0"/>
          <w:marRight w:val="0"/>
          <w:marTop w:val="0"/>
          <w:marBottom w:val="0"/>
          <w:divBdr>
            <w:top w:val="none" w:sz="0" w:space="0" w:color="auto"/>
            <w:left w:val="none" w:sz="0" w:space="0" w:color="auto"/>
            <w:bottom w:val="none" w:sz="0" w:space="0" w:color="auto"/>
            <w:right w:val="none" w:sz="0" w:space="0" w:color="auto"/>
          </w:divBdr>
          <w:divsChild>
            <w:div w:id="182403812">
              <w:marLeft w:val="0"/>
              <w:marRight w:val="0"/>
              <w:marTop w:val="0"/>
              <w:marBottom w:val="0"/>
              <w:divBdr>
                <w:top w:val="none" w:sz="0" w:space="0" w:color="auto"/>
                <w:left w:val="none" w:sz="0" w:space="0" w:color="auto"/>
                <w:bottom w:val="none" w:sz="0" w:space="0" w:color="auto"/>
                <w:right w:val="none" w:sz="0" w:space="0" w:color="auto"/>
              </w:divBdr>
            </w:div>
            <w:div w:id="207425539">
              <w:marLeft w:val="0"/>
              <w:marRight w:val="0"/>
              <w:marTop w:val="0"/>
              <w:marBottom w:val="0"/>
              <w:divBdr>
                <w:top w:val="none" w:sz="0" w:space="0" w:color="auto"/>
                <w:left w:val="none" w:sz="0" w:space="0" w:color="auto"/>
                <w:bottom w:val="none" w:sz="0" w:space="0" w:color="auto"/>
                <w:right w:val="none" w:sz="0" w:space="0" w:color="auto"/>
              </w:divBdr>
            </w:div>
            <w:div w:id="491527824">
              <w:marLeft w:val="0"/>
              <w:marRight w:val="0"/>
              <w:marTop w:val="0"/>
              <w:marBottom w:val="0"/>
              <w:divBdr>
                <w:top w:val="none" w:sz="0" w:space="0" w:color="auto"/>
                <w:left w:val="none" w:sz="0" w:space="0" w:color="auto"/>
                <w:bottom w:val="none" w:sz="0" w:space="0" w:color="auto"/>
                <w:right w:val="none" w:sz="0" w:space="0" w:color="auto"/>
              </w:divBdr>
            </w:div>
            <w:div w:id="865291313">
              <w:marLeft w:val="0"/>
              <w:marRight w:val="0"/>
              <w:marTop w:val="0"/>
              <w:marBottom w:val="0"/>
              <w:divBdr>
                <w:top w:val="none" w:sz="0" w:space="0" w:color="auto"/>
                <w:left w:val="none" w:sz="0" w:space="0" w:color="auto"/>
                <w:bottom w:val="none" w:sz="0" w:space="0" w:color="auto"/>
                <w:right w:val="none" w:sz="0" w:space="0" w:color="auto"/>
              </w:divBdr>
            </w:div>
            <w:div w:id="1813522696">
              <w:marLeft w:val="0"/>
              <w:marRight w:val="0"/>
              <w:marTop w:val="0"/>
              <w:marBottom w:val="0"/>
              <w:divBdr>
                <w:top w:val="none" w:sz="0" w:space="0" w:color="auto"/>
                <w:left w:val="none" w:sz="0" w:space="0" w:color="auto"/>
                <w:bottom w:val="none" w:sz="0" w:space="0" w:color="auto"/>
                <w:right w:val="none" w:sz="0" w:space="0" w:color="auto"/>
              </w:divBdr>
            </w:div>
          </w:divsChild>
        </w:div>
        <w:div w:id="1578634377">
          <w:marLeft w:val="0"/>
          <w:marRight w:val="0"/>
          <w:marTop w:val="0"/>
          <w:marBottom w:val="0"/>
          <w:divBdr>
            <w:top w:val="none" w:sz="0" w:space="0" w:color="auto"/>
            <w:left w:val="none" w:sz="0" w:space="0" w:color="auto"/>
            <w:bottom w:val="none" w:sz="0" w:space="0" w:color="auto"/>
            <w:right w:val="none" w:sz="0" w:space="0" w:color="auto"/>
          </w:divBdr>
          <w:divsChild>
            <w:div w:id="1902977946">
              <w:marLeft w:val="0"/>
              <w:marRight w:val="0"/>
              <w:marTop w:val="0"/>
              <w:marBottom w:val="0"/>
              <w:divBdr>
                <w:top w:val="none" w:sz="0" w:space="0" w:color="auto"/>
                <w:left w:val="none" w:sz="0" w:space="0" w:color="auto"/>
                <w:bottom w:val="none" w:sz="0" w:space="0" w:color="auto"/>
                <w:right w:val="none" w:sz="0" w:space="0" w:color="auto"/>
              </w:divBdr>
            </w:div>
          </w:divsChild>
        </w:div>
        <w:div w:id="1587615553">
          <w:marLeft w:val="0"/>
          <w:marRight w:val="0"/>
          <w:marTop w:val="0"/>
          <w:marBottom w:val="0"/>
          <w:divBdr>
            <w:top w:val="none" w:sz="0" w:space="0" w:color="auto"/>
            <w:left w:val="none" w:sz="0" w:space="0" w:color="auto"/>
            <w:bottom w:val="none" w:sz="0" w:space="0" w:color="auto"/>
            <w:right w:val="none" w:sz="0" w:space="0" w:color="auto"/>
          </w:divBdr>
          <w:divsChild>
            <w:div w:id="213858731">
              <w:marLeft w:val="0"/>
              <w:marRight w:val="0"/>
              <w:marTop w:val="0"/>
              <w:marBottom w:val="0"/>
              <w:divBdr>
                <w:top w:val="none" w:sz="0" w:space="0" w:color="auto"/>
                <w:left w:val="none" w:sz="0" w:space="0" w:color="auto"/>
                <w:bottom w:val="none" w:sz="0" w:space="0" w:color="auto"/>
                <w:right w:val="none" w:sz="0" w:space="0" w:color="auto"/>
              </w:divBdr>
            </w:div>
          </w:divsChild>
        </w:div>
        <w:div w:id="1677027641">
          <w:marLeft w:val="0"/>
          <w:marRight w:val="0"/>
          <w:marTop w:val="0"/>
          <w:marBottom w:val="0"/>
          <w:divBdr>
            <w:top w:val="none" w:sz="0" w:space="0" w:color="auto"/>
            <w:left w:val="none" w:sz="0" w:space="0" w:color="auto"/>
            <w:bottom w:val="none" w:sz="0" w:space="0" w:color="auto"/>
            <w:right w:val="none" w:sz="0" w:space="0" w:color="auto"/>
          </w:divBdr>
          <w:divsChild>
            <w:div w:id="2138832918">
              <w:marLeft w:val="0"/>
              <w:marRight w:val="0"/>
              <w:marTop w:val="0"/>
              <w:marBottom w:val="0"/>
              <w:divBdr>
                <w:top w:val="none" w:sz="0" w:space="0" w:color="auto"/>
                <w:left w:val="none" w:sz="0" w:space="0" w:color="auto"/>
                <w:bottom w:val="none" w:sz="0" w:space="0" w:color="auto"/>
                <w:right w:val="none" w:sz="0" w:space="0" w:color="auto"/>
              </w:divBdr>
            </w:div>
          </w:divsChild>
        </w:div>
        <w:div w:id="1775662528">
          <w:marLeft w:val="0"/>
          <w:marRight w:val="0"/>
          <w:marTop w:val="0"/>
          <w:marBottom w:val="0"/>
          <w:divBdr>
            <w:top w:val="none" w:sz="0" w:space="0" w:color="auto"/>
            <w:left w:val="none" w:sz="0" w:space="0" w:color="auto"/>
            <w:bottom w:val="none" w:sz="0" w:space="0" w:color="auto"/>
            <w:right w:val="none" w:sz="0" w:space="0" w:color="auto"/>
          </w:divBdr>
          <w:divsChild>
            <w:div w:id="1384133882">
              <w:marLeft w:val="0"/>
              <w:marRight w:val="0"/>
              <w:marTop w:val="0"/>
              <w:marBottom w:val="0"/>
              <w:divBdr>
                <w:top w:val="none" w:sz="0" w:space="0" w:color="auto"/>
                <w:left w:val="none" w:sz="0" w:space="0" w:color="auto"/>
                <w:bottom w:val="none" w:sz="0" w:space="0" w:color="auto"/>
                <w:right w:val="none" w:sz="0" w:space="0" w:color="auto"/>
              </w:divBdr>
            </w:div>
          </w:divsChild>
        </w:div>
        <w:div w:id="2050103505">
          <w:marLeft w:val="0"/>
          <w:marRight w:val="0"/>
          <w:marTop w:val="0"/>
          <w:marBottom w:val="0"/>
          <w:divBdr>
            <w:top w:val="none" w:sz="0" w:space="0" w:color="auto"/>
            <w:left w:val="none" w:sz="0" w:space="0" w:color="auto"/>
            <w:bottom w:val="none" w:sz="0" w:space="0" w:color="auto"/>
            <w:right w:val="none" w:sz="0" w:space="0" w:color="auto"/>
          </w:divBdr>
          <w:divsChild>
            <w:div w:id="545603908">
              <w:marLeft w:val="0"/>
              <w:marRight w:val="0"/>
              <w:marTop w:val="0"/>
              <w:marBottom w:val="0"/>
              <w:divBdr>
                <w:top w:val="none" w:sz="0" w:space="0" w:color="auto"/>
                <w:left w:val="none" w:sz="0" w:space="0" w:color="auto"/>
                <w:bottom w:val="none" w:sz="0" w:space="0" w:color="auto"/>
                <w:right w:val="none" w:sz="0" w:space="0" w:color="auto"/>
              </w:divBdr>
            </w:div>
          </w:divsChild>
        </w:div>
        <w:div w:id="2053649978">
          <w:marLeft w:val="0"/>
          <w:marRight w:val="0"/>
          <w:marTop w:val="0"/>
          <w:marBottom w:val="0"/>
          <w:divBdr>
            <w:top w:val="none" w:sz="0" w:space="0" w:color="auto"/>
            <w:left w:val="none" w:sz="0" w:space="0" w:color="auto"/>
            <w:bottom w:val="none" w:sz="0" w:space="0" w:color="auto"/>
            <w:right w:val="none" w:sz="0" w:space="0" w:color="auto"/>
          </w:divBdr>
          <w:divsChild>
            <w:div w:id="373968097">
              <w:marLeft w:val="0"/>
              <w:marRight w:val="0"/>
              <w:marTop w:val="0"/>
              <w:marBottom w:val="0"/>
              <w:divBdr>
                <w:top w:val="none" w:sz="0" w:space="0" w:color="auto"/>
                <w:left w:val="none" w:sz="0" w:space="0" w:color="auto"/>
                <w:bottom w:val="none" w:sz="0" w:space="0" w:color="auto"/>
                <w:right w:val="none" w:sz="0" w:space="0" w:color="auto"/>
              </w:divBdr>
            </w:div>
          </w:divsChild>
        </w:div>
        <w:div w:id="2074619218">
          <w:marLeft w:val="0"/>
          <w:marRight w:val="0"/>
          <w:marTop w:val="0"/>
          <w:marBottom w:val="0"/>
          <w:divBdr>
            <w:top w:val="none" w:sz="0" w:space="0" w:color="auto"/>
            <w:left w:val="none" w:sz="0" w:space="0" w:color="auto"/>
            <w:bottom w:val="none" w:sz="0" w:space="0" w:color="auto"/>
            <w:right w:val="none" w:sz="0" w:space="0" w:color="auto"/>
          </w:divBdr>
          <w:divsChild>
            <w:div w:id="1304429244">
              <w:marLeft w:val="0"/>
              <w:marRight w:val="0"/>
              <w:marTop w:val="0"/>
              <w:marBottom w:val="0"/>
              <w:divBdr>
                <w:top w:val="none" w:sz="0" w:space="0" w:color="auto"/>
                <w:left w:val="none" w:sz="0" w:space="0" w:color="auto"/>
                <w:bottom w:val="none" w:sz="0" w:space="0" w:color="auto"/>
                <w:right w:val="none" w:sz="0" w:space="0" w:color="auto"/>
              </w:divBdr>
            </w:div>
          </w:divsChild>
        </w:div>
        <w:div w:id="2120180399">
          <w:marLeft w:val="0"/>
          <w:marRight w:val="0"/>
          <w:marTop w:val="0"/>
          <w:marBottom w:val="0"/>
          <w:divBdr>
            <w:top w:val="none" w:sz="0" w:space="0" w:color="auto"/>
            <w:left w:val="none" w:sz="0" w:space="0" w:color="auto"/>
            <w:bottom w:val="none" w:sz="0" w:space="0" w:color="auto"/>
            <w:right w:val="none" w:sz="0" w:space="0" w:color="auto"/>
          </w:divBdr>
          <w:divsChild>
            <w:div w:id="4015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451">
      <w:bodyDiv w:val="1"/>
      <w:marLeft w:val="0"/>
      <w:marRight w:val="0"/>
      <w:marTop w:val="0"/>
      <w:marBottom w:val="0"/>
      <w:divBdr>
        <w:top w:val="none" w:sz="0" w:space="0" w:color="auto"/>
        <w:left w:val="none" w:sz="0" w:space="0" w:color="auto"/>
        <w:bottom w:val="none" w:sz="0" w:space="0" w:color="auto"/>
        <w:right w:val="none" w:sz="0" w:space="0" w:color="auto"/>
      </w:divBdr>
    </w:div>
    <w:div w:id="1300914799">
      <w:bodyDiv w:val="1"/>
      <w:marLeft w:val="0"/>
      <w:marRight w:val="0"/>
      <w:marTop w:val="0"/>
      <w:marBottom w:val="0"/>
      <w:divBdr>
        <w:top w:val="none" w:sz="0" w:space="0" w:color="auto"/>
        <w:left w:val="none" w:sz="0" w:space="0" w:color="auto"/>
        <w:bottom w:val="none" w:sz="0" w:space="0" w:color="auto"/>
        <w:right w:val="none" w:sz="0" w:space="0" w:color="auto"/>
      </w:divBdr>
      <w:divsChild>
        <w:div w:id="498890725">
          <w:marLeft w:val="0"/>
          <w:marRight w:val="0"/>
          <w:marTop w:val="83"/>
          <w:marBottom w:val="0"/>
          <w:divBdr>
            <w:top w:val="none" w:sz="0" w:space="0" w:color="auto"/>
            <w:left w:val="none" w:sz="0" w:space="0" w:color="auto"/>
            <w:bottom w:val="none" w:sz="0" w:space="0" w:color="auto"/>
            <w:right w:val="none" w:sz="0" w:space="0" w:color="auto"/>
          </w:divBdr>
          <w:divsChild>
            <w:div w:id="433094586">
              <w:marLeft w:val="0"/>
              <w:marRight w:val="0"/>
              <w:marTop w:val="83"/>
              <w:marBottom w:val="0"/>
              <w:divBdr>
                <w:top w:val="none" w:sz="0" w:space="0" w:color="auto"/>
                <w:left w:val="none" w:sz="0" w:space="0" w:color="auto"/>
                <w:bottom w:val="none" w:sz="0" w:space="0" w:color="auto"/>
                <w:right w:val="none" w:sz="0" w:space="0" w:color="auto"/>
              </w:divBdr>
            </w:div>
            <w:div w:id="1551377258">
              <w:marLeft w:val="0"/>
              <w:marRight w:val="0"/>
              <w:marTop w:val="83"/>
              <w:marBottom w:val="0"/>
              <w:divBdr>
                <w:top w:val="none" w:sz="0" w:space="0" w:color="auto"/>
                <w:left w:val="none" w:sz="0" w:space="0" w:color="auto"/>
                <w:bottom w:val="none" w:sz="0" w:space="0" w:color="auto"/>
                <w:right w:val="none" w:sz="0" w:space="0" w:color="auto"/>
              </w:divBdr>
            </w:div>
          </w:divsChild>
        </w:div>
        <w:div w:id="1079710089">
          <w:marLeft w:val="0"/>
          <w:marRight w:val="0"/>
          <w:marTop w:val="83"/>
          <w:marBottom w:val="0"/>
          <w:divBdr>
            <w:top w:val="none" w:sz="0" w:space="0" w:color="auto"/>
            <w:left w:val="none" w:sz="0" w:space="0" w:color="auto"/>
            <w:bottom w:val="none" w:sz="0" w:space="0" w:color="auto"/>
            <w:right w:val="none" w:sz="0" w:space="0" w:color="auto"/>
          </w:divBdr>
        </w:div>
      </w:divsChild>
    </w:div>
    <w:div w:id="1316179076">
      <w:bodyDiv w:val="1"/>
      <w:marLeft w:val="0"/>
      <w:marRight w:val="0"/>
      <w:marTop w:val="0"/>
      <w:marBottom w:val="0"/>
      <w:divBdr>
        <w:top w:val="none" w:sz="0" w:space="0" w:color="auto"/>
        <w:left w:val="none" w:sz="0" w:space="0" w:color="auto"/>
        <w:bottom w:val="none" w:sz="0" w:space="0" w:color="auto"/>
        <w:right w:val="none" w:sz="0" w:space="0" w:color="auto"/>
      </w:divBdr>
    </w:div>
    <w:div w:id="1326007823">
      <w:bodyDiv w:val="1"/>
      <w:marLeft w:val="0"/>
      <w:marRight w:val="0"/>
      <w:marTop w:val="0"/>
      <w:marBottom w:val="0"/>
      <w:divBdr>
        <w:top w:val="none" w:sz="0" w:space="0" w:color="auto"/>
        <w:left w:val="none" w:sz="0" w:space="0" w:color="auto"/>
        <w:bottom w:val="none" w:sz="0" w:space="0" w:color="auto"/>
        <w:right w:val="none" w:sz="0" w:space="0" w:color="auto"/>
      </w:divBdr>
    </w:div>
    <w:div w:id="1367099448">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4853945">
      <w:bodyDiv w:val="1"/>
      <w:marLeft w:val="0"/>
      <w:marRight w:val="0"/>
      <w:marTop w:val="0"/>
      <w:marBottom w:val="0"/>
      <w:divBdr>
        <w:top w:val="none" w:sz="0" w:space="0" w:color="auto"/>
        <w:left w:val="none" w:sz="0" w:space="0" w:color="auto"/>
        <w:bottom w:val="none" w:sz="0" w:space="0" w:color="auto"/>
        <w:right w:val="none" w:sz="0" w:space="0" w:color="auto"/>
      </w:divBdr>
    </w:div>
    <w:div w:id="1563636479">
      <w:bodyDiv w:val="1"/>
      <w:marLeft w:val="0"/>
      <w:marRight w:val="0"/>
      <w:marTop w:val="0"/>
      <w:marBottom w:val="0"/>
      <w:divBdr>
        <w:top w:val="none" w:sz="0" w:space="0" w:color="auto"/>
        <w:left w:val="none" w:sz="0" w:space="0" w:color="auto"/>
        <w:bottom w:val="none" w:sz="0" w:space="0" w:color="auto"/>
        <w:right w:val="none" w:sz="0" w:space="0" w:color="auto"/>
      </w:divBdr>
    </w:div>
    <w:div w:id="1564104417">
      <w:bodyDiv w:val="1"/>
      <w:marLeft w:val="0"/>
      <w:marRight w:val="0"/>
      <w:marTop w:val="0"/>
      <w:marBottom w:val="0"/>
      <w:divBdr>
        <w:top w:val="none" w:sz="0" w:space="0" w:color="auto"/>
        <w:left w:val="none" w:sz="0" w:space="0" w:color="auto"/>
        <w:bottom w:val="none" w:sz="0" w:space="0" w:color="auto"/>
        <w:right w:val="none" w:sz="0" w:space="0" w:color="auto"/>
      </w:divBdr>
    </w:div>
    <w:div w:id="1576235552">
      <w:bodyDiv w:val="1"/>
      <w:marLeft w:val="0"/>
      <w:marRight w:val="0"/>
      <w:marTop w:val="0"/>
      <w:marBottom w:val="0"/>
      <w:divBdr>
        <w:top w:val="none" w:sz="0" w:space="0" w:color="auto"/>
        <w:left w:val="none" w:sz="0" w:space="0" w:color="auto"/>
        <w:bottom w:val="none" w:sz="0" w:space="0" w:color="auto"/>
        <w:right w:val="none" w:sz="0" w:space="0" w:color="auto"/>
      </w:divBdr>
    </w:div>
    <w:div w:id="1585724352">
      <w:bodyDiv w:val="1"/>
      <w:marLeft w:val="0"/>
      <w:marRight w:val="0"/>
      <w:marTop w:val="0"/>
      <w:marBottom w:val="0"/>
      <w:divBdr>
        <w:top w:val="none" w:sz="0" w:space="0" w:color="auto"/>
        <w:left w:val="none" w:sz="0" w:space="0" w:color="auto"/>
        <w:bottom w:val="none" w:sz="0" w:space="0" w:color="auto"/>
        <w:right w:val="none" w:sz="0" w:space="0" w:color="auto"/>
      </w:divBdr>
      <w:divsChild>
        <w:div w:id="225603316">
          <w:marLeft w:val="0"/>
          <w:marRight w:val="0"/>
          <w:marTop w:val="83"/>
          <w:marBottom w:val="0"/>
          <w:divBdr>
            <w:top w:val="none" w:sz="0" w:space="0" w:color="auto"/>
            <w:left w:val="none" w:sz="0" w:space="0" w:color="auto"/>
            <w:bottom w:val="none" w:sz="0" w:space="0" w:color="auto"/>
            <w:right w:val="none" w:sz="0" w:space="0" w:color="auto"/>
          </w:divBdr>
        </w:div>
        <w:div w:id="980841199">
          <w:marLeft w:val="0"/>
          <w:marRight w:val="0"/>
          <w:marTop w:val="83"/>
          <w:marBottom w:val="0"/>
          <w:divBdr>
            <w:top w:val="none" w:sz="0" w:space="0" w:color="auto"/>
            <w:left w:val="none" w:sz="0" w:space="0" w:color="auto"/>
            <w:bottom w:val="none" w:sz="0" w:space="0" w:color="auto"/>
            <w:right w:val="none" w:sz="0" w:space="0" w:color="auto"/>
          </w:divBdr>
        </w:div>
        <w:div w:id="1092582886">
          <w:marLeft w:val="0"/>
          <w:marRight w:val="0"/>
          <w:marTop w:val="83"/>
          <w:marBottom w:val="0"/>
          <w:divBdr>
            <w:top w:val="none" w:sz="0" w:space="0" w:color="auto"/>
            <w:left w:val="none" w:sz="0" w:space="0" w:color="auto"/>
            <w:bottom w:val="none" w:sz="0" w:space="0" w:color="auto"/>
            <w:right w:val="none" w:sz="0" w:space="0" w:color="auto"/>
          </w:divBdr>
        </w:div>
        <w:div w:id="1628198429">
          <w:marLeft w:val="0"/>
          <w:marRight w:val="0"/>
          <w:marTop w:val="83"/>
          <w:marBottom w:val="0"/>
          <w:divBdr>
            <w:top w:val="none" w:sz="0" w:space="0" w:color="auto"/>
            <w:left w:val="none" w:sz="0" w:space="0" w:color="auto"/>
            <w:bottom w:val="none" w:sz="0" w:space="0" w:color="auto"/>
            <w:right w:val="none" w:sz="0" w:space="0" w:color="auto"/>
          </w:divBdr>
        </w:div>
        <w:div w:id="2005165574">
          <w:marLeft w:val="0"/>
          <w:marRight w:val="0"/>
          <w:marTop w:val="83"/>
          <w:marBottom w:val="0"/>
          <w:divBdr>
            <w:top w:val="none" w:sz="0" w:space="0" w:color="auto"/>
            <w:left w:val="none" w:sz="0" w:space="0" w:color="auto"/>
            <w:bottom w:val="none" w:sz="0" w:space="0" w:color="auto"/>
            <w:right w:val="none" w:sz="0" w:space="0" w:color="auto"/>
          </w:divBdr>
          <w:divsChild>
            <w:div w:id="274407361">
              <w:marLeft w:val="0"/>
              <w:marRight w:val="0"/>
              <w:marTop w:val="83"/>
              <w:marBottom w:val="0"/>
              <w:divBdr>
                <w:top w:val="none" w:sz="0" w:space="0" w:color="auto"/>
                <w:left w:val="none" w:sz="0" w:space="0" w:color="auto"/>
                <w:bottom w:val="none" w:sz="0" w:space="0" w:color="auto"/>
                <w:right w:val="none" w:sz="0" w:space="0" w:color="auto"/>
              </w:divBdr>
            </w:div>
            <w:div w:id="934097613">
              <w:marLeft w:val="0"/>
              <w:marRight w:val="0"/>
              <w:marTop w:val="83"/>
              <w:marBottom w:val="0"/>
              <w:divBdr>
                <w:top w:val="none" w:sz="0" w:space="0" w:color="auto"/>
                <w:left w:val="none" w:sz="0" w:space="0" w:color="auto"/>
                <w:bottom w:val="none" w:sz="0" w:space="0" w:color="auto"/>
                <w:right w:val="none" w:sz="0" w:space="0" w:color="auto"/>
              </w:divBdr>
            </w:div>
          </w:divsChild>
        </w:div>
        <w:div w:id="2066220829">
          <w:marLeft w:val="0"/>
          <w:marRight w:val="0"/>
          <w:marTop w:val="83"/>
          <w:marBottom w:val="0"/>
          <w:divBdr>
            <w:top w:val="none" w:sz="0" w:space="0" w:color="auto"/>
            <w:left w:val="none" w:sz="0" w:space="0" w:color="auto"/>
            <w:bottom w:val="none" w:sz="0" w:space="0" w:color="auto"/>
            <w:right w:val="none" w:sz="0" w:space="0" w:color="auto"/>
          </w:divBdr>
        </w:div>
      </w:divsChild>
    </w:div>
    <w:div w:id="1609199345">
      <w:bodyDiv w:val="1"/>
      <w:marLeft w:val="0"/>
      <w:marRight w:val="0"/>
      <w:marTop w:val="0"/>
      <w:marBottom w:val="0"/>
      <w:divBdr>
        <w:top w:val="none" w:sz="0" w:space="0" w:color="auto"/>
        <w:left w:val="none" w:sz="0" w:space="0" w:color="auto"/>
        <w:bottom w:val="none" w:sz="0" w:space="0" w:color="auto"/>
        <w:right w:val="none" w:sz="0" w:space="0" w:color="auto"/>
      </w:divBdr>
      <w:divsChild>
        <w:div w:id="6641967">
          <w:marLeft w:val="0"/>
          <w:marRight w:val="0"/>
          <w:marTop w:val="0"/>
          <w:marBottom w:val="0"/>
          <w:divBdr>
            <w:top w:val="none" w:sz="0" w:space="0" w:color="auto"/>
            <w:left w:val="none" w:sz="0" w:space="0" w:color="auto"/>
            <w:bottom w:val="none" w:sz="0" w:space="0" w:color="auto"/>
            <w:right w:val="none" w:sz="0" w:space="0" w:color="auto"/>
          </w:divBdr>
        </w:div>
        <w:div w:id="269246503">
          <w:marLeft w:val="0"/>
          <w:marRight w:val="0"/>
          <w:marTop w:val="0"/>
          <w:marBottom w:val="0"/>
          <w:divBdr>
            <w:top w:val="none" w:sz="0" w:space="0" w:color="auto"/>
            <w:left w:val="none" w:sz="0" w:space="0" w:color="auto"/>
            <w:bottom w:val="none" w:sz="0" w:space="0" w:color="auto"/>
            <w:right w:val="none" w:sz="0" w:space="0" w:color="auto"/>
          </w:divBdr>
        </w:div>
        <w:div w:id="369956102">
          <w:marLeft w:val="0"/>
          <w:marRight w:val="0"/>
          <w:marTop w:val="0"/>
          <w:marBottom w:val="0"/>
          <w:divBdr>
            <w:top w:val="none" w:sz="0" w:space="0" w:color="auto"/>
            <w:left w:val="none" w:sz="0" w:space="0" w:color="auto"/>
            <w:bottom w:val="none" w:sz="0" w:space="0" w:color="auto"/>
            <w:right w:val="none" w:sz="0" w:space="0" w:color="auto"/>
          </w:divBdr>
        </w:div>
        <w:div w:id="640577640">
          <w:marLeft w:val="0"/>
          <w:marRight w:val="0"/>
          <w:marTop w:val="0"/>
          <w:marBottom w:val="0"/>
          <w:divBdr>
            <w:top w:val="none" w:sz="0" w:space="0" w:color="auto"/>
            <w:left w:val="none" w:sz="0" w:space="0" w:color="auto"/>
            <w:bottom w:val="none" w:sz="0" w:space="0" w:color="auto"/>
            <w:right w:val="none" w:sz="0" w:space="0" w:color="auto"/>
          </w:divBdr>
        </w:div>
        <w:div w:id="754280742">
          <w:marLeft w:val="0"/>
          <w:marRight w:val="0"/>
          <w:marTop w:val="0"/>
          <w:marBottom w:val="0"/>
          <w:divBdr>
            <w:top w:val="none" w:sz="0" w:space="0" w:color="auto"/>
            <w:left w:val="none" w:sz="0" w:space="0" w:color="auto"/>
            <w:bottom w:val="none" w:sz="0" w:space="0" w:color="auto"/>
            <w:right w:val="none" w:sz="0" w:space="0" w:color="auto"/>
          </w:divBdr>
        </w:div>
        <w:div w:id="757484078">
          <w:marLeft w:val="0"/>
          <w:marRight w:val="0"/>
          <w:marTop w:val="0"/>
          <w:marBottom w:val="0"/>
          <w:divBdr>
            <w:top w:val="none" w:sz="0" w:space="0" w:color="auto"/>
            <w:left w:val="none" w:sz="0" w:space="0" w:color="auto"/>
            <w:bottom w:val="none" w:sz="0" w:space="0" w:color="auto"/>
            <w:right w:val="none" w:sz="0" w:space="0" w:color="auto"/>
          </w:divBdr>
        </w:div>
        <w:div w:id="830826609">
          <w:marLeft w:val="0"/>
          <w:marRight w:val="0"/>
          <w:marTop w:val="0"/>
          <w:marBottom w:val="0"/>
          <w:divBdr>
            <w:top w:val="none" w:sz="0" w:space="0" w:color="auto"/>
            <w:left w:val="none" w:sz="0" w:space="0" w:color="auto"/>
            <w:bottom w:val="none" w:sz="0" w:space="0" w:color="auto"/>
            <w:right w:val="none" w:sz="0" w:space="0" w:color="auto"/>
          </w:divBdr>
        </w:div>
        <w:div w:id="1172450868">
          <w:marLeft w:val="0"/>
          <w:marRight w:val="0"/>
          <w:marTop w:val="0"/>
          <w:marBottom w:val="0"/>
          <w:divBdr>
            <w:top w:val="none" w:sz="0" w:space="0" w:color="auto"/>
            <w:left w:val="none" w:sz="0" w:space="0" w:color="auto"/>
            <w:bottom w:val="none" w:sz="0" w:space="0" w:color="auto"/>
            <w:right w:val="none" w:sz="0" w:space="0" w:color="auto"/>
          </w:divBdr>
        </w:div>
        <w:div w:id="1265966764">
          <w:marLeft w:val="0"/>
          <w:marRight w:val="0"/>
          <w:marTop w:val="0"/>
          <w:marBottom w:val="0"/>
          <w:divBdr>
            <w:top w:val="none" w:sz="0" w:space="0" w:color="auto"/>
            <w:left w:val="none" w:sz="0" w:space="0" w:color="auto"/>
            <w:bottom w:val="none" w:sz="0" w:space="0" w:color="auto"/>
            <w:right w:val="none" w:sz="0" w:space="0" w:color="auto"/>
          </w:divBdr>
        </w:div>
        <w:div w:id="1676878557">
          <w:marLeft w:val="0"/>
          <w:marRight w:val="0"/>
          <w:marTop w:val="0"/>
          <w:marBottom w:val="0"/>
          <w:divBdr>
            <w:top w:val="none" w:sz="0" w:space="0" w:color="auto"/>
            <w:left w:val="none" w:sz="0" w:space="0" w:color="auto"/>
            <w:bottom w:val="none" w:sz="0" w:space="0" w:color="auto"/>
            <w:right w:val="none" w:sz="0" w:space="0" w:color="auto"/>
          </w:divBdr>
        </w:div>
        <w:div w:id="1837302442">
          <w:marLeft w:val="0"/>
          <w:marRight w:val="0"/>
          <w:marTop w:val="0"/>
          <w:marBottom w:val="0"/>
          <w:divBdr>
            <w:top w:val="none" w:sz="0" w:space="0" w:color="auto"/>
            <w:left w:val="none" w:sz="0" w:space="0" w:color="auto"/>
            <w:bottom w:val="none" w:sz="0" w:space="0" w:color="auto"/>
            <w:right w:val="none" w:sz="0" w:space="0" w:color="auto"/>
          </w:divBdr>
        </w:div>
        <w:div w:id="1954630769">
          <w:marLeft w:val="0"/>
          <w:marRight w:val="0"/>
          <w:marTop w:val="0"/>
          <w:marBottom w:val="0"/>
          <w:divBdr>
            <w:top w:val="none" w:sz="0" w:space="0" w:color="auto"/>
            <w:left w:val="none" w:sz="0" w:space="0" w:color="auto"/>
            <w:bottom w:val="none" w:sz="0" w:space="0" w:color="auto"/>
            <w:right w:val="none" w:sz="0" w:space="0" w:color="auto"/>
          </w:divBdr>
        </w:div>
        <w:div w:id="1960337851">
          <w:marLeft w:val="0"/>
          <w:marRight w:val="0"/>
          <w:marTop w:val="0"/>
          <w:marBottom w:val="0"/>
          <w:divBdr>
            <w:top w:val="none" w:sz="0" w:space="0" w:color="auto"/>
            <w:left w:val="none" w:sz="0" w:space="0" w:color="auto"/>
            <w:bottom w:val="none" w:sz="0" w:space="0" w:color="auto"/>
            <w:right w:val="none" w:sz="0" w:space="0" w:color="auto"/>
          </w:divBdr>
        </w:div>
        <w:div w:id="1979407821">
          <w:marLeft w:val="0"/>
          <w:marRight w:val="0"/>
          <w:marTop w:val="0"/>
          <w:marBottom w:val="0"/>
          <w:divBdr>
            <w:top w:val="none" w:sz="0" w:space="0" w:color="auto"/>
            <w:left w:val="none" w:sz="0" w:space="0" w:color="auto"/>
            <w:bottom w:val="none" w:sz="0" w:space="0" w:color="auto"/>
            <w:right w:val="none" w:sz="0" w:space="0" w:color="auto"/>
          </w:divBdr>
        </w:div>
        <w:div w:id="1994795630">
          <w:marLeft w:val="0"/>
          <w:marRight w:val="0"/>
          <w:marTop w:val="0"/>
          <w:marBottom w:val="0"/>
          <w:divBdr>
            <w:top w:val="none" w:sz="0" w:space="0" w:color="auto"/>
            <w:left w:val="none" w:sz="0" w:space="0" w:color="auto"/>
            <w:bottom w:val="none" w:sz="0" w:space="0" w:color="auto"/>
            <w:right w:val="none" w:sz="0" w:space="0" w:color="auto"/>
          </w:divBdr>
        </w:div>
        <w:div w:id="2025588060">
          <w:marLeft w:val="0"/>
          <w:marRight w:val="0"/>
          <w:marTop w:val="0"/>
          <w:marBottom w:val="0"/>
          <w:divBdr>
            <w:top w:val="none" w:sz="0" w:space="0" w:color="auto"/>
            <w:left w:val="none" w:sz="0" w:space="0" w:color="auto"/>
            <w:bottom w:val="none" w:sz="0" w:space="0" w:color="auto"/>
            <w:right w:val="none" w:sz="0" w:space="0" w:color="auto"/>
          </w:divBdr>
        </w:div>
      </w:divsChild>
    </w:div>
    <w:div w:id="1629511780">
      <w:bodyDiv w:val="1"/>
      <w:marLeft w:val="0"/>
      <w:marRight w:val="0"/>
      <w:marTop w:val="0"/>
      <w:marBottom w:val="0"/>
      <w:divBdr>
        <w:top w:val="none" w:sz="0" w:space="0" w:color="auto"/>
        <w:left w:val="none" w:sz="0" w:space="0" w:color="auto"/>
        <w:bottom w:val="none" w:sz="0" w:space="0" w:color="auto"/>
        <w:right w:val="none" w:sz="0" w:space="0" w:color="auto"/>
      </w:divBdr>
    </w:div>
    <w:div w:id="1660770825">
      <w:bodyDiv w:val="1"/>
      <w:marLeft w:val="0"/>
      <w:marRight w:val="0"/>
      <w:marTop w:val="0"/>
      <w:marBottom w:val="0"/>
      <w:divBdr>
        <w:top w:val="none" w:sz="0" w:space="0" w:color="auto"/>
        <w:left w:val="none" w:sz="0" w:space="0" w:color="auto"/>
        <w:bottom w:val="none" w:sz="0" w:space="0" w:color="auto"/>
        <w:right w:val="none" w:sz="0" w:space="0" w:color="auto"/>
      </w:divBdr>
    </w:div>
    <w:div w:id="1700155935">
      <w:bodyDiv w:val="1"/>
      <w:marLeft w:val="0"/>
      <w:marRight w:val="0"/>
      <w:marTop w:val="0"/>
      <w:marBottom w:val="0"/>
      <w:divBdr>
        <w:top w:val="none" w:sz="0" w:space="0" w:color="auto"/>
        <w:left w:val="none" w:sz="0" w:space="0" w:color="auto"/>
        <w:bottom w:val="none" w:sz="0" w:space="0" w:color="auto"/>
        <w:right w:val="none" w:sz="0" w:space="0" w:color="auto"/>
      </w:divBdr>
    </w:div>
    <w:div w:id="1724207437">
      <w:bodyDiv w:val="1"/>
      <w:marLeft w:val="0"/>
      <w:marRight w:val="0"/>
      <w:marTop w:val="0"/>
      <w:marBottom w:val="0"/>
      <w:divBdr>
        <w:top w:val="none" w:sz="0" w:space="0" w:color="auto"/>
        <w:left w:val="none" w:sz="0" w:space="0" w:color="auto"/>
        <w:bottom w:val="none" w:sz="0" w:space="0" w:color="auto"/>
        <w:right w:val="none" w:sz="0" w:space="0" w:color="auto"/>
      </w:divBdr>
    </w:div>
    <w:div w:id="1761754654">
      <w:bodyDiv w:val="1"/>
      <w:marLeft w:val="0"/>
      <w:marRight w:val="0"/>
      <w:marTop w:val="0"/>
      <w:marBottom w:val="0"/>
      <w:divBdr>
        <w:top w:val="none" w:sz="0" w:space="0" w:color="auto"/>
        <w:left w:val="none" w:sz="0" w:space="0" w:color="auto"/>
        <w:bottom w:val="none" w:sz="0" w:space="0" w:color="auto"/>
        <w:right w:val="none" w:sz="0" w:space="0" w:color="auto"/>
      </w:divBdr>
    </w:div>
    <w:div w:id="1764758423">
      <w:bodyDiv w:val="1"/>
      <w:marLeft w:val="0"/>
      <w:marRight w:val="0"/>
      <w:marTop w:val="0"/>
      <w:marBottom w:val="0"/>
      <w:divBdr>
        <w:top w:val="none" w:sz="0" w:space="0" w:color="auto"/>
        <w:left w:val="none" w:sz="0" w:space="0" w:color="auto"/>
        <w:bottom w:val="none" w:sz="0" w:space="0" w:color="auto"/>
        <w:right w:val="none" w:sz="0" w:space="0" w:color="auto"/>
      </w:divBdr>
      <w:divsChild>
        <w:div w:id="96214351">
          <w:marLeft w:val="0"/>
          <w:marRight w:val="0"/>
          <w:marTop w:val="0"/>
          <w:marBottom w:val="0"/>
          <w:divBdr>
            <w:top w:val="none" w:sz="0" w:space="0" w:color="auto"/>
            <w:left w:val="none" w:sz="0" w:space="0" w:color="auto"/>
            <w:bottom w:val="none" w:sz="0" w:space="0" w:color="auto"/>
            <w:right w:val="none" w:sz="0" w:space="0" w:color="auto"/>
          </w:divBdr>
        </w:div>
        <w:div w:id="272134839">
          <w:marLeft w:val="0"/>
          <w:marRight w:val="0"/>
          <w:marTop w:val="0"/>
          <w:marBottom w:val="0"/>
          <w:divBdr>
            <w:top w:val="none" w:sz="0" w:space="0" w:color="auto"/>
            <w:left w:val="none" w:sz="0" w:space="0" w:color="auto"/>
            <w:bottom w:val="none" w:sz="0" w:space="0" w:color="auto"/>
            <w:right w:val="none" w:sz="0" w:space="0" w:color="auto"/>
          </w:divBdr>
          <w:divsChild>
            <w:div w:id="1639257513">
              <w:marLeft w:val="-75"/>
              <w:marRight w:val="0"/>
              <w:marTop w:val="30"/>
              <w:marBottom w:val="30"/>
              <w:divBdr>
                <w:top w:val="none" w:sz="0" w:space="0" w:color="auto"/>
                <w:left w:val="none" w:sz="0" w:space="0" w:color="auto"/>
                <w:bottom w:val="none" w:sz="0" w:space="0" w:color="auto"/>
                <w:right w:val="none" w:sz="0" w:space="0" w:color="auto"/>
              </w:divBdr>
              <w:divsChild>
                <w:div w:id="27099102">
                  <w:marLeft w:val="0"/>
                  <w:marRight w:val="0"/>
                  <w:marTop w:val="0"/>
                  <w:marBottom w:val="0"/>
                  <w:divBdr>
                    <w:top w:val="none" w:sz="0" w:space="0" w:color="auto"/>
                    <w:left w:val="none" w:sz="0" w:space="0" w:color="auto"/>
                    <w:bottom w:val="none" w:sz="0" w:space="0" w:color="auto"/>
                    <w:right w:val="none" w:sz="0" w:space="0" w:color="auto"/>
                  </w:divBdr>
                  <w:divsChild>
                    <w:div w:id="1301768693">
                      <w:marLeft w:val="0"/>
                      <w:marRight w:val="0"/>
                      <w:marTop w:val="0"/>
                      <w:marBottom w:val="0"/>
                      <w:divBdr>
                        <w:top w:val="none" w:sz="0" w:space="0" w:color="auto"/>
                        <w:left w:val="none" w:sz="0" w:space="0" w:color="auto"/>
                        <w:bottom w:val="none" w:sz="0" w:space="0" w:color="auto"/>
                        <w:right w:val="none" w:sz="0" w:space="0" w:color="auto"/>
                      </w:divBdr>
                    </w:div>
                  </w:divsChild>
                </w:div>
                <w:div w:id="49037789">
                  <w:marLeft w:val="0"/>
                  <w:marRight w:val="0"/>
                  <w:marTop w:val="0"/>
                  <w:marBottom w:val="0"/>
                  <w:divBdr>
                    <w:top w:val="none" w:sz="0" w:space="0" w:color="auto"/>
                    <w:left w:val="none" w:sz="0" w:space="0" w:color="auto"/>
                    <w:bottom w:val="none" w:sz="0" w:space="0" w:color="auto"/>
                    <w:right w:val="none" w:sz="0" w:space="0" w:color="auto"/>
                  </w:divBdr>
                  <w:divsChild>
                    <w:div w:id="461726744">
                      <w:marLeft w:val="0"/>
                      <w:marRight w:val="0"/>
                      <w:marTop w:val="0"/>
                      <w:marBottom w:val="0"/>
                      <w:divBdr>
                        <w:top w:val="none" w:sz="0" w:space="0" w:color="auto"/>
                        <w:left w:val="none" w:sz="0" w:space="0" w:color="auto"/>
                        <w:bottom w:val="none" w:sz="0" w:space="0" w:color="auto"/>
                        <w:right w:val="none" w:sz="0" w:space="0" w:color="auto"/>
                      </w:divBdr>
                    </w:div>
                  </w:divsChild>
                </w:div>
                <w:div w:id="124128198">
                  <w:marLeft w:val="0"/>
                  <w:marRight w:val="0"/>
                  <w:marTop w:val="0"/>
                  <w:marBottom w:val="0"/>
                  <w:divBdr>
                    <w:top w:val="none" w:sz="0" w:space="0" w:color="auto"/>
                    <w:left w:val="none" w:sz="0" w:space="0" w:color="auto"/>
                    <w:bottom w:val="none" w:sz="0" w:space="0" w:color="auto"/>
                    <w:right w:val="none" w:sz="0" w:space="0" w:color="auto"/>
                  </w:divBdr>
                  <w:divsChild>
                    <w:div w:id="401604908">
                      <w:marLeft w:val="0"/>
                      <w:marRight w:val="0"/>
                      <w:marTop w:val="0"/>
                      <w:marBottom w:val="0"/>
                      <w:divBdr>
                        <w:top w:val="none" w:sz="0" w:space="0" w:color="auto"/>
                        <w:left w:val="none" w:sz="0" w:space="0" w:color="auto"/>
                        <w:bottom w:val="none" w:sz="0" w:space="0" w:color="auto"/>
                        <w:right w:val="none" w:sz="0" w:space="0" w:color="auto"/>
                      </w:divBdr>
                    </w:div>
                  </w:divsChild>
                </w:div>
                <w:div w:id="153575333">
                  <w:marLeft w:val="0"/>
                  <w:marRight w:val="0"/>
                  <w:marTop w:val="0"/>
                  <w:marBottom w:val="0"/>
                  <w:divBdr>
                    <w:top w:val="none" w:sz="0" w:space="0" w:color="auto"/>
                    <w:left w:val="none" w:sz="0" w:space="0" w:color="auto"/>
                    <w:bottom w:val="none" w:sz="0" w:space="0" w:color="auto"/>
                    <w:right w:val="none" w:sz="0" w:space="0" w:color="auto"/>
                  </w:divBdr>
                  <w:divsChild>
                    <w:div w:id="799806342">
                      <w:marLeft w:val="0"/>
                      <w:marRight w:val="0"/>
                      <w:marTop w:val="0"/>
                      <w:marBottom w:val="0"/>
                      <w:divBdr>
                        <w:top w:val="none" w:sz="0" w:space="0" w:color="auto"/>
                        <w:left w:val="none" w:sz="0" w:space="0" w:color="auto"/>
                        <w:bottom w:val="none" w:sz="0" w:space="0" w:color="auto"/>
                        <w:right w:val="none" w:sz="0" w:space="0" w:color="auto"/>
                      </w:divBdr>
                    </w:div>
                  </w:divsChild>
                </w:div>
                <w:div w:id="231741235">
                  <w:marLeft w:val="0"/>
                  <w:marRight w:val="0"/>
                  <w:marTop w:val="0"/>
                  <w:marBottom w:val="0"/>
                  <w:divBdr>
                    <w:top w:val="none" w:sz="0" w:space="0" w:color="auto"/>
                    <w:left w:val="none" w:sz="0" w:space="0" w:color="auto"/>
                    <w:bottom w:val="none" w:sz="0" w:space="0" w:color="auto"/>
                    <w:right w:val="none" w:sz="0" w:space="0" w:color="auto"/>
                  </w:divBdr>
                  <w:divsChild>
                    <w:div w:id="1473521694">
                      <w:marLeft w:val="0"/>
                      <w:marRight w:val="0"/>
                      <w:marTop w:val="0"/>
                      <w:marBottom w:val="0"/>
                      <w:divBdr>
                        <w:top w:val="none" w:sz="0" w:space="0" w:color="auto"/>
                        <w:left w:val="none" w:sz="0" w:space="0" w:color="auto"/>
                        <w:bottom w:val="none" w:sz="0" w:space="0" w:color="auto"/>
                        <w:right w:val="none" w:sz="0" w:space="0" w:color="auto"/>
                      </w:divBdr>
                    </w:div>
                  </w:divsChild>
                </w:div>
                <w:div w:id="392775702">
                  <w:marLeft w:val="0"/>
                  <w:marRight w:val="0"/>
                  <w:marTop w:val="0"/>
                  <w:marBottom w:val="0"/>
                  <w:divBdr>
                    <w:top w:val="none" w:sz="0" w:space="0" w:color="auto"/>
                    <w:left w:val="none" w:sz="0" w:space="0" w:color="auto"/>
                    <w:bottom w:val="none" w:sz="0" w:space="0" w:color="auto"/>
                    <w:right w:val="none" w:sz="0" w:space="0" w:color="auto"/>
                  </w:divBdr>
                  <w:divsChild>
                    <w:div w:id="931930939">
                      <w:marLeft w:val="0"/>
                      <w:marRight w:val="0"/>
                      <w:marTop w:val="0"/>
                      <w:marBottom w:val="0"/>
                      <w:divBdr>
                        <w:top w:val="none" w:sz="0" w:space="0" w:color="auto"/>
                        <w:left w:val="none" w:sz="0" w:space="0" w:color="auto"/>
                        <w:bottom w:val="none" w:sz="0" w:space="0" w:color="auto"/>
                        <w:right w:val="none" w:sz="0" w:space="0" w:color="auto"/>
                      </w:divBdr>
                    </w:div>
                  </w:divsChild>
                </w:div>
                <w:div w:id="447045834">
                  <w:marLeft w:val="0"/>
                  <w:marRight w:val="0"/>
                  <w:marTop w:val="0"/>
                  <w:marBottom w:val="0"/>
                  <w:divBdr>
                    <w:top w:val="none" w:sz="0" w:space="0" w:color="auto"/>
                    <w:left w:val="none" w:sz="0" w:space="0" w:color="auto"/>
                    <w:bottom w:val="none" w:sz="0" w:space="0" w:color="auto"/>
                    <w:right w:val="none" w:sz="0" w:space="0" w:color="auto"/>
                  </w:divBdr>
                  <w:divsChild>
                    <w:div w:id="342824822">
                      <w:marLeft w:val="0"/>
                      <w:marRight w:val="0"/>
                      <w:marTop w:val="0"/>
                      <w:marBottom w:val="0"/>
                      <w:divBdr>
                        <w:top w:val="none" w:sz="0" w:space="0" w:color="auto"/>
                        <w:left w:val="none" w:sz="0" w:space="0" w:color="auto"/>
                        <w:bottom w:val="none" w:sz="0" w:space="0" w:color="auto"/>
                        <w:right w:val="none" w:sz="0" w:space="0" w:color="auto"/>
                      </w:divBdr>
                    </w:div>
                  </w:divsChild>
                </w:div>
                <w:div w:id="530076348">
                  <w:marLeft w:val="0"/>
                  <w:marRight w:val="0"/>
                  <w:marTop w:val="0"/>
                  <w:marBottom w:val="0"/>
                  <w:divBdr>
                    <w:top w:val="none" w:sz="0" w:space="0" w:color="auto"/>
                    <w:left w:val="none" w:sz="0" w:space="0" w:color="auto"/>
                    <w:bottom w:val="none" w:sz="0" w:space="0" w:color="auto"/>
                    <w:right w:val="none" w:sz="0" w:space="0" w:color="auto"/>
                  </w:divBdr>
                  <w:divsChild>
                    <w:div w:id="2089300159">
                      <w:marLeft w:val="0"/>
                      <w:marRight w:val="0"/>
                      <w:marTop w:val="0"/>
                      <w:marBottom w:val="0"/>
                      <w:divBdr>
                        <w:top w:val="none" w:sz="0" w:space="0" w:color="auto"/>
                        <w:left w:val="none" w:sz="0" w:space="0" w:color="auto"/>
                        <w:bottom w:val="none" w:sz="0" w:space="0" w:color="auto"/>
                        <w:right w:val="none" w:sz="0" w:space="0" w:color="auto"/>
                      </w:divBdr>
                    </w:div>
                  </w:divsChild>
                </w:div>
                <w:div w:id="547644706">
                  <w:marLeft w:val="0"/>
                  <w:marRight w:val="0"/>
                  <w:marTop w:val="0"/>
                  <w:marBottom w:val="0"/>
                  <w:divBdr>
                    <w:top w:val="none" w:sz="0" w:space="0" w:color="auto"/>
                    <w:left w:val="none" w:sz="0" w:space="0" w:color="auto"/>
                    <w:bottom w:val="none" w:sz="0" w:space="0" w:color="auto"/>
                    <w:right w:val="none" w:sz="0" w:space="0" w:color="auto"/>
                  </w:divBdr>
                  <w:divsChild>
                    <w:div w:id="1218009545">
                      <w:marLeft w:val="0"/>
                      <w:marRight w:val="0"/>
                      <w:marTop w:val="0"/>
                      <w:marBottom w:val="0"/>
                      <w:divBdr>
                        <w:top w:val="none" w:sz="0" w:space="0" w:color="auto"/>
                        <w:left w:val="none" w:sz="0" w:space="0" w:color="auto"/>
                        <w:bottom w:val="none" w:sz="0" w:space="0" w:color="auto"/>
                        <w:right w:val="none" w:sz="0" w:space="0" w:color="auto"/>
                      </w:divBdr>
                    </w:div>
                  </w:divsChild>
                </w:div>
                <w:div w:id="650865575">
                  <w:marLeft w:val="0"/>
                  <w:marRight w:val="0"/>
                  <w:marTop w:val="0"/>
                  <w:marBottom w:val="0"/>
                  <w:divBdr>
                    <w:top w:val="none" w:sz="0" w:space="0" w:color="auto"/>
                    <w:left w:val="none" w:sz="0" w:space="0" w:color="auto"/>
                    <w:bottom w:val="none" w:sz="0" w:space="0" w:color="auto"/>
                    <w:right w:val="none" w:sz="0" w:space="0" w:color="auto"/>
                  </w:divBdr>
                  <w:divsChild>
                    <w:div w:id="217328237">
                      <w:marLeft w:val="0"/>
                      <w:marRight w:val="0"/>
                      <w:marTop w:val="0"/>
                      <w:marBottom w:val="0"/>
                      <w:divBdr>
                        <w:top w:val="none" w:sz="0" w:space="0" w:color="auto"/>
                        <w:left w:val="none" w:sz="0" w:space="0" w:color="auto"/>
                        <w:bottom w:val="none" w:sz="0" w:space="0" w:color="auto"/>
                        <w:right w:val="none" w:sz="0" w:space="0" w:color="auto"/>
                      </w:divBdr>
                    </w:div>
                  </w:divsChild>
                </w:div>
                <w:div w:id="711152039">
                  <w:marLeft w:val="0"/>
                  <w:marRight w:val="0"/>
                  <w:marTop w:val="0"/>
                  <w:marBottom w:val="0"/>
                  <w:divBdr>
                    <w:top w:val="none" w:sz="0" w:space="0" w:color="auto"/>
                    <w:left w:val="none" w:sz="0" w:space="0" w:color="auto"/>
                    <w:bottom w:val="none" w:sz="0" w:space="0" w:color="auto"/>
                    <w:right w:val="none" w:sz="0" w:space="0" w:color="auto"/>
                  </w:divBdr>
                  <w:divsChild>
                    <w:div w:id="241642990">
                      <w:marLeft w:val="0"/>
                      <w:marRight w:val="0"/>
                      <w:marTop w:val="0"/>
                      <w:marBottom w:val="0"/>
                      <w:divBdr>
                        <w:top w:val="none" w:sz="0" w:space="0" w:color="auto"/>
                        <w:left w:val="none" w:sz="0" w:space="0" w:color="auto"/>
                        <w:bottom w:val="none" w:sz="0" w:space="0" w:color="auto"/>
                        <w:right w:val="none" w:sz="0" w:space="0" w:color="auto"/>
                      </w:divBdr>
                    </w:div>
                  </w:divsChild>
                </w:div>
                <w:div w:id="764612857">
                  <w:marLeft w:val="0"/>
                  <w:marRight w:val="0"/>
                  <w:marTop w:val="0"/>
                  <w:marBottom w:val="0"/>
                  <w:divBdr>
                    <w:top w:val="none" w:sz="0" w:space="0" w:color="auto"/>
                    <w:left w:val="none" w:sz="0" w:space="0" w:color="auto"/>
                    <w:bottom w:val="none" w:sz="0" w:space="0" w:color="auto"/>
                    <w:right w:val="none" w:sz="0" w:space="0" w:color="auto"/>
                  </w:divBdr>
                  <w:divsChild>
                    <w:div w:id="168909328">
                      <w:marLeft w:val="0"/>
                      <w:marRight w:val="0"/>
                      <w:marTop w:val="0"/>
                      <w:marBottom w:val="0"/>
                      <w:divBdr>
                        <w:top w:val="none" w:sz="0" w:space="0" w:color="auto"/>
                        <w:left w:val="none" w:sz="0" w:space="0" w:color="auto"/>
                        <w:bottom w:val="none" w:sz="0" w:space="0" w:color="auto"/>
                        <w:right w:val="none" w:sz="0" w:space="0" w:color="auto"/>
                      </w:divBdr>
                    </w:div>
                  </w:divsChild>
                </w:div>
                <w:div w:id="821848077">
                  <w:marLeft w:val="0"/>
                  <w:marRight w:val="0"/>
                  <w:marTop w:val="0"/>
                  <w:marBottom w:val="0"/>
                  <w:divBdr>
                    <w:top w:val="none" w:sz="0" w:space="0" w:color="auto"/>
                    <w:left w:val="none" w:sz="0" w:space="0" w:color="auto"/>
                    <w:bottom w:val="none" w:sz="0" w:space="0" w:color="auto"/>
                    <w:right w:val="none" w:sz="0" w:space="0" w:color="auto"/>
                  </w:divBdr>
                  <w:divsChild>
                    <w:div w:id="1282178972">
                      <w:marLeft w:val="0"/>
                      <w:marRight w:val="0"/>
                      <w:marTop w:val="0"/>
                      <w:marBottom w:val="0"/>
                      <w:divBdr>
                        <w:top w:val="none" w:sz="0" w:space="0" w:color="auto"/>
                        <w:left w:val="none" w:sz="0" w:space="0" w:color="auto"/>
                        <w:bottom w:val="none" w:sz="0" w:space="0" w:color="auto"/>
                        <w:right w:val="none" w:sz="0" w:space="0" w:color="auto"/>
                      </w:divBdr>
                    </w:div>
                  </w:divsChild>
                </w:div>
                <w:div w:id="877426933">
                  <w:marLeft w:val="0"/>
                  <w:marRight w:val="0"/>
                  <w:marTop w:val="0"/>
                  <w:marBottom w:val="0"/>
                  <w:divBdr>
                    <w:top w:val="none" w:sz="0" w:space="0" w:color="auto"/>
                    <w:left w:val="none" w:sz="0" w:space="0" w:color="auto"/>
                    <w:bottom w:val="none" w:sz="0" w:space="0" w:color="auto"/>
                    <w:right w:val="none" w:sz="0" w:space="0" w:color="auto"/>
                  </w:divBdr>
                  <w:divsChild>
                    <w:div w:id="1877963578">
                      <w:marLeft w:val="0"/>
                      <w:marRight w:val="0"/>
                      <w:marTop w:val="0"/>
                      <w:marBottom w:val="0"/>
                      <w:divBdr>
                        <w:top w:val="none" w:sz="0" w:space="0" w:color="auto"/>
                        <w:left w:val="none" w:sz="0" w:space="0" w:color="auto"/>
                        <w:bottom w:val="none" w:sz="0" w:space="0" w:color="auto"/>
                        <w:right w:val="none" w:sz="0" w:space="0" w:color="auto"/>
                      </w:divBdr>
                    </w:div>
                  </w:divsChild>
                </w:div>
                <w:div w:id="878665794">
                  <w:marLeft w:val="0"/>
                  <w:marRight w:val="0"/>
                  <w:marTop w:val="0"/>
                  <w:marBottom w:val="0"/>
                  <w:divBdr>
                    <w:top w:val="none" w:sz="0" w:space="0" w:color="auto"/>
                    <w:left w:val="none" w:sz="0" w:space="0" w:color="auto"/>
                    <w:bottom w:val="none" w:sz="0" w:space="0" w:color="auto"/>
                    <w:right w:val="none" w:sz="0" w:space="0" w:color="auto"/>
                  </w:divBdr>
                  <w:divsChild>
                    <w:div w:id="1921712203">
                      <w:marLeft w:val="0"/>
                      <w:marRight w:val="0"/>
                      <w:marTop w:val="0"/>
                      <w:marBottom w:val="0"/>
                      <w:divBdr>
                        <w:top w:val="none" w:sz="0" w:space="0" w:color="auto"/>
                        <w:left w:val="none" w:sz="0" w:space="0" w:color="auto"/>
                        <w:bottom w:val="none" w:sz="0" w:space="0" w:color="auto"/>
                        <w:right w:val="none" w:sz="0" w:space="0" w:color="auto"/>
                      </w:divBdr>
                    </w:div>
                  </w:divsChild>
                </w:div>
                <w:div w:id="1026907856">
                  <w:marLeft w:val="0"/>
                  <w:marRight w:val="0"/>
                  <w:marTop w:val="0"/>
                  <w:marBottom w:val="0"/>
                  <w:divBdr>
                    <w:top w:val="none" w:sz="0" w:space="0" w:color="auto"/>
                    <w:left w:val="none" w:sz="0" w:space="0" w:color="auto"/>
                    <w:bottom w:val="none" w:sz="0" w:space="0" w:color="auto"/>
                    <w:right w:val="none" w:sz="0" w:space="0" w:color="auto"/>
                  </w:divBdr>
                  <w:divsChild>
                    <w:div w:id="675230822">
                      <w:marLeft w:val="0"/>
                      <w:marRight w:val="0"/>
                      <w:marTop w:val="0"/>
                      <w:marBottom w:val="0"/>
                      <w:divBdr>
                        <w:top w:val="none" w:sz="0" w:space="0" w:color="auto"/>
                        <w:left w:val="none" w:sz="0" w:space="0" w:color="auto"/>
                        <w:bottom w:val="none" w:sz="0" w:space="0" w:color="auto"/>
                        <w:right w:val="none" w:sz="0" w:space="0" w:color="auto"/>
                      </w:divBdr>
                    </w:div>
                  </w:divsChild>
                </w:div>
                <w:div w:id="1064639517">
                  <w:marLeft w:val="0"/>
                  <w:marRight w:val="0"/>
                  <w:marTop w:val="0"/>
                  <w:marBottom w:val="0"/>
                  <w:divBdr>
                    <w:top w:val="none" w:sz="0" w:space="0" w:color="auto"/>
                    <w:left w:val="none" w:sz="0" w:space="0" w:color="auto"/>
                    <w:bottom w:val="none" w:sz="0" w:space="0" w:color="auto"/>
                    <w:right w:val="none" w:sz="0" w:space="0" w:color="auto"/>
                  </w:divBdr>
                  <w:divsChild>
                    <w:div w:id="1383289263">
                      <w:marLeft w:val="0"/>
                      <w:marRight w:val="0"/>
                      <w:marTop w:val="0"/>
                      <w:marBottom w:val="0"/>
                      <w:divBdr>
                        <w:top w:val="none" w:sz="0" w:space="0" w:color="auto"/>
                        <w:left w:val="none" w:sz="0" w:space="0" w:color="auto"/>
                        <w:bottom w:val="none" w:sz="0" w:space="0" w:color="auto"/>
                        <w:right w:val="none" w:sz="0" w:space="0" w:color="auto"/>
                      </w:divBdr>
                    </w:div>
                  </w:divsChild>
                </w:div>
                <w:div w:id="1077170699">
                  <w:marLeft w:val="0"/>
                  <w:marRight w:val="0"/>
                  <w:marTop w:val="0"/>
                  <w:marBottom w:val="0"/>
                  <w:divBdr>
                    <w:top w:val="none" w:sz="0" w:space="0" w:color="auto"/>
                    <w:left w:val="none" w:sz="0" w:space="0" w:color="auto"/>
                    <w:bottom w:val="none" w:sz="0" w:space="0" w:color="auto"/>
                    <w:right w:val="none" w:sz="0" w:space="0" w:color="auto"/>
                  </w:divBdr>
                  <w:divsChild>
                    <w:div w:id="1756124227">
                      <w:marLeft w:val="0"/>
                      <w:marRight w:val="0"/>
                      <w:marTop w:val="0"/>
                      <w:marBottom w:val="0"/>
                      <w:divBdr>
                        <w:top w:val="none" w:sz="0" w:space="0" w:color="auto"/>
                        <w:left w:val="none" w:sz="0" w:space="0" w:color="auto"/>
                        <w:bottom w:val="none" w:sz="0" w:space="0" w:color="auto"/>
                        <w:right w:val="none" w:sz="0" w:space="0" w:color="auto"/>
                      </w:divBdr>
                    </w:div>
                  </w:divsChild>
                </w:div>
                <w:div w:id="1136682730">
                  <w:marLeft w:val="0"/>
                  <w:marRight w:val="0"/>
                  <w:marTop w:val="0"/>
                  <w:marBottom w:val="0"/>
                  <w:divBdr>
                    <w:top w:val="none" w:sz="0" w:space="0" w:color="auto"/>
                    <w:left w:val="none" w:sz="0" w:space="0" w:color="auto"/>
                    <w:bottom w:val="none" w:sz="0" w:space="0" w:color="auto"/>
                    <w:right w:val="none" w:sz="0" w:space="0" w:color="auto"/>
                  </w:divBdr>
                  <w:divsChild>
                    <w:div w:id="33624454">
                      <w:marLeft w:val="0"/>
                      <w:marRight w:val="0"/>
                      <w:marTop w:val="0"/>
                      <w:marBottom w:val="0"/>
                      <w:divBdr>
                        <w:top w:val="none" w:sz="0" w:space="0" w:color="auto"/>
                        <w:left w:val="none" w:sz="0" w:space="0" w:color="auto"/>
                        <w:bottom w:val="none" w:sz="0" w:space="0" w:color="auto"/>
                        <w:right w:val="none" w:sz="0" w:space="0" w:color="auto"/>
                      </w:divBdr>
                    </w:div>
                  </w:divsChild>
                </w:div>
                <w:div w:id="1153840246">
                  <w:marLeft w:val="0"/>
                  <w:marRight w:val="0"/>
                  <w:marTop w:val="0"/>
                  <w:marBottom w:val="0"/>
                  <w:divBdr>
                    <w:top w:val="none" w:sz="0" w:space="0" w:color="auto"/>
                    <w:left w:val="none" w:sz="0" w:space="0" w:color="auto"/>
                    <w:bottom w:val="none" w:sz="0" w:space="0" w:color="auto"/>
                    <w:right w:val="none" w:sz="0" w:space="0" w:color="auto"/>
                  </w:divBdr>
                  <w:divsChild>
                    <w:div w:id="1893760731">
                      <w:marLeft w:val="0"/>
                      <w:marRight w:val="0"/>
                      <w:marTop w:val="0"/>
                      <w:marBottom w:val="0"/>
                      <w:divBdr>
                        <w:top w:val="none" w:sz="0" w:space="0" w:color="auto"/>
                        <w:left w:val="none" w:sz="0" w:space="0" w:color="auto"/>
                        <w:bottom w:val="none" w:sz="0" w:space="0" w:color="auto"/>
                        <w:right w:val="none" w:sz="0" w:space="0" w:color="auto"/>
                      </w:divBdr>
                    </w:div>
                  </w:divsChild>
                </w:div>
                <w:div w:id="1189222770">
                  <w:marLeft w:val="0"/>
                  <w:marRight w:val="0"/>
                  <w:marTop w:val="0"/>
                  <w:marBottom w:val="0"/>
                  <w:divBdr>
                    <w:top w:val="none" w:sz="0" w:space="0" w:color="auto"/>
                    <w:left w:val="none" w:sz="0" w:space="0" w:color="auto"/>
                    <w:bottom w:val="none" w:sz="0" w:space="0" w:color="auto"/>
                    <w:right w:val="none" w:sz="0" w:space="0" w:color="auto"/>
                  </w:divBdr>
                  <w:divsChild>
                    <w:div w:id="1021054772">
                      <w:marLeft w:val="0"/>
                      <w:marRight w:val="0"/>
                      <w:marTop w:val="0"/>
                      <w:marBottom w:val="0"/>
                      <w:divBdr>
                        <w:top w:val="none" w:sz="0" w:space="0" w:color="auto"/>
                        <w:left w:val="none" w:sz="0" w:space="0" w:color="auto"/>
                        <w:bottom w:val="none" w:sz="0" w:space="0" w:color="auto"/>
                        <w:right w:val="none" w:sz="0" w:space="0" w:color="auto"/>
                      </w:divBdr>
                    </w:div>
                  </w:divsChild>
                </w:div>
                <w:div w:id="1194732322">
                  <w:marLeft w:val="0"/>
                  <w:marRight w:val="0"/>
                  <w:marTop w:val="0"/>
                  <w:marBottom w:val="0"/>
                  <w:divBdr>
                    <w:top w:val="none" w:sz="0" w:space="0" w:color="auto"/>
                    <w:left w:val="none" w:sz="0" w:space="0" w:color="auto"/>
                    <w:bottom w:val="none" w:sz="0" w:space="0" w:color="auto"/>
                    <w:right w:val="none" w:sz="0" w:space="0" w:color="auto"/>
                  </w:divBdr>
                  <w:divsChild>
                    <w:div w:id="288169354">
                      <w:marLeft w:val="0"/>
                      <w:marRight w:val="0"/>
                      <w:marTop w:val="0"/>
                      <w:marBottom w:val="0"/>
                      <w:divBdr>
                        <w:top w:val="none" w:sz="0" w:space="0" w:color="auto"/>
                        <w:left w:val="none" w:sz="0" w:space="0" w:color="auto"/>
                        <w:bottom w:val="none" w:sz="0" w:space="0" w:color="auto"/>
                        <w:right w:val="none" w:sz="0" w:space="0" w:color="auto"/>
                      </w:divBdr>
                    </w:div>
                  </w:divsChild>
                </w:div>
                <w:div w:id="1216045570">
                  <w:marLeft w:val="0"/>
                  <w:marRight w:val="0"/>
                  <w:marTop w:val="0"/>
                  <w:marBottom w:val="0"/>
                  <w:divBdr>
                    <w:top w:val="none" w:sz="0" w:space="0" w:color="auto"/>
                    <w:left w:val="none" w:sz="0" w:space="0" w:color="auto"/>
                    <w:bottom w:val="none" w:sz="0" w:space="0" w:color="auto"/>
                    <w:right w:val="none" w:sz="0" w:space="0" w:color="auto"/>
                  </w:divBdr>
                  <w:divsChild>
                    <w:div w:id="544374378">
                      <w:marLeft w:val="0"/>
                      <w:marRight w:val="0"/>
                      <w:marTop w:val="0"/>
                      <w:marBottom w:val="0"/>
                      <w:divBdr>
                        <w:top w:val="none" w:sz="0" w:space="0" w:color="auto"/>
                        <w:left w:val="none" w:sz="0" w:space="0" w:color="auto"/>
                        <w:bottom w:val="none" w:sz="0" w:space="0" w:color="auto"/>
                        <w:right w:val="none" w:sz="0" w:space="0" w:color="auto"/>
                      </w:divBdr>
                    </w:div>
                  </w:divsChild>
                </w:div>
                <w:div w:id="1232889600">
                  <w:marLeft w:val="0"/>
                  <w:marRight w:val="0"/>
                  <w:marTop w:val="0"/>
                  <w:marBottom w:val="0"/>
                  <w:divBdr>
                    <w:top w:val="none" w:sz="0" w:space="0" w:color="auto"/>
                    <w:left w:val="none" w:sz="0" w:space="0" w:color="auto"/>
                    <w:bottom w:val="none" w:sz="0" w:space="0" w:color="auto"/>
                    <w:right w:val="none" w:sz="0" w:space="0" w:color="auto"/>
                  </w:divBdr>
                  <w:divsChild>
                    <w:div w:id="664556031">
                      <w:marLeft w:val="0"/>
                      <w:marRight w:val="0"/>
                      <w:marTop w:val="0"/>
                      <w:marBottom w:val="0"/>
                      <w:divBdr>
                        <w:top w:val="none" w:sz="0" w:space="0" w:color="auto"/>
                        <w:left w:val="none" w:sz="0" w:space="0" w:color="auto"/>
                        <w:bottom w:val="none" w:sz="0" w:space="0" w:color="auto"/>
                        <w:right w:val="none" w:sz="0" w:space="0" w:color="auto"/>
                      </w:divBdr>
                    </w:div>
                  </w:divsChild>
                </w:div>
                <w:div w:id="1385332387">
                  <w:marLeft w:val="0"/>
                  <w:marRight w:val="0"/>
                  <w:marTop w:val="0"/>
                  <w:marBottom w:val="0"/>
                  <w:divBdr>
                    <w:top w:val="none" w:sz="0" w:space="0" w:color="auto"/>
                    <w:left w:val="none" w:sz="0" w:space="0" w:color="auto"/>
                    <w:bottom w:val="none" w:sz="0" w:space="0" w:color="auto"/>
                    <w:right w:val="none" w:sz="0" w:space="0" w:color="auto"/>
                  </w:divBdr>
                  <w:divsChild>
                    <w:div w:id="567963344">
                      <w:marLeft w:val="0"/>
                      <w:marRight w:val="0"/>
                      <w:marTop w:val="0"/>
                      <w:marBottom w:val="0"/>
                      <w:divBdr>
                        <w:top w:val="none" w:sz="0" w:space="0" w:color="auto"/>
                        <w:left w:val="none" w:sz="0" w:space="0" w:color="auto"/>
                        <w:bottom w:val="none" w:sz="0" w:space="0" w:color="auto"/>
                        <w:right w:val="none" w:sz="0" w:space="0" w:color="auto"/>
                      </w:divBdr>
                    </w:div>
                  </w:divsChild>
                </w:div>
                <w:div w:id="1406024745">
                  <w:marLeft w:val="0"/>
                  <w:marRight w:val="0"/>
                  <w:marTop w:val="0"/>
                  <w:marBottom w:val="0"/>
                  <w:divBdr>
                    <w:top w:val="none" w:sz="0" w:space="0" w:color="auto"/>
                    <w:left w:val="none" w:sz="0" w:space="0" w:color="auto"/>
                    <w:bottom w:val="none" w:sz="0" w:space="0" w:color="auto"/>
                    <w:right w:val="none" w:sz="0" w:space="0" w:color="auto"/>
                  </w:divBdr>
                  <w:divsChild>
                    <w:div w:id="48578660">
                      <w:marLeft w:val="0"/>
                      <w:marRight w:val="0"/>
                      <w:marTop w:val="0"/>
                      <w:marBottom w:val="0"/>
                      <w:divBdr>
                        <w:top w:val="none" w:sz="0" w:space="0" w:color="auto"/>
                        <w:left w:val="none" w:sz="0" w:space="0" w:color="auto"/>
                        <w:bottom w:val="none" w:sz="0" w:space="0" w:color="auto"/>
                        <w:right w:val="none" w:sz="0" w:space="0" w:color="auto"/>
                      </w:divBdr>
                    </w:div>
                  </w:divsChild>
                </w:div>
                <w:div w:id="1435980394">
                  <w:marLeft w:val="0"/>
                  <w:marRight w:val="0"/>
                  <w:marTop w:val="0"/>
                  <w:marBottom w:val="0"/>
                  <w:divBdr>
                    <w:top w:val="none" w:sz="0" w:space="0" w:color="auto"/>
                    <w:left w:val="none" w:sz="0" w:space="0" w:color="auto"/>
                    <w:bottom w:val="none" w:sz="0" w:space="0" w:color="auto"/>
                    <w:right w:val="none" w:sz="0" w:space="0" w:color="auto"/>
                  </w:divBdr>
                  <w:divsChild>
                    <w:div w:id="147403875">
                      <w:marLeft w:val="0"/>
                      <w:marRight w:val="0"/>
                      <w:marTop w:val="0"/>
                      <w:marBottom w:val="0"/>
                      <w:divBdr>
                        <w:top w:val="none" w:sz="0" w:space="0" w:color="auto"/>
                        <w:left w:val="none" w:sz="0" w:space="0" w:color="auto"/>
                        <w:bottom w:val="none" w:sz="0" w:space="0" w:color="auto"/>
                        <w:right w:val="none" w:sz="0" w:space="0" w:color="auto"/>
                      </w:divBdr>
                    </w:div>
                  </w:divsChild>
                </w:div>
                <w:div w:id="1446121516">
                  <w:marLeft w:val="0"/>
                  <w:marRight w:val="0"/>
                  <w:marTop w:val="0"/>
                  <w:marBottom w:val="0"/>
                  <w:divBdr>
                    <w:top w:val="none" w:sz="0" w:space="0" w:color="auto"/>
                    <w:left w:val="none" w:sz="0" w:space="0" w:color="auto"/>
                    <w:bottom w:val="none" w:sz="0" w:space="0" w:color="auto"/>
                    <w:right w:val="none" w:sz="0" w:space="0" w:color="auto"/>
                  </w:divBdr>
                  <w:divsChild>
                    <w:div w:id="1270746178">
                      <w:marLeft w:val="0"/>
                      <w:marRight w:val="0"/>
                      <w:marTop w:val="0"/>
                      <w:marBottom w:val="0"/>
                      <w:divBdr>
                        <w:top w:val="none" w:sz="0" w:space="0" w:color="auto"/>
                        <w:left w:val="none" w:sz="0" w:space="0" w:color="auto"/>
                        <w:bottom w:val="none" w:sz="0" w:space="0" w:color="auto"/>
                        <w:right w:val="none" w:sz="0" w:space="0" w:color="auto"/>
                      </w:divBdr>
                    </w:div>
                  </w:divsChild>
                </w:div>
                <w:div w:id="1447306430">
                  <w:marLeft w:val="0"/>
                  <w:marRight w:val="0"/>
                  <w:marTop w:val="0"/>
                  <w:marBottom w:val="0"/>
                  <w:divBdr>
                    <w:top w:val="none" w:sz="0" w:space="0" w:color="auto"/>
                    <w:left w:val="none" w:sz="0" w:space="0" w:color="auto"/>
                    <w:bottom w:val="none" w:sz="0" w:space="0" w:color="auto"/>
                    <w:right w:val="none" w:sz="0" w:space="0" w:color="auto"/>
                  </w:divBdr>
                  <w:divsChild>
                    <w:div w:id="1384406498">
                      <w:marLeft w:val="0"/>
                      <w:marRight w:val="0"/>
                      <w:marTop w:val="0"/>
                      <w:marBottom w:val="0"/>
                      <w:divBdr>
                        <w:top w:val="none" w:sz="0" w:space="0" w:color="auto"/>
                        <w:left w:val="none" w:sz="0" w:space="0" w:color="auto"/>
                        <w:bottom w:val="none" w:sz="0" w:space="0" w:color="auto"/>
                        <w:right w:val="none" w:sz="0" w:space="0" w:color="auto"/>
                      </w:divBdr>
                    </w:div>
                  </w:divsChild>
                </w:div>
                <w:div w:id="1506282118">
                  <w:marLeft w:val="0"/>
                  <w:marRight w:val="0"/>
                  <w:marTop w:val="0"/>
                  <w:marBottom w:val="0"/>
                  <w:divBdr>
                    <w:top w:val="none" w:sz="0" w:space="0" w:color="auto"/>
                    <w:left w:val="none" w:sz="0" w:space="0" w:color="auto"/>
                    <w:bottom w:val="none" w:sz="0" w:space="0" w:color="auto"/>
                    <w:right w:val="none" w:sz="0" w:space="0" w:color="auto"/>
                  </w:divBdr>
                  <w:divsChild>
                    <w:div w:id="1703824208">
                      <w:marLeft w:val="0"/>
                      <w:marRight w:val="0"/>
                      <w:marTop w:val="0"/>
                      <w:marBottom w:val="0"/>
                      <w:divBdr>
                        <w:top w:val="none" w:sz="0" w:space="0" w:color="auto"/>
                        <w:left w:val="none" w:sz="0" w:space="0" w:color="auto"/>
                        <w:bottom w:val="none" w:sz="0" w:space="0" w:color="auto"/>
                        <w:right w:val="none" w:sz="0" w:space="0" w:color="auto"/>
                      </w:divBdr>
                    </w:div>
                  </w:divsChild>
                </w:div>
                <w:div w:id="1527018398">
                  <w:marLeft w:val="0"/>
                  <w:marRight w:val="0"/>
                  <w:marTop w:val="0"/>
                  <w:marBottom w:val="0"/>
                  <w:divBdr>
                    <w:top w:val="none" w:sz="0" w:space="0" w:color="auto"/>
                    <w:left w:val="none" w:sz="0" w:space="0" w:color="auto"/>
                    <w:bottom w:val="none" w:sz="0" w:space="0" w:color="auto"/>
                    <w:right w:val="none" w:sz="0" w:space="0" w:color="auto"/>
                  </w:divBdr>
                  <w:divsChild>
                    <w:div w:id="69692723">
                      <w:marLeft w:val="0"/>
                      <w:marRight w:val="0"/>
                      <w:marTop w:val="0"/>
                      <w:marBottom w:val="0"/>
                      <w:divBdr>
                        <w:top w:val="none" w:sz="0" w:space="0" w:color="auto"/>
                        <w:left w:val="none" w:sz="0" w:space="0" w:color="auto"/>
                        <w:bottom w:val="none" w:sz="0" w:space="0" w:color="auto"/>
                        <w:right w:val="none" w:sz="0" w:space="0" w:color="auto"/>
                      </w:divBdr>
                    </w:div>
                  </w:divsChild>
                </w:div>
                <w:div w:id="1568757273">
                  <w:marLeft w:val="0"/>
                  <w:marRight w:val="0"/>
                  <w:marTop w:val="0"/>
                  <w:marBottom w:val="0"/>
                  <w:divBdr>
                    <w:top w:val="none" w:sz="0" w:space="0" w:color="auto"/>
                    <w:left w:val="none" w:sz="0" w:space="0" w:color="auto"/>
                    <w:bottom w:val="none" w:sz="0" w:space="0" w:color="auto"/>
                    <w:right w:val="none" w:sz="0" w:space="0" w:color="auto"/>
                  </w:divBdr>
                  <w:divsChild>
                    <w:div w:id="1286884296">
                      <w:marLeft w:val="0"/>
                      <w:marRight w:val="0"/>
                      <w:marTop w:val="0"/>
                      <w:marBottom w:val="0"/>
                      <w:divBdr>
                        <w:top w:val="none" w:sz="0" w:space="0" w:color="auto"/>
                        <w:left w:val="none" w:sz="0" w:space="0" w:color="auto"/>
                        <w:bottom w:val="none" w:sz="0" w:space="0" w:color="auto"/>
                        <w:right w:val="none" w:sz="0" w:space="0" w:color="auto"/>
                      </w:divBdr>
                    </w:div>
                  </w:divsChild>
                </w:div>
                <w:div w:id="1579633382">
                  <w:marLeft w:val="0"/>
                  <w:marRight w:val="0"/>
                  <w:marTop w:val="0"/>
                  <w:marBottom w:val="0"/>
                  <w:divBdr>
                    <w:top w:val="none" w:sz="0" w:space="0" w:color="auto"/>
                    <w:left w:val="none" w:sz="0" w:space="0" w:color="auto"/>
                    <w:bottom w:val="none" w:sz="0" w:space="0" w:color="auto"/>
                    <w:right w:val="none" w:sz="0" w:space="0" w:color="auto"/>
                  </w:divBdr>
                  <w:divsChild>
                    <w:div w:id="160508086">
                      <w:marLeft w:val="0"/>
                      <w:marRight w:val="0"/>
                      <w:marTop w:val="0"/>
                      <w:marBottom w:val="0"/>
                      <w:divBdr>
                        <w:top w:val="none" w:sz="0" w:space="0" w:color="auto"/>
                        <w:left w:val="none" w:sz="0" w:space="0" w:color="auto"/>
                        <w:bottom w:val="none" w:sz="0" w:space="0" w:color="auto"/>
                        <w:right w:val="none" w:sz="0" w:space="0" w:color="auto"/>
                      </w:divBdr>
                    </w:div>
                  </w:divsChild>
                </w:div>
                <w:div w:id="1610772198">
                  <w:marLeft w:val="0"/>
                  <w:marRight w:val="0"/>
                  <w:marTop w:val="0"/>
                  <w:marBottom w:val="0"/>
                  <w:divBdr>
                    <w:top w:val="none" w:sz="0" w:space="0" w:color="auto"/>
                    <w:left w:val="none" w:sz="0" w:space="0" w:color="auto"/>
                    <w:bottom w:val="none" w:sz="0" w:space="0" w:color="auto"/>
                    <w:right w:val="none" w:sz="0" w:space="0" w:color="auto"/>
                  </w:divBdr>
                  <w:divsChild>
                    <w:div w:id="1097795884">
                      <w:marLeft w:val="0"/>
                      <w:marRight w:val="0"/>
                      <w:marTop w:val="0"/>
                      <w:marBottom w:val="0"/>
                      <w:divBdr>
                        <w:top w:val="none" w:sz="0" w:space="0" w:color="auto"/>
                        <w:left w:val="none" w:sz="0" w:space="0" w:color="auto"/>
                        <w:bottom w:val="none" w:sz="0" w:space="0" w:color="auto"/>
                        <w:right w:val="none" w:sz="0" w:space="0" w:color="auto"/>
                      </w:divBdr>
                    </w:div>
                  </w:divsChild>
                </w:div>
                <w:div w:id="1618755667">
                  <w:marLeft w:val="0"/>
                  <w:marRight w:val="0"/>
                  <w:marTop w:val="0"/>
                  <w:marBottom w:val="0"/>
                  <w:divBdr>
                    <w:top w:val="none" w:sz="0" w:space="0" w:color="auto"/>
                    <w:left w:val="none" w:sz="0" w:space="0" w:color="auto"/>
                    <w:bottom w:val="none" w:sz="0" w:space="0" w:color="auto"/>
                    <w:right w:val="none" w:sz="0" w:space="0" w:color="auto"/>
                  </w:divBdr>
                  <w:divsChild>
                    <w:div w:id="1310482304">
                      <w:marLeft w:val="0"/>
                      <w:marRight w:val="0"/>
                      <w:marTop w:val="0"/>
                      <w:marBottom w:val="0"/>
                      <w:divBdr>
                        <w:top w:val="none" w:sz="0" w:space="0" w:color="auto"/>
                        <w:left w:val="none" w:sz="0" w:space="0" w:color="auto"/>
                        <w:bottom w:val="none" w:sz="0" w:space="0" w:color="auto"/>
                        <w:right w:val="none" w:sz="0" w:space="0" w:color="auto"/>
                      </w:divBdr>
                    </w:div>
                  </w:divsChild>
                </w:div>
                <w:div w:id="1726298212">
                  <w:marLeft w:val="0"/>
                  <w:marRight w:val="0"/>
                  <w:marTop w:val="0"/>
                  <w:marBottom w:val="0"/>
                  <w:divBdr>
                    <w:top w:val="none" w:sz="0" w:space="0" w:color="auto"/>
                    <w:left w:val="none" w:sz="0" w:space="0" w:color="auto"/>
                    <w:bottom w:val="none" w:sz="0" w:space="0" w:color="auto"/>
                    <w:right w:val="none" w:sz="0" w:space="0" w:color="auto"/>
                  </w:divBdr>
                  <w:divsChild>
                    <w:div w:id="1892573774">
                      <w:marLeft w:val="0"/>
                      <w:marRight w:val="0"/>
                      <w:marTop w:val="0"/>
                      <w:marBottom w:val="0"/>
                      <w:divBdr>
                        <w:top w:val="none" w:sz="0" w:space="0" w:color="auto"/>
                        <w:left w:val="none" w:sz="0" w:space="0" w:color="auto"/>
                        <w:bottom w:val="none" w:sz="0" w:space="0" w:color="auto"/>
                        <w:right w:val="none" w:sz="0" w:space="0" w:color="auto"/>
                      </w:divBdr>
                    </w:div>
                  </w:divsChild>
                </w:div>
                <w:div w:id="1823307746">
                  <w:marLeft w:val="0"/>
                  <w:marRight w:val="0"/>
                  <w:marTop w:val="0"/>
                  <w:marBottom w:val="0"/>
                  <w:divBdr>
                    <w:top w:val="none" w:sz="0" w:space="0" w:color="auto"/>
                    <w:left w:val="none" w:sz="0" w:space="0" w:color="auto"/>
                    <w:bottom w:val="none" w:sz="0" w:space="0" w:color="auto"/>
                    <w:right w:val="none" w:sz="0" w:space="0" w:color="auto"/>
                  </w:divBdr>
                  <w:divsChild>
                    <w:div w:id="1139375436">
                      <w:marLeft w:val="0"/>
                      <w:marRight w:val="0"/>
                      <w:marTop w:val="0"/>
                      <w:marBottom w:val="0"/>
                      <w:divBdr>
                        <w:top w:val="none" w:sz="0" w:space="0" w:color="auto"/>
                        <w:left w:val="none" w:sz="0" w:space="0" w:color="auto"/>
                        <w:bottom w:val="none" w:sz="0" w:space="0" w:color="auto"/>
                        <w:right w:val="none" w:sz="0" w:space="0" w:color="auto"/>
                      </w:divBdr>
                    </w:div>
                  </w:divsChild>
                </w:div>
                <w:div w:id="1839691770">
                  <w:marLeft w:val="0"/>
                  <w:marRight w:val="0"/>
                  <w:marTop w:val="0"/>
                  <w:marBottom w:val="0"/>
                  <w:divBdr>
                    <w:top w:val="none" w:sz="0" w:space="0" w:color="auto"/>
                    <w:left w:val="none" w:sz="0" w:space="0" w:color="auto"/>
                    <w:bottom w:val="none" w:sz="0" w:space="0" w:color="auto"/>
                    <w:right w:val="none" w:sz="0" w:space="0" w:color="auto"/>
                  </w:divBdr>
                  <w:divsChild>
                    <w:div w:id="1802722864">
                      <w:marLeft w:val="0"/>
                      <w:marRight w:val="0"/>
                      <w:marTop w:val="0"/>
                      <w:marBottom w:val="0"/>
                      <w:divBdr>
                        <w:top w:val="none" w:sz="0" w:space="0" w:color="auto"/>
                        <w:left w:val="none" w:sz="0" w:space="0" w:color="auto"/>
                        <w:bottom w:val="none" w:sz="0" w:space="0" w:color="auto"/>
                        <w:right w:val="none" w:sz="0" w:space="0" w:color="auto"/>
                      </w:divBdr>
                    </w:div>
                  </w:divsChild>
                </w:div>
                <w:div w:id="1848985253">
                  <w:marLeft w:val="0"/>
                  <w:marRight w:val="0"/>
                  <w:marTop w:val="0"/>
                  <w:marBottom w:val="0"/>
                  <w:divBdr>
                    <w:top w:val="none" w:sz="0" w:space="0" w:color="auto"/>
                    <w:left w:val="none" w:sz="0" w:space="0" w:color="auto"/>
                    <w:bottom w:val="none" w:sz="0" w:space="0" w:color="auto"/>
                    <w:right w:val="none" w:sz="0" w:space="0" w:color="auto"/>
                  </w:divBdr>
                  <w:divsChild>
                    <w:div w:id="1009521942">
                      <w:marLeft w:val="0"/>
                      <w:marRight w:val="0"/>
                      <w:marTop w:val="0"/>
                      <w:marBottom w:val="0"/>
                      <w:divBdr>
                        <w:top w:val="none" w:sz="0" w:space="0" w:color="auto"/>
                        <w:left w:val="none" w:sz="0" w:space="0" w:color="auto"/>
                        <w:bottom w:val="none" w:sz="0" w:space="0" w:color="auto"/>
                        <w:right w:val="none" w:sz="0" w:space="0" w:color="auto"/>
                      </w:divBdr>
                    </w:div>
                  </w:divsChild>
                </w:div>
                <w:div w:id="1858302345">
                  <w:marLeft w:val="0"/>
                  <w:marRight w:val="0"/>
                  <w:marTop w:val="0"/>
                  <w:marBottom w:val="0"/>
                  <w:divBdr>
                    <w:top w:val="none" w:sz="0" w:space="0" w:color="auto"/>
                    <w:left w:val="none" w:sz="0" w:space="0" w:color="auto"/>
                    <w:bottom w:val="none" w:sz="0" w:space="0" w:color="auto"/>
                    <w:right w:val="none" w:sz="0" w:space="0" w:color="auto"/>
                  </w:divBdr>
                  <w:divsChild>
                    <w:div w:id="1556162746">
                      <w:marLeft w:val="0"/>
                      <w:marRight w:val="0"/>
                      <w:marTop w:val="0"/>
                      <w:marBottom w:val="0"/>
                      <w:divBdr>
                        <w:top w:val="none" w:sz="0" w:space="0" w:color="auto"/>
                        <w:left w:val="none" w:sz="0" w:space="0" w:color="auto"/>
                        <w:bottom w:val="none" w:sz="0" w:space="0" w:color="auto"/>
                        <w:right w:val="none" w:sz="0" w:space="0" w:color="auto"/>
                      </w:divBdr>
                    </w:div>
                  </w:divsChild>
                </w:div>
                <w:div w:id="1938363775">
                  <w:marLeft w:val="0"/>
                  <w:marRight w:val="0"/>
                  <w:marTop w:val="0"/>
                  <w:marBottom w:val="0"/>
                  <w:divBdr>
                    <w:top w:val="none" w:sz="0" w:space="0" w:color="auto"/>
                    <w:left w:val="none" w:sz="0" w:space="0" w:color="auto"/>
                    <w:bottom w:val="none" w:sz="0" w:space="0" w:color="auto"/>
                    <w:right w:val="none" w:sz="0" w:space="0" w:color="auto"/>
                  </w:divBdr>
                  <w:divsChild>
                    <w:div w:id="1861770620">
                      <w:marLeft w:val="0"/>
                      <w:marRight w:val="0"/>
                      <w:marTop w:val="0"/>
                      <w:marBottom w:val="0"/>
                      <w:divBdr>
                        <w:top w:val="none" w:sz="0" w:space="0" w:color="auto"/>
                        <w:left w:val="none" w:sz="0" w:space="0" w:color="auto"/>
                        <w:bottom w:val="none" w:sz="0" w:space="0" w:color="auto"/>
                        <w:right w:val="none" w:sz="0" w:space="0" w:color="auto"/>
                      </w:divBdr>
                    </w:div>
                  </w:divsChild>
                </w:div>
                <w:div w:id="1946957447">
                  <w:marLeft w:val="0"/>
                  <w:marRight w:val="0"/>
                  <w:marTop w:val="0"/>
                  <w:marBottom w:val="0"/>
                  <w:divBdr>
                    <w:top w:val="none" w:sz="0" w:space="0" w:color="auto"/>
                    <w:left w:val="none" w:sz="0" w:space="0" w:color="auto"/>
                    <w:bottom w:val="none" w:sz="0" w:space="0" w:color="auto"/>
                    <w:right w:val="none" w:sz="0" w:space="0" w:color="auto"/>
                  </w:divBdr>
                  <w:divsChild>
                    <w:div w:id="822357969">
                      <w:marLeft w:val="0"/>
                      <w:marRight w:val="0"/>
                      <w:marTop w:val="0"/>
                      <w:marBottom w:val="0"/>
                      <w:divBdr>
                        <w:top w:val="none" w:sz="0" w:space="0" w:color="auto"/>
                        <w:left w:val="none" w:sz="0" w:space="0" w:color="auto"/>
                        <w:bottom w:val="none" w:sz="0" w:space="0" w:color="auto"/>
                        <w:right w:val="none" w:sz="0" w:space="0" w:color="auto"/>
                      </w:divBdr>
                    </w:div>
                  </w:divsChild>
                </w:div>
                <w:div w:id="1952276866">
                  <w:marLeft w:val="0"/>
                  <w:marRight w:val="0"/>
                  <w:marTop w:val="0"/>
                  <w:marBottom w:val="0"/>
                  <w:divBdr>
                    <w:top w:val="none" w:sz="0" w:space="0" w:color="auto"/>
                    <w:left w:val="none" w:sz="0" w:space="0" w:color="auto"/>
                    <w:bottom w:val="none" w:sz="0" w:space="0" w:color="auto"/>
                    <w:right w:val="none" w:sz="0" w:space="0" w:color="auto"/>
                  </w:divBdr>
                  <w:divsChild>
                    <w:div w:id="253436406">
                      <w:marLeft w:val="0"/>
                      <w:marRight w:val="0"/>
                      <w:marTop w:val="0"/>
                      <w:marBottom w:val="0"/>
                      <w:divBdr>
                        <w:top w:val="none" w:sz="0" w:space="0" w:color="auto"/>
                        <w:left w:val="none" w:sz="0" w:space="0" w:color="auto"/>
                        <w:bottom w:val="none" w:sz="0" w:space="0" w:color="auto"/>
                        <w:right w:val="none" w:sz="0" w:space="0" w:color="auto"/>
                      </w:divBdr>
                    </w:div>
                  </w:divsChild>
                </w:div>
                <w:div w:id="2027904309">
                  <w:marLeft w:val="0"/>
                  <w:marRight w:val="0"/>
                  <w:marTop w:val="0"/>
                  <w:marBottom w:val="0"/>
                  <w:divBdr>
                    <w:top w:val="none" w:sz="0" w:space="0" w:color="auto"/>
                    <w:left w:val="none" w:sz="0" w:space="0" w:color="auto"/>
                    <w:bottom w:val="none" w:sz="0" w:space="0" w:color="auto"/>
                    <w:right w:val="none" w:sz="0" w:space="0" w:color="auto"/>
                  </w:divBdr>
                  <w:divsChild>
                    <w:div w:id="988483355">
                      <w:marLeft w:val="0"/>
                      <w:marRight w:val="0"/>
                      <w:marTop w:val="0"/>
                      <w:marBottom w:val="0"/>
                      <w:divBdr>
                        <w:top w:val="none" w:sz="0" w:space="0" w:color="auto"/>
                        <w:left w:val="none" w:sz="0" w:space="0" w:color="auto"/>
                        <w:bottom w:val="none" w:sz="0" w:space="0" w:color="auto"/>
                        <w:right w:val="none" w:sz="0" w:space="0" w:color="auto"/>
                      </w:divBdr>
                    </w:div>
                  </w:divsChild>
                </w:div>
                <w:div w:id="2097970458">
                  <w:marLeft w:val="0"/>
                  <w:marRight w:val="0"/>
                  <w:marTop w:val="0"/>
                  <w:marBottom w:val="0"/>
                  <w:divBdr>
                    <w:top w:val="none" w:sz="0" w:space="0" w:color="auto"/>
                    <w:left w:val="none" w:sz="0" w:space="0" w:color="auto"/>
                    <w:bottom w:val="none" w:sz="0" w:space="0" w:color="auto"/>
                    <w:right w:val="none" w:sz="0" w:space="0" w:color="auto"/>
                  </w:divBdr>
                  <w:divsChild>
                    <w:div w:id="1166359983">
                      <w:marLeft w:val="0"/>
                      <w:marRight w:val="0"/>
                      <w:marTop w:val="0"/>
                      <w:marBottom w:val="0"/>
                      <w:divBdr>
                        <w:top w:val="none" w:sz="0" w:space="0" w:color="auto"/>
                        <w:left w:val="none" w:sz="0" w:space="0" w:color="auto"/>
                        <w:bottom w:val="none" w:sz="0" w:space="0" w:color="auto"/>
                        <w:right w:val="none" w:sz="0" w:space="0" w:color="auto"/>
                      </w:divBdr>
                    </w:div>
                  </w:divsChild>
                </w:div>
                <w:div w:id="2124768730">
                  <w:marLeft w:val="0"/>
                  <w:marRight w:val="0"/>
                  <w:marTop w:val="0"/>
                  <w:marBottom w:val="0"/>
                  <w:divBdr>
                    <w:top w:val="none" w:sz="0" w:space="0" w:color="auto"/>
                    <w:left w:val="none" w:sz="0" w:space="0" w:color="auto"/>
                    <w:bottom w:val="none" w:sz="0" w:space="0" w:color="auto"/>
                    <w:right w:val="none" w:sz="0" w:space="0" w:color="auto"/>
                  </w:divBdr>
                  <w:divsChild>
                    <w:div w:id="4536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3338">
          <w:marLeft w:val="0"/>
          <w:marRight w:val="0"/>
          <w:marTop w:val="0"/>
          <w:marBottom w:val="0"/>
          <w:divBdr>
            <w:top w:val="none" w:sz="0" w:space="0" w:color="auto"/>
            <w:left w:val="none" w:sz="0" w:space="0" w:color="auto"/>
            <w:bottom w:val="none" w:sz="0" w:space="0" w:color="auto"/>
            <w:right w:val="none" w:sz="0" w:space="0" w:color="auto"/>
          </w:divBdr>
        </w:div>
      </w:divsChild>
    </w:div>
    <w:div w:id="1809591253">
      <w:bodyDiv w:val="1"/>
      <w:marLeft w:val="0"/>
      <w:marRight w:val="0"/>
      <w:marTop w:val="0"/>
      <w:marBottom w:val="0"/>
      <w:divBdr>
        <w:top w:val="none" w:sz="0" w:space="0" w:color="auto"/>
        <w:left w:val="none" w:sz="0" w:space="0" w:color="auto"/>
        <w:bottom w:val="none" w:sz="0" w:space="0" w:color="auto"/>
        <w:right w:val="none" w:sz="0" w:space="0" w:color="auto"/>
      </w:divBdr>
    </w:div>
    <w:div w:id="1809786742">
      <w:bodyDiv w:val="1"/>
      <w:marLeft w:val="0"/>
      <w:marRight w:val="0"/>
      <w:marTop w:val="0"/>
      <w:marBottom w:val="0"/>
      <w:divBdr>
        <w:top w:val="none" w:sz="0" w:space="0" w:color="auto"/>
        <w:left w:val="none" w:sz="0" w:space="0" w:color="auto"/>
        <w:bottom w:val="none" w:sz="0" w:space="0" w:color="auto"/>
        <w:right w:val="none" w:sz="0" w:space="0" w:color="auto"/>
      </w:divBdr>
    </w:div>
    <w:div w:id="1846096271">
      <w:bodyDiv w:val="1"/>
      <w:marLeft w:val="0"/>
      <w:marRight w:val="0"/>
      <w:marTop w:val="0"/>
      <w:marBottom w:val="0"/>
      <w:divBdr>
        <w:top w:val="none" w:sz="0" w:space="0" w:color="auto"/>
        <w:left w:val="none" w:sz="0" w:space="0" w:color="auto"/>
        <w:bottom w:val="none" w:sz="0" w:space="0" w:color="auto"/>
        <w:right w:val="none" w:sz="0" w:space="0" w:color="auto"/>
      </w:divBdr>
    </w:div>
    <w:div w:id="1873764355">
      <w:bodyDiv w:val="1"/>
      <w:marLeft w:val="0"/>
      <w:marRight w:val="0"/>
      <w:marTop w:val="0"/>
      <w:marBottom w:val="0"/>
      <w:divBdr>
        <w:top w:val="none" w:sz="0" w:space="0" w:color="auto"/>
        <w:left w:val="none" w:sz="0" w:space="0" w:color="auto"/>
        <w:bottom w:val="none" w:sz="0" w:space="0" w:color="auto"/>
        <w:right w:val="none" w:sz="0" w:space="0" w:color="auto"/>
      </w:divBdr>
      <w:divsChild>
        <w:div w:id="89474717">
          <w:marLeft w:val="0"/>
          <w:marRight w:val="0"/>
          <w:marTop w:val="0"/>
          <w:marBottom w:val="0"/>
          <w:divBdr>
            <w:top w:val="none" w:sz="0" w:space="0" w:color="auto"/>
            <w:left w:val="none" w:sz="0" w:space="0" w:color="auto"/>
            <w:bottom w:val="none" w:sz="0" w:space="0" w:color="auto"/>
            <w:right w:val="none" w:sz="0" w:space="0" w:color="auto"/>
          </w:divBdr>
        </w:div>
        <w:div w:id="362093362">
          <w:marLeft w:val="0"/>
          <w:marRight w:val="0"/>
          <w:marTop w:val="0"/>
          <w:marBottom w:val="0"/>
          <w:divBdr>
            <w:top w:val="none" w:sz="0" w:space="0" w:color="auto"/>
            <w:left w:val="none" w:sz="0" w:space="0" w:color="auto"/>
            <w:bottom w:val="none" w:sz="0" w:space="0" w:color="auto"/>
            <w:right w:val="none" w:sz="0" w:space="0" w:color="auto"/>
          </w:divBdr>
        </w:div>
        <w:div w:id="580023752">
          <w:marLeft w:val="0"/>
          <w:marRight w:val="0"/>
          <w:marTop w:val="0"/>
          <w:marBottom w:val="0"/>
          <w:divBdr>
            <w:top w:val="none" w:sz="0" w:space="0" w:color="auto"/>
            <w:left w:val="none" w:sz="0" w:space="0" w:color="auto"/>
            <w:bottom w:val="none" w:sz="0" w:space="0" w:color="auto"/>
            <w:right w:val="none" w:sz="0" w:space="0" w:color="auto"/>
          </w:divBdr>
        </w:div>
        <w:div w:id="688412047">
          <w:marLeft w:val="0"/>
          <w:marRight w:val="0"/>
          <w:marTop w:val="0"/>
          <w:marBottom w:val="0"/>
          <w:divBdr>
            <w:top w:val="none" w:sz="0" w:space="0" w:color="auto"/>
            <w:left w:val="none" w:sz="0" w:space="0" w:color="auto"/>
            <w:bottom w:val="none" w:sz="0" w:space="0" w:color="auto"/>
            <w:right w:val="none" w:sz="0" w:space="0" w:color="auto"/>
          </w:divBdr>
        </w:div>
        <w:div w:id="826091458">
          <w:marLeft w:val="0"/>
          <w:marRight w:val="0"/>
          <w:marTop w:val="0"/>
          <w:marBottom w:val="0"/>
          <w:divBdr>
            <w:top w:val="none" w:sz="0" w:space="0" w:color="auto"/>
            <w:left w:val="none" w:sz="0" w:space="0" w:color="auto"/>
            <w:bottom w:val="none" w:sz="0" w:space="0" w:color="auto"/>
            <w:right w:val="none" w:sz="0" w:space="0" w:color="auto"/>
          </w:divBdr>
        </w:div>
        <w:div w:id="841971691">
          <w:marLeft w:val="0"/>
          <w:marRight w:val="0"/>
          <w:marTop w:val="0"/>
          <w:marBottom w:val="0"/>
          <w:divBdr>
            <w:top w:val="none" w:sz="0" w:space="0" w:color="auto"/>
            <w:left w:val="none" w:sz="0" w:space="0" w:color="auto"/>
            <w:bottom w:val="none" w:sz="0" w:space="0" w:color="auto"/>
            <w:right w:val="none" w:sz="0" w:space="0" w:color="auto"/>
          </w:divBdr>
        </w:div>
        <w:div w:id="884876674">
          <w:marLeft w:val="0"/>
          <w:marRight w:val="0"/>
          <w:marTop w:val="0"/>
          <w:marBottom w:val="0"/>
          <w:divBdr>
            <w:top w:val="none" w:sz="0" w:space="0" w:color="auto"/>
            <w:left w:val="none" w:sz="0" w:space="0" w:color="auto"/>
            <w:bottom w:val="none" w:sz="0" w:space="0" w:color="auto"/>
            <w:right w:val="none" w:sz="0" w:space="0" w:color="auto"/>
          </w:divBdr>
        </w:div>
        <w:div w:id="1065881714">
          <w:marLeft w:val="0"/>
          <w:marRight w:val="0"/>
          <w:marTop w:val="0"/>
          <w:marBottom w:val="0"/>
          <w:divBdr>
            <w:top w:val="none" w:sz="0" w:space="0" w:color="auto"/>
            <w:left w:val="none" w:sz="0" w:space="0" w:color="auto"/>
            <w:bottom w:val="none" w:sz="0" w:space="0" w:color="auto"/>
            <w:right w:val="none" w:sz="0" w:space="0" w:color="auto"/>
          </w:divBdr>
        </w:div>
        <w:div w:id="1101485332">
          <w:marLeft w:val="0"/>
          <w:marRight w:val="0"/>
          <w:marTop w:val="0"/>
          <w:marBottom w:val="0"/>
          <w:divBdr>
            <w:top w:val="none" w:sz="0" w:space="0" w:color="auto"/>
            <w:left w:val="none" w:sz="0" w:space="0" w:color="auto"/>
            <w:bottom w:val="none" w:sz="0" w:space="0" w:color="auto"/>
            <w:right w:val="none" w:sz="0" w:space="0" w:color="auto"/>
          </w:divBdr>
        </w:div>
        <w:div w:id="1256473271">
          <w:marLeft w:val="0"/>
          <w:marRight w:val="0"/>
          <w:marTop w:val="0"/>
          <w:marBottom w:val="0"/>
          <w:divBdr>
            <w:top w:val="none" w:sz="0" w:space="0" w:color="auto"/>
            <w:left w:val="none" w:sz="0" w:space="0" w:color="auto"/>
            <w:bottom w:val="none" w:sz="0" w:space="0" w:color="auto"/>
            <w:right w:val="none" w:sz="0" w:space="0" w:color="auto"/>
          </w:divBdr>
        </w:div>
        <w:div w:id="1701591631">
          <w:marLeft w:val="0"/>
          <w:marRight w:val="0"/>
          <w:marTop w:val="0"/>
          <w:marBottom w:val="0"/>
          <w:divBdr>
            <w:top w:val="none" w:sz="0" w:space="0" w:color="auto"/>
            <w:left w:val="none" w:sz="0" w:space="0" w:color="auto"/>
            <w:bottom w:val="none" w:sz="0" w:space="0" w:color="auto"/>
            <w:right w:val="none" w:sz="0" w:space="0" w:color="auto"/>
          </w:divBdr>
        </w:div>
        <w:div w:id="1907832565">
          <w:marLeft w:val="0"/>
          <w:marRight w:val="0"/>
          <w:marTop w:val="0"/>
          <w:marBottom w:val="0"/>
          <w:divBdr>
            <w:top w:val="none" w:sz="0" w:space="0" w:color="auto"/>
            <w:left w:val="none" w:sz="0" w:space="0" w:color="auto"/>
            <w:bottom w:val="none" w:sz="0" w:space="0" w:color="auto"/>
            <w:right w:val="none" w:sz="0" w:space="0" w:color="auto"/>
          </w:divBdr>
        </w:div>
        <w:div w:id="1951743464">
          <w:marLeft w:val="0"/>
          <w:marRight w:val="0"/>
          <w:marTop w:val="0"/>
          <w:marBottom w:val="0"/>
          <w:divBdr>
            <w:top w:val="none" w:sz="0" w:space="0" w:color="auto"/>
            <w:left w:val="none" w:sz="0" w:space="0" w:color="auto"/>
            <w:bottom w:val="none" w:sz="0" w:space="0" w:color="auto"/>
            <w:right w:val="none" w:sz="0" w:space="0" w:color="auto"/>
          </w:divBdr>
        </w:div>
        <w:div w:id="1973173000">
          <w:marLeft w:val="0"/>
          <w:marRight w:val="0"/>
          <w:marTop w:val="0"/>
          <w:marBottom w:val="0"/>
          <w:divBdr>
            <w:top w:val="none" w:sz="0" w:space="0" w:color="auto"/>
            <w:left w:val="none" w:sz="0" w:space="0" w:color="auto"/>
            <w:bottom w:val="none" w:sz="0" w:space="0" w:color="auto"/>
            <w:right w:val="none" w:sz="0" w:space="0" w:color="auto"/>
          </w:divBdr>
        </w:div>
        <w:div w:id="2072343038">
          <w:marLeft w:val="0"/>
          <w:marRight w:val="0"/>
          <w:marTop w:val="0"/>
          <w:marBottom w:val="0"/>
          <w:divBdr>
            <w:top w:val="none" w:sz="0" w:space="0" w:color="auto"/>
            <w:left w:val="none" w:sz="0" w:space="0" w:color="auto"/>
            <w:bottom w:val="none" w:sz="0" w:space="0" w:color="auto"/>
            <w:right w:val="none" w:sz="0" w:space="0" w:color="auto"/>
          </w:divBdr>
        </w:div>
      </w:divsChild>
    </w:div>
    <w:div w:id="1873879820">
      <w:bodyDiv w:val="1"/>
      <w:marLeft w:val="0"/>
      <w:marRight w:val="0"/>
      <w:marTop w:val="0"/>
      <w:marBottom w:val="0"/>
      <w:divBdr>
        <w:top w:val="none" w:sz="0" w:space="0" w:color="auto"/>
        <w:left w:val="none" w:sz="0" w:space="0" w:color="auto"/>
        <w:bottom w:val="none" w:sz="0" w:space="0" w:color="auto"/>
        <w:right w:val="none" w:sz="0" w:space="0" w:color="auto"/>
      </w:divBdr>
    </w:div>
    <w:div w:id="1875001117">
      <w:bodyDiv w:val="1"/>
      <w:marLeft w:val="0"/>
      <w:marRight w:val="0"/>
      <w:marTop w:val="0"/>
      <w:marBottom w:val="0"/>
      <w:divBdr>
        <w:top w:val="none" w:sz="0" w:space="0" w:color="auto"/>
        <w:left w:val="none" w:sz="0" w:space="0" w:color="auto"/>
        <w:bottom w:val="none" w:sz="0" w:space="0" w:color="auto"/>
        <w:right w:val="none" w:sz="0" w:space="0" w:color="auto"/>
      </w:divBdr>
    </w:div>
    <w:div w:id="1936861415">
      <w:bodyDiv w:val="1"/>
      <w:marLeft w:val="0"/>
      <w:marRight w:val="0"/>
      <w:marTop w:val="0"/>
      <w:marBottom w:val="0"/>
      <w:divBdr>
        <w:top w:val="none" w:sz="0" w:space="0" w:color="auto"/>
        <w:left w:val="none" w:sz="0" w:space="0" w:color="auto"/>
        <w:bottom w:val="none" w:sz="0" w:space="0" w:color="auto"/>
        <w:right w:val="none" w:sz="0" w:space="0" w:color="auto"/>
      </w:divBdr>
    </w:div>
    <w:div w:id="1950891155">
      <w:bodyDiv w:val="1"/>
      <w:marLeft w:val="0"/>
      <w:marRight w:val="0"/>
      <w:marTop w:val="0"/>
      <w:marBottom w:val="0"/>
      <w:divBdr>
        <w:top w:val="none" w:sz="0" w:space="0" w:color="auto"/>
        <w:left w:val="none" w:sz="0" w:space="0" w:color="auto"/>
        <w:bottom w:val="none" w:sz="0" w:space="0" w:color="auto"/>
        <w:right w:val="none" w:sz="0" w:space="0" w:color="auto"/>
      </w:divBdr>
    </w:div>
    <w:div w:id="1955867676">
      <w:bodyDiv w:val="1"/>
      <w:marLeft w:val="0"/>
      <w:marRight w:val="0"/>
      <w:marTop w:val="0"/>
      <w:marBottom w:val="0"/>
      <w:divBdr>
        <w:top w:val="none" w:sz="0" w:space="0" w:color="auto"/>
        <w:left w:val="none" w:sz="0" w:space="0" w:color="auto"/>
        <w:bottom w:val="none" w:sz="0" w:space="0" w:color="auto"/>
        <w:right w:val="none" w:sz="0" w:space="0" w:color="auto"/>
      </w:divBdr>
    </w:div>
    <w:div w:id="19579793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474">
          <w:marLeft w:val="0"/>
          <w:marRight w:val="0"/>
          <w:marTop w:val="0"/>
          <w:marBottom w:val="0"/>
          <w:divBdr>
            <w:top w:val="none" w:sz="0" w:space="0" w:color="auto"/>
            <w:left w:val="none" w:sz="0" w:space="0" w:color="auto"/>
            <w:bottom w:val="none" w:sz="0" w:space="0" w:color="auto"/>
            <w:right w:val="none" w:sz="0" w:space="0" w:color="auto"/>
          </w:divBdr>
        </w:div>
      </w:divsChild>
    </w:div>
    <w:div w:id="1974940335">
      <w:bodyDiv w:val="1"/>
      <w:marLeft w:val="0"/>
      <w:marRight w:val="0"/>
      <w:marTop w:val="0"/>
      <w:marBottom w:val="0"/>
      <w:divBdr>
        <w:top w:val="none" w:sz="0" w:space="0" w:color="auto"/>
        <w:left w:val="none" w:sz="0" w:space="0" w:color="auto"/>
        <w:bottom w:val="none" w:sz="0" w:space="0" w:color="auto"/>
        <w:right w:val="none" w:sz="0" w:space="0" w:color="auto"/>
      </w:divBdr>
      <w:divsChild>
        <w:div w:id="1253515466">
          <w:marLeft w:val="0"/>
          <w:marRight w:val="0"/>
          <w:marTop w:val="0"/>
          <w:marBottom w:val="0"/>
          <w:divBdr>
            <w:top w:val="none" w:sz="0" w:space="0" w:color="auto"/>
            <w:left w:val="none" w:sz="0" w:space="0" w:color="auto"/>
            <w:bottom w:val="none" w:sz="0" w:space="0" w:color="auto"/>
            <w:right w:val="none" w:sz="0" w:space="0" w:color="auto"/>
          </w:divBdr>
        </w:div>
      </w:divsChild>
    </w:div>
    <w:div w:id="2051107644">
      <w:bodyDiv w:val="1"/>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253051919">
              <w:marLeft w:val="0"/>
              <w:marRight w:val="0"/>
              <w:marTop w:val="0"/>
              <w:marBottom w:val="0"/>
              <w:divBdr>
                <w:top w:val="none" w:sz="0" w:space="0" w:color="auto"/>
                <w:left w:val="none" w:sz="0" w:space="0" w:color="auto"/>
                <w:bottom w:val="none" w:sz="0" w:space="0" w:color="auto"/>
                <w:right w:val="none" w:sz="0" w:space="0" w:color="auto"/>
              </w:divBdr>
            </w:div>
            <w:div w:id="1254972896">
              <w:marLeft w:val="0"/>
              <w:marRight w:val="0"/>
              <w:marTop w:val="0"/>
              <w:marBottom w:val="0"/>
              <w:divBdr>
                <w:top w:val="none" w:sz="0" w:space="0" w:color="auto"/>
                <w:left w:val="none" w:sz="0" w:space="0" w:color="auto"/>
                <w:bottom w:val="none" w:sz="0" w:space="0" w:color="auto"/>
                <w:right w:val="none" w:sz="0" w:space="0" w:color="auto"/>
              </w:divBdr>
            </w:div>
            <w:div w:id="1763718790">
              <w:marLeft w:val="0"/>
              <w:marRight w:val="0"/>
              <w:marTop w:val="0"/>
              <w:marBottom w:val="0"/>
              <w:divBdr>
                <w:top w:val="none" w:sz="0" w:space="0" w:color="auto"/>
                <w:left w:val="none" w:sz="0" w:space="0" w:color="auto"/>
                <w:bottom w:val="none" w:sz="0" w:space="0" w:color="auto"/>
                <w:right w:val="none" w:sz="0" w:space="0" w:color="auto"/>
              </w:divBdr>
            </w:div>
          </w:divsChild>
        </w:div>
        <w:div w:id="227692827">
          <w:marLeft w:val="0"/>
          <w:marRight w:val="0"/>
          <w:marTop w:val="0"/>
          <w:marBottom w:val="0"/>
          <w:divBdr>
            <w:top w:val="none" w:sz="0" w:space="0" w:color="auto"/>
            <w:left w:val="none" w:sz="0" w:space="0" w:color="auto"/>
            <w:bottom w:val="none" w:sz="0" w:space="0" w:color="auto"/>
            <w:right w:val="none" w:sz="0" w:space="0" w:color="auto"/>
          </w:divBdr>
          <w:divsChild>
            <w:div w:id="74397052">
              <w:marLeft w:val="0"/>
              <w:marRight w:val="0"/>
              <w:marTop w:val="0"/>
              <w:marBottom w:val="0"/>
              <w:divBdr>
                <w:top w:val="none" w:sz="0" w:space="0" w:color="auto"/>
                <w:left w:val="none" w:sz="0" w:space="0" w:color="auto"/>
                <w:bottom w:val="none" w:sz="0" w:space="0" w:color="auto"/>
                <w:right w:val="none" w:sz="0" w:space="0" w:color="auto"/>
              </w:divBdr>
            </w:div>
            <w:div w:id="1796026468">
              <w:marLeft w:val="0"/>
              <w:marRight w:val="0"/>
              <w:marTop w:val="0"/>
              <w:marBottom w:val="0"/>
              <w:divBdr>
                <w:top w:val="none" w:sz="0" w:space="0" w:color="auto"/>
                <w:left w:val="none" w:sz="0" w:space="0" w:color="auto"/>
                <w:bottom w:val="none" w:sz="0" w:space="0" w:color="auto"/>
                <w:right w:val="none" w:sz="0" w:space="0" w:color="auto"/>
              </w:divBdr>
            </w:div>
            <w:div w:id="2010671525">
              <w:marLeft w:val="0"/>
              <w:marRight w:val="0"/>
              <w:marTop w:val="0"/>
              <w:marBottom w:val="0"/>
              <w:divBdr>
                <w:top w:val="none" w:sz="0" w:space="0" w:color="auto"/>
                <w:left w:val="none" w:sz="0" w:space="0" w:color="auto"/>
                <w:bottom w:val="none" w:sz="0" w:space="0" w:color="auto"/>
                <w:right w:val="none" w:sz="0" w:space="0" w:color="auto"/>
              </w:divBdr>
            </w:div>
          </w:divsChild>
        </w:div>
        <w:div w:id="428359200">
          <w:marLeft w:val="0"/>
          <w:marRight w:val="0"/>
          <w:marTop w:val="0"/>
          <w:marBottom w:val="0"/>
          <w:divBdr>
            <w:top w:val="none" w:sz="0" w:space="0" w:color="auto"/>
            <w:left w:val="none" w:sz="0" w:space="0" w:color="auto"/>
            <w:bottom w:val="none" w:sz="0" w:space="0" w:color="auto"/>
            <w:right w:val="none" w:sz="0" w:space="0" w:color="auto"/>
          </w:divBdr>
          <w:divsChild>
            <w:div w:id="1859808981">
              <w:marLeft w:val="0"/>
              <w:marRight w:val="0"/>
              <w:marTop w:val="0"/>
              <w:marBottom w:val="0"/>
              <w:divBdr>
                <w:top w:val="none" w:sz="0" w:space="0" w:color="auto"/>
                <w:left w:val="none" w:sz="0" w:space="0" w:color="auto"/>
                <w:bottom w:val="none" w:sz="0" w:space="0" w:color="auto"/>
                <w:right w:val="none" w:sz="0" w:space="0" w:color="auto"/>
              </w:divBdr>
            </w:div>
          </w:divsChild>
        </w:div>
        <w:div w:id="941105903">
          <w:marLeft w:val="0"/>
          <w:marRight w:val="0"/>
          <w:marTop w:val="0"/>
          <w:marBottom w:val="0"/>
          <w:divBdr>
            <w:top w:val="none" w:sz="0" w:space="0" w:color="auto"/>
            <w:left w:val="none" w:sz="0" w:space="0" w:color="auto"/>
            <w:bottom w:val="none" w:sz="0" w:space="0" w:color="auto"/>
            <w:right w:val="none" w:sz="0" w:space="0" w:color="auto"/>
          </w:divBdr>
          <w:divsChild>
            <w:div w:id="789084124">
              <w:marLeft w:val="0"/>
              <w:marRight w:val="0"/>
              <w:marTop w:val="0"/>
              <w:marBottom w:val="0"/>
              <w:divBdr>
                <w:top w:val="none" w:sz="0" w:space="0" w:color="auto"/>
                <w:left w:val="none" w:sz="0" w:space="0" w:color="auto"/>
                <w:bottom w:val="none" w:sz="0" w:space="0" w:color="auto"/>
                <w:right w:val="none" w:sz="0" w:space="0" w:color="auto"/>
              </w:divBdr>
            </w:div>
            <w:div w:id="845367382">
              <w:marLeft w:val="0"/>
              <w:marRight w:val="0"/>
              <w:marTop w:val="0"/>
              <w:marBottom w:val="0"/>
              <w:divBdr>
                <w:top w:val="none" w:sz="0" w:space="0" w:color="auto"/>
                <w:left w:val="none" w:sz="0" w:space="0" w:color="auto"/>
                <w:bottom w:val="none" w:sz="0" w:space="0" w:color="auto"/>
                <w:right w:val="none" w:sz="0" w:space="0" w:color="auto"/>
              </w:divBdr>
            </w:div>
            <w:div w:id="1328052637">
              <w:marLeft w:val="0"/>
              <w:marRight w:val="0"/>
              <w:marTop w:val="0"/>
              <w:marBottom w:val="0"/>
              <w:divBdr>
                <w:top w:val="none" w:sz="0" w:space="0" w:color="auto"/>
                <w:left w:val="none" w:sz="0" w:space="0" w:color="auto"/>
                <w:bottom w:val="none" w:sz="0" w:space="0" w:color="auto"/>
                <w:right w:val="none" w:sz="0" w:space="0" w:color="auto"/>
              </w:divBdr>
            </w:div>
          </w:divsChild>
        </w:div>
        <w:div w:id="1043363414">
          <w:marLeft w:val="0"/>
          <w:marRight w:val="0"/>
          <w:marTop w:val="0"/>
          <w:marBottom w:val="0"/>
          <w:divBdr>
            <w:top w:val="none" w:sz="0" w:space="0" w:color="auto"/>
            <w:left w:val="none" w:sz="0" w:space="0" w:color="auto"/>
            <w:bottom w:val="none" w:sz="0" w:space="0" w:color="auto"/>
            <w:right w:val="none" w:sz="0" w:space="0" w:color="auto"/>
          </w:divBdr>
          <w:divsChild>
            <w:div w:id="1068963686">
              <w:marLeft w:val="0"/>
              <w:marRight w:val="0"/>
              <w:marTop w:val="0"/>
              <w:marBottom w:val="0"/>
              <w:divBdr>
                <w:top w:val="none" w:sz="0" w:space="0" w:color="auto"/>
                <w:left w:val="none" w:sz="0" w:space="0" w:color="auto"/>
                <w:bottom w:val="none" w:sz="0" w:space="0" w:color="auto"/>
                <w:right w:val="none" w:sz="0" w:space="0" w:color="auto"/>
              </w:divBdr>
            </w:div>
          </w:divsChild>
        </w:div>
        <w:div w:id="1051924054">
          <w:marLeft w:val="0"/>
          <w:marRight w:val="0"/>
          <w:marTop w:val="0"/>
          <w:marBottom w:val="0"/>
          <w:divBdr>
            <w:top w:val="none" w:sz="0" w:space="0" w:color="auto"/>
            <w:left w:val="none" w:sz="0" w:space="0" w:color="auto"/>
            <w:bottom w:val="none" w:sz="0" w:space="0" w:color="auto"/>
            <w:right w:val="none" w:sz="0" w:space="0" w:color="auto"/>
          </w:divBdr>
          <w:divsChild>
            <w:div w:id="1303580648">
              <w:marLeft w:val="0"/>
              <w:marRight w:val="0"/>
              <w:marTop w:val="0"/>
              <w:marBottom w:val="0"/>
              <w:divBdr>
                <w:top w:val="none" w:sz="0" w:space="0" w:color="auto"/>
                <w:left w:val="none" w:sz="0" w:space="0" w:color="auto"/>
                <w:bottom w:val="none" w:sz="0" w:space="0" w:color="auto"/>
                <w:right w:val="none" w:sz="0" w:space="0" w:color="auto"/>
              </w:divBdr>
            </w:div>
          </w:divsChild>
        </w:div>
        <w:div w:id="1164585466">
          <w:marLeft w:val="0"/>
          <w:marRight w:val="0"/>
          <w:marTop w:val="0"/>
          <w:marBottom w:val="0"/>
          <w:divBdr>
            <w:top w:val="none" w:sz="0" w:space="0" w:color="auto"/>
            <w:left w:val="none" w:sz="0" w:space="0" w:color="auto"/>
            <w:bottom w:val="none" w:sz="0" w:space="0" w:color="auto"/>
            <w:right w:val="none" w:sz="0" w:space="0" w:color="auto"/>
          </w:divBdr>
          <w:divsChild>
            <w:div w:id="2116753331">
              <w:marLeft w:val="0"/>
              <w:marRight w:val="0"/>
              <w:marTop w:val="0"/>
              <w:marBottom w:val="0"/>
              <w:divBdr>
                <w:top w:val="none" w:sz="0" w:space="0" w:color="auto"/>
                <w:left w:val="none" w:sz="0" w:space="0" w:color="auto"/>
                <w:bottom w:val="none" w:sz="0" w:space="0" w:color="auto"/>
                <w:right w:val="none" w:sz="0" w:space="0" w:color="auto"/>
              </w:divBdr>
            </w:div>
          </w:divsChild>
        </w:div>
        <w:div w:id="1548178557">
          <w:marLeft w:val="0"/>
          <w:marRight w:val="0"/>
          <w:marTop w:val="0"/>
          <w:marBottom w:val="0"/>
          <w:divBdr>
            <w:top w:val="none" w:sz="0" w:space="0" w:color="auto"/>
            <w:left w:val="none" w:sz="0" w:space="0" w:color="auto"/>
            <w:bottom w:val="none" w:sz="0" w:space="0" w:color="auto"/>
            <w:right w:val="none" w:sz="0" w:space="0" w:color="auto"/>
          </w:divBdr>
          <w:divsChild>
            <w:div w:id="712315741">
              <w:marLeft w:val="0"/>
              <w:marRight w:val="0"/>
              <w:marTop w:val="0"/>
              <w:marBottom w:val="0"/>
              <w:divBdr>
                <w:top w:val="none" w:sz="0" w:space="0" w:color="auto"/>
                <w:left w:val="none" w:sz="0" w:space="0" w:color="auto"/>
                <w:bottom w:val="none" w:sz="0" w:space="0" w:color="auto"/>
                <w:right w:val="none" w:sz="0" w:space="0" w:color="auto"/>
              </w:divBdr>
            </w:div>
          </w:divsChild>
        </w:div>
        <w:div w:id="1589079281">
          <w:marLeft w:val="0"/>
          <w:marRight w:val="0"/>
          <w:marTop w:val="0"/>
          <w:marBottom w:val="0"/>
          <w:divBdr>
            <w:top w:val="none" w:sz="0" w:space="0" w:color="auto"/>
            <w:left w:val="none" w:sz="0" w:space="0" w:color="auto"/>
            <w:bottom w:val="none" w:sz="0" w:space="0" w:color="auto"/>
            <w:right w:val="none" w:sz="0" w:space="0" w:color="auto"/>
          </w:divBdr>
          <w:divsChild>
            <w:div w:id="1783573469">
              <w:marLeft w:val="0"/>
              <w:marRight w:val="0"/>
              <w:marTop w:val="0"/>
              <w:marBottom w:val="0"/>
              <w:divBdr>
                <w:top w:val="none" w:sz="0" w:space="0" w:color="auto"/>
                <w:left w:val="none" w:sz="0" w:space="0" w:color="auto"/>
                <w:bottom w:val="none" w:sz="0" w:space="0" w:color="auto"/>
                <w:right w:val="none" w:sz="0" w:space="0" w:color="auto"/>
              </w:divBdr>
            </w:div>
          </w:divsChild>
        </w:div>
        <w:div w:id="1627540970">
          <w:marLeft w:val="0"/>
          <w:marRight w:val="0"/>
          <w:marTop w:val="0"/>
          <w:marBottom w:val="0"/>
          <w:divBdr>
            <w:top w:val="none" w:sz="0" w:space="0" w:color="auto"/>
            <w:left w:val="none" w:sz="0" w:space="0" w:color="auto"/>
            <w:bottom w:val="none" w:sz="0" w:space="0" w:color="auto"/>
            <w:right w:val="none" w:sz="0" w:space="0" w:color="auto"/>
          </w:divBdr>
          <w:divsChild>
            <w:div w:id="1906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6493">
      <w:bodyDiv w:val="1"/>
      <w:marLeft w:val="0"/>
      <w:marRight w:val="0"/>
      <w:marTop w:val="0"/>
      <w:marBottom w:val="0"/>
      <w:divBdr>
        <w:top w:val="none" w:sz="0" w:space="0" w:color="auto"/>
        <w:left w:val="none" w:sz="0" w:space="0" w:color="auto"/>
        <w:bottom w:val="none" w:sz="0" w:space="0" w:color="auto"/>
        <w:right w:val="none" w:sz="0" w:space="0" w:color="auto"/>
      </w:divBdr>
    </w:div>
    <w:div w:id="2094475527">
      <w:bodyDiv w:val="1"/>
      <w:marLeft w:val="0"/>
      <w:marRight w:val="0"/>
      <w:marTop w:val="0"/>
      <w:marBottom w:val="0"/>
      <w:divBdr>
        <w:top w:val="none" w:sz="0" w:space="0" w:color="auto"/>
        <w:left w:val="none" w:sz="0" w:space="0" w:color="auto"/>
        <w:bottom w:val="none" w:sz="0" w:space="0" w:color="auto"/>
        <w:right w:val="none" w:sz="0" w:space="0" w:color="auto"/>
      </w:divBdr>
      <w:divsChild>
        <w:div w:id="1833720211">
          <w:marLeft w:val="0"/>
          <w:marRight w:val="0"/>
          <w:marTop w:val="83"/>
          <w:marBottom w:val="0"/>
          <w:divBdr>
            <w:top w:val="none" w:sz="0" w:space="0" w:color="auto"/>
            <w:left w:val="none" w:sz="0" w:space="0" w:color="auto"/>
            <w:bottom w:val="none" w:sz="0" w:space="0" w:color="auto"/>
            <w:right w:val="none" w:sz="0" w:space="0" w:color="auto"/>
          </w:divBdr>
          <w:divsChild>
            <w:div w:id="692271248">
              <w:marLeft w:val="0"/>
              <w:marRight w:val="0"/>
              <w:marTop w:val="83"/>
              <w:marBottom w:val="0"/>
              <w:divBdr>
                <w:top w:val="none" w:sz="0" w:space="0" w:color="auto"/>
                <w:left w:val="none" w:sz="0" w:space="0" w:color="auto"/>
                <w:bottom w:val="none" w:sz="0" w:space="0" w:color="auto"/>
                <w:right w:val="none" w:sz="0" w:space="0" w:color="auto"/>
              </w:divBdr>
            </w:div>
            <w:div w:id="1299149451">
              <w:marLeft w:val="0"/>
              <w:marRight w:val="0"/>
              <w:marTop w:val="83"/>
              <w:marBottom w:val="0"/>
              <w:divBdr>
                <w:top w:val="none" w:sz="0" w:space="0" w:color="auto"/>
                <w:left w:val="none" w:sz="0" w:space="0" w:color="auto"/>
                <w:bottom w:val="none" w:sz="0" w:space="0" w:color="auto"/>
                <w:right w:val="none" w:sz="0" w:space="0" w:color="auto"/>
              </w:divBdr>
              <w:divsChild>
                <w:div w:id="1556515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mailto:etsconsultation@mfe.govt.nz" TargetMode="Externa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consult.environment.govt.nz/climate/nz-ets-unit-settings-and-regulatory-updates-2024"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mailto:etsconsultation@mfe.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publications/proposed-changes-to-new-zealand-emissions-trading-scheme-regulations-2024-consultation-document"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vironment.govt.nz" TargetMode="External"/><Relationship Id="rId23" Type="http://schemas.openxmlformats.org/officeDocument/2006/relationships/hyperlink" Target="https://www.climatecommission.govt.nz/public/ETS-advice/2024/CCC_2024-advice-on-NZ-ETS-unit-limit-and-price-control-settings-2025-2029.pdf" TargetMode="External"/><Relationship Id="rId28" Type="http://schemas.openxmlformats.org/officeDocument/2006/relationships/hyperlink" Target="http://www.environment.govt.nz/"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nvironment.govt.nz/publications/proposed-changes-to-new-zealand-emissions-trading-scheme-regulations-2024-consultation-document" TargetMode="External"/><Relationship Id="rId27" Type="http://schemas.openxmlformats.org/officeDocument/2006/relationships/hyperlink" Target="mailto:etsconsultation@mfe.govt.nz" TargetMode="Externa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limatecommission.govt.nz/public/ETS-advice/2024/20240228_Technical-Annex-1_Unit-limit-settings.pdf" TargetMode="External"/><Relationship Id="rId13" Type="http://schemas.openxmlformats.org/officeDocument/2006/relationships/hyperlink" Target="https://www.climatecommission.govt.nz/our-work/advice-to-government-topic/nz-ets/our-advice-on-the-nz-ets/nz-ets-unit-limits-and-price-control-settings-for-2023-2027/" TargetMode="External"/><Relationship Id="rId3" Type="http://schemas.openxmlformats.org/officeDocument/2006/relationships/hyperlink" Target="https://www.climatecommission.govt.nz/our-work/advice-to-government-topic/nz-ets/our-advice-on-the-nz-ets/nz-ets-unit-limits-and-price-control-settings-2024-2028/" TargetMode="External"/><Relationship Id="rId7" Type="http://schemas.openxmlformats.org/officeDocument/2006/relationships/hyperlink" Target="https://www.climatecommission.govt.nz/public/ETS-advice/2024/20240228_Technical-Annex-1_Unit-limit-settings.pdf" TargetMode="External"/><Relationship Id="rId12" Type="http://schemas.openxmlformats.org/officeDocument/2006/relationships/hyperlink" Target="https://environment.govt.nz/what-government-is-doing/areas-of-work/climate-change/emissions-reductions/emissions-budgets-and-the-emissions-reduction-plan/" TargetMode="External"/><Relationship Id="rId2" Type="http://schemas.openxmlformats.org/officeDocument/2006/relationships/hyperlink" Target="https://www.legislation.govt.nz/act/public/2002/0040/latest/DLM4970254.html" TargetMode="External"/><Relationship Id="rId1" Type="http://schemas.openxmlformats.org/officeDocument/2006/relationships/hyperlink" Target="https://www.legislation.govt.nz/act/public/2002/0040/latest/LMS364586.html" TargetMode="External"/><Relationship Id="rId6" Type="http://schemas.openxmlformats.org/officeDocument/2006/relationships/hyperlink" Target="https://www.climatecommission.govt.nz/public/ETS-advice/2024/20240228_Technical-Annex-1_Unit-limit-settings.pdf" TargetMode="External"/><Relationship Id="rId11" Type="http://schemas.openxmlformats.org/officeDocument/2006/relationships/hyperlink" Target="https://www.climatecommission.govt.nz/public/ETS-advice/2024/20240228_Technical-Annex-1_Unit-limit-settings.pdf" TargetMode="External"/><Relationship Id="rId5" Type="http://schemas.openxmlformats.org/officeDocument/2006/relationships/hyperlink" Target="https://www.climatecommission.govt.nz/our-work/advice-to-government-topic/inaia-tonu-nei-a-low-emissions-future-for-aotearoa/" TargetMode="External"/><Relationship Id="rId10" Type="http://schemas.openxmlformats.org/officeDocument/2006/relationships/hyperlink" Target="https://environment.govt.nz/publications/review-of-the-new-zealand-emissions-trading-scheme-summary-of-modelling/" TargetMode="External"/><Relationship Id="rId4" Type="http://schemas.openxmlformats.org/officeDocument/2006/relationships/hyperlink" Target="https://www.climatecommission.govt.nz/our-work/advice-to-government-topic/nz-ets/our-advice-on-the-nz-ets/nz-ets-unit-limits-and-price-control-settings-2024-2028/" TargetMode="External"/><Relationship Id="rId9" Type="http://schemas.openxmlformats.org/officeDocument/2006/relationships/hyperlink" Target="https://www.climatecommission.govt.nz/public/ETS-advice-July-22/PDFs/NZ-ETS-settings-2023-2027-final-report-web-27-July-2022.pdf"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8a6f171-52cb-4404-b47d-af1c8daf8fd1" xsi:nil="true"/>
    <_dlc_DocId xmlns="58a6f171-52cb-4404-b47d-af1c8daf8fd1">ECM-1122293896-116676</_dlc_DocId>
    <_dlc_DocIdUrl xmlns="58a6f171-52cb-4404-b47d-af1c8daf8fd1">
      <Url>https://ministryforenvironment.sharepoint.com/sites/ECM-ER-Comms/_layouts/15/DocIdRedir.aspx?ID=ECM-1122293896-116676</Url>
      <Description>ECM-1122293896-116676</Description>
    </_dlc_DocIdUrl>
    <lcf76f155ced4ddcb4097134ff3c332f xmlns="4a94300e-a927-4b92-9d3a-682523035cb6">
      <Terms xmlns="http://schemas.microsoft.com/office/infopath/2007/PartnerControls"/>
    </lcf76f155ced4ddcb4097134ff3c332f>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B21CC6-EF86-4369-8E4A-25CEBCBDC583}">
  <ds:schemaRefs>
    <ds:schemaRef ds:uri="http://schemas.openxmlformats.org/officeDocument/2006/bibliography"/>
  </ds:schemaRefs>
</ds:datastoreItem>
</file>

<file path=customXml/itemProps2.xml><?xml version="1.0" encoding="utf-8"?>
<ds:datastoreItem xmlns:ds="http://schemas.openxmlformats.org/officeDocument/2006/customXml" ds:itemID="{894FCE1E-4763-4A4E-B0CE-DD2C88783CCD}">
  <ds:schemaRefs>
    <ds:schemaRef ds:uri="http://purl.org/dc/dcmitype/"/>
    <ds:schemaRef ds:uri="http://purl.org/dc/elements/1.1/"/>
    <ds:schemaRef ds:uri="http://schemas.microsoft.com/office/2006/documentManagement/types"/>
    <ds:schemaRef ds:uri="58a6f171-52cb-4404-b47d-af1c8daf8fd1"/>
    <ds:schemaRef ds:uri="0a5b0190-e301-4766-933d-448c7c363fce"/>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4a94300e-a927-4b92-9d3a-682523035cb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4BA02B-00FF-4232-A868-E2B61991190A}">
  <ds:schemaRefs>
    <ds:schemaRef ds:uri="http://schemas.microsoft.com/sharepoint/v3/contenttype/forms"/>
  </ds:schemaRefs>
</ds:datastoreItem>
</file>

<file path=customXml/itemProps4.xml><?xml version="1.0" encoding="utf-8"?>
<ds:datastoreItem xmlns:ds="http://schemas.openxmlformats.org/officeDocument/2006/customXml" ds:itemID="{4832975A-1B81-46CB-A2C2-0E30D00F6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7CA8F-1822-4C0A-B8D8-930EDBC8FB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12428</Words>
  <Characters>65128</Characters>
  <Application>Microsoft Office Word</Application>
  <DocSecurity>0</DocSecurity>
  <Lines>1760</Lines>
  <Paragraphs>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2024-05-27T02:55:00Z</dcterms:created>
  <dcterms:modified xsi:type="dcterms:W3CDTF">2024-05-27T03:08:00Z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212c0f5f-82d4-4155-9e24-ab4e038674e3</vt:lpwstr>
  </property>
  <property fmtid="{D5CDD505-2E9C-101B-9397-08002B2CF9AE}" pid="4" name="MediaServiceImageTags">
    <vt:lpwstr/>
  </property>
  <property fmtid="{D5CDD505-2E9C-101B-9397-08002B2CF9AE}" pid="5" name="MSIP_Label_52dda6cc-d61d-4fd2-bf18-9b3017d931cc_Enabled">
    <vt:lpwstr>true</vt:lpwstr>
  </property>
  <property fmtid="{D5CDD505-2E9C-101B-9397-08002B2CF9AE}" pid="6" name="MSIP_Label_52dda6cc-d61d-4fd2-bf18-9b3017d931cc_SetDate">
    <vt:lpwstr>2024-05-02T21:13:27Z</vt:lpwstr>
  </property>
  <property fmtid="{D5CDD505-2E9C-101B-9397-08002B2CF9AE}" pid="7" name="MSIP_Label_52dda6cc-d61d-4fd2-bf18-9b3017d931cc_Method">
    <vt:lpwstr>Privileged</vt:lpwstr>
  </property>
  <property fmtid="{D5CDD505-2E9C-101B-9397-08002B2CF9AE}" pid="8" name="MSIP_Label_52dda6cc-d61d-4fd2-bf18-9b3017d931cc_Name">
    <vt:lpwstr>[UNCLASSIFIED]</vt:lpwstr>
  </property>
  <property fmtid="{D5CDD505-2E9C-101B-9397-08002B2CF9AE}" pid="9" name="MSIP_Label_52dda6cc-d61d-4fd2-bf18-9b3017d931cc_SiteId">
    <vt:lpwstr>761dd003-d4ff-4049-8a72-8549b20fcbb1</vt:lpwstr>
  </property>
  <property fmtid="{D5CDD505-2E9C-101B-9397-08002B2CF9AE}" pid="10" name="MSIP_Label_52dda6cc-d61d-4fd2-bf18-9b3017d931cc_ActionId">
    <vt:lpwstr>f010ae97-b33f-4b8e-b72f-93b214b0a408</vt:lpwstr>
  </property>
  <property fmtid="{D5CDD505-2E9C-101B-9397-08002B2CF9AE}" pid="11" name="MSIP_Label_52dda6cc-d61d-4fd2-bf18-9b3017d931cc_ContentBits">
    <vt:lpwstr>0</vt:lpwstr>
  </property>
</Properties>
</file>