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BAD89" w14:textId="000DB136" w:rsidR="00E668E3" w:rsidRPr="003965B7" w:rsidRDefault="00E668E3" w:rsidP="003965B7">
      <w:pPr>
        <w:pStyle w:val="Heading1"/>
        <w:rPr>
          <w:rStyle w:val="Strong"/>
          <w:b/>
          <w:bCs w:val="0"/>
        </w:rPr>
      </w:pPr>
    </w:p>
    <w:p w14:paraId="286D6505" w14:textId="77777777" w:rsidR="00E668E3" w:rsidRDefault="00E668E3" w:rsidP="00A35F7A">
      <w:pPr>
        <w:pStyle w:val="Reporttitle"/>
        <w:spacing w:before="0" w:line="276" w:lineRule="auto"/>
      </w:pPr>
    </w:p>
    <w:p w14:paraId="07C93B39" w14:textId="77777777" w:rsidR="00E668E3" w:rsidRDefault="00E668E3" w:rsidP="00A35F7A">
      <w:pPr>
        <w:pStyle w:val="Reporttitle"/>
        <w:spacing w:before="0" w:line="276" w:lineRule="auto"/>
      </w:pPr>
    </w:p>
    <w:p w14:paraId="51B9A56E" w14:textId="11727BEF" w:rsidR="008E6760" w:rsidRPr="00077F8B" w:rsidRDefault="00804239" w:rsidP="00A35F7A">
      <w:pPr>
        <w:pStyle w:val="ReportTitle1"/>
        <w:spacing w:line="276" w:lineRule="auto"/>
        <w:jc w:val="left"/>
        <w:rPr>
          <w:rFonts w:cs="Arial"/>
          <w:color w:val="666666"/>
        </w:rPr>
      </w:pPr>
      <w:r>
        <w:rPr>
          <w:rFonts w:cs="Arial"/>
          <w:color w:val="666666"/>
        </w:rPr>
        <w:t xml:space="preserve">Accounting for Post-1989 Forests </w:t>
      </w:r>
      <w:r w:rsidR="00B41805">
        <w:rPr>
          <w:rFonts w:cs="Arial"/>
          <w:color w:val="666666"/>
        </w:rPr>
        <w:t xml:space="preserve">under the Paris Agreement: </w:t>
      </w:r>
      <w:r w:rsidR="00B4561F" w:rsidRPr="117B4AC9">
        <w:rPr>
          <w:rFonts w:cs="Arial"/>
          <w:color w:val="666666"/>
        </w:rPr>
        <w:t xml:space="preserve">Long-Term Average Carbon Stock </w:t>
      </w:r>
      <w:r w:rsidR="001904E0">
        <w:rPr>
          <w:rFonts w:cs="Arial"/>
          <w:color w:val="666666"/>
        </w:rPr>
        <w:t>and Reference Level</w:t>
      </w:r>
      <w:r w:rsidR="00B4561F" w:rsidRPr="117B4AC9">
        <w:rPr>
          <w:rFonts w:cs="Arial"/>
          <w:color w:val="666666"/>
        </w:rPr>
        <w:t xml:space="preserve"> </w:t>
      </w:r>
    </w:p>
    <w:p w14:paraId="67D078BB" w14:textId="79E98600" w:rsidR="00FD1166" w:rsidRPr="00077F8B" w:rsidRDefault="001609D0" w:rsidP="4FE4F4FF">
      <w:pPr>
        <w:pStyle w:val="Scionauthortitle"/>
        <w:spacing w:after="480" w:line="276" w:lineRule="auto"/>
        <w:rPr>
          <w:rFonts w:cs="Arial"/>
          <w:noProof/>
          <w:lang w:val="en-NZ" w:eastAsia="en-NZ"/>
        </w:rPr>
      </w:pPr>
      <w:r>
        <w:t>S.J. Wakelin</w:t>
      </w:r>
      <w:r w:rsidR="00FE63D6">
        <w:t xml:space="preserve"> and T.</w:t>
      </w:r>
      <w:r w:rsidR="00537D62">
        <w:t>S.H. Paul</w:t>
      </w:r>
    </w:p>
    <w:p w14:paraId="0C854A33" w14:textId="6D12F7DB" w:rsidR="00FD1166" w:rsidRPr="00077F8B" w:rsidRDefault="00C176C6" w:rsidP="005C4955">
      <w:pPr>
        <w:pStyle w:val="Scionauthortitle"/>
        <w:spacing w:after="480" w:line="276" w:lineRule="auto"/>
        <w:jc w:val="center"/>
      </w:pPr>
      <w:r w:rsidRPr="00077F8B">
        <w:t xml:space="preserve"> </w:t>
      </w:r>
      <w:r w:rsidR="4E410542" w:rsidRPr="00077F8B">
        <w:rPr>
          <w:noProof/>
        </w:rPr>
        <w:drawing>
          <wp:inline distT="0" distB="0" distL="0" distR="0" wp14:anchorId="7D8988A4" wp14:editId="21FC76AF">
            <wp:extent cx="4291567" cy="4217280"/>
            <wp:effectExtent l="0" t="0" r="0" b="0"/>
            <wp:docPr id="1917869868" name="Picture 191786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7199" r="24960"/>
                    <a:stretch>
                      <a:fillRect/>
                    </a:stretch>
                  </pic:blipFill>
                  <pic:spPr>
                    <a:xfrm>
                      <a:off x="0" y="0"/>
                      <a:ext cx="4291567" cy="4217280"/>
                    </a:xfrm>
                    <a:prstGeom prst="rect">
                      <a:avLst/>
                    </a:prstGeom>
                  </pic:spPr>
                </pic:pic>
              </a:graphicData>
            </a:graphic>
          </wp:inline>
        </w:drawing>
      </w:r>
    </w:p>
    <w:p w14:paraId="34C1A8F1" w14:textId="57BE0DC4" w:rsidR="00BC7661" w:rsidRPr="00077F8B" w:rsidRDefault="004E0104" w:rsidP="4FE4F4FF">
      <w:pPr>
        <w:spacing w:before="1440" w:line="276" w:lineRule="auto"/>
      </w:pPr>
      <w:r w:rsidRPr="00077F8B">
        <w:br w:type="page"/>
      </w:r>
    </w:p>
    <w:p w14:paraId="264AB500" w14:textId="63675B5D" w:rsidR="00BC7661" w:rsidRPr="00077F8B" w:rsidRDefault="004E0104" w:rsidP="005C4955">
      <w:pPr>
        <w:pStyle w:val="Reportinfosheet"/>
        <w:spacing w:before="1440" w:after="480" w:line="276" w:lineRule="auto"/>
      </w:pPr>
      <w:r>
        <w:lastRenderedPageBreak/>
        <w:t>Report information sheet</w:t>
      </w:r>
    </w:p>
    <w:tbl>
      <w:tblPr>
        <w:tblW w:w="9356" w:type="dxa"/>
        <w:tblLook w:val="0000" w:firstRow="0" w:lastRow="0" w:firstColumn="0" w:lastColumn="0" w:noHBand="0" w:noVBand="0"/>
      </w:tblPr>
      <w:tblGrid>
        <w:gridCol w:w="2127"/>
        <w:gridCol w:w="7229"/>
      </w:tblGrid>
      <w:tr w:rsidR="00BC7661" w:rsidRPr="00077F8B" w14:paraId="264AB505" w14:textId="77777777" w:rsidTr="66CE9D02">
        <w:tc>
          <w:tcPr>
            <w:tcW w:w="2127" w:type="dxa"/>
          </w:tcPr>
          <w:p w14:paraId="264AB502" w14:textId="7CD8C128" w:rsidR="00BC7661" w:rsidRPr="00077F8B" w:rsidRDefault="00BC7661" w:rsidP="00A35F7A">
            <w:pPr>
              <w:pStyle w:val="Columndescription"/>
              <w:spacing w:line="276" w:lineRule="auto"/>
              <w:rPr>
                <w:rFonts w:cs="Arial"/>
                <w:i w:val="0"/>
                <w:smallCaps w:val="0"/>
                <w:szCs w:val="22"/>
              </w:rPr>
            </w:pPr>
            <w:r w:rsidRPr="00077F8B">
              <w:rPr>
                <w:rFonts w:cs="Arial"/>
                <w:i w:val="0"/>
                <w:smallCaps w:val="0"/>
                <w:szCs w:val="22"/>
              </w:rPr>
              <w:t xml:space="preserve">Report </w:t>
            </w:r>
            <w:r w:rsidR="00A95116" w:rsidRPr="00077F8B">
              <w:rPr>
                <w:rFonts w:cs="Arial"/>
                <w:i w:val="0"/>
                <w:smallCaps w:val="0"/>
                <w:szCs w:val="22"/>
              </w:rPr>
              <w:t>t</w:t>
            </w:r>
            <w:r w:rsidRPr="00077F8B">
              <w:rPr>
                <w:rFonts w:cs="Arial"/>
                <w:i w:val="0"/>
                <w:smallCaps w:val="0"/>
                <w:szCs w:val="22"/>
              </w:rPr>
              <w:t>itle</w:t>
            </w:r>
          </w:p>
          <w:p w14:paraId="264AB503" w14:textId="77777777" w:rsidR="00BC7661" w:rsidRPr="00077F8B" w:rsidRDefault="00BC7661" w:rsidP="00A35F7A">
            <w:pPr>
              <w:pStyle w:val="Columndescription"/>
              <w:spacing w:line="276" w:lineRule="auto"/>
              <w:rPr>
                <w:rFonts w:cs="Arial"/>
                <w:i w:val="0"/>
                <w:smallCaps w:val="0"/>
                <w:szCs w:val="22"/>
              </w:rPr>
            </w:pPr>
          </w:p>
        </w:tc>
        <w:tc>
          <w:tcPr>
            <w:tcW w:w="7229" w:type="dxa"/>
          </w:tcPr>
          <w:p w14:paraId="264AB504" w14:textId="4F5EF78C" w:rsidR="000A6FBA" w:rsidRPr="00077F8B" w:rsidRDefault="001A5DB6" w:rsidP="00EF68CE">
            <w:pPr>
              <w:pStyle w:val="Columndescription"/>
              <w:spacing w:line="276" w:lineRule="auto"/>
              <w:rPr>
                <w:rFonts w:cs="Arial"/>
                <w:b w:val="0"/>
                <w:i w:val="0"/>
                <w:smallCaps w:val="0"/>
                <w:szCs w:val="22"/>
              </w:rPr>
            </w:pPr>
            <w:r w:rsidRPr="001A5DB6">
              <w:rPr>
                <w:rFonts w:cs="Arial"/>
                <w:b w:val="0"/>
                <w:i w:val="0"/>
                <w:smallCaps w:val="0"/>
                <w:szCs w:val="22"/>
              </w:rPr>
              <w:t>Accounting for Post-1989 Forests under the Paris Agreement: L</w:t>
            </w:r>
            <w:r w:rsidR="001904E0" w:rsidRPr="001904E0">
              <w:rPr>
                <w:rFonts w:cs="Arial"/>
                <w:b w:val="0"/>
                <w:i w:val="0"/>
                <w:smallCaps w:val="0"/>
                <w:szCs w:val="22"/>
              </w:rPr>
              <w:t>ong-Term Average Carbon Stock and Reference Level</w:t>
            </w:r>
          </w:p>
        </w:tc>
      </w:tr>
      <w:tr w:rsidR="00BC7661" w:rsidRPr="00077F8B" w14:paraId="264AB50A" w14:textId="77777777" w:rsidTr="66CE9D02">
        <w:tc>
          <w:tcPr>
            <w:tcW w:w="2127" w:type="dxa"/>
          </w:tcPr>
          <w:p w14:paraId="264AB506" w14:textId="77777777" w:rsidR="00BC7661" w:rsidRPr="00077F8B" w:rsidRDefault="00BC7661" w:rsidP="00A35F7A">
            <w:pPr>
              <w:pStyle w:val="Columndescription"/>
              <w:spacing w:line="276" w:lineRule="auto"/>
              <w:rPr>
                <w:rFonts w:cs="Arial"/>
                <w:i w:val="0"/>
                <w:smallCaps w:val="0"/>
                <w:szCs w:val="22"/>
              </w:rPr>
            </w:pPr>
            <w:r w:rsidRPr="00077F8B">
              <w:rPr>
                <w:rFonts w:cs="Arial"/>
                <w:i w:val="0"/>
                <w:smallCaps w:val="0"/>
                <w:szCs w:val="22"/>
              </w:rPr>
              <w:t>Author</w:t>
            </w:r>
            <w:r w:rsidR="00C4224B" w:rsidRPr="00077F8B">
              <w:rPr>
                <w:rFonts w:cs="Arial"/>
                <w:i w:val="0"/>
                <w:smallCaps w:val="0"/>
                <w:szCs w:val="22"/>
              </w:rPr>
              <w:t>s</w:t>
            </w:r>
          </w:p>
          <w:p w14:paraId="5285EBCA" w14:textId="77777777" w:rsidR="00A95116" w:rsidRPr="00077F8B" w:rsidRDefault="00A95116" w:rsidP="00A35F7A">
            <w:pPr>
              <w:pStyle w:val="Columndescription"/>
              <w:spacing w:line="276" w:lineRule="auto"/>
              <w:rPr>
                <w:rFonts w:cs="Arial"/>
                <w:i w:val="0"/>
                <w:smallCaps w:val="0"/>
                <w:szCs w:val="22"/>
              </w:rPr>
            </w:pPr>
          </w:p>
          <w:p w14:paraId="264AB507" w14:textId="77777777" w:rsidR="00BC7661" w:rsidRPr="00077F8B" w:rsidRDefault="00BC7661" w:rsidP="00A35F7A">
            <w:pPr>
              <w:pStyle w:val="Columndescription"/>
              <w:spacing w:line="276" w:lineRule="auto"/>
              <w:rPr>
                <w:rFonts w:cs="Arial"/>
                <w:i w:val="0"/>
                <w:smallCaps w:val="0"/>
                <w:szCs w:val="22"/>
              </w:rPr>
            </w:pPr>
          </w:p>
        </w:tc>
        <w:tc>
          <w:tcPr>
            <w:tcW w:w="7229" w:type="dxa"/>
          </w:tcPr>
          <w:p w14:paraId="18388274" w14:textId="596C232F" w:rsidR="00A95116" w:rsidRPr="00077F8B" w:rsidRDefault="001609D0" w:rsidP="004D4569">
            <w:pPr>
              <w:pStyle w:val="Columndescription"/>
              <w:spacing w:line="276" w:lineRule="auto"/>
              <w:rPr>
                <w:rFonts w:cs="Arial"/>
                <w:b w:val="0"/>
                <w:i w:val="0"/>
                <w:smallCaps w:val="0"/>
                <w:szCs w:val="22"/>
              </w:rPr>
            </w:pPr>
            <w:r>
              <w:rPr>
                <w:rFonts w:cs="Arial"/>
                <w:b w:val="0"/>
                <w:i w:val="0"/>
                <w:smallCaps w:val="0"/>
              </w:rPr>
              <w:t>S.J. Wakelin</w:t>
            </w:r>
            <w:r w:rsidR="00A97F3A">
              <w:rPr>
                <w:rFonts w:cs="Arial"/>
                <w:b w:val="0"/>
                <w:i w:val="0"/>
                <w:smallCaps w:val="0"/>
              </w:rPr>
              <w:t>, T.S.H. Paul</w:t>
            </w:r>
            <w:r w:rsidR="004D4569" w:rsidRPr="00077F8B">
              <w:rPr>
                <w:rFonts w:cs="Arial"/>
                <w:b w:val="0"/>
                <w:i w:val="0"/>
                <w:smallCaps w:val="0"/>
              </w:rPr>
              <w:br/>
            </w:r>
            <w:r w:rsidR="000A6FBA" w:rsidRPr="00077F8B">
              <w:rPr>
                <w:rFonts w:cs="Arial"/>
                <w:b w:val="0"/>
                <w:i w:val="0"/>
                <w:smallCaps w:val="0"/>
                <w:szCs w:val="22"/>
              </w:rPr>
              <w:t>Scion</w:t>
            </w:r>
          </w:p>
          <w:p w14:paraId="264AB509" w14:textId="3D8E53FA" w:rsidR="004D4569" w:rsidRPr="00077F8B" w:rsidRDefault="004D4569" w:rsidP="004D4569">
            <w:pPr>
              <w:pStyle w:val="Columndescription"/>
              <w:spacing w:line="276" w:lineRule="auto"/>
              <w:rPr>
                <w:rFonts w:cs="Arial"/>
                <w:b w:val="0"/>
                <w:i w:val="0"/>
                <w:smallCaps w:val="0"/>
                <w:szCs w:val="22"/>
              </w:rPr>
            </w:pPr>
          </w:p>
        </w:tc>
      </w:tr>
      <w:tr w:rsidR="00BC7661" w:rsidRPr="00077F8B" w14:paraId="264AB50E" w14:textId="77777777" w:rsidTr="66CE9D02">
        <w:tc>
          <w:tcPr>
            <w:tcW w:w="2127" w:type="dxa"/>
          </w:tcPr>
          <w:p w14:paraId="264AB50B" w14:textId="4CE6F3F1" w:rsidR="00BC7661" w:rsidRPr="00077F8B" w:rsidRDefault="00DA6B27" w:rsidP="00A35F7A">
            <w:pPr>
              <w:pStyle w:val="Columndescription"/>
              <w:spacing w:line="276" w:lineRule="auto"/>
              <w:rPr>
                <w:rFonts w:cs="Arial"/>
                <w:i w:val="0"/>
                <w:smallCaps w:val="0"/>
                <w:szCs w:val="22"/>
              </w:rPr>
            </w:pPr>
            <w:r w:rsidRPr="00077F8B">
              <w:rPr>
                <w:rFonts w:cs="Arial"/>
                <w:i w:val="0"/>
                <w:smallCaps w:val="0"/>
                <w:szCs w:val="22"/>
              </w:rPr>
              <w:t>Client</w:t>
            </w:r>
          </w:p>
          <w:p w14:paraId="264AB50C" w14:textId="77777777" w:rsidR="00BC7661" w:rsidRPr="00077F8B" w:rsidRDefault="00BC7661" w:rsidP="00A35F7A">
            <w:pPr>
              <w:pStyle w:val="Columndescription"/>
              <w:spacing w:line="276" w:lineRule="auto"/>
              <w:rPr>
                <w:rFonts w:cs="Arial"/>
                <w:i w:val="0"/>
                <w:smallCaps w:val="0"/>
                <w:szCs w:val="22"/>
              </w:rPr>
            </w:pPr>
          </w:p>
        </w:tc>
        <w:tc>
          <w:tcPr>
            <w:tcW w:w="7229" w:type="dxa"/>
          </w:tcPr>
          <w:p w14:paraId="264AB50D" w14:textId="32220E4C" w:rsidR="00BC7661" w:rsidRPr="00077F8B" w:rsidRDefault="000A6FBA" w:rsidP="442F2D55">
            <w:pPr>
              <w:pStyle w:val="Columndescription"/>
              <w:spacing w:line="276" w:lineRule="auto"/>
              <w:rPr>
                <w:rFonts w:cs="Arial"/>
                <w:b w:val="0"/>
                <w:bCs w:val="0"/>
                <w:i w:val="0"/>
                <w:iCs w:val="0"/>
                <w:smallCaps w:val="0"/>
              </w:rPr>
            </w:pPr>
            <w:r w:rsidRPr="442F2D55">
              <w:rPr>
                <w:rFonts w:cs="Arial"/>
                <w:b w:val="0"/>
                <w:bCs w:val="0"/>
                <w:i w:val="0"/>
                <w:iCs w:val="0"/>
                <w:smallCaps w:val="0"/>
              </w:rPr>
              <w:t>M</w:t>
            </w:r>
            <w:r w:rsidR="003B18DF">
              <w:rPr>
                <w:rFonts w:cs="Arial"/>
                <w:b w:val="0"/>
                <w:bCs w:val="0"/>
                <w:i w:val="0"/>
                <w:iCs w:val="0"/>
                <w:smallCaps w:val="0"/>
              </w:rPr>
              <w:t>f</w:t>
            </w:r>
            <w:r w:rsidR="2306249F" w:rsidRPr="442F2D55">
              <w:rPr>
                <w:rFonts w:cs="Arial"/>
                <w:b w:val="0"/>
                <w:bCs w:val="0"/>
                <w:i w:val="0"/>
                <w:iCs w:val="0"/>
                <w:smallCaps w:val="0"/>
              </w:rPr>
              <w:t>E</w:t>
            </w:r>
          </w:p>
        </w:tc>
      </w:tr>
      <w:tr w:rsidR="00BC7661" w:rsidRPr="00077F8B" w14:paraId="264AB512" w14:textId="77777777" w:rsidTr="66CE9D02">
        <w:tc>
          <w:tcPr>
            <w:tcW w:w="2127" w:type="dxa"/>
          </w:tcPr>
          <w:p w14:paraId="264AB50F" w14:textId="304B2902" w:rsidR="00BC7661" w:rsidRPr="00077F8B" w:rsidRDefault="00C805B1" w:rsidP="00A35F7A">
            <w:pPr>
              <w:pStyle w:val="Columndescription"/>
              <w:spacing w:line="276" w:lineRule="auto"/>
              <w:rPr>
                <w:rFonts w:cs="Arial"/>
                <w:i w:val="0"/>
                <w:smallCaps w:val="0"/>
                <w:szCs w:val="22"/>
                <w:lang w:eastAsia="en-AU"/>
              </w:rPr>
            </w:pPr>
            <w:r w:rsidRPr="00077F8B">
              <w:rPr>
                <w:rFonts w:cs="Arial"/>
                <w:i w:val="0"/>
                <w:smallCaps w:val="0"/>
                <w:szCs w:val="22"/>
                <w:lang w:eastAsia="en-AU"/>
              </w:rPr>
              <w:t xml:space="preserve">Client </w:t>
            </w:r>
            <w:r w:rsidR="00A95116" w:rsidRPr="00077F8B">
              <w:rPr>
                <w:rFonts w:cs="Arial"/>
                <w:i w:val="0"/>
                <w:smallCaps w:val="0"/>
                <w:szCs w:val="22"/>
                <w:lang w:eastAsia="en-AU"/>
              </w:rPr>
              <w:t>c</w:t>
            </w:r>
            <w:r w:rsidRPr="00077F8B">
              <w:rPr>
                <w:rFonts w:cs="Arial"/>
                <w:i w:val="0"/>
                <w:smallCaps w:val="0"/>
                <w:szCs w:val="22"/>
                <w:lang w:eastAsia="en-AU"/>
              </w:rPr>
              <w:t xml:space="preserve">ontract </w:t>
            </w:r>
            <w:r w:rsidR="00A95116" w:rsidRPr="00077F8B">
              <w:rPr>
                <w:rFonts w:cs="Arial"/>
                <w:i w:val="0"/>
                <w:smallCaps w:val="0"/>
                <w:szCs w:val="22"/>
                <w:lang w:eastAsia="en-AU"/>
              </w:rPr>
              <w:t>number</w:t>
            </w:r>
          </w:p>
          <w:p w14:paraId="264AB510" w14:textId="77777777" w:rsidR="00CB40BF" w:rsidRPr="00077F8B" w:rsidRDefault="00CB40BF" w:rsidP="00A35F7A">
            <w:pPr>
              <w:pStyle w:val="Columndescription"/>
              <w:spacing w:line="276" w:lineRule="auto"/>
              <w:rPr>
                <w:rFonts w:cs="Arial"/>
                <w:i w:val="0"/>
                <w:smallCaps w:val="0"/>
                <w:szCs w:val="22"/>
              </w:rPr>
            </w:pPr>
          </w:p>
        </w:tc>
        <w:tc>
          <w:tcPr>
            <w:tcW w:w="7229" w:type="dxa"/>
          </w:tcPr>
          <w:p w14:paraId="264AB511" w14:textId="743E08B6" w:rsidR="00BC7661" w:rsidRPr="00077F8B" w:rsidRDefault="00467D28" w:rsidP="00A35F7A">
            <w:pPr>
              <w:pStyle w:val="Columndescription"/>
              <w:spacing w:line="276" w:lineRule="auto"/>
              <w:rPr>
                <w:rFonts w:cs="Arial"/>
                <w:b w:val="0"/>
                <w:i w:val="0"/>
                <w:smallCaps w:val="0"/>
                <w:szCs w:val="22"/>
              </w:rPr>
            </w:pPr>
            <w:r w:rsidRPr="00077F8B">
              <w:rPr>
                <w:rFonts w:cs="Arial"/>
                <w:b w:val="0"/>
                <w:i w:val="0"/>
                <w:smallCaps w:val="0"/>
                <w:szCs w:val="22"/>
              </w:rPr>
              <w:t>26198</w:t>
            </w:r>
          </w:p>
        </w:tc>
      </w:tr>
      <w:tr w:rsidR="00BC7661" w:rsidRPr="00077F8B" w14:paraId="264AB516" w14:textId="77777777" w:rsidTr="66CE9D02">
        <w:tc>
          <w:tcPr>
            <w:tcW w:w="2127" w:type="dxa"/>
          </w:tcPr>
          <w:p w14:paraId="264AB513" w14:textId="1CD863FD" w:rsidR="00BC7661" w:rsidRPr="00077F8B" w:rsidRDefault="00C62039" w:rsidP="00A35F7A">
            <w:pPr>
              <w:pStyle w:val="Columndescription"/>
              <w:spacing w:line="276" w:lineRule="auto"/>
              <w:rPr>
                <w:rFonts w:cs="Arial"/>
                <w:i w:val="0"/>
                <w:smallCaps w:val="0"/>
                <w:szCs w:val="22"/>
                <w:lang w:eastAsia="en-AU"/>
              </w:rPr>
            </w:pPr>
            <w:r w:rsidRPr="00077F8B">
              <w:rPr>
                <w:rFonts w:cs="Arial"/>
                <w:i w:val="0"/>
                <w:smallCaps w:val="0"/>
                <w:szCs w:val="22"/>
                <w:lang w:eastAsia="en-AU"/>
              </w:rPr>
              <w:t>MBIE</w:t>
            </w:r>
            <w:r w:rsidR="00C805B1" w:rsidRPr="00077F8B">
              <w:rPr>
                <w:rFonts w:cs="Arial"/>
                <w:i w:val="0"/>
                <w:smallCaps w:val="0"/>
                <w:szCs w:val="22"/>
                <w:lang w:eastAsia="en-AU"/>
              </w:rPr>
              <w:t xml:space="preserve"> </w:t>
            </w:r>
            <w:r w:rsidR="00A95116" w:rsidRPr="00077F8B">
              <w:rPr>
                <w:rFonts w:cs="Arial"/>
                <w:i w:val="0"/>
                <w:smallCaps w:val="0"/>
                <w:szCs w:val="22"/>
                <w:lang w:eastAsia="en-AU"/>
              </w:rPr>
              <w:t>c</w:t>
            </w:r>
            <w:r w:rsidR="00C805B1" w:rsidRPr="00077F8B">
              <w:rPr>
                <w:rFonts w:cs="Arial"/>
                <w:i w:val="0"/>
                <w:smallCaps w:val="0"/>
                <w:szCs w:val="22"/>
                <w:lang w:eastAsia="en-AU"/>
              </w:rPr>
              <w:t xml:space="preserve">ontract </w:t>
            </w:r>
            <w:r w:rsidR="00A95116" w:rsidRPr="00077F8B">
              <w:rPr>
                <w:rFonts w:cs="Arial"/>
                <w:i w:val="0"/>
                <w:smallCaps w:val="0"/>
                <w:szCs w:val="22"/>
                <w:lang w:eastAsia="en-AU"/>
              </w:rPr>
              <w:t>number</w:t>
            </w:r>
          </w:p>
          <w:p w14:paraId="264AB514" w14:textId="77777777" w:rsidR="00CB40BF" w:rsidRPr="00077F8B" w:rsidRDefault="00CB40BF" w:rsidP="00A35F7A">
            <w:pPr>
              <w:pStyle w:val="Columndescription"/>
              <w:spacing w:line="276" w:lineRule="auto"/>
              <w:rPr>
                <w:rFonts w:cs="Arial"/>
                <w:i w:val="0"/>
                <w:smallCaps w:val="0"/>
                <w:szCs w:val="22"/>
              </w:rPr>
            </w:pPr>
          </w:p>
        </w:tc>
        <w:tc>
          <w:tcPr>
            <w:tcW w:w="7229" w:type="dxa"/>
          </w:tcPr>
          <w:p w14:paraId="264AB515" w14:textId="0C046AD8" w:rsidR="00BC7661" w:rsidRPr="00077F8B" w:rsidRDefault="00BC7661" w:rsidP="00A35F7A">
            <w:pPr>
              <w:pStyle w:val="Columndescription"/>
              <w:spacing w:line="276" w:lineRule="auto"/>
              <w:rPr>
                <w:rFonts w:cs="Arial"/>
                <w:b w:val="0"/>
                <w:i w:val="0"/>
                <w:smallCaps w:val="0"/>
                <w:szCs w:val="22"/>
              </w:rPr>
            </w:pPr>
          </w:p>
        </w:tc>
      </w:tr>
      <w:tr w:rsidR="00BC7661" w:rsidRPr="00077F8B" w14:paraId="264AB51A" w14:textId="77777777" w:rsidTr="66CE9D02">
        <w:tc>
          <w:tcPr>
            <w:tcW w:w="2127" w:type="dxa"/>
          </w:tcPr>
          <w:p w14:paraId="264AB517" w14:textId="6F6778E7" w:rsidR="00BC7661" w:rsidRPr="00077F8B" w:rsidRDefault="00860E71" w:rsidP="00A35F7A">
            <w:pPr>
              <w:pStyle w:val="Columndescription"/>
              <w:spacing w:line="276" w:lineRule="auto"/>
              <w:rPr>
                <w:rFonts w:cs="Arial"/>
                <w:i w:val="0"/>
                <w:smallCaps w:val="0"/>
                <w:szCs w:val="22"/>
              </w:rPr>
            </w:pPr>
            <w:r w:rsidRPr="00077F8B">
              <w:rPr>
                <w:rFonts w:cs="Arial"/>
                <w:i w:val="0"/>
                <w:smallCaps w:val="0"/>
                <w:szCs w:val="22"/>
              </w:rPr>
              <w:t>P</w:t>
            </w:r>
            <w:r w:rsidR="00D06494" w:rsidRPr="00077F8B">
              <w:rPr>
                <w:rFonts w:cs="Arial"/>
                <w:i w:val="0"/>
                <w:smallCaps w:val="0"/>
                <w:szCs w:val="22"/>
              </w:rPr>
              <w:t>AD</w:t>
            </w:r>
            <w:r w:rsidR="00A75ADC" w:rsidRPr="00077F8B">
              <w:rPr>
                <w:rFonts w:cs="Arial"/>
                <w:i w:val="0"/>
                <w:smallCaps w:val="0"/>
                <w:szCs w:val="22"/>
              </w:rPr>
              <w:t xml:space="preserve"> output number</w:t>
            </w:r>
          </w:p>
          <w:p w14:paraId="264AB518" w14:textId="77777777" w:rsidR="00CB40BF" w:rsidRPr="00077F8B" w:rsidRDefault="00CB40BF" w:rsidP="00A35F7A">
            <w:pPr>
              <w:pStyle w:val="Columndescription"/>
              <w:spacing w:line="276" w:lineRule="auto"/>
              <w:rPr>
                <w:rFonts w:cs="Arial"/>
                <w:i w:val="0"/>
                <w:smallCaps w:val="0"/>
                <w:szCs w:val="22"/>
              </w:rPr>
            </w:pPr>
          </w:p>
        </w:tc>
        <w:tc>
          <w:tcPr>
            <w:tcW w:w="7229" w:type="dxa"/>
          </w:tcPr>
          <w:p w14:paraId="264AB519" w14:textId="0B78504B" w:rsidR="00BC7661" w:rsidRPr="00077F8B" w:rsidRDefault="008464A3" w:rsidP="00F15650">
            <w:pPr>
              <w:pStyle w:val="Columndescription"/>
              <w:spacing w:line="276" w:lineRule="auto"/>
              <w:rPr>
                <w:rFonts w:cs="Arial"/>
                <w:b w:val="0"/>
                <w:i w:val="0"/>
                <w:smallCaps w:val="0"/>
              </w:rPr>
            </w:pPr>
            <w:r w:rsidRPr="004F2A28">
              <w:rPr>
                <w:rFonts w:cs="Arial"/>
                <w:b w:val="0"/>
                <w:i w:val="0"/>
                <w:smallCaps w:val="0"/>
              </w:rPr>
              <w:t>89329720</w:t>
            </w:r>
          </w:p>
        </w:tc>
      </w:tr>
      <w:tr w:rsidR="00BC7661" w:rsidRPr="00077F8B" w14:paraId="264AB51F" w14:textId="77777777" w:rsidTr="66CE9D02">
        <w:tc>
          <w:tcPr>
            <w:tcW w:w="2127" w:type="dxa"/>
          </w:tcPr>
          <w:p w14:paraId="264AB51B" w14:textId="77777777" w:rsidR="00BC7661" w:rsidRPr="00077F8B" w:rsidRDefault="00BC7661" w:rsidP="00A35F7A">
            <w:pPr>
              <w:pStyle w:val="Columndescription"/>
              <w:spacing w:line="276" w:lineRule="auto"/>
              <w:rPr>
                <w:rFonts w:cs="Arial"/>
                <w:i w:val="0"/>
                <w:smallCaps w:val="0"/>
                <w:szCs w:val="22"/>
              </w:rPr>
            </w:pPr>
            <w:r w:rsidRPr="00077F8B">
              <w:rPr>
                <w:rFonts w:cs="Arial"/>
                <w:i w:val="0"/>
                <w:smallCaps w:val="0"/>
                <w:szCs w:val="22"/>
              </w:rPr>
              <w:t>Signed off by</w:t>
            </w:r>
          </w:p>
          <w:p w14:paraId="264AB51C" w14:textId="77777777" w:rsidR="00BC7661" w:rsidRPr="00077F8B" w:rsidRDefault="00BC7661" w:rsidP="00A35F7A">
            <w:pPr>
              <w:pStyle w:val="Columndescription"/>
              <w:spacing w:line="276" w:lineRule="auto"/>
              <w:rPr>
                <w:rFonts w:cs="Arial"/>
                <w:i w:val="0"/>
                <w:smallCaps w:val="0"/>
                <w:szCs w:val="22"/>
              </w:rPr>
            </w:pPr>
          </w:p>
        </w:tc>
        <w:tc>
          <w:tcPr>
            <w:tcW w:w="7229" w:type="dxa"/>
          </w:tcPr>
          <w:p w14:paraId="264AB51E" w14:textId="6E9B7A5E" w:rsidR="00BC7661" w:rsidRPr="00077F8B" w:rsidRDefault="00A97F3A" w:rsidP="00A35F7A">
            <w:pPr>
              <w:pStyle w:val="Columndescription"/>
              <w:spacing w:line="276" w:lineRule="auto"/>
              <w:rPr>
                <w:rFonts w:cs="Arial"/>
                <w:b w:val="0"/>
                <w:i w:val="0"/>
                <w:smallCaps w:val="0"/>
                <w:szCs w:val="22"/>
              </w:rPr>
            </w:pPr>
            <w:r>
              <w:rPr>
                <w:rFonts w:cs="Arial"/>
                <w:b w:val="0"/>
                <w:i w:val="0"/>
                <w:smallCaps w:val="0"/>
                <w:szCs w:val="22"/>
              </w:rPr>
              <w:t>Yvette Dickinson</w:t>
            </w:r>
          </w:p>
        </w:tc>
      </w:tr>
      <w:tr w:rsidR="00DE0BB3" w:rsidRPr="00077F8B" w14:paraId="264AB523" w14:textId="77777777" w:rsidTr="66CE9D02">
        <w:tc>
          <w:tcPr>
            <w:tcW w:w="2127" w:type="dxa"/>
          </w:tcPr>
          <w:p w14:paraId="264AB520" w14:textId="77777777" w:rsidR="00DE0BB3" w:rsidRPr="00077F8B" w:rsidRDefault="00DE0BB3" w:rsidP="00A35F7A">
            <w:pPr>
              <w:pStyle w:val="Columndescription"/>
              <w:spacing w:line="276" w:lineRule="auto"/>
              <w:rPr>
                <w:rFonts w:cs="Arial"/>
                <w:i w:val="0"/>
                <w:smallCaps w:val="0"/>
                <w:szCs w:val="22"/>
              </w:rPr>
            </w:pPr>
            <w:r w:rsidRPr="00077F8B">
              <w:rPr>
                <w:rFonts w:cs="Arial"/>
                <w:i w:val="0"/>
                <w:smallCaps w:val="0"/>
                <w:szCs w:val="22"/>
              </w:rPr>
              <w:t>Date</w:t>
            </w:r>
          </w:p>
          <w:p w14:paraId="264AB521" w14:textId="77777777" w:rsidR="00DE0BB3" w:rsidRPr="00077F8B" w:rsidRDefault="00DE0BB3" w:rsidP="00A35F7A">
            <w:pPr>
              <w:pStyle w:val="Columndescription"/>
              <w:spacing w:line="276" w:lineRule="auto"/>
              <w:rPr>
                <w:rFonts w:cs="Arial"/>
                <w:i w:val="0"/>
                <w:smallCaps w:val="0"/>
                <w:szCs w:val="22"/>
              </w:rPr>
            </w:pPr>
          </w:p>
        </w:tc>
        <w:tc>
          <w:tcPr>
            <w:tcW w:w="7229" w:type="dxa"/>
          </w:tcPr>
          <w:p w14:paraId="264AB522" w14:textId="60AD7030" w:rsidR="00DE0BB3" w:rsidRPr="00077F8B" w:rsidRDefault="00EC48C1" w:rsidP="00A35F7A">
            <w:pPr>
              <w:pStyle w:val="Columndescription"/>
              <w:spacing w:line="276" w:lineRule="auto"/>
              <w:rPr>
                <w:rFonts w:cs="Arial"/>
                <w:b w:val="0"/>
                <w:i w:val="0"/>
                <w:smallCaps w:val="0"/>
                <w:szCs w:val="22"/>
              </w:rPr>
            </w:pPr>
            <w:r>
              <w:rPr>
                <w:rFonts w:cs="Arial"/>
                <w:b w:val="0"/>
                <w:i w:val="0"/>
                <w:smallCaps w:val="0"/>
                <w:szCs w:val="22"/>
              </w:rPr>
              <w:t>Octobe</w:t>
            </w:r>
            <w:r w:rsidR="00CC1C33">
              <w:rPr>
                <w:rFonts w:cs="Arial"/>
                <w:b w:val="0"/>
                <w:i w:val="0"/>
                <w:smallCaps w:val="0"/>
                <w:szCs w:val="22"/>
              </w:rPr>
              <w:t>r</w:t>
            </w:r>
            <w:r>
              <w:rPr>
                <w:rFonts w:cs="Arial"/>
                <w:b w:val="0"/>
                <w:i w:val="0"/>
                <w:smallCaps w:val="0"/>
                <w:szCs w:val="22"/>
              </w:rPr>
              <w:t xml:space="preserve"> </w:t>
            </w:r>
            <w:r w:rsidR="00A95A28" w:rsidRPr="00077F8B">
              <w:rPr>
                <w:rFonts w:cs="Arial"/>
                <w:b w:val="0"/>
                <w:i w:val="0"/>
                <w:smallCaps w:val="0"/>
                <w:szCs w:val="22"/>
              </w:rPr>
              <w:t>202</w:t>
            </w:r>
            <w:r w:rsidR="003B18DF">
              <w:rPr>
                <w:rFonts w:cs="Arial"/>
                <w:b w:val="0"/>
                <w:i w:val="0"/>
                <w:smallCaps w:val="0"/>
                <w:szCs w:val="22"/>
              </w:rPr>
              <w:t>4</w:t>
            </w:r>
          </w:p>
        </w:tc>
      </w:tr>
      <w:tr w:rsidR="00DE0BB3" w:rsidRPr="00077F8B" w14:paraId="264AB528" w14:textId="77777777" w:rsidTr="66CE9D02">
        <w:tc>
          <w:tcPr>
            <w:tcW w:w="2127" w:type="dxa"/>
          </w:tcPr>
          <w:p w14:paraId="264AB524" w14:textId="255A3195" w:rsidR="00DE0BB3" w:rsidRPr="00077F8B" w:rsidRDefault="00DE0BB3" w:rsidP="00A35F7A">
            <w:pPr>
              <w:pStyle w:val="Columndescription"/>
              <w:spacing w:line="276" w:lineRule="auto"/>
              <w:rPr>
                <w:rFonts w:cs="Arial"/>
                <w:i w:val="0"/>
                <w:smallCaps w:val="0"/>
                <w:szCs w:val="22"/>
              </w:rPr>
            </w:pPr>
            <w:r w:rsidRPr="00077F8B">
              <w:rPr>
                <w:rFonts w:cs="Arial"/>
                <w:i w:val="0"/>
                <w:smallCaps w:val="0"/>
                <w:szCs w:val="22"/>
              </w:rPr>
              <w:t xml:space="preserve">Confidentiality </w:t>
            </w:r>
            <w:r w:rsidR="00A95116" w:rsidRPr="00077F8B">
              <w:rPr>
                <w:rFonts w:cs="Arial"/>
                <w:i w:val="0"/>
                <w:smallCaps w:val="0"/>
                <w:szCs w:val="22"/>
              </w:rPr>
              <w:t>r</w:t>
            </w:r>
            <w:r w:rsidRPr="00077F8B">
              <w:rPr>
                <w:rFonts w:cs="Arial"/>
                <w:i w:val="0"/>
                <w:smallCaps w:val="0"/>
                <w:szCs w:val="22"/>
              </w:rPr>
              <w:t>equirement</w:t>
            </w:r>
          </w:p>
          <w:p w14:paraId="264AB525" w14:textId="77777777" w:rsidR="00DE0BB3" w:rsidRPr="00077F8B" w:rsidRDefault="00DE0BB3" w:rsidP="00A35F7A">
            <w:pPr>
              <w:pStyle w:val="Columndescription"/>
              <w:spacing w:line="276" w:lineRule="auto"/>
              <w:rPr>
                <w:rFonts w:cs="Arial"/>
                <w:i w:val="0"/>
                <w:smallCaps w:val="0"/>
                <w:szCs w:val="22"/>
              </w:rPr>
            </w:pPr>
          </w:p>
        </w:tc>
        <w:tc>
          <w:tcPr>
            <w:tcW w:w="7229" w:type="dxa"/>
          </w:tcPr>
          <w:p w14:paraId="264AB526" w14:textId="77777777" w:rsidR="00DE0BB3" w:rsidRPr="00077F8B" w:rsidRDefault="00DE0BB3" w:rsidP="00A35F7A">
            <w:pPr>
              <w:pStyle w:val="Columndescription"/>
              <w:spacing w:line="276" w:lineRule="auto"/>
              <w:ind w:left="-9"/>
              <w:rPr>
                <w:rFonts w:cs="Arial"/>
                <w:b w:val="0"/>
                <w:i w:val="0"/>
                <w:smallCaps w:val="0"/>
                <w:szCs w:val="22"/>
              </w:rPr>
            </w:pPr>
            <w:r w:rsidRPr="00077F8B">
              <w:rPr>
                <w:rFonts w:cs="Arial"/>
                <w:b w:val="0"/>
                <w:i w:val="0"/>
                <w:smallCaps w:val="0"/>
                <w:szCs w:val="22"/>
              </w:rPr>
              <w:t>Confidential (for client use only)</w:t>
            </w:r>
          </w:p>
          <w:p w14:paraId="264AB527" w14:textId="77777777" w:rsidR="00DE0BB3" w:rsidRPr="00077F8B" w:rsidRDefault="00DE0BB3" w:rsidP="00A35F7A">
            <w:pPr>
              <w:pStyle w:val="Columndescription"/>
              <w:spacing w:line="276" w:lineRule="auto"/>
              <w:ind w:left="841"/>
              <w:rPr>
                <w:rFonts w:cs="Arial"/>
                <w:b w:val="0"/>
                <w:i w:val="0"/>
                <w:smallCaps w:val="0"/>
                <w:szCs w:val="22"/>
              </w:rPr>
            </w:pPr>
            <w:r w:rsidRPr="00077F8B">
              <w:rPr>
                <w:rFonts w:cs="Arial"/>
                <w:b w:val="0"/>
                <w:i w:val="0"/>
                <w:smallCaps w:val="0"/>
                <w:szCs w:val="22"/>
              </w:rPr>
              <w:t xml:space="preserve"> </w:t>
            </w:r>
          </w:p>
        </w:tc>
      </w:tr>
      <w:tr w:rsidR="00DE0BB3" w:rsidRPr="00077F8B" w14:paraId="264AB52D" w14:textId="77777777" w:rsidTr="66CE9D02">
        <w:tc>
          <w:tcPr>
            <w:tcW w:w="2127" w:type="dxa"/>
          </w:tcPr>
          <w:p w14:paraId="264AB529" w14:textId="23B126CD" w:rsidR="00DE0BB3" w:rsidRPr="00077F8B" w:rsidRDefault="00DE0BB3" w:rsidP="00A35F7A">
            <w:pPr>
              <w:pStyle w:val="Columndescription"/>
              <w:spacing w:line="276" w:lineRule="auto"/>
              <w:rPr>
                <w:rFonts w:cs="Arial"/>
                <w:i w:val="0"/>
                <w:smallCaps w:val="0"/>
                <w:szCs w:val="22"/>
              </w:rPr>
            </w:pPr>
            <w:r w:rsidRPr="00077F8B">
              <w:rPr>
                <w:rFonts w:cs="Arial"/>
                <w:i w:val="0"/>
                <w:smallCaps w:val="0"/>
                <w:szCs w:val="22"/>
              </w:rPr>
              <w:t xml:space="preserve">Intellectual </w:t>
            </w:r>
            <w:r w:rsidR="00A95116" w:rsidRPr="00077F8B">
              <w:rPr>
                <w:rFonts w:cs="Arial"/>
                <w:i w:val="0"/>
                <w:smallCaps w:val="0"/>
                <w:szCs w:val="22"/>
              </w:rPr>
              <w:t>p</w:t>
            </w:r>
            <w:r w:rsidRPr="00077F8B">
              <w:rPr>
                <w:rFonts w:cs="Arial"/>
                <w:i w:val="0"/>
                <w:smallCaps w:val="0"/>
                <w:szCs w:val="22"/>
              </w:rPr>
              <w:t>roperty</w:t>
            </w:r>
          </w:p>
          <w:p w14:paraId="264AB52A" w14:textId="77777777" w:rsidR="00DE0BB3" w:rsidRPr="00077F8B" w:rsidRDefault="00DE0BB3" w:rsidP="00A35F7A">
            <w:pPr>
              <w:pStyle w:val="Columndescription"/>
              <w:spacing w:line="276" w:lineRule="auto"/>
              <w:rPr>
                <w:rFonts w:cs="Arial"/>
                <w:i w:val="0"/>
                <w:smallCaps w:val="0"/>
                <w:szCs w:val="22"/>
              </w:rPr>
            </w:pPr>
          </w:p>
        </w:tc>
        <w:tc>
          <w:tcPr>
            <w:tcW w:w="7229" w:type="dxa"/>
          </w:tcPr>
          <w:p w14:paraId="264AB52C" w14:textId="79378D02" w:rsidR="00DE0BB3" w:rsidRPr="00077F8B" w:rsidRDefault="00DE0BB3" w:rsidP="00A35F7A">
            <w:pPr>
              <w:pStyle w:val="Columndescription"/>
              <w:spacing w:line="276" w:lineRule="auto"/>
              <w:rPr>
                <w:rFonts w:cs="Arial"/>
                <w:b w:val="0"/>
                <w:i w:val="0"/>
                <w:smallCaps w:val="0"/>
                <w:szCs w:val="22"/>
              </w:rPr>
            </w:pPr>
            <w:r w:rsidRPr="00077F8B">
              <w:rPr>
                <w:rFonts w:cs="Arial"/>
                <w:b w:val="0"/>
                <w:i w:val="0"/>
                <w:smallCaps w:val="0"/>
                <w:szCs w:val="22"/>
                <w:lang w:eastAsia="en-AU"/>
              </w:rPr>
              <w:t xml:space="preserve">© </w:t>
            </w:r>
            <w:r w:rsidR="00A95116" w:rsidRPr="00077F8B">
              <w:rPr>
                <w:rFonts w:cs="Arial"/>
                <w:b w:val="0"/>
                <w:i w:val="0"/>
                <w:smallCaps w:val="0"/>
                <w:szCs w:val="22"/>
                <w:lang w:eastAsia="en-AU"/>
              </w:rPr>
              <w:t>New Zealand Forest Research Institute Limited. All rights reserved. Unless permitted by contract or law, no part of this work may be reproduced, stored or copied in any form or by any means without the express permission of the New Zealand Forest Research Institute Limited (trading as Scion).</w:t>
            </w:r>
          </w:p>
        </w:tc>
      </w:tr>
      <w:tr w:rsidR="0070027D" w:rsidRPr="00077F8B" w14:paraId="36A64042" w14:textId="77777777" w:rsidTr="66CE9D02">
        <w:tc>
          <w:tcPr>
            <w:tcW w:w="2127" w:type="dxa"/>
          </w:tcPr>
          <w:p w14:paraId="41F0BEB7" w14:textId="77777777" w:rsidR="0070027D" w:rsidRPr="00077F8B" w:rsidRDefault="0070027D" w:rsidP="00A35F7A">
            <w:pPr>
              <w:pStyle w:val="Columndescription"/>
              <w:spacing w:line="276" w:lineRule="auto"/>
              <w:rPr>
                <w:rFonts w:cs="Arial"/>
                <w:i w:val="0"/>
                <w:smallCaps w:val="0"/>
                <w:szCs w:val="22"/>
              </w:rPr>
            </w:pPr>
          </w:p>
        </w:tc>
        <w:tc>
          <w:tcPr>
            <w:tcW w:w="7229" w:type="dxa"/>
          </w:tcPr>
          <w:p w14:paraId="4BD14739" w14:textId="77777777" w:rsidR="0070027D" w:rsidRPr="00077F8B" w:rsidRDefault="0070027D" w:rsidP="00A35F7A">
            <w:pPr>
              <w:pStyle w:val="Columndescription"/>
              <w:spacing w:line="276" w:lineRule="auto"/>
              <w:rPr>
                <w:rFonts w:cs="Arial"/>
                <w:b w:val="0"/>
                <w:i w:val="0"/>
                <w:szCs w:val="22"/>
                <w:lang w:eastAsia="en-AU"/>
              </w:rPr>
            </w:pPr>
          </w:p>
        </w:tc>
      </w:tr>
      <w:tr w:rsidR="0070027D" w:rsidRPr="00077F8B" w14:paraId="6E5D11BF" w14:textId="77777777" w:rsidTr="66CE9D02">
        <w:tc>
          <w:tcPr>
            <w:tcW w:w="2127" w:type="dxa"/>
          </w:tcPr>
          <w:p w14:paraId="5C6F668D" w14:textId="77777777" w:rsidR="0070027D" w:rsidRPr="00077F8B" w:rsidRDefault="0070027D" w:rsidP="00A35F7A">
            <w:pPr>
              <w:pStyle w:val="Columndescription"/>
              <w:spacing w:line="276" w:lineRule="auto"/>
              <w:rPr>
                <w:rFonts w:cs="Arial"/>
                <w:i w:val="0"/>
                <w:smallCaps w:val="0"/>
                <w:szCs w:val="22"/>
              </w:rPr>
            </w:pPr>
          </w:p>
        </w:tc>
        <w:tc>
          <w:tcPr>
            <w:tcW w:w="7229" w:type="dxa"/>
          </w:tcPr>
          <w:p w14:paraId="38BE0F48" w14:textId="77777777" w:rsidR="0070027D" w:rsidRPr="00077F8B" w:rsidRDefault="0070027D" w:rsidP="00A35F7A">
            <w:pPr>
              <w:pStyle w:val="Columndescription"/>
              <w:spacing w:line="276" w:lineRule="auto"/>
              <w:rPr>
                <w:rFonts w:cs="Arial"/>
                <w:b w:val="0"/>
                <w:i w:val="0"/>
                <w:szCs w:val="22"/>
                <w:lang w:eastAsia="en-AU"/>
              </w:rPr>
            </w:pPr>
          </w:p>
        </w:tc>
      </w:tr>
      <w:tr w:rsidR="00A95116" w:rsidRPr="00077F8B" w14:paraId="483A0659" w14:textId="77777777" w:rsidTr="66CE9D02">
        <w:tc>
          <w:tcPr>
            <w:tcW w:w="2127" w:type="dxa"/>
          </w:tcPr>
          <w:p w14:paraId="1DF3F971" w14:textId="77777777" w:rsidR="00A95116" w:rsidRPr="00077F8B" w:rsidRDefault="00A95116" w:rsidP="00A35F7A">
            <w:pPr>
              <w:pStyle w:val="Columndescription"/>
              <w:spacing w:line="276" w:lineRule="auto"/>
              <w:rPr>
                <w:rFonts w:cs="Arial"/>
                <w:i w:val="0"/>
                <w:smallCaps w:val="0"/>
                <w:szCs w:val="22"/>
              </w:rPr>
            </w:pPr>
          </w:p>
        </w:tc>
        <w:tc>
          <w:tcPr>
            <w:tcW w:w="7229" w:type="dxa"/>
          </w:tcPr>
          <w:p w14:paraId="33B52ADC" w14:textId="77777777" w:rsidR="00A95116" w:rsidRPr="00077F8B" w:rsidRDefault="00A95116" w:rsidP="00A35F7A">
            <w:pPr>
              <w:pStyle w:val="Columndescription"/>
              <w:spacing w:line="276" w:lineRule="auto"/>
              <w:rPr>
                <w:rFonts w:cs="Arial"/>
                <w:b w:val="0"/>
                <w:i w:val="0"/>
                <w:szCs w:val="22"/>
                <w:lang w:eastAsia="en-AU"/>
              </w:rPr>
            </w:pPr>
          </w:p>
        </w:tc>
      </w:tr>
      <w:tr w:rsidR="00A95116" w:rsidRPr="00077F8B" w14:paraId="10398010" w14:textId="77777777" w:rsidTr="66CE9D02">
        <w:tc>
          <w:tcPr>
            <w:tcW w:w="2127" w:type="dxa"/>
          </w:tcPr>
          <w:p w14:paraId="3E1CE244" w14:textId="71D873EE" w:rsidR="00A95116" w:rsidRPr="00077F8B" w:rsidRDefault="00A95116" w:rsidP="00A35F7A">
            <w:pPr>
              <w:autoSpaceDE w:val="0"/>
              <w:autoSpaceDN w:val="0"/>
              <w:adjustRightInd w:val="0"/>
              <w:spacing w:line="276" w:lineRule="auto"/>
              <w:jc w:val="both"/>
              <w:rPr>
                <w:rFonts w:cs="Arial"/>
                <w:b/>
                <w:szCs w:val="20"/>
                <w:lang w:eastAsia="en-AU"/>
              </w:rPr>
            </w:pPr>
            <w:r w:rsidRPr="00077F8B">
              <w:rPr>
                <w:rFonts w:cs="Arial"/>
                <w:b/>
                <w:szCs w:val="20"/>
                <w:lang w:eastAsia="en-AU"/>
              </w:rPr>
              <w:t>Disclaimer</w:t>
            </w:r>
          </w:p>
        </w:tc>
        <w:tc>
          <w:tcPr>
            <w:tcW w:w="7229" w:type="dxa"/>
          </w:tcPr>
          <w:p w14:paraId="33D98FC9" w14:textId="7C99F2B8" w:rsidR="00A95116" w:rsidRPr="00077F8B" w:rsidRDefault="00A95116" w:rsidP="00A35F7A">
            <w:pPr>
              <w:tabs>
                <w:tab w:val="left" w:pos="4153"/>
                <w:tab w:val="left" w:pos="8306"/>
              </w:tabs>
              <w:autoSpaceDE w:val="0"/>
              <w:autoSpaceDN w:val="0"/>
              <w:adjustRightInd w:val="0"/>
              <w:spacing w:line="276" w:lineRule="auto"/>
              <w:rPr>
                <w:rFonts w:cs="Arial"/>
                <w:szCs w:val="20"/>
                <w:lang w:val="en-GB" w:eastAsia="en-GB"/>
              </w:rPr>
            </w:pPr>
            <w:r w:rsidRPr="00077F8B">
              <w:rPr>
                <w:rFonts w:cs="Arial"/>
                <w:szCs w:val="20"/>
                <w:lang w:val="en-GB" w:eastAsia="en-GB"/>
              </w:rPr>
              <w:t>The information and opinions provided in the Report have been prepared for the Client and its specified purposes. Accordingly, any person other than the Client uses the information and opinions in this report entirely at its own risk. The Report has been provided in good faith and on the basis that reasonable endeavours have been made to be accurate and not misleading and to exercise reasonable care, skill and judgment in providing such information and opinions.</w:t>
            </w:r>
          </w:p>
          <w:p w14:paraId="171DA2A3" w14:textId="77777777" w:rsidR="00A95116" w:rsidRPr="00077F8B" w:rsidRDefault="00A95116" w:rsidP="00A35F7A">
            <w:pPr>
              <w:tabs>
                <w:tab w:val="left" w:pos="4153"/>
                <w:tab w:val="left" w:pos="8306"/>
              </w:tabs>
              <w:autoSpaceDE w:val="0"/>
              <w:autoSpaceDN w:val="0"/>
              <w:adjustRightInd w:val="0"/>
              <w:spacing w:line="276" w:lineRule="auto"/>
              <w:rPr>
                <w:rFonts w:cs="Arial"/>
                <w:szCs w:val="20"/>
                <w:lang w:val="en-GB" w:eastAsia="en-GB"/>
              </w:rPr>
            </w:pPr>
          </w:p>
          <w:p w14:paraId="037ECF5E" w14:textId="77777777" w:rsidR="00A95116" w:rsidRPr="00077F8B" w:rsidRDefault="00A95116" w:rsidP="00A35F7A">
            <w:pPr>
              <w:tabs>
                <w:tab w:val="left" w:pos="4153"/>
                <w:tab w:val="left" w:pos="8306"/>
              </w:tabs>
              <w:autoSpaceDE w:val="0"/>
              <w:autoSpaceDN w:val="0"/>
              <w:adjustRightInd w:val="0"/>
              <w:spacing w:line="276" w:lineRule="auto"/>
              <w:rPr>
                <w:rFonts w:cs="Arial"/>
                <w:szCs w:val="20"/>
                <w:lang w:val="en-GB" w:eastAsia="en-GB"/>
              </w:rPr>
            </w:pPr>
            <w:r w:rsidRPr="00077F8B">
              <w:rPr>
                <w:rFonts w:cs="Arial"/>
                <w:szCs w:val="20"/>
                <w:lang w:val="en-GB" w:eastAsia="en-GB"/>
              </w:rPr>
              <w:t>Neither Scion, nor any of its employees, officers, contractors, agents or other persons acting on its behalf or under its control accepts any responsibility or liability in respect of any information or opinions provided in this Report.</w:t>
            </w:r>
          </w:p>
          <w:p w14:paraId="75210E96" w14:textId="7DB47080" w:rsidR="0070027D" w:rsidRPr="00077F8B" w:rsidRDefault="0070027D" w:rsidP="00A35F7A">
            <w:pPr>
              <w:tabs>
                <w:tab w:val="left" w:pos="4153"/>
                <w:tab w:val="left" w:pos="8306"/>
              </w:tabs>
              <w:autoSpaceDE w:val="0"/>
              <w:autoSpaceDN w:val="0"/>
              <w:adjustRightInd w:val="0"/>
              <w:spacing w:line="276" w:lineRule="auto"/>
              <w:rPr>
                <w:rFonts w:cs="Arial"/>
                <w:i/>
                <w:lang w:val="en-NZ" w:eastAsia="en-NZ"/>
              </w:rPr>
            </w:pPr>
          </w:p>
        </w:tc>
      </w:tr>
    </w:tbl>
    <w:p w14:paraId="264AB52F" w14:textId="0E7D80C5" w:rsidR="002E172B" w:rsidRPr="00077F8B" w:rsidRDefault="00A95116" w:rsidP="00A35F7A">
      <w:pPr>
        <w:pStyle w:val="Columndescription"/>
        <w:spacing w:line="276" w:lineRule="auto"/>
        <w:rPr>
          <w:rFonts w:cs="Arial"/>
          <w:b w:val="0"/>
          <w:i w:val="0"/>
          <w:smallCaps w:val="0"/>
          <w:sz w:val="18"/>
          <w:szCs w:val="18"/>
          <w:lang w:eastAsia="en-AU"/>
        </w:rPr>
      </w:pPr>
      <w:r w:rsidRPr="00077F8B">
        <w:rPr>
          <w:rFonts w:cs="Arial"/>
          <w:b w:val="0"/>
          <w:i w:val="0"/>
          <w:smallCaps w:val="0"/>
          <w:sz w:val="18"/>
          <w:szCs w:val="18"/>
          <w:lang w:eastAsia="en-AU"/>
        </w:rPr>
        <w:t>Published by: Scion, Private Bag 3020, Rotorua 3046, New</w:t>
      </w:r>
      <w:r w:rsidR="005B500B" w:rsidRPr="00077F8B">
        <w:rPr>
          <w:rFonts w:cs="Arial"/>
          <w:b w:val="0"/>
          <w:i w:val="0"/>
          <w:smallCaps w:val="0"/>
          <w:sz w:val="18"/>
          <w:szCs w:val="18"/>
          <w:lang w:eastAsia="en-AU"/>
        </w:rPr>
        <w:t xml:space="preserve"> </w:t>
      </w:r>
      <w:r w:rsidRPr="00077F8B">
        <w:rPr>
          <w:rFonts w:cs="Arial"/>
          <w:b w:val="0"/>
          <w:i w:val="0"/>
          <w:smallCaps w:val="0"/>
          <w:sz w:val="18"/>
          <w:szCs w:val="18"/>
          <w:lang w:eastAsia="en-AU"/>
        </w:rPr>
        <w:t xml:space="preserve">Zealand. </w:t>
      </w:r>
      <w:r w:rsidR="0070027D" w:rsidRPr="00077F8B">
        <w:rPr>
          <w:rFonts w:cs="Arial"/>
          <w:b w:val="0"/>
          <w:i w:val="0"/>
          <w:smallCaps w:val="0"/>
          <w:sz w:val="18"/>
          <w:szCs w:val="18"/>
          <w:lang w:eastAsia="en-AU"/>
        </w:rPr>
        <w:t>www.scionresearch.com</w:t>
      </w:r>
    </w:p>
    <w:p w14:paraId="264AB530" w14:textId="77777777" w:rsidR="00EE266C" w:rsidRPr="00077F8B" w:rsidRDefault="00EE266C" w:rsidP="00A35F7A">
      <w:pPr>
        <w:pStyle w:val="Columndescription"/>
        <w:spacing w:line="276" w:lineRule="auto"/>
        <w:rPr>
          <w:rFonts w:cs="Arial"/>
          <w:lang w:eastAsia="en-AU"/>
        </w:rPr>
      </w:pPr>
    </w:p>
    <w:p w14:paraId="264AB534" w14:textId="77777777" w:rsidR="00F40041" w:rsidRPr="00077F8B" w:rsidRDefault="00F40041" w:rsidP="00A35F7A">
      <w:pPr>
        <w:spacing w:line="276" w:lineRule="auto"/>
        <w:sectPr w:rsidR="00F40041" w:rsidRPr="00077F8B" w:rsidSect="003701B4">
          <w:footerReference w:type="default" r:id="rId13"/>
          <w:headerReference w:type="first" r:id="rId14"/>
          <w:footerReference w:type="first" r:id="rId15"/>
          <w:pgSz w:w="11906" w:h="16838" w:code="9"/>
          <w:pgMar w:top="1418" w:right="1134" w:bottom="1134" w:left="1418" w:header="567" w:footer="567" w:gutter="0"/>
          <w:pgNumType w:fmt="lowerRoman"/>
          <w:cols w:space="720"/>
          <w:titlePg/>
        </w:sectPr>
      </w:pPr>
    </w:p>
    <w:p w14:paraId="7F477BA9" w14:textId="13401AC1" w:rsidR="005B5ADC" w:rsidRPr="00077F8B" w:rsidRDefault="00F638BE" w:rsidP="68366F82">
      <w:pPr>
        <w:pStyle w:val="Heading1"/>
        <w:spacing w:line="276" w:lineRule="auto"/>
        <w:rPr>
          <w:b w:val="0"/>
          <w:color w:val="auto"/>
          <w:sz w:val="20"/>
          <w:szCs w:val="20"/>
        </w:rPr>
      </w:pPr>
      <w:bookmarkStart w:id="0" w:name="_Toc178255274"/>
      <w:r>
        <w:lastRenderedPageBreak/>
        <w:t xml:space="preserve">Executive </w:t>
      </w:r>
      <w:r w:rsidR="00B813F7">
        <w:t>s</w:t>
      </w:r>
      <w:r>
        <w:t>ummary</w:t>
      </w:r>
      <w:bookmarkEnd w:id="0"/>
    </w:p>
    <w:p w14:paraId="120329D7" w14:textId="32407D9A" w:rsidR="00190C12" w:rsidRDefault="00190C12" w:rsidP="00190C12">
      <w:pPr>
        <w:spacing w:line="276" w:lineRule="auto"/>
        <w:rPr>
          <w:rFonts w:cs="Arial"/>
          <w:szCs w:val="20"/>
        </w:rPr>
      </w:pPr>
      <w:r>
        <w:rPr>
          <w:rFonts w:cs="Arial"/>
          <w:szCs w:val="20"/>
        </w:rPr>
        <w:t>Under the Paris Agreement</w:t>
      </w:r>
      <w:r w:rsidR="007879AC">
        <w:rPr>
          <w:rFonts w:cs="Arial"/>
          <w:szCs w:val="20"/>
        </w:rPr>
        <w:t>,</w:t>
      </w:r>
      <w:r>
        <w:rPr>
          <w:rFonts w:cs="Arial"/>
          <w:szCs w:val="20"/>
        </w:rPr>
        <w:t xml:space="preserve"> New Zealand has committed in our Nationally Determined Contribution to reduce greenhouse gas emissions to 50 percent below gross emission levels in 2005 by 2030. New Zealand has indicated that it will apply activity-based accounting similar to the requirement under the Kyoto Protocol, with the exception that forests established since 31 December 1989 (post-1989 forests) will be accounted for under stock changing accounting until their long-term average carbon stock (LTA stock) is reached, and then transfer to accounting against a business-as-usual Forest Reference Level (FRL), as for pre-1990 forests. </w:t>
      </w:r>
    </w:p>
    <w:p w14:paraId="1E68D980" w14:textId="77777777" w:rsidR="00190C12" w:rsidRDefault="00190C12" w:rsidP="00190C12">
      <w:pPr>
        <w:spacing w:line="276" w:lineRule="auto"/>
        <w:rPr>
          <w:rFonts w:cs="Arial"/>
          <w:szCs w:val="20"/>
        </w:rPr>
      </w:pPr>
    </w:p>
    <w:p w14:paraId="376CC669" w14:textId="66FEE503" w:rsidR="00190C12" w:rsidRDefault="00190C12" w:rsidP="00190C12">
      <w:pPr>
        <w:spacing w:line="276" w:lineRule="auto"/>
        <w:rPr>
          <w:rFonts w:cs="Arial"/>
          <w:szCs w:val="20"/>
        </w:rPr>
      </w:pPr>
      <w:r>
        <w:rPr>
          <w:rFonts w:cs="Arial"/>
          <w:szCs w:val="20"/>
        </w:rPr>
        <w:t xml:space="preserve">The purpose of the pre-1990 FRL is to establish ‘additionality’, so that parties only account for net emission changes that result from changes to the business-as-usual management practices carried out during the historic reference period. The purpose of the post-1989 FRL is to provide assurance that changes in management that would affect the calculated LTA stock are reflected in the accounting quantity. This can also be achieved by recalculating the LTA stock, as it is not tied to a </w:t>
      </w:r>
      <w:r w:rsidR="009161DE">
        <w:rPr>
          <w:rFonts w:cs="Arial"/>
          <w:szCs w:val="20"/>
        </w:rPr>
        <w:t>historic</w:t>
      </w:r>
      <w:r>
        <w:rPr>
          <w:rFonts w:cs="Arial"/>
          <w:szCs w:val="20"/>
        </w:rPr>
        <w:t xml:space="preserve"> time period.</w:t>
      </w:r>
    </w:p>
    <w:p w14:paraId="3209E641" w14:textId="77777777" w:rsidR="00BD2B76" w:rsidRDefault="00BD2B76" w:rsidP="003A26AD">
      <w:pPr>
        <w:spacing w:line="276" w:lineRule="auto"/>
        <w:rPr>
          <w:rFonts w:cs="Arial"/>
          <w:szCs w:val="20"/>
        </w:rPr>
      </w:pPr>
    </w:p>
    <w:p w14:paraId="7BE2D26E" w14:textId="735D6D2C" w:rsidR="00DC1FAD" w:rsidRDefault="00DC1FAD" w:rsidP="00DC1FAD">
      <w:pPr>
        <w:spacing w:line="276" w:lineRule="auto"/>
        <w:rPr>
          <w:rFonts w:cs="Arial"/>
          <w:szCs w:val="20"/>
        </w:rPr>
      </w:pPr>
      <w:r>
        <w:rPr>
          <w:rFonts w:cs="Arial"/>
          <w:szCs w:val="20"/>
        </w:rPr>
        <w:t>Post-1989 forests include natural forests, permanent</w:t>
      </w:r>
      <w:r w:rsidR="001D5E9D">
        <w:rPr>
          <w:rFonts w:cs="Arial"/>
          <w:szCs w:val="20"/>
        </w:rPr>
        <w:t xml:space="preserve"> </w:t>
      </w:r>
      <w:r w:rsidR="001D5E9D" w:rsidRPr="00480511">
        <w:rPr>
          <w:rFonts w:cs="Arial"/>
          <w:szCs w:val="20"/>
        </w:rPr>
        <w:t>planted</w:t>
      </w:r>
      <w:r>
        <w:rPr>
          <w:rFonts w:cs="Arial"/>
          <w:szCs w:val="20"/>
        </w:rPr>
        <w:t xml:space="preserve"> forests (managed without clearfelling) and rotational</w:t>
      </w:r>
      <w:r w:rsidR="001D5E9D">
        <w:rPr>
          <w:rFonts w:cs="Arial"/>
          <w:szCs w:val="20"/>
        </w:rPr>
        <w:t xml:space="preserve"> </w:t>
      </w:r>
      <w:r w:rsidR="001D5E9D" w:rsidRPr="00480511">
        <w:rPr>
          <w:rFonts w:cs="Arial"/>
          <w:szCs w:val="20"/>
        </w:rPr>
        <w:t>planted</w:t>
      </w:r>
      <w:r w:rsidRPr="00480511">
        <w:rPr>
          <w:rFonts w:cs="Arial"/>
          <w:szCs w:val="20"/>
        </w:rPr>
        <w:t xml:space="preserve"> </w:t>
      </w:r>
      <w:r>
        <w:rPr>
          <w:rFonts w:cs="Arial"/>
          <w:szCs w:val="20"/>
        </w:rPr>
        <w:t>forests (managed with clearfelling and replanting). The long-term average stock for rotational</w:t>
      </w:r>
      <w:r w:rsidR="001D5E9D">
        <w:rPr>
          <w:rFonts w:cs="Arial"/>
          <w:szCs w:val="20"/>
        </w:rPr>
        <w:t xml:space="preserve"> </w:t>
      </w:r>
      <w:r w:rsidR="001D5E9D" w:rsidRPr="00480511">
        <w:rPr>
          <w:rFonts w:cs="Arial"/>
          <w:szCs w:val="20"/>
        </w:rPr>
        <w:t>planted</w:t>
      </w:r>
      <w:r>
        <w:rPr>
          <w:rFonts w:cs="Arial"/>
          <w:szCs w:val="20"/>
        </w:rPr>
        <w:t xml:space="preserve"> forests is determined largely by the average productivity and rotation length, and the rate of loss from the post-harvest residue and harvested wood products pools. A model was previously developed to allow the long-term average stock (LTA stock) and the age at which it occurs (LTA age) to be calculated for rotational </w:t>
      </w:r>
      <w:r w:rsidR="002257C6" w:rsidRPr="00480511">
        <w:rPr>
          <w:rFonts w:cs="Arial"/>
          <w:szCs w:val="20"/>
        </w:rPr>
        <w:t xml:space="preserve">planted </w:t>
      </w:r>
      <w:r w:rsidRPr="00480511">
        <w:rPr>
          <w:rFonts w:cs="Arial"/>
          <w:szCs w:val="20"/>
        </w:rPr>
        <w:t>f</w:t>
      </w:r>
      <w:r>
        <w:rPr>
          <w:rFonts w:cs="Arial"/>
          <w:szCs w:val="20"/>
        </w:rPr>
        <w:t xml:space="preserve">orests. </w:t>
      </w:r>
    </w:p>
    <w:p w14:paraId="0ACECEF7" w14:textId="77777777" w:rsidR="00BD7C60" w:rsidRDefault="00BD7C60" w:rsidP="003A26AD">
      <w:pPr>
        <w:spacing w:line="276" w:lineRule="auto"/>
        <w:rPr>
          <w:rFonts w:cs="Arial"/>
          <w:szCs w:val="20"/>
        </w:rPr>
      </w:pPr>
    </w:p>
    <w:p w14:paraId="05F6DDB2" w14:textId="03E01627" w:rsidR="00AF193F" w:rsidRPr="006F35EC" w:rsidRDefault="00AF193F" w:rsidP="00AF193F">
      <w:pPr>
        <w:spacing w:line="276" w:lineRule="auto"/>
        <w:rPr>
          <w:rFonts w:cs="Arial"/>
          <w:szCs w:val="20"/>
        </w:rPr>
      </w:pPr>
      <w:r>
        <w:rPr>
          <w:rFonts w:cs="Arial"/>
          <w:szCs w:val="20"/>
        </w:rPr>
        <w:t xml:space="preserve">LTA stocks for post-1989 natural forests and permanent planted forests are not easily determined as the development of carbon stocks over time is uncertain. These forests would remain under stock change accounting during the 2021-2030 Paris Agreement compliance period if the LTA age is assumed to be over 40. </w:t>
      </w:r>
      <w:r>
        <w:rPr>
          <w:rFonts w:cs="Arial"/>
        </w:rPr>
        <w:t xml:space="preserve">Rotational </w:t>
      </w:r>
      <w:r w:rsidR="002257C6" w:rsidRPr="00480511">
        <w:rPr>
          <w:rFonts w:cs="Arial"/>
          <w:szCs w:val="20"/>
        </w:rPr>
        <w:t>planted</w:t>
      </w:r>
      <w:r w:rsidR="002257C6">
        <w:rPr>
          <w:rFonts w:cs="Arial"/>
          <w:szCs w:val="20"/>
        </w:rPr>
        <w:t xml:space="preserve"> </w:t>
      </w:r>
      <w:r>
        <w:rPr>
          <w:rFonts w:cs="Arial"/>
        </w:rPr>
        <w:t>forests that have already passed the LTA age by 2021 could also remain under stock change accounting, or immediately transfer to accounting against a reference level.</w:t>
      </w:r>
    </w:p>
    <w:p w14:paraId="6AA3B5F3" w14:textId="77777777" w:rsidR="00AF193F" w:rsidRDefault="00AF193F" w:rsidP="00AF193F">
      <w:pPr>
        <w:spacing w:line="276" w:lineRule="auto"/>
        <w:rPr>
          <w:rFonts w:cs="Arial"/>
        </w:rPr>
      </w:pPr>
    </w:p>
    <w:p w14:paraId="258825A3" w14:textId="77777777" w:rsidR="00AF193F" w:rsidRPr="00EC59A0" w:rsidRDefault="00AF193F" w:rsidP="00AF193F">
      <w:pPr>
        <w:spacing w:line="276" w:lineRule="auto"/>
        <w:rPr>
          <w:rFonts w:cs="Arial"/>
        </w:rPr>
      </w:pPr>
      <w:r w:rsidRPr="00EC59A0">
        <w:rPr>
          <w:rFonts w:cs="Arial"/>
        </w:rPr>
        <w:t>There are alternative options for the treatment of the various carbon pools within each component of post-1989 forests. Options should be assessed against:</w:t>
      </w:r>
    </w:p>
    <w:p w14:paraId="7318A971" w14:textId="445101BB" w:rsidR="00AF193F" w:rsidRPr="00EC59A0" w:rsidRDefault="00AF193F" w:rsidP="00AF193F">
      <w:pPr>
        <w:pStyle w:val="ListParagraph"/>
        <w:numPr>
          <w:ilvl w:val="0"/>
          <w:numId w:val="26"/>
        </w:numPr>
        <w:spacing w:line="276" w:lineRule="auto"/>
        <w:rPr>
          <w:rFonts w:cs="Arial"/>
        </w:rPr>
      </w:pPr>
      <w:r>
        <w:rPr>
          <w:rFonts w:cs="Arial"/>
        </w:rPr>
        <w:t>Their a</w:t>
      </w:r>
      <w:r w:rsidRPr="00EC59A0">
        <w:rPr>
          <w:rFonts w:cs="Arial"/>
        </w:rPr>
        <w:t xml:space="preserve">bility to fairly and simply represent actual long-term net emissions, and </w:t>
      </w:r>
      <w:r>
        <w:rPr>
          <w:rFonts w:cs="Arial"/>
        </w:rPr>
        <w:t xml:space="preserve">to </w:t>
      </w:r>
      <w:r w:rsidRPr="00EC59A0">
        <w:rPr>
          <w:rFonts w:cs="Arial"/>
        </w:rPr>
        <w:t xml:space="preserve">meet </w:t>
      </w:r>
      <w:r w:rsidR="00045A5E" w:rsidRPr="00045A5E">
        <w:t>Intergovernmental Panel on Climate Change</w:t>
      </w:r>
      <w:r w:rsidRPr="00EC59A0">
        <w:rPr>
          <w:rFonts w:cs="Arial"/>
        </w:rPr>
        <w:t xml:space="preserve"> principles of transparency, accuracy, completeness, comparability and consistency.</w:t>
      </w:r>
    </w:p>
    <w:p w14:paraId="14293BFB" w14:textId="2CA38084" w:rsidR="00AF193F" w:rsidRPr="00EC59A0" w:rsidRDefault="00AF193F" w:rsidP="00AF193F">
      <w:pPr>
        <w:pStyle w:val="ListParagraph"/>
        <w:numPr>
          <w:ilvl w:val="0"/>
          <w:numId w:val="26"/>
        </w:numPr>
        <w:spacing w:line="276" w:lineRule="auto"/>
        <w:rPr>
          <w:rFonts w:cs="Arial"/>
        </w:rPr>
      </w:pPr>
      <w:r>
        <w:rPr>
          <w:rFonts w:cs="Arial"/>
        </w:rPr>
        <w:t>Their a</w:t>
      </w:r>
      <w:r w:rsidRPr="00EC59A0">
        <w:rPr>
          <w:rFonts w:cs="Arial"/>
        </w:rPr>
        <w:t>bility to achieve the objectives of averaging accounting</w:t>
      </w:r>
      <w:r>
        <w:rPr>
          <w:rFonts w:cs="Arial"/>
        </w:rPr>
        <w:t>.</w:t>
      </w:r>
    </w:p>
    <w:p w14:paraId="0CEEBD44" w14:textId="17861FFF" w:rsidR="00AF193F" w:rsidRPr="00EC59A0" w:rsidRDefault="00AF193F" w:rsidP="00AF193F">
      <w:pPr>
        <w:pStyle w:val="ListParagraph"/>
        <w:numPr>
          <w:ilvl w:val="0"/>
          <w:numId w:val="26"/>
        </w:numPr>
        <w:spacing w:line="276" w:lineRule="auto"/>
        <w:rPr>
          <w:rFonts w:cs="Arial"/>
        </w:rPr>
      </w:pPr>
      <w:r>
        <w:rPr>
          <w:rFonts w:cs="Arial"/>
        </w:rPr>
        <w:t>The a</w:t>
      </w:r>
      <w:r w:rsidRPr="00EC59A0">
        <w:rPr>
          <w:rFonts w:cs="Arial"/>
        </w:rPr>
        <w:t>vailability of appropriate and comparable data for both calculation of the LTA and FRL and reporting against it.</w:t>
      </w:r>
    </w:p>
    <w:p w14:paraId="3DDF8C35" w14:textId="0F863D86" w:rsidR="00AF193F" w:rsidRPr="00EC59A0" w:rsidRDefault="00AF193F" w:rsidP="00AF193F">
      <w:pPr>
        <w:pStyle w:val="ListParagraph"/>
        <w:numPr>
          <w:ilvl w:val="0"/>
          <w:numId w:val="26"/>
        </w:numPr>
        <w:spacing w:line="276" w:lineRule="auto"/>
        <w:rPr>
          <w:rFonts w:cs="Arial"/>
        </w:rPr>
      </w:pPr>
      <w:r>
        <w:rPr>
          <w:rFonts w:cs="Arial"/>
        </w:rPr>
        <w:t>The a</w:t>
      </w:r>
      <w:r w:rsidRPr="00EC59A0">
        <w:rPr>
          <w:rFonts w:cs="Arial"/>
        </w:rPr>
        <w:t>bility of the LUCAS Calculation and Reporting Application (CRA) to make a like-for-like comparison between the FRL and actual net emissions.</w:t>
      </w:r>
    </w:p>
    <w:p w14:paraId="7A261311" w14:textId="77777777" w:rsidR="006F35EC" w:rsidRDefault="006F35EC" w:rsidP="00FF75FF">
      <w:pPr>
        <w:spacing w:line="276" w:lineRule="auto"/>
        <w:rPr>
          <w:rFonts w:cs="Arial"/>
        </w:rPr>
      </w:pPr>
    </w:p>
    <w:p w14:paraId="1FF4E3FC" w14:textId="57551A22" w:rsidR="00031458" w:rsidRDefault="00031458" w:rsidP="00031458">
      <w:pPr>
        <w:spacing w:line="276" w:lineRule="auto"/>
        <w:rPr>
          <w:rFonts w:cs="Arial"/>
        </w:rPr>
      </w:pPr>
      <w:r>
        <w:rPr>
          <w:rFonts w:cs="Arial"/>
        </w:rPr>
        <w:t>A business-as-usual Reference Level can be developed for rotational</w:t>
      </w:r>
      <w:r w:rsidR="00065D94">
        <w:rPr>
          <w:rFonts w:cs="Arial"/>
        </w:rPr>
        <w:t xml:space="preserve"> </w:t>
      </w:r>
      <w:r w:rsidR="00065D94" w:rsidRPr="00480511">
        <w:rPr>
          <w:rFonts w:cs="Arial"/>
          <w:szCs w:val="20"/>
        </w:rPr>
        <w:t>planted</w:t>
      </w:r>
      <w:r>
        <w:rPr>
          <w:rFonts w:cs="Arial"/>
        </w:rPr>
        <w:t xml:space="preserve"> forests based on a CRA simulation that simulates carbon uptake past the LTA age and then harvests each stand</w:t>
      </w:r>
      <w:r w:rsidR="00954494">
        <w:rPr>
          <w:rFonts w:cs="Arial"/>
        </w:rPr>
        <w:t>,</w:t>
      </w:r>
      <w:r>
        <w:rPr>
          <w:rFonts w:cs="Arial"/>
        </w:rPr>
        <w:t xml:space="preserve"> either at the species-weighted average clearfell age or based on the current destocking age profile. Net emissions after the LTA age is reached (including emissions from harvesting and removals following replanting) form the Reference Level. </w:t>
      </w:r>
    </w:p>
    <w:p w14:paraId="0E37DD53" w14:textId="77777777" w:rsidR="0042449E" w:rsidRDefault="0042449E" w:rsidP="00FF75FF">
      <w:pPr>
        <w:spacing w:line="276" w:lineRule="auto"/>
        <w:rPr>
          <w:rFonts w:cs="Arial"/>
        </w:rPr>
      </w:pPr>
    </w:p>
    <w:p w14:paraId="220FA4D2" w14:textId="29DEC11D" w:rsidR="00150CF6" w:rsidRDefault="00150CF6" w:rsidP="00150CF6">
      <w:pPr>
        <w:spacing w:line="276" w:lineRule="auto"/>
        <w:rPr>
          <w:rFonts w:cs="Arial"/>
        </w:rPr>
      </w:pPr>
      <w:r>
        <w:rPr>
          <w:rFonts w:cs="Arial"/>
        </w:rPr>
        <w:t>Reporting against this FRL will also be based on a CRA simulation, using comparable data sources. The difference between actual and FRL net emissions after the LTA age is added to the net emissions up to the LTA age to form the accounting quantity.</w:t>
      </w:r>
    </w:p>
    <w:p w14:paraId="4D32CD7A" w14:textId="77777777" w:rsidR="00150CF6" w:rsidRDefault="00150CF6" w:rsidP="00150CF6">
      <w:pPr>
        <w:spacing w:line="276" w:lineRule="auto"/>
        <w:rPr>
          <w:rFonts w:cs="Arial"/>
        </w:rPr>
      </w:pPr>
    </w:p>
    <w:p w14:paraId="31019C36" w14:textId="2F81A97A" w:rsidR="00150CF6" w:rsidRDefault="00150CF6" w:rsidP="00150CF6">
      <w:pPr>
        <w:spacing w:line="276" w:lineRule="auto"/>
        <w:rPr>
          <w:rFonts w:cs="Arial"/>
        </w:rPr>
      </w:pPr>
      <w:r>
        <w:rPr>
          <w:rFonts w:cs="Arial"/>
        </w:rPr>
        <w:lastRenderedPageBreak/>
        <w:t>In practice the LTA age can be recalculated to capture changes in wood product markets and lifespans, average clearfell ages, sequestration rates and other factors, potentially re-setting the FRL. Other factors such as soil carbon stock</w:t>
      </w:r>
      <w:r w:rsidR="005C61B0">
        <w:rPr>
          <w:rFonts w:cs="Arial"/>
        </w:rPr>
        <w:t xml:space="preserve"> change</w:t>
      </w:r>
      <w:r>
        <w:rPr>
          <w:rFonts w:cs="Arial"/>
        </w:rPr>
        <w:t>s could be left out of the LTA and accounted for under stock change accounting only.</w:t>
      </w:r>
    </w:p>
    <w:p w14:paraId="25D283C2" w14:textId="77777777" w:rsidR="00150CF6" w:rsidRDefault="00150CF6" w:rsidP="00150CF6">
      <w:pPr>
        <w:spacing w:line="276" w:lineRule="auto"/>
        <w:rPr>
          <w:rFonts w:cs="Arial"/>
        </w:rPr>
      </w:pPr>
    </w:p>
    <w:p w14:paraId="18156F8A" w14:textId="40FCE15E" w:rsidR="00150CF6" w:rsidRDefault="00150CF6" w:rsidP="00150CF6">
      <w:pPr>
        <w:spacing w:line="276" w:lineRule="auto"/>
        <w:rPr>
          <w:rFonts w:cs="Arial"/>
        </w:rPr>
      </w:pPr>
      <w:r>
        <w:rPr>
          <w:rFonts w:cs="Arial"/>
        </w:rPr>
        <w:t xml:space="preserve">This report suggests some alternative options </w:t>
      </w:r>
      <w:r w:rsidR="00B504AE">
        <w:rPr>
          <w:rFonts w:cs="Arial"/>
        </w:rPr>
        <w:t>for defining the FRL</w:t>
      </w:r>
      <w:r w:rsidR="0067331B">
        <w:rPr>
          <w:rFonts w:cs="Arial"/>
        </w:rPr>
        <w:t xml:space="preserve">, makes recommendations on which should be implemented where possible, </w:t>
      </w:r>
      <w:r>
        <w:rPr>
          <w:rFonts w:cs="Arial"/>
        </w:rPr>
        <w:t xml:space="preserve">and </w:t>
      </w:r>
      <w:r w:rsidR="0067331B">
        <w:rPr>
          <w:rFonts w:cs="Arial"/>
        </w:rPr>
        <w:t xml:space="preserve">outlines the </w:t>
      </w:r>
      <w:r>
        <w:rPr>
          <w:rFonts w:cs="Arial"/>
        </w:rPr>
        <w:t xml:space="preserve">steps </w:t>
      </w:r>
      <w:r w:rsidR="0067331B">
        <w:rPr>
          <w:rFonts w:cs="Arial"/>
        </w:rPr>
        <w:t xml:space="preserve">required </w:t>
      </w:r>
      <w:r>
        <w:rPr>
          <w:rFonts w:cs="Arial"/>
        </w:rPr>
        <w:t>to produce the FRL using the CRA application.</w:t>
      </w:r>
      <w:r w:rsidR="001812BE">
        <w:rPr>
          <w:rFonts w:cs="Arial"/>
        </w:rPr>
        <w:t xml:space="preserve"> A simplified demonstration of averaging accounting is also </w:t>
      </w:r>
      <w:r w:rsidR="006D2DA9">
        <w:rPr>
          <w:rFonts w:cs="Arial"/>
        </w:rPr>
        <w:t>presented, to highlight the impact o</w:t>
      </w:r>
      <w:r w:rsidR="001262B0">
        <w:rPr>
          <w:rFonts w:cs="Arial"/>
        </w:rPr>
        <w:t>n the accounting quantity of compliance and budget periods that are short relative to the rotation length.</w:t>
      </w:r>
    </w:p>
    <w:p w14:paraId="619910F3" w14:textId="77777777" w:rsidR="00E5691F" w:rsidRDefault="00E5691F" w:rsidP="00FF75FF">
      <w:pPr>
        <w:spacing w:line="276" w:lineRule="auto"/>
        <w:rPr>
          <w:rFonts w:cs="Arial"/>
        </w:rPr>
      </w:pPr>
    </w:p>
    <w:p w14:paraId="264AB548" w14:textId="5290FEF6" w:rsidR="00CA0A93" w:rsidRPr="00077F8B" w:rsidRDefault="00CA0A93" w:rsidP="00A35F7A">
      <w:pPr>
        <w:spacing w:line="276" w:lineRule="auto"/>
        <w:rPr>
          <w:rFonts w:cs="Arial"/>
        </w:rPr>
        <w:sectPr w:rsidR="00CA0A93" w:rsidRPr="00077F8B" w:rsidSect="003701B4">
          <w:headerReference w:type="first" r:id="rId16"/>
          <w:footerReference w:type="first" r:id="rId17"/>
          <w:pgSz w:w="11906" w:h="16838" w:code="9"/>
          <w:pgMar w:top="1418" w:right="1134" w:bottom="1134" w:left="1418" w:header="567" w:footer="567" w:gutter="0"/>
          <w:cols w:space="708"/>
          <w:titlePg/>
          <w:docGrid w:linePitch="360"/>
        </w:sectPr>
      </w:pPr>
    </w:p>
    <w:p w14:paraId="577D9B41" w14:textId="502DDE10" w:rsidR="00F5193D" w:rsidRPr="00077F8B" w:rsidRDefault="001A5DB6" w:rsidP="1C065155">
      <w:pPr>
        <w:pStyle w:val="ReportSciontitle"/>
        <w:spacing w:line="276" w:lineRule="auto"/>
      </w:pPr>
      <w:r w:rsidRPr="001A5DB6">
        <w:lastRenderedPageBreak/>
        <w:t xml:space="preserve">Accounting for Post-1989 Forests under the Paris Agreement: </w:t>
      </w:r>
      <w:r w:rsidR="00421430" w:rsidRPr="00421430">
        <w:t>Long-Term Average Carbon Stock and Reference Level</w:t>
      </w:r>
    </w:p>
    <w:p w14:paraId="264AB54F" w14:textId="77777777" w:rsidR="00C4224B" w:rsidRPr="00077F8B" w:rsidRDefault="00C4224B" w:rsidP="00A35F7A">
      <w:pPr>
        <w:spacing w:line="276" w:lineRule="auto"/>
      </w:pPr>
    </w:p>
    <w:p w14:paraId="264AB550" w14:textId="77777777" w:rsidR="00C4224B" w:rsidRPr="00077F8B" w:rsidRDefault="00C4224B" w:rsidP="00A35F7A">
      <w:pPr>
        <w:spacing w:line="276" w:lineRule="auto"/>
      </w:pPr>
    </w:p>
    <w:p w14:paraId="47996E71" w14:textId="77777777" w:rsidR="005032B4" w:rsidRPr="00077F8B" w:rsidRDefault="005032B4" w:rsidP="00A35F7A">
      <w:pPr>
        <w:spacing w:line="276" w:lineRule="auto"/>
      </w:pPr>
    </w:p>
    <w:p w14:paraId="642EB12D" w14:textId="77777777" w:rsidR="005032B4" w:rsidRPr="00077F8B" w:rsidRDefault="005032B4" w:rsidP="00A35F7A">
      <w:pPr>
        <w:spacing w:line="276" w:lineRule="auto"/>
      </w:pPr>
    </w:p>
    <w:p w14:paraId="264AB551" w14:textId="77777777" w:rsidR="00C4224B" w:rsidRPr="00077F8B" w:rsidRDefault="00C4224B" w:rsidP="00A35F7A">
      <w:pPr>
        <w:spacing w:line="276" w:lineRule="auto"/>
      </w:pPr>
    </w:p>
    <w:p w14:paraId="264AB552" w14:textId="10BB941D" w:rsidR="008E5004" w:rsidRPr="00077F8B" w:rsidRDefault="00835D67" w:rsidP="00A35F7A">
      <w:pPr>
        <w:pStyle w:val="TableSciontitle"/>
        <w:spacing w:line="276" w:lineRule="auto"/>
      </w:pPr>
      <w:r w:rsidRPr="00077F8B">
        <w:t xml:space="preserve">Table of </w:t>
      </w:r>
      <w:r w:rsidR="00F5193D" w:rsidRPr="00077F8B">
        <w:t>c</w:t>
      </w:r>
      <w:r w:rsidRPr="00077F8B">
        <w:t>ontents</w:t>
      </w:r>
    </w:p>
    <w:p w14:paraId="3AD6D09A" w14:textId="77777777" w:rsidR="005032B4" w:rsidRPr="00077F8B" w:rsidRDefault="005032B4" w:rsidP="00A35F7A">
      <w:pPr>
        <w:spacing w:line="276" w:lineRule="auto"/>
        <w:rPr>
          <w:rFonts w:eastAsiaTheme="majorEastAsia"/>
          <w:lang w:val="en-US"/>
        </w:rPr>
      </w:pPr>
    </w:p>
    <w:p w14:paraId="07CD797F" w14:textId="2C928651" w:rsidR="001B1F2F" w:rsidRDefault="00DF4C3C">
      <w:pPr>
        <w:pStyle w:val="TOC1"/>
        <w:rPr>
          <w:rFonts w:asciiTheme="minorHAnsi" w:eastAsiaTheme="minorEastAsia" w:hAnsiTheme="minorHAnsi" w:cstheme="minorBidi"/>
          <w:bCs w:val="0"/>
          <w:noProof/>
          <w:kern w:val="2"/>
          <w:sz w:val="24"/>
          <w:szCs w:val="24"/>
          <w:lang w:val="en-NZ" w:eastAsia="en-NZ"/>
          <w14:ligatures w14:val="standardContextual"/>
        </w:rPr>
      </w:pPr>
      <w:r>
        <w:fldChar w:fldCharType="begin"/>
      </w:r>
      <w:r w:rsidR="001F722D">
        <w:instrText>TOC \o "1-2" \h \z \u</w:instrText>
      </w:r>
      <w:r>
        <w:fldChar w:fldCharType="separate"/>
      </w:r>
      <w:hyperlink w:anchor="_Toc178255274" w:history="1">
        <w:r w:rsidR="001B1F2F" w:rsidRPr="00880482">
          <w:rPr>
            <w:rStyle w:val="Hyperlink"/>
            <w:noProof/>
          </w:rPr>
          <w:t>Executive summary</w:t>
        </w:r>
        <w:r w:rsidR="001B1F2F">
          <w:rPr>
            <w:noProof/>
            <w:webHidden/>
          </w:rPr>
          <w:tab/>
        </w:r>
        <w:r w:rsidR="001B1F2F">
          <w:rPr>
            <w:noProof/>
            <w:webHidden/>
          </w:rPr>
          <w:fldChar w:fldCharType="begin"/>
        </w:r>
        <w:r w:rsidR="001B1F2F">
          <w:rPr>
            <w:noProof/>
            <w:webHidden/>
          </w:rPr>
          <w:instrText xml:space="preserve"> PAGEREF _Toc178255274 \h </w:instrText>
        </w:r>
        <w:r w:rsidR="001B1F2F">
          <w:rPr>
            <w:noProof/>
            <w:webHidden/>
          </w:rPr>
        </w:r>
        <w:r w:rsidR="001B1F2F">
          <w:rPr>
            <w:noProof/>
            <w:webHidden/>
          </w:rPr>
          <w:fldChar w:fldCharType="separate"/>
        </w:r>
        <w:r w:rsidR="007C39E4">
          <w:rPr>
            <w:noProof/>
            <w:webHidden/>
          </w:rPr>
          <w:t>3</w:t>
        </w:r>
        <w:r w:rsidR="001B1F2F">
          <w:rPr>
            <w:noProof/>
            <w:webHidden/>
          </w:rPr>
          <w:fldChar w:fldCharType="end"/>
        </w:r>
      </w:hyperlink>
    </w:p>
    <w:p w14:paraId="70BAA080" w14:textId="214AAE08" w:rsidR="001B1F2F" w:rsidRDefault="000174F1">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8255275" w:history="1">
        <w:r w:rsidR="001B1F2F" w:rsidRPr="00880482">
          <w:rPr>
            <w:rStyle w:val="Hyperlink"/>
            <w:noProof/>
          </w:rPr>
          <w:t>Abbreviations</w:t>
        </w:r>
        <w:r w:rsidR="001B1F2F">
          <w:rPr>
            <w:noProof/>
            <w:webHidden/>
          </w:rPr>
          <w:tab/>
        </w:r>
        <w:r w:rsidR="001B1F2F">
          <w:rPr>
            <w:noProof/>
            <w:webHidden/>
          </w:rPr>
          <w:fldChar w:fldCharType="begin"/>
        </w:r>
        <w:r w:rsidR="001B1F2F">
          <w:rPr>
            <w:noProof/>
            <w:webHidden/>
          </w:rPr>
          <w:instrText xml:space="preserve"> PAGEREF _Toc178255275 \h </w:instrText>
        </w:r>
        <w:r w:rsidR="001B1F2F">
          <w:rPr>
            <w:noProof/>
            <w:webHidden/>
          </w:rPr>
        </w:r>
        <w:r w:rsidR="001B1F2F">
          <w:rPr>
            <w:noProof/>
            <w:webHidden/>
          </w:rPr>
          <w:fldChar w:fldCharType="separate"/>
        </w:r>
        <w:r w:rsidR="007C39E4">
          <w:rPr>
            <w:noProof/>
            <w:webHidden/>
          </w:rPr>
          <w:t>6</w:t>
        </w:r>
        <w:r w:rsidR="001B1F2F">
          <w:rPr>
            <w:noProof/>
            <w:webHidden/>
          </w:rPr>
          <w:fldChar w:fldCharType="end"/>
        </w:r>
      </w:hyperlink>
    </w:p>
    <w:p w14:paraId="42AC4483" w14:textId="13766692" w:rsidR="001B1F2F" w:rsidRDefault="000174F1">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8255276" w:history="1">
        <w:r w:rsidR="001B1F2F" w:rsidRPr="00880482">
          <w:rPr>
            <w:rStyle w:val="Hyperlink"/>
            <w:noProof/>
          </w:rPr>
          <w:t>Introduction</w:t>
        </w:r>
        <w:r w:rsidR="001B1F2F">
          <w:rPr>
            <w:noProof/>
            <w:webHidden/>
          </w:rPr>
          <w:tab/>
        </w:r>
        <w:r w:rsidR="001B1F2F">
          <w:rPr>
            <w:noProof/>
            <w:webHidden/>
          </w:rPr>
          <w:fldChar w:fldCharType="begin"/>
        </w:r>
        <w:r w:rsidR="001B1F2F">
          <w:rPr>
            <w:noProof/>
            <w:webHidden/>
          </w:rPr>
          <w:instrText xml:space="preserve"> PAGEREF _Toc178255276 \h </w:instrText>
        </w:r>
        <w:r w:rsidR="001B1F2F">
          <w:rPr>
            <w:noProof/>
            <w:webHidden/>
          </w:rPr>
        </w:r>
        <w:r w:rsidR="001B1F2F">
          <w:rPr>
            <w:noProof/>
            <w:webHidden/>
          </w:rPr>
          <w:fldChar w:fldCharType="separate"/>
        </w:r>
        <w:r w:rsidR="007C39E4">
          <w:rPr>
            <w:noProof/>
            <w:webHidden/>
          </w:rPr>
          <w:t>7</w:t>
        </w:r>
        <w:r w:rsidR="001B1F2F">
          <w:rPr>
            <w:noProof/>
            <w:webHidden/>
          </w:rPr>
          <w:fldChar w:fldCharType="end"/>
        </w:r>
      </w:hyperlink>
    </w:p>
    <w:p w14:paraId="65CD32B9" w14:textId="404998ED" w:rsidR="001B1F2F" w:rsidRDefault="000174F1">
      <w:pPr>
        <w:pStyle w:val="TOC2"/>
        <w:tabs>
          <w:tab w:val="right" w:leader="dot" w:pos="8777"/>
        </w:tabs>
        <w:rPr>
          <w:rFonts w:asciiTheme="minorHAnsi" w:eastAsiaTheme="minorEastAsia" w:hAnsiTheme="minorHAnsi" w:cstheme="minorBidi"/>
          <w:noProof/>
          <w:kern w:val="2"/>
          <w:sz w:val="24"/>
          <w:szCs w:val="24"/>
          <w:lang w:val="en-NZ" w:eastAsia="en-NZ"/>
          <w14:ligatures w14:val="standardContextual"/>
        </w:rPr>
      </w:pPr>
      <w:hyperlink w:anchor="_Toc178255277" w:history="1">
        <w:r w:rsidR="001B1F2F" w:rsidRPr="00880482">
          <w:rPr>
            <w:rStyle w:val="Hyperlink"/>
            <w:noProof/>
          </w:rPr>
          <w:t>New Zealand’s Nationally Determined Contribution under the Paris Agreement</w:t>
        </w:r>
        <w:r w:rsidR="001B1F2F">
          <w:rPr>
            <w:noProof/>
            <w:webHidden/>
          </w:rPr>
          <w:tab/>
        </w:r>
        <w:r w:rsidR="001B1F2F">
          <w:rPr>
            <w:noProof/>
            <w:webHidden/>
          </w:rPr>
          <w:fldChar w:fldCharType="begin"/>
        </w:r>
        <w:r w:rsidR="001B1F2F">
          <w:rPr>
            <w:noProof/>
            <w:webHidden/>
          </w:rPr>
          <w:instrText xml:space="preserve"> PAGEREF _Toc178255277 \h </w:instrText>
        </w:r>
        <w:r w:rsidR="001B1F2F">
          <w:rPr>
            <w:noProof/>
            <w:webHidden/>
          </w:rPr>
        </w:r>
        <w:r w:rsidR="001B1F2F">
          <w:rPr>
            <w:noProof/>
            <w:webHidden/>
          </w:rPr>
          <w:fldChar w:fldCharType="separate"/>
        </w:r>
        <w:r w:rsidR="007C39E4">
          <w:rPr>
            <w:noProof/>
            <w:webHidden/>
          </w:rPr>
          <w:t>7</w:t>
        </w:r>
        <w:r w:rsidR="001B1F2F">
          <w:rPr>
            <w:noProof/>
            <w:webHidden/>
          </w:rPr>
          <w:fldChar w:fldCharType="end"/>
        </w:r>
      </w:hyperlink>
    </w:p>
    <w:p w14:paraId="0C1FDAF2" w14:textId="627C842D" w:rsidR="001B1F2F" w:rsidRDefault="000174F1">
      <w:pPr>
        <w:pStyle w:val="TOC2"/>
        <w:tabs>
          <w:tab w:val="right" w:leader="dot" w:pos="8777"/>
        </w:tabs>
        <w:rPr>
          <w:rFonts w:asciiTheme="minorHAnsi" w:eastAsiaTheme="minorEastAsia" w:hAnsiTheme="minorHAnsi" w:cstheme="minorBidi"/>
          <w:noProof/>
          <w:kern w:val="2"/>
          <w:sz w:val="24"/>
          <w:szCs w:val="24"/>
          <w:lang w:val="en-NZ" w:eastAsia="en-NZ"/>
          <w14:ligatures w14:val="standardContextual"/>
        </w:rPr>
      </w:pPr>
      <w:hyperlink w:anchor="_Toc178255278" w:history="1">
        <w:r w:rsidR="001B1F2F" w:rsidRPr="00880482">
          <w:rPr>
            <w:rStyle w:val="Hyperlink"/>
            <w:noProof/>
          </w:rPr>
          <w:t>Accounting framework for Paris Agreement accounting</w:t>
        </w:r>
        <w:r w:rsidR="001B1F2F">
          <w:rPr>
            <w:noProof/>
            <w:webHidden/>
          </w:rPr>
          <w:tab/>
        </w:r>
        <w:r w:rsidR="001B1F2F">
          <w:rPr>
            <w:noProof/>
            <w:webHidden/>
          </w:rPr>
          <w:fldChar w:fldCharType="begin"/>
        </w:r>
        <w:r w:rsidR="001B1F2F">
          <w:rPr>
            <w:noProof/>
            <w:webHidden/>
          </w:rPr>
          <w:instrText xml:space="preserve"> PAGEREF _Toc178255278 \h </w:instrText>
        </w:r>
        <w:r w:rsidR="001B1F2F">
          <w:rPr>
            <w:noProof/>
            <w:webHidden/>
          </w:rPr>
        </w:r>
        <w:r w:rsidR="001B1F2F">
          <w:rPr>
            <w:noProof/>
            <w:webHidden/>
          </w:rPr>
          <w:fldChar w:fldCharType="separate"/>
        </w:r>
        <w:r w:rsidR="007C39E4">
          <w:rPr>
            <w:noProof/>
            <w:webHidden/>
          </w:rPr>
          <w:t>8</w:t>
        </w:r>
        <w:r w:rsidR="001B1F2F">
          <w:rPr>
            <w:noProof/>
            <w:webHidden/>
          </w:rPr>
          <w:fldChar w:fldCharType="end"/>
        </w:r>
      </w:hyperlink>
    </w:p>
    <w:p w14:paraId="3D1F336E" w14:textId="5DE7A882" w:rsidR="001B1F2F" w:rsidRDefault="000174F1">
      <w:pPr>
        <w:pStyle w:val="TOC2"/>
        <w:tabs>
          <w:tab w:val="right" w:leader="dot" w:pos="8777"/>
        </w:tabs>
        <w:rPr>
          <w:rFonts w:asciiTheme="minorHAnsi" w:eastAsiaTheme="minorEastAsia" w:hAnsiTheme="minorHAnsi" w:cstheme="minorBidi"/>
          <w:noProof/>
          <w:kern w:val="2"/>
          <w:sz w:val="24"/>
          <w:szCs w:val="24"/>
          <w:lang w:val="en-NZ" w:eastAsia="en-NZ"/>
          <w14:ligatures w14:val="standardContextual"/>
        </w:rPr>
      </w:pPr>
      <w:hyperlink w:anchor="_Toc178255279" w:history="1">
        <w:r w:rsidR="001B1F2F" w:rsidRPr="00880482">
          <w:rPr>
            <w:rStyle w:val="Hyperlink"/>
            <w:noProof/>
            <w:lang w:eastAsia="en-NZ"/>
          </w:rPr>
          <w:t>Assessing options for treatment of pools and forest types within pre-1989 forests</w:t>
        </w:r>
        <w:r w:rsidR="001B1F2F">
          <w:rPr>
            <w:noProof/>
            <w:webHidden/>
          </w:rPr>
          <w:tab/>
        </w:r>
        <w:r w:rsidR="001B1F2F">
          <w:rPr>
            <w:noProof/>
            <w:webHidden/>
          </w:rPr>
          <w:fldChar w:fldCharType="begin"/>
        </w:r>
        <w:r w:rsidR="001B1F2F">
          <w:rPr>
            <w:noProof/>
            <w:webHidden/>
          </w:rPr>
          <w:instrText xml:space="preserve"> PAGEREF _Toc178255279 \h </w:instrText>
        </w:r>
        <w:r w:rsidR="001B1F2F">
          <w:rPr>
            <w:noProof/>
            <w:webHidden/>
          </w:rPr>
        </w:r>
        <w:r w:rsidR="001B1F2F">
          <w:rPr>
            <w:noProof/>
            <w:webHidden/>
          </w:rPr>
          <w:fldChar w:fldCharType="separate"/>
        </w:r>
        <w:r w:rsidR="007C39E4">
          <w:rPr>
            <w:noProof/>
            <w:webHidden/>
          </w:rPr>
          <w:t>10</w:t>
        </w:r>
        <w:r w:rsidR="001B1F2F">
          <w:rPr>
            <w:noProof/>
            <w:webHidden/>
          </w:rPr>
          <w:fldChar w:fldCharType="end"/>
        </w:r>
      </w:hyperlink>
    </w:p>
    <w:p w14:paraId="7104E1AB" w14:textId="1B386E3A" w:rsidR="001B1F2F" w:rsidRDefault="000174F1">
      <w:pPr>
        <w:pStyle w:val="TOC2"/>
        <w:tabs>
          <w:tab w:val="right" w:leader="dot" w:pos="8777"/>
        </w:tabs>
        <w:rPr>
          <w:rFonts w:asciiTheme="minorHAnsi" w:eastAsiaTheme="minorEastAsia" w:hAnsiTheme="minorHAnsi" w:cstheme="minorBidi"/>
          <w:noProof/>
          <w:kern w:val="2"/>
          <w:sz w:val="24"/>
          <w:szCs w:val="24"/>
          <w:lang w:val="en-NZ" w:eastAsia="en-NZ"/>
          <w14:ligatures w14:val="standardContextual"/>
        </w:rPr>
      </w:pPr>
      <w:hyperlink w:anchor="_Toc178255280" w:history="1">
        <w:r w:rsidR="001B1F2F" w:rsidRPr="00880482">
          <w:rPr>
            <w:rStyle w:val="Hyperlink"/>
            <w:noProof/>
          </w:rPr>
          <w:t>Purpose of this report</w:t>
        </w:r>
        <w:r w:rsidR="001B1F2F">
          <w:rPr>
            <w:noProof/>
            <w:webHidden/>
          </w:rPr>
          <w:tab/>
        </w:r>
        <w:r w:rsidR="001B1F2F">
          <w:rPr>
            <w:noProof/>
            <w:webHidden/>
          </w:rPr>
          <w:fldChar w:fldCharType="begin"/>
        </w:r>
        <w:r w:rsidR="001B1F2F">
          <w:rPr>
            <w:noProof/>
            <w:webHidden/>
          </w:rPr>
          <w:instrText xml:space="preserve"> PAGEREF _Toc178255280 \h </w:instrText>
        </w:r>
        <w:r w:rsidR="001B1F2F">
          <w:rPr>
            <w:noProof/>
            <w:webHidden/>
          </w:rPr>
        </w:r>
        <w:r w:rsidR="001B1F2F">
          <w:rPr>
            <w:noProof/>
            <w:webHidden/>
          </w:rPr>
          <w:fldChar w:fldCharType="separate"/>
        </w:r>
        <w:r w:rsidR="007C39E4">
          <w:rPr>
            <w:noProof/>
            <w:webHidden/>
          </w:rPr>
          <w:t>15</w:t>
        </w:r>
        <w:r w:rsidR="001B1F2F">
          <w:rPr>
            <w:noProof/>
            <w:webHidden/>
          </w:rPr>
          <w:fldChar w:fldCharType="end"/>
        </w:r>
      </w:hyperlink>
    </w:p>
    <w:p w14:paraId="63524DBD" w14:textId="5EE9693B" w:rsidR="001B1F2F" w:rsidRDefault="000174F1">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8255281" w:history="1">
        <w:r w:rsidR="001B1F2F" w:rsidRPr="00880482">
          <w:rPr>
            <w:rStyle w:val="Hyperlink"/>
            <w:noProof/>
          </w:rPr>
          <w:t>Methods</w:t>
        </w:r>
        <w:r w:rsidR="001B1F2F">
          <w:rPr>
            <w:noProof/>
            <w:webHidden/>
          </w:rPr>
          <w:tab/>
        </w:r>
        <w:r w:rsidR="001B1F2F">
          <w:rPr>
            <w:noProof/>
            <w:webHidden/>
          </w:rPr>
          <w:fldChar w:fldCharType="begin"/>
        </w:r>
        <w:r w:rsidR="001B1F2F">
          <w:rPr>
            <w:noProof/>
            <w:webHidden/>
          </w:rPr>
          <w:instrText xml:space="preserve"> PAGEREF _Toc178255281 \h </w:instrText>
        </w:r>
        <w:r w:rsidR="001B1F2F">
          <w:rPr>
            <w:noProof/>
            <w:webHidden/>
          </w:rPr>
        </w:r>
        <w:r w:rsidR="001B1F2F">
          <w:rPr>
            <w:noProof/>
            <w:webHidden/>
          </w:rPr>
          <w:fldChar w:fldCharType="separate"/>
        </w:r>
        <w:r w:rsidR="007C39E4">
          <w:rPr>
            <w:noProof/>
            <w:webHidden/>
          </w:rPr>
          <w:t>16</w:t>
        </w:r>
        <w:r w:rsidR="001B1F2F">
          <w:rPr>
            <w:noProof/>
            <w:webHidden/>
          </w:rPr>
          <w:fldChar w:fldCharType="end"/>
        </w:r>
      </w:hyperlink>
    </w:p>
    <w:p w14:paraId="677D25CC" w14:textId="3B76E52F" w:rsidR="001B1F2F" w:rsidRDefault="000174F1">
      <w:pPr>
        <w:pStyle w:val="TOC2"/>
        <w:tabs>
          <w:tab w:val="right" w:leader="dot" w:pos="8777"/>
        </w:tabs>
        <w:rPr>
          <w:rFonts w:asciiTheme="minorHAnsi" w:eastAsiaTheme="minorEastAsia" w:hAnsiTheme="minorHAnsi" w:cstheme="minorBidi"/>
          <w:noProof/>
          <w:kern w:val="2"/>
          <w:sz w:val="24"/>
          <w:szCs w:val="24"/>
          <w:lang w:val="en-NZ" w:eastAsia="en-NZ"/>
          <w14:ligatures w14:val="standardContextual"/>
        </w:rPr>
      </w:pPr>
      <w:hyperlink w:anchor="_Toc178255282" w:history="1">
        <w:r w:rsidR="001B1F2F" w:rsidRPr="00880482">
          <w:rPr>
            <w:rStyle w:val="Hyperlink"/>
            <w:noProof/>
            <w:lang w:eastAsia="en-NZ"/>
          </w:rPr>
          <w:t>Long-term Average Biomass Stock and Age Estimates</w:t>
        </w:r>
        <w:r w:rsidR="001B1F2F">
          <w:rPr>
            <w:noProof/>
            <w:webHidden/>
          </w:rPr>
          <w:tab/>
        </w:r>
        <w:r w:rsidR="001B1F2F">
          <w:rPr>
            <w:noProof/>
            <w:webHidden/>
          </w:rPr>
          <w:fldChar w:fldCharType="begin"/>
        </w:r>
        <w:r w:rsidR="001B1F2F">
          <w:rPr>
            <w:noProof/>
            <w:webHidden/>
          </w:rPr>
          <w:instrText xml:space="preserve"> PAGEREF _Toc178255282 \h </w:instrText>
        </w:r>
        <w:r w:rsidR="001B1F2F">
          <w:rPr>
            <w:noProof/>
            <w:webHidden/>
          </w:rPr>
        </w:r>
        <w:r w:rsidR="001B1F2F">
          <w:rPr>
            <w:noProof/>
            <w:webHidden/>
          </w:rPr>
          <w:fldChar w:fldCharType="separate"/>
        </w:r>
        <w:r w:rsidR="007C39E4">
          <w:rPr>
            <w:noProof/>
            <w:webHidden/>
          </w:rPr>
          <w:t>16</w:t>
        </w:r>
        <w:r w:rsidR="001B1F2F">
          <w:rPr>
            <w:noProof/>
            <w:webHidden/>
          </w:rPr>
          <w:fldChar w:fldCharType="end"/>
        </w:r>
      </w:hyperlink>
    </w:p>
    <w:p w14:paraId="471FF0A8" w14:textId="5B43135D" w:rsidR="001B1F2F" w:rsidRDefault="000174F1">
      <w:pPr>
        <w:pStyle w:val="TOC2"/>
        <w:tabs>
          <w:tab w:val="right" w:leader="dot" w:pos="8777"/>
        </w:tabs>
        <w:rPr>
          <w:rFonts w:asciiTheme="minorHAnsi" w:eastAsiaTheme="minorEastAsia" w:hAnsiTheme="minorHAnsi" w:cstheme="minorBidi"/>
          <w:noProof/>
          <w:kern w:val="2"/>
          <w:sz w:val="24"/>
          <w:szCs w:val="24"/>
          <w:lang w:val="en-NZ" w:eastAsia="en-NZ"/>
          <w14:ligatures w14:val="standardContextual"/>
        </w:rPr>
      </w:pPr>
      <w:hyperlink w:anchor="_Toc178255283" w:history="1">
        <w:r w:rsidR="001B1F2F" w:rsidRPr="00880482">
          <w:rPr>
            <w:rStyle w:val="Hyperlink"/>
            <w:noProof/>
          </w:rPr>
          <w:t>LTA Stock and Age calculation</w:t>
        </w:r>
        <w:r w:rsidR="001B1F2F">
          <w:rPr>
            <w:noProof/>
            <w:webHidden/>
          </w:rPr>
          <w:tab/>
        </w:r>
        <w:r w:rsidR="001B1F2F">
          <w:rPr>
            <w:noProof/>
            <w:webHidden/>
          </w:rPr>
          <w:fldChar w:fldCharType="begin"/>
        </w:r>
        <w:r w:rsidR="001B1F2F">
          <w:rPr>
            <w:noProof/>
            <w:webHidden/>
          </w:rPr>
          <w:instrText xml:space="preserve"> PAGEREF _Toc178255283 \h </w:instrText>
        </w:r>
        <w:r w:rsidR="001B1F2F">
          <w:rPr>
            <w:noProof/>
            <w:webHidden/>
          </w:rPr>
        </w:r>
        <w:r w:rsidR="001B1F2F">
          <w:rPr>
            <w:noProof/>
            <w:webHidden/>
          </w:rPr>
          <w:fldChar w:fldCharType="separate"/>
        </w:r>
        <w:r w:rsidR="007C39E4">
          <w:rPr>
            <w:noProof/>
            <w:webHidden/>
          </w:rPr>
          <w:t>27</w:t>
        </w:r>
        <w:r w:rsidR="001B1F2F">
          <w:rPr>
            <w:noProof/>
            <w:webHidden/>
          </w:rPr>
          <w:fldChar w:fldCharType="end"/>
        </w:r>
      </w:hyperlink>
    </w:p>
    <w:p w14:paraId="2F6025F0" w14:textId="374AC814" w:rsidR="001B1F2F" w:rsidRDefault="000174F1">
      <w:pPr>
        <w:pStyle w:val="TOC2"/>
        <w:tabs>
          <w:tab w:val="right" w:leader="dot" w:pos="8777"/>
        </w:tabs>
        <w:rPr>
          <w:rFonts w:asciiTheme="minorHAnsi" w:eastAsiaTheme="minorEastAsia" w:hAnsiTheme="minorHAnsi" w:cstheme="minorBidi"/>
          <w:noProof/>
          <w:kern w:val="2"/>
          <w:sz w:val="24"/>
          <w:szCs w:val="24"/>
          <w:lang w:val="en-NZ" w:eastAsia="en-NZ"/>
          <w14:ligatures w14:val="standardContextual"/>
        </w:rPr>
      </w:pPr>
      <w:hyperlink w:anchor="_Toc178255284" w:history="1">
        <w:r w:rsidR="001B1F2F" w:rsidRPr="00880482">
          <w:rPr>
            <w:rStyle w:val="Hyperlink"/>
            <w:noProof/>
          </w:rPr>
          <w:t>Calculating the Post-1989 Forest Reference Level</w:t>
        </w:r>
        <w:r w:rsidR="001B1F2F">
          <w:rPr>
            <w:noProof/>
            <w:webHidden/>
          </w:rPr>
          <w:tab/>
        </w:r>
        <w:r w:rsidR="001B1F2F">
          <w:rPr>
            <w:noProof/>
            <w:webHidden/>
          </w:rPr>
          <w:fldChar w:fldCharType="begin"/>
        </w:r>
        <w:r w:rsidR="001B1F2F">
          <w:rPr>
            <w:noProof/>
            <w:webHidden/>
          </w:rPr>
          <w:instrText xml:space="preserve"> PAGEREF _Toc178255284 \h </w:instrText>
        </w:r>
        <w:r w:rsidR="001B1F2F">
          <w:rPr>
            <w:noProof/>
            <w:webHidden/>
          </w:rPr>
        </w:r>
        <w:r w:rsidR="001B1F2F">
          <w:rPr>
            <w:noProof/>
            <w:webHidden/>
          </w:rPr>
          <w:fldChar w:fldCharType="separate"/>
        </w:r>
        <w:r w:rsidR="007C39E4">
          <w:rPr>
            <w:noProof/>
            <w:webHidden/>
          </w:rPr>
          <w:t>27</w:t>
        </w:r>
        <w:r w:rsidR="001B1F2F">
          <w:rPr>
            <w:noProof/>
            <w:webHidden/>
          </w:rPr>
          <w:fldChar w:fldCharType="end"/>
        </w:r>
      </w:hyperlink>
    </w:p>
    <w:p w14:paraId="169C37EA" w14:textId="4AEA7351" w:rsidR="001B1F2F" w:rsidRDefault="000174F1">
      <w:pPr>
        <w:pStyle w:val="TOC2"/>
        <w:tabs>
          <w:tab w:val="right" w:leader="dot" w:pos="8777"/>
        </w:tabs>
        <w:rPr>
          <w:rFonts w:asciiTheme="minorHAnsi" w:eastAsiaTheme="minorEastAsia" w:hAnsiTheme="minorHAnsi" w:cstheme="minorBidi"/>
          <w:noProof/>
          <w:kern w:val="2"/>
          <w:sz w:val="24"/>
          <w:szCs w:val="24"/>
          <w:lang w:val="en-NZ" w:eastAsia="en-NZ"/>
          <w14:ligatures w14:val="standardContextual"/>
        </w:rPr>
      </w:pPr>
      <w:hyperlink w:anchor="_Toc178255285" w:history="1">
        <w:r w:rsidR="001B1F2F" w:rsidRPr="00880482">
          <w:rPr>
            <w:rStyle w:val="Hyperlink"/>
            <w:noProof/>
          </w:rPr>
          <w:t>Simplified demonstration of averaging accounting</w:t>
        </w:r>
        <w:r w:rsidR="001B1F2F">
          <w:rPr>
            <w:noProof/>
            <w:webHidden/>
          </w:rPr>
          <w:tab/>
        </w:r>
        <w:r w:rsidR="001B1F2F">
          <w:rPr>
            <w:noProof/>
            <w:webHidden/>
          </w:rPr>
          <w:fldChar w:fldCharType="begin"/>
        </w:r>
        <w:r w:rsidR="001B1F2F">
          <w:rPr>
            <w:noProof/>
            <w:webHidden/>
          </w:rPr>
          <w:instrText xml:space="preserve"> PAGEREF _Toc178255285 \h </w:instrText>
        </w:r>
        <w:r w:rsidR="001B1F2F">
          <w:rPr>
            <w:noProof/>
            <w:webHidden/>
          </w:rPr>
        </w:r>
        <w:r w:rsidR="001B1F2F">
          <w:rPr>
            <w:noProof/>
            <w:webHidden/>
          </w:rPr>
          <w:fldChar w:fldCharType="separate"/>
        </w:r>
        <w:r w:rsidR="007C39E4">
          <w:rPr>
            <w:noProof/>
            <w:webHidden/>
          </w:rPr>
          <w:t>28</w:t>
        </w:r>
        <w:r w:rsidR="001B1F2F">
          <w:rPr>
            <w:noProof/>
            <w:webHidden/>
          </w:rPr>
          <w:fldChar w:fldCharType="end"/>
        </w:r>
      </w:hyperlink>
    </w:p>
    <w:p w14:paraId="0219C9AE" w14:textId="1F56D247" w:rsidR="001B1F2F" w:rsidRDefault="000174F1">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8255286" w:history="1">
        <w:r w:rsidR="001B1F2F" w:rsidRPr="00880482">
          <w:rPr>
            <w:rStyle w:val="Hyperlink"/>
            <w:noProof/>
          </w:rPr>
          <w:t>Results and discussion</w:t>
        </w:r>
        <w:r w:rsidR="001B1F2F">
          <w:rPr>
            <w:noProof/>
            <w:webHidden/>
          </w:rPr>
          <w:tab/>
        </w:r>
        <w:r w:rsidR="001B1F2F">
          <w:rPr>
            <w:noProof/>
            <w:webHidden/>
          </w:rPr>
          <w:fldChar w:fldCharType="begin"/>
        </w:r>
        <w:r w:rsidR="001B1F2F">
          <w:rPr>
            <w:noProof/>
            <w:webHidden/>
          </w:rPr>
          <w:instrText xml:space="preserve"> PAGEREF _Toc178255286 \h </w:instrText>
        </w:r>
        <w:r w:rsidR="001B1F2F">
          <w:rPr>
            <w:noProof/>
            <w:webHidden/>
          </w:rPr>
        </w:r>
        <w:r w:rsidR="001B1F2F">
          <w:rPr>
            <w:noProof/>
            <w:webHidden/>
          </w:rPr>
          <w:fldChar w:fldCharType="separate"/>
        </w:r>
        <w:r w:rsidR="007C39E4">
          <w:rPr>
            <w:noProof/>
            <w:webHidden/>
          </w:rPr>
          <w:t>30</w:t>
        </w:r>
        <w:r w:rsidR="001B1F2F">
          <w:rPr>
            <w:noProof/>
            <w:webHidden/>
          </w:rPr>
          <w:fldChar w:fldCharType="end"/>
        </w:r>
      </w:hyperlink>
    </w:p>
    <w:p w14:paraId="325AB822" w14:textId="60CDBE30" w:rsidR="001B1F2F" w:rsidRDefault="000174F1">
      <w:pPr>
        <w:pStyle w:val="TOC2"/>
        <w:tabs>
          <w:tab w:val="right" w:leader="dot" w:pos="8777"/>
        </w:tabs>
        <w:rPr>
          <w:rFonts w:asciiTheme="minorHAnsi" w:eastAsiaTheme="minorEastAsia" w:hAnsiTheme="minorHAnsi" w:cstheme="minorBidi"/>
          <w:noProof/>
          <w:kern w:val="2"/>
          <w:sz w:val="24"/>
          <w:szCs w:val="24"/>
          <w:lang w:val="en-NZ" w:eastAsia="en-NZ"/>
          <w14:ligatures w14:val="standardContextual"/>
        </w:rPr>
      </w:pPr>
      <w:hyperlink w:anchor="_Toc178255287" w:history="1">
        <w:r w:rsidR="001B1F2F" w:rsidRPr="00880482">
          <w:rPr>
            <w:rStyle w:val="Hyperlink"/>
            <w:noProof/>
            <w:lang w:eastAsia="en-NZ"/>
          </w:rPr>
          <w:t>Long-term Average Carbon Stock and Age Estimates</w:t>
        </w:r>
        <w:r w:rsidR="001B1F2F">
          <w:rPr>
            <w:noProof/>
            <w:webHidden/>
          </w:rPr>
          <w:tab/>
        </w:r>
        <w:r w:rsidR="001B1F2F">
          <w:rPr>
            <w:noProof/>
            <w:webHidden/>
          </w:rPr>
          <w:fldChar w:fldCharType="begin"/>
        </w:r>
        <w:r w:rsidR="001B1F2F">
          <w:rPr>
            <w:noProof/>
            <w:webHidden/>
          </w:rPr>
          <w:instrText xml:space="preserve"> PAGEREF _Toc178255287 \h </w:instrText>
        </w:r>
        <w:r w:rsidR="001B1F2F">
          <w:rPr>
            <w:noProof/>
            <w:webHidden/>
          </w:rPr>
        </w:r>
        <w:r w:rsidR="001B1F2F">
          <w:rPr>
            <w:noProof/>
            <w:webHidden/>
          </w:rPr>
          <w:fldChar w:fldCharType="separate"/>
        </w:r>
        <w:r w:rsidR="007C39E4">
          <w:rPr>
            <w:noProof/>
            <w:webHidden/>
          </w:rPr>
          <w:t>30</w:t>
        </w:r>
        <w:r w:rsidR="001B1F2F">
          <w:rPr>
            <w:noProof/>
            <w:webHidden/>
          </w:rPr>
          <w:fldChar w:fldCharType="end"/>
        </w:r>
      </w:hyperlink>
    </w:p>
    <w:p w14:paraId="5D56B25D" w14:textId="500633D1" w:rsidR="001B1F2F" w:rsidRDefault="000174F1">
      <w:pPr>
        <w:pStyle w:val="TOC2"/>
        <w:tabs>
          <w:tab w:val="right" w:leader="dot" w:pos="8777"/>
        </w:tabs>
        <w:rPr>
          <w:rFonts w:asciiTheme="minorHAnsi" w:eastAsiaTheme="minorEastAsia" w:hAnsiTheme="minorHAnsi" w:cstheme="minorBidi"/>
          <w:noProof/>
          <w:kern w:val="2"/>
          <w:sz w:val="24"/>
          <w:szCs w:val="24"/>
          <w:lang w:val="en-NZ" w:eastAsia="en-NZ"/>
          <w14:ligatures w14:val="standardContextual"/>
        </w:rPr>
      </w:pPr>
      <w:hyperlink w:anchor="_Toc178255288" w:history="1">
        <w:r w:rsidR="001B1F2F" w:rsidRPr="00880482">
          <w:rPr>
            <w:rStyle w:val="Hyperlink"/>
            <w:noProof/>
            <w:lang w:eastAsia="en-NZ"/>
          </w:rPr>
          <w:t>Demonstration of averaging accounting</w:t>
        </w:r>
        <w:r w:rsidR="001B1F2F">
          <w:rPr>
            <w:noProof/>
            <w:webHidden/>
          </w:rPr>
          <w:tab/>
        </w:r>
        <w:r w:rsidR="001B1F2F">
          <w:rPr>
            <w:noProof/>
            <w:webHidden/>
          </w:rPr>
          <w:fldChar w:fldCharType="begin"/>
        </w:r>
        <w:r w:rsidR="001B1F2F">
          <w:rPr>
            <w:noProof/>
            <w:webHidden/>
          </w:rPr>
          <w:instrText xml:space="preserve"> PAGEREF _Toc178255288 \h </w:instrText>
        </w:r>
        <w:r w:rsidR="001B1F2F">
          <w:rPr>
            <w:noProof/>
            <w:webHidden/>
          </w:rPr>
        </w:r>
        <w:r w:rsidR="001B1F2F">
          <w:rPr>
            <w:noProof/>
            <w:webHidden/>
          </w:rPr>
          <w:fldChar w:fldCharType="separate"/>
        </w:r>
        <w:r w:rsidR="007C39E4">
          <w:rPr>
            <w:noProof/>
            <w:webHidden/>
          </w:rPr>
          <w:t>30</w:t>
        </w:r>
        <w:r w:rsidR="001B1F2F">
          <w:rPr>
            <w:noProof/>
            <w:webHidden/>
          </w:rPr>
          <w:fldChar w:fldCharType="end"/>
        </w:r>
      </w:hyperlink>
    </w:p>
    <w:p w14:paraId="62058B99" w14:textId="18FEC6D9" w:rsidR="001B1F2F" w:rsidRDefault="000174F1">
      <w:pPr>
        <w:pStyle w:val="TOC2"/>
        <w:tabs>
          <w:tab w:val="right" w:leader="dot" w:pos="8777"/>
        </w:tabs>
        <w:rPr>
          <w:rFonts w:asciiTheme="minorHAnsi" w:eastAsiaTheme="minorEastAsia" w:hAnsiTheme="minorHAnsi" w:cstheme="minorBidi"/>
          <w:noProof/>
          <w:kern w:val="2"/>
          <w:sz w:val="24"/>
          <w:szCs w:val="24"/>
          <w:lang w:val="en-NZ" w:eastAsia="en-NZ"/>
          <w14:ligatures w14:val="standardContextual"/>
        </w:rPr>
      </w:pPr>
      <w:hyperlink w:anchor="_Toc178255289" w:history="1">
        <w:r w:rsidR="001B1F2F" w:rsidRPr="00880482">
          <w:rPr>
            <w:rStyle w:val="Hyperlink"/>
            <w:noProof/>
          </w:rPr>
          <w:t>Steps to create the post-1989 FRL using the LUCAS CRA</w:t>
        </w:r>
        <w:r w:rsidR="001B1F2F">
          <w:rPr>
            <w:noProof/>
            <w:webHidden/>
          </w:rPr>
          <w:tab/>
        </w:r>
        <w:r w:rsidR="001B1F2F">
          <w:rPr>
            <w:noProof/>
            <w:webHidden/>
          </w:rPr>
          <w:fldChar w:fldCharType="begin"/>
        </w:r>
        <w:r w:rsidR="001B1F2F">
          <w:rPr>
            <w:noProof/>
            <w:webHidden/>
          </w:rPr>
          <w:instrText xml:space="preserve"> PAGEREF _Toc178255289 \h </w:instrText>
        </w:r>
        <w:r w:rsidR="001B1F2F">
          <w:rPr>
            <w:noProof/>
            <w:webHidden/>
          </w:rPr>
        </w:r>
        <w:r w:rsidR="001B1F2F">
          <w:rPr>
            <w:noProof/>
            <w:webHidden/>
          </w:rPr>
          <w:fldChar w:fldCharType="separate"/>
        </w:r>
        <w:r w:rsidR="007C39E4">
          <w:rPr>
            <w:noProof/>
            <w:webHidden/>
          </w:rPr>
          <w:t>34</w:t>
        </w:r>
        <w:r w:rsidR="001B1F2F">
          <w:rPr>
            <w:noProof/>
            <w:webHidden/>
          </w:rPr>
          <w:fldChar w:fldCharType="end"/>
        </w:r>
      </w:hyperlink>
    </w:p>
    <w:p w14:paraId="09C9696B" w14:textId="011F3838" w:rsidR="001B1F2F" w:rsidRDefault="000174F1">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8255290" w:history="1">
        <w:r w:rsidR="001B1F2F" w:rsidRPr="00880482">
          <w:rPr>
            <w:rStyle w:val="Hyperlink"/>
            <w:noProof/>
          </w:rPr>
          <w:t>Conclusions</w:t>
        </w:r>
        <w:r w:rsidR="001B1F2F">
          <w:rPr>
            <w:noProof/>
            <w:webHidden/>
          </w:rPr>
          <w:tab/>
        </w:r>
        <w:r w:rsidR="001B1F2F">
          <w:rPr>
            <w:noProof/>
            <w:webHidden/>
          </w:rPr>
          <w:fldChar w:fldCharType="begin"/>
        </w:r>
        <w:r w:rsidR="001B1F2F">
          <w:rPr>
            <w:noProof/>
            <w:webHidden/>
          </w:rPr>
          <w:instrText xml:space="preserve"> PAGEREF _Toc178255290 \h </w:instrText>
        </w:r>
        <w:r w:rsidR="001B1F2F">
          <w:rPr>
            <w:noProof/>
            <w:webHidden/>
          </w:rPr>
        </w:r>
        <w:r w:rsidR="001B1F2F">
          <w:rPr>
            <w:noProof/>
            <w:webHidden/>
          </w:rPr>
          <w:fldChar w:fldCharType="separate"/>
        </w:r>
        <w:r w:rsidR="007C39E4">
          <w:rPr>
            <w:noProof/>
            <w:webHidden/>
          </w:rPr>
          <w:t>35</w:t>
        </w:r>
        <w:r w:rsidR="001B1F2F">
          <w:rPr>
            <w:noProof/>
            <w:webHidden/>
          </w:rPr>
          <w:fldChar w:fldCharType="end"/>
        </w:r>
      </w:hyperlink>
    </w:p>
    <w:p w14:paraId="0EDDD284" w14:textId="25BC7777" w:rsidR="001B1F2F" w:rsidRDefault="000174F1">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8255291" w:history="1">
        <w:r w:rsidR="001B1F2F" w:rsidRPr="00880482">
          <w:rPr>
            <w:rStyle w:val="Hyperlink"/>
            <w:noProof/>
          </w:rPr>
          <w:t>Acknowledgements</w:t>
        </w:r>
        <w:r w:rsidR="001B1F2F">
          <w:rPr>
            <w:noProof/>
            <w:webHidden/>
          </w:rPr>
          <w:tab/>
        </w:r>
        <w:r w:rsidR="001B1F2F">
          <w:rPr>
            <w:noProof/>
            <w:webHidden/>
          </w:rPr>
          <w:fldChar w:fldCharType="begin"/>
        </w:r>
        <w:r w:rsidR="001B1F2F">
          <w:rPr>
            <w:noProof/>
            <w:webHidden/>
          </w:rPr>
          <w:instrText xml:space="preserve"> PAGEREF _Toc178255291 \h </w:instrText>
        </w:r>
        <w:r w:rsidR="001B1F2F">
          <w:rPr>
            <w:noProof/>
            <w:webHidden/>
          </w:rPr>
        </w:r>
        <w:r w:rsidR="001B1F2F">
          <w:rPr>
            <w:noProof/>
            <w:webHidden/>
          </w:rPr>
          <w:fldChar w:fldCharType="separate"/>
        </w:r>
        <w:r w:rsidR="007C39E4">
          <w:rPr>
            <w:noProof/>
            <w:webHidden/>
          </w:rPr>
          <w:t>36</w:t>
        </w:r>
        <w:r w:rsidR="001B1F2F">
          <w:rPr>
            <w:noProof/>
            <w:webHidden/>
          </w:rPr>
          <w:fldChar w:fldCharType="end"/>
        </w:r>
      </w:hyperlink>
    </w:p>
    <w:p w14:paraId="6EE1BE9C" w14:textId="4A3FCFC5" w:rsidR="001B1F2F" w:rsidRDefault="000174F1">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8255292" w:history="1">
        <w:r w:rsidR="001B1F2F" w:rsidRPr="00880482">
          <w:rPr>
            <w:rStyle w:val="Hyperlink"/>
            <w:noProof/>
          </w:rPr>
          <w:t>References</w:t>
        </w:r>
        <w:r w:rsidR="001B1F2F">
          <w:rPr>
            <w:noProof/>
            <w:webHidden/>
          </w:rPr>
          <w:tab/>
        </w:r>
        <w:r w:rsidR="001B1F2F">
          <w:rPr>
            <w:noProof/>
            <w:webHidden/>
          </w:rPr>
          <w:fldChar w:fldCharType="begin"/>
        </w:r>
        <w:r w:rsidR="001B1F2F">
          <w:rPr>
            <w:noProof/>
            <w:webHidden/>
          </w:rPr>
          <w:instrText xml:space="preserve"> PAGEREF _Toc178255292 \h </w:instrText>
        </w:r>
        <w:r w:rsidR="001B1F2F">
          <w:rPr>
            <w:noProof/>
            <w:webHidden/>
          </w:rPr>
        </w:r>
        <w:r w:rsidR="001B1F2F">
          <w:rPr>
            <w:noProof/>
            <w:webHidden/>
          </w:rPr>
          <w:fldChar w:fldCharType="separate"/>
        </w:r>
        <w:r w:rsidR="007C39E4">
          <w:rPr>
            <w:noProof/>
            <w:webHidden/>
          </w:rPr>
          <w:t>36</w:t>
        </w:r>
        <w:r w:rsidR="001B1F2F">
          <w:rPr>
            <w:noProof/>
            <w:webHidden/>
          </w:rPr>
          <w:fldChar w:fldCharType="end"/>
        </w:r>
      </w:hyperlink>
    </w:p>
    <w:p w14:paraId="0C629940" w14:textId="2BC6BC2A" w:rsidR="001F722D" w:rsidRDefault="00DF4C3C" w:rsidP="00652461">
      <w:pPr>
        <w:pStyle w:val="TOC1"/>
        <w:rPr>
          <w:rFonts w:asciiTheme="minorHAnsi" w:eastAsiaTheme="minorEastAsia" w:hAnsiTheme="minorHAnsi" w:cstheme="minorBidi"/>
          <w:noProof/>
          <w:sz w:val="22"/>
          <w:szCs w:val="22"/>
          <w:lang w:val="en-NZ" w:eastAsia="en-NZ"/>
        </w:rPr>
      </w:pPr>
      <w:r>
        <w:fldChar w:fldCharType="end"/>
      </w:r>
    </w:p>
    <w:p w14:paraId="5DFB55A0" w14:textId="3D9DE56C" w:rsidR="00EC5197" w:rsidRDefault="00EC5197" w:rsidP="00652461">
      <w:pPr>
        <w:pStyle w:val="TOC1"/>
        <w:rPr>
          <w:rFonts w:eastAsiaTheme="minorEastAsia"/>
          <w:noProof/>
          <w:lang w:val="en-NZ" w:eastAsia="en-NZ"/>
        </w:rPr>
      </w:pPr>
    </w:p>
    <w:p w14:paraId="65427994" w14:textId="4320B539" w:rsidR="00E146D1" w:rsidRDefault="00E146D1" w:rsidP="00652461">
      <w:pPr>
        <w:pStyle w:val="TOC1"/>
        <w:rPr>
          <w:rFonts w:eastAsiaTheme="minorEastAsia"/>
          <w:noProof/>
          <w:lang w:val="en-NZ" w:eastAsia="en-NZ"/>
        </w:rPr>
      </w:pPr>
    </w:p>
    <w:p w14:paraId="5E0D844D" w14:textId="423F0705" w:rsidR="005032B4" w:rsidRPr="00077F8B" w:rsidRDefault="005032B4" w:rsidP="4C6E4E2B">
      <w:pPr>
        <w:spacing w:line="276" w:lineRule="auto"/>
        <w:rPr>
          <w:rFonts w:eastAsiaTheme="majorEastAsia"/>
          <w:lang w:val="en-US"/>
        </w:rPr>
      </w:pPr>
    </w:p>
    <w:p w14:paraId="4CCEF697" w14:textId="77777777" w:rsidR="005032B4" w:rsidRPr="00077F8B" w:rsidRDefault="005032B4" w:rsidP="00A35F7A">
      <w:pPr>
        <w:spacing w:line="276" w:lineRule="auto"/>
        <w:rPr>
          <w:rFonts w:eastAsiaTheme="majorEastAsia"/>
          <w:lang w:val="en-US"/>
        </w:rPr>
      </w:pPr>
      <w:r w:rsidRPr="00077F8B">
        <w:rPr>
          <w:rFonts w:eastAsiaTheme="majorEastAsia"/>
          <w:lang w:val="en-US"/>
        </w:rPr>
        <w:br w:type="page"/>
      </w:r>
    </w:p>
    <w:p w14:paraId="343B249C" w14:textId="77777777" w:rsidR="00F53C51" w:rsidRPr="007201F3" w:rsidRDefault="00F53C51" w:rsidP="00F53C51">
      <w:pPr>
        <w:pStyle w:val="Heading1"/>
      </w:pPr>
      <w:bookmarkStart w:id="1" w:name="_Toc171327754"/>
      <w:bookmarkStart w:id="2" w:name="_Toc178255275"/>
      <w:r>
        <w:lastRenderedPageBreak/>
        <w:t>Abbreviations</w:t>
      </w:r>
      <w:bookmarkEnd w:id="1"/>
      <w:bookmarkEnd w:id="2"/>
    </w:p>
    <w:p w14:paraId="5BF853C1" w14:textId="05DA4F16" w:rsidR="00F53C51" w:rsidRDefault="0096256D" w:rsidP="00F53C51">
      <w:r w:rsidRPr="00221C8C">
        <w:rPr>
          <w:b/>
          <w:bCs/>
        </w:rPr>
        <w:t>AGB</w:t>
      </w:r>
      <w:r w:rsidRPr="00221C8C">
        <w:rPr>
          <w:b/>
          <w:bCs/>
        </w:rPr>
        <w:tab/>
      </w:r>
      <w:r w:rsidRPr="00426084">
        <w:rPr>
          <w:b/>
          <w:bCs/>
        </w:rPr>
        <w:tab/>
        <w:t>Above-ground biomass</w:t>
      </w:r>
      <w:r>
        <w:t xml:space="preserve"> (including stems, branches, foliage</w:t>
      </w:r>
      <w:r w:rsidR="005B28DE">
        <w:t>, seeds, cones, bark etc</w:t>
      </w:r>
      <w:r w:rsidR="00B31274">
        <w:t>).</w:t>
      </w:r>
      <w:r>
        <w:t xml:space="preserve"> One of the mandatory IPCC forest carbon pools for reporting and accounting.</w:t>
      </w:r>
    </w:p>
    <w:p w14:paraId="0E8616A7" w14:textId="77777777" w:rsidR="0096256D" w:rsidRDefault="0096256D" w:rsidP="00F53C51"/>
    <w:p w14:paraId="3DD6EBD2" w14:textId="76735E32" w:rsidR="0096256D" w:rsidRDefault="0096256D" w:rsidP="0096256D">
      <w:r w:rsidRPr="00426084">
        <w:rPr>
          <w:b/>
          <w:bCs/>
        </w:rPr>
        <w:t>BGB</w:t>
      </w:r>
      <w:r w:rsidRPr="00426084">
        <w:rPr>
          <w:b/>
          <w:bCs/>
        </w:rPr>
        <w:tab/>
      </w:r>
      <w:r w:rsidRPr="00426084">
        <w:rPr>
          <w:b/>
          <w:bCs/>
        </w:rPr>
        <w:tab/>
        <w:t>Below-ground biomass</w:t>
      </w:r>
      <w:r w:rsidR="00B31274">
        <w:t xml:space="preserve"> (fine and coarse roots)</w:t>
      </w:r>
      <w:r w:rsidR="00426084">
        <w:t>.</w:t>
      </w:r>
      <w:r w:rsidRPr="0096256D">
        <w:t xml:space="preserve"> </w:t>
      </w:r>
      <w:r>
        <w:t>One of the mandatory IPCC forest carbon pools for reporting and accounting.</w:t>
      </w:r>
    </w:p>
    <w:p w14:paraId="7921A07E" w14:textId="77777777" w:rsidR="0096256D" w:rsidRDefault="0096256D" w:rsidP="0096256D"/>
    <w:p w14:paraId="60340A5A" w14:textId="6B71A942" w:rsidR="00F53C51" w:rsidRDefault="00F53C51" w:rsidP="00F53C51">
      <w:r w:rsidRPr="00144733">
        <w:rPr>
          <w:b/>
          <w:bCs/>
        </w:rPr>
        <w:t>CRA</w:t>
      </w:r>
      <w:r>
        <w:tab/>
      </w:r>
      <w:r>
        <w:tab/>
      </w:r>
      <w:r w:rsidRPr="005A3CAA">
        <w:rPr>
          <w:b/>
          <w:bCs/>
        </w:rPr>
        <w:t>Calculation and Reporting Application</w:t>
      </w:r>
      <w:r>
        <w:t>. Software within LUCAS (Land Use and Carbon Accounting System) used by the Ministry for the Environment to simulate land use change and forest activity and estimate greenhouse gas emissions and removals.</w:t>
      </w:r>
    </w:p>
    <w:p w14:paraId="477E007A" w14:textId="77777777" w:rsidR="00F53C51" w:rsidRDefault="00F53C51" w:rsidP="00F53C51"/>
    <w:p w14:paraId="1C2CFB78" w14:textId="7D4844A0" w:rsidR="00F00335" w:rsidRDefault="00F00335" w:rsidP="00F53C51">
      <w:r w:rsidRPr="00F00335">
        <w:rPr>
          <w:b/>
          <w:bCs/>
        </w:rPr>
        <w:t>ETS</w:t>
      </w:r>
      <w:r w:rsidRPr="00F00335">
        <w:rPr>
          <w:b/>
          <w:bCs/>
        </w:rPr>
        <w:tab/>
      </w:r>
      <w:r w:rsidRPr="00F00335">
        <w:rPr>
          <w:b/>
          <w:bCs/>
        </w:rPr>
        <w:tab/>
        <w:t>Emissions Trading Scheme</w:t>
      </w:r>
      <w:r>
        <w:t>. The New Zealand ETS</w:t>
      </w:r>
      <w:r w:rsidR="00FC100B">
        <w:t>, a market-based policy instrument designed to reduce net emissions.</w:t>
      </w:r>
    </w:p>
    <w:p w14:paraId="0FB1D815" w14:textId="77777777" w:rsidR="00F00335" w:rsidRDefault="00F00335" w:rsidP="00F53C51"/>
    <w:p w14:paraId="47E523BC" w14:textId="56BF5F4E" w:rsidR="00F53C51" w:rsidRDefault="00F53C51" w:rsidP="00F53C51">
      <w:r w:rsidRPr="00144733">
        <w:rPr>
          <w:b/>
          <w:bCs/>
        </w:rPr>
        <w:t>FRL</w:t>
      </w:r>
      <w:r>
        <w:tab/>
      </w:r>
      <w:r>
        <w:tab/>
      </w:r>
      <w:r w:rsidRPr="005A3CAA">
        <w:rPr>
          <w:b/>
          <w:bCs/>
        </w:rPr>
        <w:t>Forest Reference Level</w:t>
      </w:r>
      <w:r>
        <w:t xml:space="preserve">. </w:t>
      </w:r>
      <w:r w:rsidR="000F43FE">
        <w:t xml:space="preserve">The level of </w:t>
      </w:r>
      <w:r w:rsidR="0088003D">
        <w:t>e</w:t>
      </w:r>
      <w:r>
        <w:t xml:space="preserve">xpected </w:t>
      </w:r>
      <w:r w:rsidR="0088003D">
        <w:t xml:space="preserve">future </w:t>
      </w:r>
      <w:r>
        <w:t>net emissions</w:t>
      </w:r>
      <w:r w:rsidR="0088003D">
        <w:t xml:space="preserve">, usually expressed as an average annual quantity over a compliance period. </w:t>
      </w:r>
      <w:r w:rsidR="00E37596">
        <w:t xml:space="preserve">This is used in reference level accounting </w:t>
      </w:r>
      <w:r w:rsidR="00B639D5">
        <w:t xml:space="preserve">for pre-1990 forests </w:t>
      </w:r>
      <w:r w:rsidR="00E37596">
        <w:t xml:space="preserve">to establish </w:t>
      </w:r>
      <w:r w:rsidR="00E37596" w:rsidRPr="00E61230">
        <w:rPr>
          <w:i/>
          <w:iCs/>
        </w:rPr>
        <w:t>additionality</w:t>
      </w:r>
      <w:r w:rsidR="00B639D5">
        <w:t xml:space="preserve"> </w:t>
      </w:r>
      <w:r w:rsidR="00ED3A83">
        <w:t>– the FRL for</w:t>
      </w:r>
      <w:r>
        <w:t xml:space="preserve"> pre-1990 forests </w:t>
      </w:r>
      <w:r w:rsidR="00ED3A83">
        <w:t xml:space="preserve">is </w:t>
      </w:r>
      <w:r>
        <w:t xml:space="preserve">based on projections that assume that business-as-usual management practices undertaken in the 2000-2009 reference period will continue. </w:t>
      </w:r>
      <w:r w:rsidR="00ED3A83">
        <w:t>F</w:t>
      </w:r>
      <w:r w:rsidRPr="00C66D21">
        <w:t>or pre-1990 forests and their products, only deviations from the FRL are subject to accounting credits or debits.</w:t>
      </w:r>
      <w:r w:rsidR="00ED3A83">
        <w:br/>
      </w:r>
      <w:r w:rsidR="00ED3A83">
        <w:br/>
        <w:t>In post-19</w:t>
      </w:r>
      <w:r w:rsidR="00AC11B0">
        <w:t xml:space="preserve">89 forests, all uptake of carbon is additional. The FRL represents the net emissions expected after the </w:t>
      </w:r>
      <w:r w:rsidR="00D05E54">
        <w:t xml:space="preserve">long term average (LTA)  </w:t>
      </w:r>
      <w:r w:rsidR="00AC11B0">
        <w:t xml:space="preserve">age is reached, which serves as a baseline against which </w:t>
      </w:r>
      <w:r w:rsidR="001E52F3">
        <w:t xml:space="preserve">over- or under-achievement of the </w:t>
      </w:r>
      <w:r w:rsidR="00E61230">
        <w:t>LTA stock</w:t>
      </w:r>
      <w:r w:rsidR="00AE060E">
        <w:t xml:space="preserve"> can be corrected.</w:t>
      </w:r>
    </w:p>
    <w:p w14:paraId="3C98ADDA" w14:textId="77777777" w:rsidR="00F53C51" w:rsidRDefault="00F53C51" w:rsidP="00F53C51"/>
    <w:p w14:paraId="485253C5" w14:textId="77777777" w:rsidR="00F53C51" w:rsidRDefault="00F53C51" w:rsidP="00F53C51">
      <w:r w:rsidRPr="00144733">
        <w:rPr>
          <w:b/>
          <w:bCs/>
        </w:rPr>
        <w:t>HWP</w:t>
      </w:r>
      <w:r>
        <w:tab/>
      </w:r>
      <w:r>
        <w:tab/>
      </w:r>
      <w:r w:rsidRPr="005A3CAA">
        <w:rPr>
          <w:b/>
          <w:bCs/>
        </w:rPr>
        <w:t>Harvested Wood Products</w:t>
      </w:r>
      <w:r>
        <w:t>. W</w:t>
      </w:r>
      <w:r w:rsidRPr="00D20821">
        <w:t>ood-based materials harvested from forests, which are used for products such as furniture, plywood, and paper and paper-like products, or for energy.</w:t>
      </w:r>
      <w:r>
        <w:t xml:space="preserve"> In the context of accounting under the Kyoto Protocol and Paris Agreement, the HWP pool includes only the semi-finished wood product categories sawn timber, wood-based panels, and paper and paperboard. Other wood products such as wood pellets are assumed to be instantaneously emitted at the time of harvest. </w:t>
      </w:r>
    </w:p>
    <w:p w14:paraId="196482A9" w14:textId="77777777" w:rsidR="00F53C51" w:rsidRDefault="00F53C51" w:rsidP="00F53C51"/>
    <w:p w14:paraId="3FF55BEB" w14:textId="77777777" w:rsidR="00F53C51" w:rsidRDefault="00F53C51" w:rsidP="00F53C51">
      <w:r w:rsidRPr="00144733">
        <w:rPr>
          <w:b/>
          <w:bCs/>
        </w:rPr>
        <w:t>IPCC</w:t>
      </w:r>
      <w:r>
        <w:tab/>
      </w:r>
      <w:r>
        <w:tab/>
      </w:r>
      <w:r w:rsidRPr="005A3CAA">
        <w:rPr>
          <w:b/>
          <w:bCs/>
        </w:rPr>
        <w:t>Intergovernmental Panel on Climate Change</w:t>
      </w:r>
      <w:r w:rsidRPr="00144733">
        <w:t>.</w:t>
      </w:r>
      <w:r>
        <w:t xml:space="preserve"> The United Nations body </w:t>
      </w:r>
      <w:r w:rsidRPr="00E51F26">
        <w:t>for assessing the science related to climate change</w:t>
      </w:r>
      <w:r>
        <w:t xml:space="preserve"> and providing guidelines for greenhouse gas inventory reporting and accounting.</w:t>
      </w:r>
    </w:p>
    <w:p w14:paraId="42D42DFF" w14:textId="77777777" w:rsidR="00F53C51" w:rsidRDefault="00F53C51" w:rsidP="00F53C51"/>
    <w:p w14:paraId="60F5717E" w14:textId="77777777" w:rsidR="00F53C51" w:rsidRDefault="00F53C51" w:rsidP="00F53C51">
      <w:r w:rsidRPr="00144733">
        <w:rPr>
          <w:b/>
          <w:bCs/>
        </w:rPr>
        <w:t>LUCAS</w:t>
      </w:r>
      <w:r>
        <w:tab/>
      </w:r>
      <w:r w:rsidRPr="005A3CAA">
        <w:rPr>
          <w:b/>
          <w:bCs/>
        </w:rPr>
        <w:t>Land Use and Carbon Analysis System</w:t>
      </w:r>
      <w:r>
        <w:t>. Programme administered by the Ministry for the Environment to collect, analyse and report on information relating to greenhouse gas emissions and removals associated with land use.</w:t>
      </w:r>
    </w:p>
    <w:p w14:paraId="430FD128" w14:textId="77777777" w:rsidR="00F53C51" w:rsidRPr="00FD4AFB" w:rsidRDefault="00F53C51" w:rsidP="00F53C51">
      <w:pPr>
        <w:rPr>
          <w:b/>
          <w:bCs/>
        </w:rPr>
      </w:pPr>
    </w:p>
    <w:p w14:paraId="2C4468FD" w14:textId="0C1D07AA" w:rsidR="00B0183A" w:rsidRDefault="00B0183A" w:rsidP="00F53C51">
      <w:r w:rsidRPr="00FD4AFB">
        <w:rPr>
          <w:b/>
          <w:bCs/>
        </w:rPr>
        <w:t>LTA</w:t>
      </w:r>
      <w:r w:rsidR="00FD4AFB" w:rsidRPr="00FD4AFB">
        <w:rPr>
          <w:b/>
          <w:bCs/>
        </w:rPr>
        <w:tab/>
      </w:r>
      <w:r w:rsidR="00FD4AFB" w:rsidRPr="00FD4AFB">
        <w:rPr>
          <w:b/>
          <w:bCs/>
        </w:rPr>
        <w:tab/>
        <w:t>Long Term Average</w:t>
      </w:r>
      <w:r w:rsidR="00FD4AFB">
        <w:t xml:space="preserve">. </w:t>
      </w:r>
      <w:r w:rsidR="00F715C9">
        <w:t>Under averaging accounting, stock change accounting for post-1989 forest is used up to the point that the Long Term Average Age is reached</w:t>
      </w:r>
      <w:r w:rsidR="00A12597">
        <w:t xml:space="preserve">. After this point, any further accounting is against a reference level. </w:t>
      </w:r>
      <w:r w:rsidR="00697E12">
        <w:t>The LTA age is the age at which the LTA stock is r</w:t>
      </w:r>
      <w:r w:rsidR="001C51C7">
        <w:t>eac</w:t>
      </w:r>
      <w:r w:rsidR="00697E12">
        <w:t xml:space="preserve">hed in </w:t>
      </w:r>
      <w:r w:rsidR="001C51C7">
        <w:t>during</w:t>
      </w:r>
      <w:r w:rsidR="00697E12">
        <w:t xml:space="preserve"> the first rotation, and the LTA stock is the </w:t>
      </w:r>
      <w:r w:rsidR="003C43A3">
        <w:t xml:space="preserve">average stock of carbon in above and below-ground biomass, dead wood, litter </w:t>
      </w:r>
      <w:r w:rsidR="00062534">
        <w:t xml:space="preserve">and optionally soil organic carbon and </w:t>
      </w:r>
      <w:r w:rsidR="001C51C7">
        <w:t>HWP</w:t>
      </w:r>
      <w:r w:rsidR="00062534">
        <w:t>s</w:t>
      </w:r>
      <w:r w:rsidR="00E96BC1">
        <w:t xml:space="preserve"> in the long-term</w:t>
      </w:r>
      <w:r w:rsidR="00062534">
        <w:t>.</w:t>
      </w:r>
    </w:p>
    <w:p w14:paraId="27CDF0E8" w14:textId="77777777" w:rsidR="00B0183A" w:rsidRDefault="00B0183A" w:rsidP="00F53C51"/>
    <w:p w14:paraId="7DD320AD" w14:textId="1E48C8C4" w:rsidR="00F53C51" w:rsidRDefault="00F53C51" w:rsidP="00F53C51">
      <w:r w:rsidRPr="00144733">
        <w:rPr>
          <w:b/>
          <w:bCs/>
        </w:rPr>
        <w:t>NDC</w:t>
      </w:r>
      <w:r>
        <w:tab/>
      </w:r>
      <w:r>
        <w:tab/>
      </w:r>
      <w:r w:rsidRPr="005A3CAA">
        <w:rPr>
          <w:b/>
          <w:bCs/>
        </w:rPr>
        <w:t>Nationally Determined Contribution</w:t>
      </w:r>
      <w:r>
        <w:t>. The contribution New Zealand has committed to make towards climate change mitigation under the Paris Agreement.</w:t>
      </w:r>
    </w:p>
    <w:p w14:paraId="46A8DB53" w14:textId="77777777" w:rsidR="00332C61" w:rsidRDefault="00332C61" w:rsidP="00F53C51"/>
    <w:p w14:paraId="279985C9" w14:textId="77777777" w:rsidR="00F53C51" w:rsidRDefault="00F53C51" w:rsidP="00F53C51">
      <w:r w:rsidRPr="00144733">
        <w:rPr>
          <w:b/>
          <w:bCs/>
        </w:rPr>
        <w:t>NIR</w:t>
      </w:r>
      <w:r>
        <w:tab/>
      </w:r>
      <w:r>
        <w:tab/>
      </w:r>
      <w:r w:rsidRPr="005A3CAA">
        <w:rPr>
          <w:b/>
          <w:bCs/>
        </w:rPr>
        <w:t>National Inventory Report</w:t>
      </w:r>
      <w:r>
        <w:t>. The greenhouse gas inventory report submitted annually under the United Nations Framework Convention in Climate Change.</w:t>
      </w:r>
    </w:p>
    <w:p w14:paraId="47AE2A17" w14:textId="77777777" w:rsidR="00F53C51" w:rsidRDefault="00F53C51" w:rsidP="00F53C51"/>
    <w:p w14:paraId="06A349A8" w14:textId="0FEEAF4C" w:rsidR="00FC100B" w:rsidRDefault="00FC100B" w:rsidP="00F53C51">
      <w:r w:rsidRPr="00023E4B">
        <w:rPr>
          <w:b/>
          <w:bCs/>
        </w:rPr>
        <w:t>NZU</w:t>
      </w:r>
      <w:r w:rsidRPr="00023E4B">
        <w:rPr>
          <w:b/>
          <w:bCs/>
        </w:rPr>
        <w:tab/>
      </w:r>
      <w:r w:rsidRPr="00023E4B">
        <w:rPr>
          <w:b/>
          <w:bCs/>
        </w:rPr>
        <w:tab/>
        <w:t>New Zealand Unit</w:t>
      </w:r>
      <w:r w:rsidR="00023E4B">
        <w:t>. T</w:t>
      </w:r>
      <w:r>
        <w:t>he carbon trading unit used in the NZ ETS</w:t>
      </w:r>
      <w:r w:rsidR="00023E4B">
        <w:t>, equal to 1 t CO</w:t>
      </w:r>
      <w:r w:rsidR="00023E4B" w:rsidRPr="00023E4B">
        <w:rPr>
          <w:vertAlign w:val="subscript"/>
        </w:rPr>
        <w:t>2</w:t>
      </w:r>
      <w:r w:rsidR="00023E4B">
        <w:t>e.</w:t>
      </w:r>
    </w:p>
    <w:p w14:paraId="24C40D9D" w14:textId="77777777" w:rsidR="00FC100B" w:rsidRDefault="00FC100B" w:rsidP="00F53C51"/>
    <w:p w14:paraId="7F91856D" w14:textId="77777777" w:rsidR="00F53C51" w:rsidRDefault="00F53C51" w:rsidP="00F53C51">
      <w:r w:rsidRPr="00121EBF">
        <w:rPr>
          <w:b/>
          <w:bCs/>
        </w:rPr>
        <w:t>UNFCCC</w:t>
      </w:r>
      <w:r>
        <w:tab/>
      </w:r>
      <w:r w:rsidRPr="005A3CAA">
        <w:rPr>
          <w:b/>
          <w:bCs/>
        </w:rPr>
        <w:t>United Nations Framework Convention on Climate Change</w:t>
      </w:r>
      <w:r>
        <w:t>. The United Nations process for negotiating international agreements to mitigate climate change.</w:t>
      </w:r>
    </w:p>
    <w:p w14:paraId="0CB894F8" w14:textId="77777777" w:rsidR="00F53C51" w:rsidRDefault="00F53C51" w:rsidP="00F53C51"/>
    <w:p w14:paraId="264AB561" w14:textId="26602A0E" w:rsidR="008E5004" w:rsidRPr="00077F8B" w:rsidRDefault="00835D67" w:rsidP="00A35F7A">
      <w:pPr>
        <w:pStyle w:val="Heading1"/>
        <w:spacing w:line="276" w:lineRule="auto"/>
      </w:pPr>
      <w:bookmarkStart w:id="3" w:name="_Toc178255276"/>
      <w:r>
        <w:lastRenderedPageBreak/>
        <w:t>Introduction</w:t>
      </w:r>
      <w:bookmarkEnd w:id="3"/>
    </w:p>
    <w:p w14:paraId="77808A9C" w14:textId="16CBBC37" w:rsidR="00BC0F0C" w:rsidRDefault="001E3445" w:rsidP="00A82069">
      <w:pPr>
        <w:pStyle w:val="Heading2"/>
      </w:pPr>
      <w:bookmarkStart w:id="4" w:name="_Toc178255277"/>
      <w:r>
        <w:t>New Zealand’s Nationally Determined Contribution</w:t>
      </w:r>
      <w:r w:rsidR="00BC0F0C">
        <w:t xml:space="preserve"> under the Paris Agreement</w:t>
      </w:r>
      <w:bookmarkEnd w:id="4"/>
    </w:p>
    <w:p w14:paraId="195270F8" w14:textId="4E5EDF92" w:rsidR="00BC0F0C" w:rsidRDefault="00BC0F0C" w:rsidP="00BC0F0C">
      <w:pPr>
        <w:spacing w:line="276" w:lineRule="auto"/>
        <w:rPr>
          <w:rFonts w:cs="Arial"/>
          <w:szCs w:val="20"/>
        </w:rPr>
      </w:pPr>
      <w:r w:rsidRPr="00114BA1">
        <w:rPr>
          <w:rFonts w:cs="Arial"/>
          <w:szCs w:val="20"/>
        </w:rPr>
        <w:t xml:space="preserve">The Paris Agreement is the global agreement on climate change adopted by Parties under the United Nations Framework Convention on Climate Change (UNFCCC) on 12 December 2015. </w:t>
      </w:r>
      <w:r>
        <w:rPr>
          <w:rFonts w:cs="Arial"/>
          <w:szCs w:val="20"/>
        </w:rPr>
        <w:t>The Paris agreement follows on from the earlier Kyoto Protocol, which covered two commitment periods: 2008-2012, and 2013-2020. Under the Paris Agreement New Zealand’s Nationally Determined Contribution (NDC) is to reduce net greenhouse gas emissions to 50 percent below 2005 levels.</w:t>
      </w:r>
    </w:p>
    <w:p w14:paraId="0AC49BF6" w14:textId="77777777" w:rsidR="00BC0F0C" w:rsidRDefault="00BC0F0C" w:rsidP="00BC0F0C">
      <w:pPr>
        <w:spacing w:line="276" w:lineRule="auto"/>
        <w:rPr>
          <w:rFonts w:cs="Arial"/>
          <w:szCs w:val="20"/>
        </w:rPr>
      </w:pPr>
    </w:p>
    <w:p w14:paraId="339FD2E2" w14:textId="77777777" w:rsidR="00BC0F0C" w:rsidRDefault="00BC0F0C" w:rsidP="00BC0F0C">
      <w:pPr>
        <w:spacing w:line="276" w:lineRule="auto"/>
        <w:rPr>
          <w:rFonts w:cs="Arial"/>
          <w:szCs w:val="20"/>
        </w:rPr>
      </w:pPr>
      <w:r>
        <w:rPr>
          <w:rFonts w:cs="Arial"/>
          <w:szCs w:val="20"/>
        </w:rPr>
        <w:t>New Zealand’s NDC, updated in November 2021, is published in the UNFCCC NDC registry (</w:t>
      </w:r>
      <w:hyperlink r:id="rId18" w:history="1">
        <w:r w:rsidRPr="00FA268B">
          <w:rPr>
            <w:rStyle w:val="Hyperlink"/>
            <w:rFonts w:cs="Arial"/>
            <w:szCs w:val="20"/>
          </w:rPr>
          <w:t>https://unfccc.int/NDCREG</w:t>
        </w:r>
      </w:hyperlink>
      <w:r>
        <w:rPr>
          <w:rFonts w:cs="Arial"/>
          <w:szCs w:val="20"/>
        </w:rPr>
        <w:t>) and states:</w:t>
      </w:r>
    </w:p>
    <w:p w14:paraId="1569E984" w14:textId="77777777" w:rsidR="00BC0F0C" w:rsidRDefault="00BC0F0C" w:rsidP="00BC0F0C">
      <w:pPr>
        <w:spacing w:line="276" w:lineRule="auto"/>
        <w:rPr>
          <w:rFonts w:cs="Arial"/>
          <w:szCs w:val="20"/>
        </w:rPr>
      </w:pPr>
    </w:p>
    <w:p w14:paraId="1B303663" w14:textId="77777777" w:rsidR="00BC0F0C" w:rsidRPr="00AF674C" w:rsidRDefault="00BC0F0C" w:rsidP="00BC0F0C">
      <w:pPr>
        <w:spacing w:line="276" w:lineRule="auto"/>
        <w:ind w:left="567"/>
        <w:rPr>
          <w:rFonts w:cs="Arial"/>
          <w:i/>
          <w:iCs/>
          <w:szCs w:val="20"/>
        </w:rPr>
      </w:pPr>
      <w:r w:rsidRPr="00AF674C">
        <w:rPr>
          <w:rFonts w:cs="Arial"/>
          <w:i/>
          <w:iCs/>
          <w:szCs w:val="20"/>
        </w:rPr>
        <w:t>New Zealand’s assumed accounting for the forestry and other land use sector will be based on a combination of the 2006 IPCC Guidance and the 2013 IPCC Kyoto Protocol Supplement, providing for Kyoto Protocol accounting approaches to be applied to the greenhouse gas inventory land</w:t>
      </w:r>
      <w:r>
        <w:rPr>
          <w:rFonts w:cs="Arial"/>
          <w:i/>
          <w:iCs/>
          <w:szCs w:val="20"/>
        </w:rPr>
        <w:t>-</w:t>
      </w:r>
      <w:r w:rsidRPr="00AF674C">
        <w:rPr>
          <w:rFonts w:cs="Arial"/>
          <w:i/>
          <w:iCs/>
          <w:szCs w:val="20"/>
        </w:rPr>
        <w:t>based categories. New Zealand looks forward to considering methodologies introduced by the 2013 IPCC Wetlands Supplement and the 2019 Refinement to the 2006 IPCC Guidelines in the future. New Zealand’s existing activity start year of 1990 will continue to apply, ensuring continuity of action with previous commitments.</w:t>
      </w:r>
    </w:p>
    <w:p w14:paraId="23A327BE" w14:textId="77777777" w:rsidR="00BC0F0C" w:rsidRDefault="00BC0F0C" w:rsidP="00BC0F0C">
      <w:pPr>
        <w:spacing w:line="276" w:lineRule="auto"/>
        <w:rPr>
          <w:rFonts w:cs="Arial"/>
          <w:szCs w:val="20"/>
        </w:rPr>
      </w:pPr>
    </w:p>
    <w:p w14:paraId="45386B35" w14:textId="28DCCC3F" w:rsidR="00BC0F0C" w:rsidRDefault="00BC0F0C" w:rsidP="00BC0F0C">
      <w:pPr>
        <w:spacing w:line="276" w:lineRule="auto"/>
        <w:ind w:left="567"/>
        <w:rPr>
          <w:rFonts w:cs="Arial"/>
          <w:szCs w:val="20"/>
        </w:rPr>
      </w:pPr>
      <w:r w:rsidRPr="00AF674C">
        <w:rPr>
          <w:rFonts w:cs="Arial"/>
          <w:i/>
          <w:iCs/>
          <w:szCs w:val="20"/>
        </w:rPr>
        <w:t xml:space="preserve">New Zealand’s forestry and other land use approach assumes accounting will be either land or activity based, and will apply existing IPCC methodologies to distinguish areas subject to direct human-induced change from those under pre-existing management, as follows:  </w:t>
      </w:r>
      <w:r w:rsidRPr="00AF674C">
        <w:rPr>
          <w:rFonts w:cs="Arial"/>
          <w:i/>
          <w:iCs/>
          <w:szCs w:val="20"/>
        </w:rPr>
        <w:br/>
      </w:r>
      <w:r w:rsidRPr="00AF674C">
        <w:rPr>
          <w:rFonts w:cs="Arial"/>
          <w:i/>
          <w:iCs/>
          <w:szCs w:val="20"/>
        </w:rPr>
        <w:br/>
        <w:t xml:space="preserve">a. Forests established from the activity start year will continue to be accounted for as they would under the Kyoto Protocol, but once they attain their long-term average carbon stock, taking into account all carbon pools and activities, the forest will transfer to the Forest management/Forest remaining forest category, where it will be accounted for under a business-as-usual reference level. New Zealand will continue to account for all deforestation emissions. </w:t>
      </w:r>
      <w:r w:rsidRPr="00AF674C">
        <w:rPr>
          <w:rFonts w:cs="Arial"/>
          <w:i/>
          <w:iCs/>
          <w:szCs w:val="20"/>
        </w:rPr>
        <w:br/>
      </w:r>
      <w:r w:rsidRPr="00AF674C">
        <w:rPr>
          <w:rFonts w:cs="Arial"/>
          <w:i/>
          <w:iCs/>
          <w:szCs w:val="20"/>
        </w:rPr>
        <w:br/>
        <w:t>b. Forests established before the activity start year will continue to be accounted for under a business-as-usual reference level, as per the Kyoto Protocol, to address the dynamic effects of age structure resulting from activities and practices before the reference year, and the ongoing cycles of forest harvest and regrowth that occur as part of normal, sustainable forest management in production forests.</w:t>
      </w:r>
      <w:r w:rsidRPr="00AF674C">
        <w:rPr>
          <w:rFonts w:cs="Arial"/>
          <w:i/>
          <w:iCs/>
          <w:szCs w:val="20"/>
        </w:rPr>
        <w:br/>
      </w:r>
      <w:r w:rsidRPr="00AF674C">
        <w:rPr>
          <w:rFonts w:cs="Arial"/>
          <w:i/>
          <w:iCs/>
          <w:szCs w:val="20"/>
        </w:rPr>
        <w:br/>
        <w:t>c. Accounting provisions to address natural disturbances on managed lands, non-anthropogenic effects and additionality since the activity start year will also continue to apply, building on existing guidance. Accounting for harvested wood products will be based on the production approach.</w:t>
      </w:r>
      <w:r w:rsidRPr="00AF674C">
        <w:rPr>
          <w:rFonts w:cs="Arial"/>
          <w:i/>
          <w:iCs/>
          <w:szCs w:val="20"/>
        </w:rPr>
        <w:br/>
      </w:r>
    </w:p>
    <w:p w14:paraId="20759929" w14:textId="77777777" w:rsidR="00BC0F0C" w:rsidRDefault="00BC0F0C" w:rsidP="00BC0F0C">
      <w:pPr>
        <w:spacing w:line="276" w:lineRule="auto"/>
        <w:rPr>
          <w:rFonts w:cs="Arial"/>
          <w:szCs w:val="20"/>
        </w:rPr>
      </w:pPr>
      <w:r>
        <w:rPr>
          <w:rFonts w:cs="Arial"/>
          <w:szCs w:val="20"/>
        </w:rPr>
        <w:t>New Zealand has also reserved</w:t>
      </w:r>
      <w:r w:rsidRPr="00AF674C">
        <w:rPr>
          <w:rFonts w:cs="Arial"/>
          <w:szCs w:val="20"/>
        </w:rPr>
        <w:t xml:space="preserve"> the right to adjust </w:t>
      </w:r>
      <w:r>
        <w:rPr>
          <w:rFonts w:cs="Arial"/>
          <w:szCs w:val="20"/>
        </w:rPr>
        <w:t xml:space="preserve">the </w:t>
      </w:r>
      <w:r w:rsidRPr="00AF674C">
        <w:rPr>
          <w:rFonts w:cs="Arial"/>
          <w:szCs w:val="20"/>
        </w:rPr>
        <w:t>methodologies</w:t>
      </w:r>
      <w:r>
        <w:rPr>
          <w:rFonts w:cs="Arial"/>
          <w:szCs w:val="20"/>
        </w:rPr>
        <w:t xml:space="preserve"> used</w:t>
      </w:r>
      <w:r w:rsidRPr="00AF674C">
        <w:rPr>
          <w:rFonts w:cs="Arial"/>
          <w:szCs w:val="20"/>
        </w:rPr>
        <w:t>, without reducing ambition.</w:t>
      </w:r>
    </w:p>
    <w:p w14:paraId="5A81899E" w14:textId="284CE736" w:rsidR="00E63317" w:rsidRDefault="00E63317">
      <w:pPr>
        <w:rPr>
          <w:rFonts w:cs="Arial"/>
          <w:szCs w:val="20"/>
        </w:rPr>
      </w:pPr>
      <w:r>
        <w:rPr>
          <w:rFonts w:cs="Arial"/>
          <w:szCs w:val="20"/>
        </w:rPr>
        <w:br w:type="page"/>
      </w:r>
    </w:p>
    <w:p w14:paraId="3689566E" w14:textId="6395095D" w:rsidR="00BC0F0C" w:rsidRPr="00A82069" w:rsidRDefault="00BA3230" w:rsidP="00A82069">
      <w:pPr>
        <w:pStyle w:val="Heading2"/>
        <w:rPr>
          <w:b w:val="0"/>
          <w:bCs/>
        </w:rPr>
      </w:pPr>
      <w:bookmarkStart w:id="5" w:name="_Toc178255278"/>
      <w:r>
        <w:lastRenderedPageBreak/>
        <w:t xml:space="preserve">Accounting framework </w:t>
      </w:r>
      <w:r w:rsidR="00BC0F0C">
        <w:t>for Paris Agreement accounting</w:t>
      </w:r>
      <w:bookmarkEnd w:id="5"/>
    </w:p>
    <w:p w14:paraId="4DC5803E" w14:textId="2DA6957A" w:rsidR="00BC0F0C" w:rsidRPr="00A82069" w:rsidRDefault="00BC0F0C" w:rsidP="00A82069">
      <w:pPr>
        <w:pStyle w:val="Heading3"/>
        <w:rPr>
          <w:b w:val="0"/>
          <w:bCs/>
        </w:rPr>
      </w:pPr>
      <w:r w:rsidRPr="00A82069">
        <w:rPr>
          <w:b w:val="0"/>
          <w:bCs/>
        </w:rPr>
        <w:t>Activity</w:t>
      </w:r>
      <w:r w:rsidR="00383AF0" w:rsidRPr="00A82069">
        <w:rPr>
          <w:b w:val="0"/>
          <w:bCs/>
        </w:rPr>
        <w:t>-</w:t>
      </w:r>
      <w:r w:rsidRPr="00A82069">
        <w:rPr>
          <w:b w:val="0"/>
          <w:bCs/>
        </w:rPr>
        <w:t>based</w:t>
      </w:r>
      <w:r w:rsidR="00383AF0" w:rsidRPr="00A82069">
        <w:rPr>
          <w:b w:val="0"/>
          <w:bCs/>
        </w:rPr>
        <w:t xml:space="preserve"> accounting</w:t>
      </w:r>
    </w:p>
    <w:p w14:paraId="535B8EF6" w14:textId="4EC7F1E0" w:rsidR="006B1B26" w:rsidRDefault="006B1B26" w:rsidP="006B1B26">
      <w:pPr>
        <w:spacing w:line="276" w:lineRule="auto"/>
        <w:rPr>
          <w:rFonts w:cs="Arial"/>
          <w:szCs w:val="20"/>
        </w:rPr>
      </w:pPr>
      <w:r>
        <w:rPr>
          <w:rFonts w:cs="Arial"/>
          <w:szCs w:val="20"/>
        </w:rPr>
        <w:t xml:space="preserve">Kyoto Protocol accounting was activity-based, with accounting for afforestation, reforestation and deforestation activities from 1 January 1990 being mandatory in both commitment periods, and accounting </w:t>
      </w:r>
      <w:r w:rsidRPr="00FC0B9E">
        <w:rPr>
          <w:rFonts w:cs="Arial"/>
          <w:szCs w:val="20"/>
        </w:rPr>
        <w:t xml:space="preserve">for </w:t>
      </w:r>
      <w:r w:rsidR="0048369D">
        <w:rPr>
          <w:rFonts w:cs="Arial"/>
          <w:szCs w:val="20"/>
        </w:rPr>
        <w:t>“</w:t>
      </w:r>
      <w:r w:rsidR="00324775" w:rsidRPr="00FC0B9E">
        <w:rPr>
          <w:rFonts w:cs="Arial"/>
          <w:szCs w:val="20"/>
        </w:rPr>
        <w:t>Forest Management</w:t>
      </w:r>
      <w:r>
        <w:rPr>
          <w:rFonts w:cs="Arial"/>
          <w:szCs w:val="20"/>
        </w:rPr>
        <w:t xml:space="preserve">” being mandatory in the second. </w:t>
      </w:r>
    </w:p>
    <w:p w14:paraId="7A884D81" w14:textId="77777777" w:rsidR="006B1B26" w:rsidRDefault="006B1B26" w:rsidP="006B1B26">
      <w:pPr>
        <w:spacing w:line="276" w:lineRule="auto"/>
        <w:rPr>
          <w:rFonts w:cs="Arial"/>
          <w:szCs w:val="20"/>
        </w:rPr>
      </w:pPr>
    </w:p>
    <w:p w14:paraId="5A123B68" w14:textId="4D58284A" w:rsidR="006B1B26" w:rsidRDefault="006B1B26" w:rsidP="006B1B26">
      <w:pPr>
        <w:spacing w:line="276" w:lineRule="auto"/>
        <w:rPr>
          <w:rFonts w:cs="Arial"/>
          <w:szCs w:val="20"/>
        </w:rPr>
      </w:pPr>
      <w:r>
        <w:rPr>
          <w:rFonts w:cs="Arial"/>
          <w:szCs w:val="20"/>
        </w:rPr>
        <w:t xml:space="preserve">In the context of Kyoto Protocol accounting, accounting for “Forest Management” refers to accounting for net emissions from forests first established before the 1990 base year against a business-as-usual reference level, with only the </w:t>
      </w:r>
      <w:r w:rsidRPr="009D5828">
        <w:rPr>
          <w:rFonts w:cs="Arial"/>
          <w:i/>
          <w:iCs/>
          <w:szCs w:val="20"/>
        </w:rPr>
        <w:t>additional</w:t>
      </w:r>
      <w:r>
        <w:rPr>
          <w:rFonts w:cs="Arial"/>
          <w:szCs w:val="20"/>
        </w:rPr>
        <w:t xml:space="preserve"> net emissions forming part of the accounting quantity. A continuation of this approach means that accounting for pre-1990 forests will be against a Forest Reference Level (FRL), which defines expected net emissions during the 2021-2030 compliance period based on the assumption of a continuation of business-as-usual management practiced during the 2000-2009 reference period. </w:t>
      </w:r>
      <w:r w:rsidR="00024CAC" w:rsidRPr="00EF2EAB">
        <w:rPr>
          <w:rFonts w:cs="Arial"/>
          <w:szCs w:val="20"/>
        </w:rPr>
        <w:t>It also means</w:t>
      </w:r>
      <w:r w:rsidR="00024CAC">
        <w:rPr>
          <w:rFonts w:cs="Arial"/>
          <w:szCs w:val="20"/>
        </w:rPr>
        <w:t xml:space="preserve"> h</w:t>
      </w:r>
      <w:r>
        <w:rPr>
          <w:rFonts w:cs="Arial"/>
          <w:szCs w:val="20"/>
        </w:rPr>
        <w:t xml:space="preserve">arvested wood products </w:t>
      </w:r>
      <w:r w:rsidR="0003435B">
        <w:rPr>
          <w:rFonts w:cs="Arial"/>
          <w:szCs w:val="20"/>
        </w:rPr>
        <w:t xml:space="preserve">(HWPs) </w:t>
      </w:r>
      <w:r w:rsidR="002A08ED" w:rsidRPr="00EF2EAB">
        <w:rPr>
          <w:rFonts w:cs="Arial"/>
          <w:szCs w:val="20"/>
        </w:rPr>
        <w:t>will be</w:t>
      </w:r>
      <w:r w:rsidR="00024CAC">
        <w:rPr>
          <w:rFonts w:cs="Arial"/>
          <w:szCs w:val="20"/>
        </w:rPr>
        <w:t xml:space="preserve"> </w:t>
      </w:r>
      <w:r>
        <w:rPr>
          <w:rFonts w:cs="Arial"/>
          <w:szCs w:val="20"/>
        </w:rPr>
        <w:t>accounted for based on the Production Approach (IPCC 2006) applied to HWPs produced from 2013 onward</w:t>
      </w:r>
      <w:r w:rsidRPr="00EF2EAB">
        <w:rPr>
          <w:rFonts w:cs="Arial"/>
          <w:szCs w:val="20"/>
        </w:rPr>
        <w:t>.</w:t>
      </w:r>
      <w:r w:rsidR="00231D5C">
        <w:rPr>
          <w:rFonts w:cs="Arial"/>
          <w:szCs w:val="20"/>
        </w:rPr>
        <w:t xml:space="preserve"> </w:t>
      </w:r>
      <w:r>
        <w:rPr>
          <w:rFonts w:cs="Arial"/>
          <w:szCs w:val="20"/>
        </w:rPr>
        <w:t>Further detail on New Zealand’s accounting for pre-1990 forests can be found in Wakelin and Paul (2024</w:t>
      </w:r>
      <w:r w:rsidR="006E5C5A">
        <w:rPr>
          <w:rFonts w:cs="Arial"/>
          <w:szCs w:val="20"/>
        </w:rPr>
        <w:t>a</w:t>
      </w:r>
      <w:r>
        <w:rPr>
          <w:rFonts w:cs="Arial"/>
          <w:szCs w:val="20"/>
        </w:rPr>
        <w:t xml:space="preserve">) and Wakelin </w:t>
      </w:r>
      <w:r w:rsidR="006E5C5A">
        <w:rPr>
          <w:rFonts w:cs="Arial"/>
          <w:szCs w:val="20"/>
        </w:rPr>
        <w:t xml:space="preserve">and Paul </w:t>
      </w:r>
      <w:r>
        <w:rPr>
          <w:rFonts w:cs="Arial"/>
          <w:szCs w:val="20"/>
        </w:rPr>
        <w:t>(2024</w:t>
      </w:r>
      <w:r w:rsidR="006E5C5A">
        <w:rPr>
          <w:rFonts w:cs="Arial"/>
          <w:szCs w:val="20"/>
        </w:rPr>
        <w:t>b</w:t>
      </w:r>
      <w:r>
        <w:rPr>
          <w:rFonts w:cs="Arial"/>
          <w:szCs w:val="20"/>
        </w:rPr>
        <w:t xml:space="preserve">). </w:t>
      </w:r>
    </w:p>
    <w:p w14:paraId="087DF434" w14:textId="77777777" w:rsidR="006B1B26" w:rsidRDefault="006B1B26" w:rsidP="006B1B26">
      <w:pPr>
        <w:spacing w:line="276" w:lineRule="auto"/>
        <w:rPr>
          <w:rFonts w:cs="Arial"/>
          <w:szCs w:val="20"/>
        </w:rPr>
      </w:pPr>
    </w:p>
    <w:p w14:paraId="630E2630" w14:textId="5B3EE737" w:rsidR="006B1B26" w:rsidRDefault="006B1B26" w:rsidP="006B1B26">
      <w:pPr>
        <w:spacing w:line="276" w:lineRule="auto"/>
        <w:rPr>
          <w:rFonts w:cs="Arial"/>
          <w:szCs w:val="20"/>
        </w:rPr>
      </w:pPr>
      <w:r>
        <w:rPr>
          <w:rFonts w:cs="Arial"/>
          <w:szCs w:val="20"/>
        </w:rPr>
        <w:t xml:space="preserve">Post-1989 forests are created through afforestation/reforestation activity since 31 December 1989. </w:t>
      </w:r>
      <w:r w:rsidR="00264C74" w:rsidRPr="008A398A">
        <w:rPr>
          <w:rFonts w:cs="Arial"/>
          <w:szCs w:val="20"/>
        </w:rPr>
        <w:t xml:space="preserve">Under a continuation of </w:t>
      </w:r>
      <w:r w:rsidR="00BA4F0C" w:rsidRPr="008A398A">
        <w:rPr>
          <w:rFonts w:cs="Arial"/>
          <w:szCs w:val="20"/>
        </w:rPr>
        <w:t>Kyoto Protocol accounting</w:t>
      </w:r>
      <w:r w:rsidR="00BA4F0C">
        <w:rPr>
          <w:rFonts w:cs="Arial"/>
          <w:szCs w:val="20"/>
        </w:rPr>
        <w:t>, t</w:t>
      </w:r>
      <w:r>
        <w:rPr>
          <w:rFonts w:cs="Arial"/>
          <w:szCs w:val="20"/>
        </w:rPr>
        <w:t xml:space="preserve">hese will be accounted for as they would under the Kyoto Protocol, except that once they reach their long-term average stock (LTA stock), or the nominal age at which this stock is assumed to be reached (LTA age), the area will then be accounted for against a business-as-usual reference level. </w:t>
      </w:r>
    </w:p>
    <w:p w14:paraId="30DBDB3A" w14:textId="77777777" w:rsidR="006B1B26" w:rsidRDefault="006B1B26" w:rsidP="006B1B26">
      <w:pPr>
        <w:spacing w:line="276" w:lineRule="auto"/>
        <w:rPr>
          <w:rFonts w:cs="Arial"/>
          <w:szCs w:val="20"/>
        </w:rPr>
      </w:pPr>
    </w:p>
    <w:p w14:paraId="7D760719" w14:textId="77777777" w:rsidR="006B1B26" w:rsidRDefault="006B1B26" w:rsidP="006B1B26">
      <w:pPr>
        <w:spacing w:line="276" w:lineRule="auto"/>
        <w:rPr>
          <w:rFonts w:cs="Arial"/>
          <w:szCs w:val="20"/>
        </w:rPr>
      </w:pPr>
      <w:r>
        <w:rPr>
          <w:rFonts w:cs="Arial"/>
          <w:szCs w:val="20"/>
        </w:rPr>
        <w:t>Deforestation of all forests will continue to be accounted for in full.</w:t>
      </w:r>
    </w:p>
    <w:p w14:paraId="733DE0C0" w14:textId="77777777" w:rsidR="00BC0F0C" w:rsidRDefault="00BC0F0C" w:rsidP="00BC0F0C">
      <w:pPr>
        <w:spacing w:line="276" w:lineRule="auto"/>
        <w:rPr>
          <w:rFonts w:cs="Arial"/>
          <w:szCs w:val="20"/>
        </w:rPr>
      </w:pPr>
    </w:p>
    <w:p w14:paraId="27E41F36" w14:textId="4C0AD002" w:rsidR="00BC0F0C" w:rsidRPr="00A82069" w:rsidRDefault="00BC0F0C" w:rsidP="00A82069">
      <w:pPr>
        <w:pStyle w:val="Heading3"/>
        <w:rPr>
          <w:b w:val="0"/>
          <w:bCs/>
        </w:rPr>
      </w:pPr>
      <w:r w:rsidRPr="00A82069">
        <w:rPr>
          <w:b w:val="0"/>
          <w:bCs/>
        </w:rPr>
        <w:t>Land</w:t>
      </w:r>
      <w:r w:rsidR="00383AF0" w:rsidRPr="00A82069">
        <w:rPr>
          <w:b w:val="0"/>
          <w:bCs/>
        </w:rPr>
        <w:t>-</w:t>
      </w:r>
      <w:r w:rsidRPr="00A82069">
        <w:rPr>
          <w:b w:val="0"/>
          <w:bCs/>
        </w:rPr>
        <w:t>based</w:t>
      </w:r>
      <w:r w:rsidR="00383AF0" w:rsidRPr="00A82069">
        <w:rPr>
          <w:b w:val="0"/>
          <w:bCs/>
        </w:rPr>
        <w:t xml:space="preserve"> accounting</w:t>
      </w:r>
    </w:p>
    <w:p w14:paraId="63C98C56" w14:textId="1160ECAD" w:rsidR="009A1ACA" w:rsidRDefault="009A1ACA" w:rsidP="009A1ACA">
      <w:pPr>
        <w:spacing w:line="276" w:lineRule="auto"/>
        <w:rPr>
          <w:rFonts w:cs="Arial"/>
          <w:szCs w:val="20"/>
        </w:rPr>
      </w:pPr>
      <w:r w:rsidRPr="000166AC">
        <w:rPr>
          <w:rFonts w:cs="Arial"/>
          <w:szCs w:val="20"/>
        </w:rPr>
        <w:t>New Zealand has indicated in its NDC submission that it may apply these accounting principles to the land-based categories used for greenhouse gas inventory reporting</w:t>
      </w:r>
      <w:r>
        <w:rPr>
          <w:rFonts w:cs="Arial"/>
          <w:szCs w:val="20"/>
        </w:rPr>
        <w:t xml:space="preserve">, </w:t>
      </w:r>
      <w:r w:rsidR="00F85309">
        <w:rPr>
          <w:rFonts w:cs="Arial"/>
          <w:szCs w:val="20"/>
        </w:rPr>
        <w:t xml:space="preserve">rather than </w:t>
      </w:r>
      <w:r w:rsidR="00CA4353">
        <w:rPr>
          <w:rFonts w:cs="Arial"/>
          <w:szCs w:val="20"/>
        </w:rPr>
        <w:t xml:space="preserve">to Kyoto Protocol activities. </w:t>
      </w:r>
      <w:r w:rsidR="006B19A8">
        <w:rPr>
          <w:rFonts w:cs="Arial"/>
          <w:szCs w:val="20"/>
        </w:rPr>
        <w:t>Land categories would include:</w:t>
      </w:r>
      <w:r w:rsidRPr="000166AC">
        <w:rPr>
          <w:rFonts w:cs="Arial"/>
          <w:szCs w:val="20"/>
        </w:rPr>
        <w:t xml:space="preserve"> </w:t>
      </w:r>
    </w:p>
    <w:p w14:paraId="4619A286" w14:textId="77777777" w:rsidR="009A1ACA" w:rsidRDefault="009A1ACA" w:rsidP="009A1ACA">
      <w:pPr>
        <w:pStyle w:val="ListParagraph"/>
        <w:numPr>
          <w:ilvl w:val="0"/>
          <w:numId w:val="13"/>
        </w:numPr>
        <w:spacing w:line="276" w:lineRule="auto"/>
        <w:rPr>
          <w:rFonts w:cs="Arial"/>
          <w:szCs w:val="20"/>
        </w:rPr>
      </w:pPr>
      <w:r w:rsidRPr="00746C36">
        <w:rPr>
          <w:rFonts w:cs="Arial"/>
          <w:i/>
          <w:iCs/>
          <w:szCs w:val="20"/>
        </w:rPr>
        <w:t>Land converted to Forest Land</w:t>
      </w:r>
      <w:r w:rsidRPr="00746C36">
        <w:rPr>
          <w:rFonts w:cs="Arial"/>
          <w:szCs w:val="20"/>
        </w:rPr>
        <w:t xml:space="preserve"> (land that has been converted to forest land and is still in a transition period (currently assumed to be 20 years), and </w:t>
      </w:r>
    </w:p>
    <w:p w14:paraId="60625FCC" w14:textId="325B3F5D" w:rsidR="00A5078E" w:rsidRDefault="009A1ACA" w:rsidP="009A1ACA">
      <w:pPr>
        <w:pStyle w:val="ListParagraph"/>
        <w:numPr>
          <w:ilvl w:val="0"/>
          <w:numId w:val="13"/>
        </w:numPr>
        <w:spacing w:line="276" w:lineRule="auto"/>
        <w:rPr>
          <w:rFonts w:cs="Arial"/>
          <w:szCs w:val="20"/>
        </w:rPr>
      </w:pPr>
      <w:r w:rsidRPr="00746C36">
        <w:rPr>
          <w:rFonts w:cs="Arial"/>
          <w:i/>
          <w:iCs/>
          <w:szCs w:val="20"/>
        </w:rPr>
        <w:t>Forest land remaining Forest land (</w:t>
      </w:r>
      <w:r w:rsidRPr="00746C36">
        <w:rPr>
          <w:rFonts w:cs="Arial"/>
          <w:szCs w:val="20"/>
        </w:rPr>
        <w:t>land that has remained as forest land for longer than the assumed transition period).</w:t>
      </w:r>
    </w:p>
    <w:p w14:paraId="671C5151" w14:textId="77777777" w:rsidR="00A5078E" w:rsidRDefault="00A5078E" w:rsidP="008A398A">
      <w:pPr>
        <w:pStyle w:val="ListParagraph"/>
        <w:spacing w:line="276" w:lineRule="auto"/>
        <w:rPr>
          <w:rFonts w:cs="Arial"/>
          <w:szCs w:val="20"/>
        </w:rPr>
      </w:pPr>
    </w:p>
    <w:p w14:paraId="607CBC01" w14:textId="3979AB09" w:rsidR="009A1ACA" w:rsidRPr="00A5078E" w:rsidRDefault="009A1ACA" w:rsidP="00784CF2">
      <w:pPr>
        <w:spacing w:line="276" w:lineRule="auto"/>
        <w:rPr>
          <w:rFonts w:cs="Arial"/>
          <w:szCs w:val="20"/>
        </w:rPr>
      </w:pPr>
      <w:r w:rsidRPr="00A5078E">
        <w:rPr>
          <w:rFonts w:cs="Arial"/>
          <w:szCs w:val="20"/>
        </w:rPr>
        <w:t>This would mean:</w:t>
      </w:r>
    </w:p>
    <w:p w14:paraId="2C455D96" w14:textId="77777777" w:rsidR="009A1ACA" w:rsidRPr="000166AC" w:rsidRDefault="009A1ACA" w:rsidP="009A1ACA">
      <w:pPr>
        <w:spacing w:line="276" w:lineRule="auto"/>
        <w:rPr>
          <w:rFonts w:cs="Arial"/>
          <w:szCs w:val="20"/>
        </w:rPr>
      </w:pPr>
    </w:p>
    <w:p w14:paraId="7C241A8E" w14:textId="75BF1DDB" w:rsidR="009A1ACA" w:rsidRDefault="009A1ACA" w:rsidP="009A1ACA">
      <w:pPr>
        <w:pStyle w:val="ListParagraph"/>
        <w:numPr>
          <w:ilvl w:val="0"/>
          <w:numId w:val="5"/>
        </w:numPr>
        <w:spacing w:line="276" w:lineRule="auto"/>
        <w:rPr>
          <w:rFonts w:cs="Arial"/>
          <w:szCs w:val="20"/>
        </w:rPr>
      </w:pPr>
      <w:r w:rsidRPr="000166AC">
        <w:rPr>
          <w:rFonts w:cs="Arial"/>
          <w:szCs w:val="20"/>
        </w:rPr>
        <w:t>Post-1989 forests (</w:t>
      </w:r>
      <w:r>
        <w:rPr>
          <w:rFonts w:cs="Arial"/>
          <w:szCs w:val="20"/>
        </w:rPr>
        <w:t>A</w:t>
      </w:r>
      <w:r w:rsidRPr="000166AC">
        <w:rPr>
          <w:rFonts w:cs="Arial"/>
          <w:szCs w:val="20"/>
        </w:rPr>
        <w:t xml:space="preserve">fforestation/reforestation) – these would be </w:t>
      </w:r>
      <w:r w:rsidRPr="000166AC">
        <w:rPr>
          <w:rFonts w:cs="Arial"/>
          <w:i/>
          <w:iCs/>
          <w:szCs w:val="20"/>
        </w:rPr>
        <w:t>Land converted to Forest Land</w:t>
      </w:r>
      <w:r w:rsidRPr="000166AC">
        <w:rPr>
          <w:rFonts w:cs="Arial"/>
          <w:szCs w:val="20"/>
        </w:rPr>
        <w:t xml:space="preserve"> for the first 20 years of the first rotation and would then switch to </w:t>
      </w:r>
      <w:r w:rsidRPr="00B26BB4">
        <w:rPr>
          <w:rFonts w:cs="Arial"/>
          <w:i/>
          <w:iCs/>
          <w:szCs w:val="20"/>
        </w:rPr>
        <w:t>Forest Land remaining Forest Land</w:t>
      </w:r>
      <w:r>
        <w:rPr>
          <w:rFonts w:cs="Arial"/>
          <w:szCs w:val="20"/>
        </w:rPr>
        <w:t>.</w:t>
      </w:r>
    </w:p>
    <w:p w14:paraId="101BBC57" w14:textId="77777777" w:rsidR="009A1ACA" w:rsidRDefault="009A1ACA" w:rsidP="009A1ACA">
      <w:pPr>
        <w:pStyle w:val="ListParagraph"/>
        <w:spacing w:line="276" w:lineRule="auto"/>
        <w:rPr>
          <w:rFonts w:cs="Arial"/>
          <w:szCs w:val="20"/>
        </w:rPr>
      </w:pPr>
    </w:p>
    <w:p w14:paraId="131507BC" w14:textId="15A7547C" w:rsidR="009A1ACA" w:rsidRPr="00746C36" w:rsidRDefault="009A1ACA" w:rsidP="009A1ACA">
      <w:pPr>
        <w:pStyle w:val="ListParagraph"/>
        <w:numPr>
          <w:ilvl w:val="0"/>
          <w:numId w:val="5"/>
        </w:numPr>
        <w:spacing w:line="276" w:lineRule="auto"/>
        <w:rPr>
          <w:rFonts w:cs="Arial"/>
          <w:szCs w:val="20"/>
        </w:rPr>
      </w:pPr>
      <w:r w:rsidRPr="00746C36">
        <w:rPr>
          <w:rFonts w:cs="Arial"/>
          <w:szCs w:val="20"/>
        </w:rPr>
        <w:t xml:space="preserve">Pre-1990 forests (Forest Management) – if established </w:t>
      </w:r>
      <w:r w:rsidR="00980C46">
        <w:rPr>
          <w:rFonts w:cs="Arial"/>
          <w:szCs w:val="20"/>
        </w:rPr>
        <w:t>by the end of</w:t>
      </w:r>
      <w:r w:rsidR="00BD1CBC" w:rsidRPr="00746C36">
        <w:rPr>
          <w:rFonts w:cs="Arial"/>
          <w:szCs w:val="20"/>
        </w:rPr>
        <w:t xml:space="preserve"> </w:t>
      </w:r>
      <w:r w:rsidRPr="00746C36">
        <w:rPr>
          <w:rFonts w:cs="Arial"/>
          <w:szCs w:val="20"/>
        </w:rPr>
        <w:t xml:space="preserve">2001 these would be </w:t>
      </w:r>
      <w:r w:rsidRPr="00746C36">
        <w:rPr>
          <w:rFonts w:cs="Arial"/>
          <w:i/>
          <w:iCs/>
          <w:szCs w:val="20"/>
        </w:rPr>
        <w:t>Forest Land remaining Forest Land</w:t>
      </w:r>
      <w:r w:rsidRPr="00746C36">
        <w:rPr>
          <w:rFonts w:cs="Arial"/>
          <w:szCs w:val="20"/>
        </w:rPr>
        <w:t xml:space="preserve"> throughout the 2021-2030 compliance period, but if established after </w:t>
      </w:r>
      <w:r w:rsidR="00980C46">
        <w:rPr>
          <w:rFonts w:cs="Arial"/>
          <w:szCs w:val="20"/>
        </w:rPr>
        <w:t>2001</w:t>
      </w:r>
      <w:r w:rsidRPr="00746C36">
        <w:rPr>
          <w:rFonts w:cs="Arial"/>
          <w:szCs w:val="20"/>
        </w:rPr>
        <w:t xml:space="preserve"> they would initially be </w:t>
      </w:r>
      <w:r w:rsidRPr="00746C36">
        <w:rPr>
          <w:rFonts w:cs="Arial"/>
          <w:i/>
          <w:iCs/>
          <w:szCs w:val="20"/>
        </w:rPr>
        <w:t>Land converted to forest land</w:t>
      </w:r>
      <w:r w:rsidRPr="00746C36">
        <w:rPr>
          <w:rFonts w:cs="Arial"/>
          <w:szCs w:val="20"/>
        </w:rPr>
        <w:t xml:space="preserve"> </w:t>
      </w:r>
      <w:r w:rsidR="00166DD9">
        <w:rPr>
          <w:rFonts w:cs="Arial"/>
          <w:szCs w:val="20"/>
        </w:rPr>
        <w:t xml:space="preserve">during the compliance period </w:t>
      </w:r>
      <w:r w:rsidRPr="00746C36">
        <w:rPr>
          <w:rFonts w:cs="Arial"/>
          <w:szCs w:val="20"/>
        </w:rPr>
        <w:t>before transitioning. This would only be possible in situations with multiple changes of land use on land that was originally pre-1990 forest, as otherwise forests planted after 2001 would be post-1989 forests. Under activity-based accounting, pre-1990 forests that are converted to a non-forest land use after 1989 and the reforested is accounted for as Deforestation land.</w:t>
      </w:r>
    </w:p>
    <w:p w14:paraId="264A9667" w14:textId="40290A71" w:rsidR="005C6DC1" w:rsidRDefault="009A1ACA" w:rsidP="00BC0F0C">
      <w:pPr>
        <w:spacing w:line="276" w:lineRule="auto"/>
        <w:rPr>
          <w:lang w:eastAsia="en-NZ"/>
        </w:rPr>
      </w:pPr>
      <w:r w:rsidRPr="00AB4B05">
        <w:rPr>
          <w:rFonts w:cs="Arial"/>
          <w:szCs w:val="20"/>
          <w:highlight w:val="yellow"/>
        </w:rPr>
        <w:br/>
      </w:r>
      <w:r>
        <w:rPr>
          <w:rFonts w:cs="Arial"/>
          <w:szCs w:val="20"/>
        </w:rPr>
        <w:t>For this report, a</w:t>
      </w:r>
      <w:r w:rsidRPr="00E710B1">
        <w:rPr>
          <w:rFonts w:cs="Arial"/>
          <w:szCs w:val="20"/>
        </w:rPr>
        <w:t>ctivity</w:t>
      </w:r>
      <w:r>
        <w:rPr>
          <w:rFonts w:cs="Arial"/>
          <w:szCs w:val="20"/>
        </w:rPr>
        <w:t>-</w:t>
      </w:r>
      <w:r w:rsidRPr="00E710B1">
        <w:rPr>
          <w:rFonts w:cs="Arial"/>
          <w:szCs w:val="20"/>
        </w:rPr>
        <w:t>based accounting has been assumed.</w:t>
      </w:r>
      <w:r w:rsidR="00BC0F0C" w:rsidRPr="00AB4B05">
        <w:rPr>
          <w:rFonts w:cs="Arial"/>
          <w:szCs w:val="20"/>
          <w:highlight w:val="yellow"/>
        </w:rPr>
        <w:br/>
      </w:r>
    </w:p>
    <w:p w14:paraId="3D7CFB6F" w14:textId="44D7BFDF" w:rsidR="009B32E0" w:rsidRPr="00A82069" w:rsidRDefault="0010608E" w:rsidP="00A82069">
      <w:pPr>
        <w:pStyle w:val="Heading3"/>
        <w:rPr>
          <w:b w:val="0"/>
          <w:bCs/>
          <w:lang w:eastAsia="en-NZ"/>
        </w:rPr>
      </w:pPr>
      <w:r>
        <w:rPr>
          <w:b w:val="0"/>
          <w:bCs/>
          <w:lang w:eastAsia="en-NZ"/>
        </w:rPr>
        <w:lastRenderedPageBreak/>
        <w:t>Relation to a</w:t>
      </w:r>
      <w:r w:rsidR="009C028D" w:rsidRPr="00A82069">
        <w:rPr>
          <w:b w:val="0"/>
          <w:bCs/>
          <w:lang w:eastAsia="en-NZ"/>
        </w:rPr>
        <w:t>ccounting under the New Zealand Emissions Trading Scheme (NZ ETS)</w:t>
      </w:r>
    </w:p>
    <w:p w14:paraId="65EA2CC7" w14:textId="609B2E1D" w:rsidR="006535E4" w:rsidRDefault="3BC4A1B7" w:rsidP="68366F82">
      <w:pPr>
        <w:spacing w:line="276" w:lineRule="auto"/>
        <w:rPr>
          <w:lang w:eastAsia="en-NZ"/>
        </w:rPr>
      </w:pPr>
      <w:r w:rsidRPr="68366F82">
        <w:rPr>
          <w:lang w:eastAsia="en-NZ"/>
        </w:rPr>
        <w:t xml:space="preserve">Carbon accounting using the concept of a long-term average carbon stock is now mandatory in the New Zealand Emissions Trading System for </w:t>
      </w:r>
      <w:r w:rsidR="7201699E" w:rsidRPr="68366F82">
        <w:rPr>
          <w:lang w:eastAsia="en-NZ"/>
        </w:rPr>
        <w:t xml:space="preserve">post-1989 </w:t>
      </w:r>
      <w:r w:rsidRPr="68366F82">
        <w:rPr>
          <w:lang w:eastAsia="en-NZ"/>
        </w:rPr>
        <w:t xml:space="preserve">forests registered as </w:t>
      </w:r>
      <w:r w:rsidR="7A75642D" w:rsidRPr="68366F82">
        <w:rPr>
          <w:lang w:eastAsia="en-NZ"/>
        </w:rPr>
        <w:t>‘</w:t>
      </w:r>
      <w:r w:rsidRPr="68366F82">
        <w:rPr>
          <w:lang w:eastAsia="en-NZ"/>
        </w:rPr>
        <w:t>Stand</w:t>
      </w:r>
      <w:r w:rsidR="164BFA9A" w:rsidRPr="68366F82">
        <w:rPr>
          <w:lang w:eastAsia="en-NZ"/>
        </w:rPr>
        <w:t>ard</w:t>
      </w:r>
      <w:r w:rsidRPr="68366F82">
        <w:rPr>
          <w:lang w:eastAsia="en-NZ"/>
        </w:rPr>
        <w:t xml:space="preserve"> Forests</w:t>
      </w:r>
      <w:r w:rsidR="14C99AF2" w:rsidRPr="68366F82">
        <w:rPr>
          <w:lang w:eastAsia="en-NZ"/>
        </w:rPr>
        <w:t>’</w:t>
      </w:r>
      <w:r w:rsidRPr="68366F82">
        <w:rPr>
          <w:lang w:eastAsia="en-NZ"/>
        </w:rPr>
        <w:t xml:space="preserve"> (i.e. no</w:t>
      </w:r>
      <w:r w:rsidR="00253DF1">
        <w:rPr>
          <w:lang w:eastAsia="en-NZ"/>
        </w:rPr>
        <w:t>n</w:t>
      </w:r>
      <w:r w:rsidRPr="68366F82">
        <w:rPr>
          <w:lang w:eastAsia="en-NZ"/>
        </w:rPr>
        <w:t xml:space="preserve"> </w:t>
      </w:r>
      <w:r w:rsidR="72459422" w:rsidRPr="68366F82">
        <w:rPr>
          <w:lang w:eastAsia="en-NZ"/>
        </w:rPr>
        <w:t>‘</w:t>
      </w:r>
      <w:r w:rsidR="6404F368" w:rsidRPr="68366F82">
        <w:rPr>
          <w:lang w:eastAsia="en-NZ"/>
        </w:rPr>
        <w:t>P</w:t>
      </w:r>
      <w:r w:rsidRPr="68366F82">
        <w:rPr>
          <w:lang w:eastAsia="en-NZ"/>
        </w:rPr>
        <w:t xml:space="preserve">ermanent </w:t>
      </w:r>
      <w:r w:rsidR="2F554CBB" w:rsidRPr="68366F82">
        <w:rPr>
          <w:lang w:eastAsia="en-NZ"/>
        </w:rPr>
        <w:t>F</w:t>
      </w:r>
      <w:r w:rsidRPr="68366F82">
        <w:rPr>
          <w:lang w:eastAsia="en-NZ"/>
        </w:rPr>
        <w:t>orests</w:t>
      </w:r>
      <w:r w:rsidR="7791D200" w:rsidRPr="68366F82">
        <w:rPr>
          <w:lang w:eastAsia="en-NZ"/>
        </w:rPr>
        <w:t>’</w:t>
      </w:r>
      <w:r w:rsidRPr="68366F82">
        <w:rPr>
          <w:lang w:eastAsia="en-NZ"/>
        </w:rPr>
        <w:t xml:space="preserve">) after 2022. Carbon units are earned </w:t>
      </w:r>
      <w:r w:rsidR="66B9A2DE" w:rsidRPr="68366F82">
        <w:rPr>
          <w:lang w:eastAsia="en-NZ"/>
        </w:rPr>
        <w:t xml:space="preserve">in accordance with the carbon sequestration rate </w:t>
      </w:r>
      <w:r w:rsidRPr="68366F82">
        <w:rPr>
          <w:lang w:eastAsia="en-NZ"/>
        </w:rPr>
        <w:t xml:space="preserve">up </w:t>
      </w:r>
      <w:r w:rsidR="337E35FA" w:rsidRPr="68366F82">
        <w:rPr>
          <w:lang w:eastAsia="en-NZ"/>
        </w:rPr>
        <w:t>until</w:t>
      </w:r>
      <w:r w:rsidRPr="68366F82">
        <w:rPr>
          <w:lang w:eastAsia="en-NZ"/>
        </w:rPr>
        <w:t xml:space="preserve"> </w:t>
      </w:r>
      <w:r w:rsidR="0F82C861" w:rsidRPr="68366F82">
        <w:rPr>
          <w:lang w:eastAsia="en-NZ"/>
        </w:rPr>
        <w:t xml:space="preserve">the nominal long-term average </w:t>
      </w:r>
      <w:r w:rsidR="00CE22E1">
        <w:rPr>
          <w:lang w:eastAsia="en-NZ"/>
        </w:rPr>
        <w:t xml:space="preserve">(LTA) </w:t>
      </w:r>
      <w:r w:rsidR="0F82C861" w:rsidRPr="68366F82">
        <w:rPr>
          <w:lang w:eastAsia="en-NZ"/>
        </w:rPr>
        <w:t>stock for each species group</w:t>
      </w:r>
      <w:r w:rsidR="12AEF706" w:rsidRPr="68366F82">
        <w:rPr>
          <w:lang w:eastAsia="en-NZ"/>
        </w:rPr>
        <w:t xml:space="preserve"> is achieved. After this time</w:t>
      </w:r>
      <w:r w:rsidR="0F82C861" w:rsidRPr="68366F82">
        <w:rPr>
          <w:lang w:eastAsia="en-NZ"/>
        </w:rPr>
        <w:t xml:space="preserve">, no further units </w:t>
      </w:r>
      <w:r w:rsidR="37F28336" w:rsidRPr="68366F82">
        <w:rPr>
          <w:lang w:eastAsia="en-NZ"/>
        </w:rPr>
        <w:t xml:space="preserve">are </w:t>
      </w:r>
      <w:r w:rsidR="0F82C861" w:rsidRPr="68366F82">
        <w:rPr>
          <w:lang w:eastAsia="en-NZ"/>
        </w:rPr>
        <w:t xml:space="preserve">earned and </w:t>
      </w:r>
      <w:r w:rsidR="3A7E0080" w:rsidRPr="68366F82">
        <w:rPr>
          <w:lang w:eastAsia="en-NZ"/>
        </w:rPr>
        <w:t xml:space="preserve">there are </w:t>
      </w:r>
      <w:r w:rsidR="0F82C861" w:rsidRPr="68366F82">
        <w:rPr>
          <w:lang w:eastAsia="en-NZ"/>
        </w:rPr>
        <w:t xml:space="preserve">no </w:t>
      </w:r>
      <w:r w:rsidR="0676E8A9" w:rsidRPr="68366F82">
        <w:rPr>
          <w:lang w:eastAsia="en-NZ"/>
        </w:rPr>
        <w:t>unit</w:t>
      </w:r>
      <w:r w:rsidR="5DCCC7A6" w:rsidRPr="68366F82">
        <w:rPr>
          <w:lang w:eastAsia="en-NZ"/>
        </w:rPr>
        <w:t xml:space="preserve"> </w:t>
      </w:r>
      <w:r w:rsidR="0F82C861" w:rsidRPr="68366F82">
        <w:rPr>
          <w:lang w:eastAsia="en-NZ"/>
        </w:rPr>
        <w:t xml:space="preserve">surrender </w:t>
      </w:r>
      <w:r w:rsidR="7D806756" w:rsidRPr="68366F82">
        <w:rPr>
          <w:lang w:eastAsia="en-NZ"/>
        </w:rPr>
        <w:t>obligations</w:t>
      </w:r>
      <w:r w:rsidR="23EE8B80" w:rsidRPr="68366F82">
        <w:rPr>
          <w:lang w:eastAsia="en-NZ"/>
        </w:rPr>
        <w:t>,</w:t>
      </w:r>
      <w:r w:rsidR="7D806756" w:rsidRPr="68366F82">
        <w:rPr>
          <w:lang w:eastAsia="en-NZ"/>
        </w:rPr>
        <w:t xml:space="preserve"> as long as the land </w:t>
      </w:r>
      <w:r w:rsidR="5D5AA6F0" w:rsidRPr="68366F82">
        <w:rPr>
          <w:lang w:eastAsia="en-NZ"/>
        </w:rPr>
        <w:t>remains</w:t>
      </w:r>
      <w:r w:rsidR="7D806756" w:rsidRPr="68366F82">
        <w:rPr>
          <w:lang w:eastAsia="en-NZ"/>
        </w:rPr>
        <w:t xml:space="preserve"> as </w:t>
      </w:r>
      <w:r w:rsidR="43ED77F0" w:rsidRPr="68366F82">
        <w:rPr>
          <w:lang w:eastAsia="en-NZ"/>
        </w:rPr>
        <w:t>forest</w:t>
      </w:r>
      <w:r w:rsidR="7D806756" w:rsidRPr="68366F82">
        <w:rPr>
          <w:lang w:eastAsia="en-NZ"/>
        </w:rPr>
        <w:t xml:space="preserve"> land.</w:t>
      </w:r>
      <w:r w:rsidR="0F82C861" w:rsidRPr="68366F82">
        <w:rPr>
          <w:lang w:eastAsia="en-NZ"/>
        </w:rPr>
        <w:t xml:space="preserve"> </w:t>
      </w:r>
      <w:r w:rsidR="00834D6E">
        <w:rPr>
          <w:lang w:eastAsia="en-NZ"/>
        </w:rPr>
        <w:t xml:space="preserve">Full ‘stock change’ accounting is still used for </w:t>
      </w:r>
      <w:r w:rsidR="004A5003">
        <w:rPr>
          <w:lang w:eastAsia="en-NZ"/>
        </w:rPr>
        <w:t xml:space="preserve">previously registered forests </w:t>
      </w:r>
      <w:r w:rsidR="00011CB5">
        <w:rPr>
          <w:lang w:eastAsia="en-NZ"/>
        </w:rPr>
        <w:t xml:space="preserve">(unless an application to </w:t>
      </w:r>
      <w:r w:rsidR="00377D22">
        <w:rPr>
          <w:lang w:eastAsia="en-NZ"/>
        </w:rPr>
        <w:t>transfer</w:t>
      </w:r>
      <w:r w:rsidR="00011CB5">
        <w:rPr>
          <w:lang w:eastAsia="en-NZ"/>
        </w:rPr>
        <w:t xml:space="preserve"> them to averaging accounting </w:t>
      </w:r>
      <w:r w:rsidR="0044706B">
        <w:rPr>
          <w:lang w:eastAsia="en-NZ"/>
        </w:rPr>
        <w:t>has been</w:t>
      </w:r>
      <w:r w:rsidR="00011CB5">
        <w:rPr>
          <w:lang w:eastAsia="en-NZ"/>
        </w:rPr>
        <w:t xml:space="preserve"> successful) </w:t>
      </w:r>
      <w:r w:rsidR="004A5003">
        <w:rPr>
          <w:lang w:eastAsia="en-NZ"/>
        </w:rPr>
        <w:t xml:space="preserve">and </w:t>
      </w:r>
      <w:r w:rsidR="0044706B">
        <w:rPr>
          <w:lang w:eastAsia="en-NZ"/>
        </w:rPr>
        <w:t xml:space="preserve">also </w:t>
      </w:r>
      <w:r w:rsidR="004A5003">
        <w:rPr>
          <w:lang w:eastAsia="en-NZ"/>
        </w:rPr>
        <w:t>for the new “Permanent forest” category.</w:t>
      </w:r>
    </w:p>
    <w:p w14:paraId="5E58831D" w14:textId="77777777" w:rsidR="006535E4" w:rsidRDefault="006535E4" w:rsidP="68366F82">
      <w:pPr>
        <w:spacing w:line="276" w:lineRule="auto"/>
        <w:rPr>
          <w:lang w:eastAsia="en-NZ"/>
        </w:rPr>
      </w:pPr>
    </w:p>
    <w:p w14:paraId="71B1683D" w14:textId="1A2CA6FB" w:rsidR="00035B2F" w:rsidRPr="00077F8B" w:rsidRDefault="006535E4" w:rsidP="68366F82">
      <w:pPr>
        <w:spacing w:line="276" w:lineRule="auto"/>
        <w:rPr>
          <w:lang w:eastAsia="en-NZ"/>
        </w:rPr>
      </w:pPr>
      <w:r>
        <w:rPr>
          <w:lang w:eastAsia="en-NZ"/>
        </w:rPr>
        <w:t xml:space="preserve">However, </w:t>
      </w:r>
      <w:r w:rsidR="00CD6F2F">
        <w:rPr>
          <w:lang w:eastAsia="en-NZ"/>
        </w:rPr>
        <w:t xml:space="preserve">carbon stock changes </w:t>
      </w:r>
      <w:r w:rsidR="00A70EB7">
        <w:rPr>
          <w:lang w:eastAsia="en-NZ"/>
        </w:rPr>
        <w:t xml:space="preserve">estimated for the purposes of awarding New </w:t>
      </w:r>
      <w:r w:rsidR="0034128C">
        <w:rPr>
          <w:lang w:eastAsia="en-NZ"/>
        </w:rPr>
        <w:t>Zealand</w:t>
      </w:r>
      <w:r w:rsidR="00A70EB7">
        <w:rPr>
          <w:lang w:eastAsia="en-NZ"/>
        </w:rPr>
        <w:t xml:space="preserve"> Units (NZUs) under the NZ ETS </w:t>
      </w:r>
      <w:r w:rsidR="0034128C">
        <w:rPr>
          <w:lang w:eastAsia="en-NZ"/>
        </w:rPr>
        <w:t>are not used for reporting or accounting under the Kyoto Protocol or Paris Agreement.</w:t>
      </w:r>
      <w:r w:rsidR="004A5003">
        <w:rPr>
          <w:lang w:eastAsia="en-NZ"/>
        </w:rPr>
        <w:t xml:space="preserve"> While</w:t>
      </w:r>
      <w:r w:rsidR="00101965">
        <w:rPr>
          <w:lang w:eastAsia="en-NZ"/>
        </w:rPr>
        <w:t xml:space="preserve"> </w:t>
      </w:r>
      <w:r w:rsidR="00E725B7" w:rsidRPr="00E725B7">
        <w:rPr>
          <w:lang w:eastAsia="en-NZ"/>
        </w:rPr>
        <w:t>New Zealand has indicated that it also intends to apply the long-term average accounting concept to post-1989 forests under the Paris Agreement</w:t>
      </w:r>
      <w:r w:rsidR="001512CF">
        <w:rPr>
          <w:lang w:eastAsia="en-NZ"/>
        </w:rPr>
        <w:t>, the implementation will not necessarily be exactly the same</w:t>
      </w:r>
      <w:r w:rsidR="00536D24">
        <w:rPr>
          <w:lang w:eastAsia="en-NZ"/>
        </w:rPr>
        <w:t>.</w:t>
      </w:r>
    </w:p>
    <w:p w14:paraId="11C959B0" w14:textId="77777777" w:rsidR="002B410B" w:rsidRDefault="002B410B" w:rsidP="00A35F7A">
      <w:pPr>
        <w:spacing w:line="276" w:lineRule="auto"/>
        <w:rPr>
          <w:lang w:eastAsia="en-NZ"/>
        </w:rPr>
      </w:pPr>
    </w:p>
    <w:p w14:paraId="42656175" w14:textId="69391102" w:rsidR="009C028D" w:rsidRPr="00A82069" w:rsidRDefault="009C028D" w:rsidP="00A82069">
      <w:pPr>
        <w:pStyle w:val="Heading3"/>
        <w:rPr>
          <w:b w:val="0"/>
          <w:bCs/>
          <w:lang w:eastAsia="en-NZ"/>
        </w:rPr>
      </w:pPr>
      <w:r w:rsidRPr="00A82069">
        <w:rPr>
          <w:b w:val="0"/>
          <w:bCs/>
          <w:lang w:eastAsia="en-NZ"/>
        </w:rPr>
        <w:t>Post-1989 forest components</w:t>
      </w:r>
      <w:r w:rsidR="004B6507" w:rsidRPr="00A82069">
        <w:rPr>
          <w:b w:val="0"/>
          <w:bCs/>
          <w:lang w:eastAsia="en-NZ"/>
        </w:rPr>
        <w:t xml:space="preserve"> and the </w:t>
      </w:r>
      <w:r w:rsidR="00DF482A" w:rsidRPr="00A82069">
        <w:rPr>
          <w:b w:val="0"/>
          <w:bCs/>
          <w:lang w:eastAsia="en-NZ"/>
        </w:rPr>
        <w:t>long</w:t>
      </w:r>
      <w:r w:rsidR="00A82069">
        <w:rPr>
          <w:b w:val="0"/>
          <w:bCs/>
          <w:lang w:eastAsia="en-NZ"/>
        </w:rPr>
        <w:t>-</w:t>
      </w:r>
      <w:r w:rsidR="00DF482A" w:rsidRPr="00A82069">
        <w:rPr>
          <w:b w:val="0"/>
          <w:bCs/>
          <w:lang w:eastAsia="en-NZ"/>
        </w:rPr>
        <w:t>term average stock</w:t>
      </w:r>
    </w:p>
    <w:p w14:paraId="0F92D828" w14:textId="16BCFEC6" w:rsidR="00135A04" w:rsidRDefault="00AA26AB" w:rsidP="00A35F7A">
      <w:pPr>
        <w:spacing w:line="276" w:lineRule="auto"/>
        <w:rPr>
          <w:lang w:eastAsia="en-NZ"/>
        </w:rPr>
      </w:pPr>
      <w:r>
        <w:rPr>
          <w:lang w:eastAsia="en-NZ"/>
        </w:rPr>
        <w:t xml:space="preserve">As defined in the </w:t>
      </w:r>
      <w:r w:rsidR="00D43B2C">
        <w:rPr>
          <w:lang w:eastAsia="en-NZ"/>
        </w:rPr>
        <w:t>greenhouse gas inventory</w:t>
      </w:r>
      <w:r w:rsidR="004E689A">
        <w:rPr>
          <w:lang w:eastAsia="en-NZ"/>
        </w:rPr>
        <w:t xml:space="preserve"> (e.g. MFE 2024</w:t>
      </w:r>
      <w:r w:rsidR="00781650">
        <w:rPr>
          <w:lang w:eastAsia="en-NZ"/>
        </w:rPr>
        <w:t>a</w:t>
      </w:r>
      <w:r w:rsidR="004E689A">
        <w:rPr>
          <w:lang w:eastAsia="en-NZ"/>
        </w:rPr>
        <w:t>)</w:t>
      </w:r>
      <w:r w:rsidR="00D43B2C">
        <w:rPr>
          <w:lang w:eastAsia="en-NZ"/>
        </w:rPr>
        <w:t>, p</w:t>
      </w:r>
      <w:r w:rsidR="00135A04">
        <w:rPr>
          <w:lang w:eastAsia="en-NZ"/>
        </w:rPr>
        <w:t>ost-1989 forests include:</w:t>
      </w:r>
    </w:p>
    <w:p w14:paraId="72896731" w14:textId="4715D74C" w:rsidR="00135A04" w:rsidRDefault="00B763A2" w:rsidP="002815E0">
      <w:pPr>
        <w:pStyle w:val="ListParagraph"/>
        <w:numPr>
          <w:ilvl w:val="0"/>
          <w:numId w:val="6"/>
        </w:numPr>
        <w:spacing w:line="276" w:lineRule="auto"/>
        <w:rPr>
          <w:lang w:eastAsia="en-NZ"/>
        </w:rPr>
      </w:pPr>
      <w:r>
        <w:rPr>
          <w:lang w:eastAsia="en-NZ"/>
        </w:rPr>
        <w:t>Natural forests, e.g. naturally regenerating indigenous forests</w:t>
      </w:r>
      <w:r w:rsidR="00DB5CE0">
        <w:rPr>
          <w:lang w:eastAsia="en-NZ"/>
        </w:rPr>
        <w:t xml:space="preserve"> that will never be harvested</w:t>
      </w:r>
      <w:r>
        <w:rPr>
          <w:lang w:eastAsia="en-NZ"/>
        </w:rPr>
        <w:t>.</w:t>
      </w:r>
      <w:r w:rsidR="0097719C">
        <w:rPr>
          <w:lang w:eastAsia="en-NZ"/>
        </w:rPr>
        <w:t xml:space="preserve"> Natural forests also include</w:t>
      </w:r>
      <w:r w:rsidR="00FE7940">
        <w:rPr>
          <w:lang w:eastAsia="en-NZ"/>
        </w:rPr>
        <w:t xml:space="preserve"> naturally regenerating forests of exotic species that are managed as forests, e.g. wilding conifers and willow.</w:t>
      </w:r>
    </w:p>
    <w:p w14:paraId="337F9332" w14:textId="1DD92D0D" w:rsidR="00B763A2" w:rsidRDefault="003F7DF4" w:rsidP="002815E0">
      <w:pPr>
        <w:pStyle w:val="ListParagraph"/>
        <w:numPr>
          <w:ilvl w:val="0"/>
          <w:numId w:val="6"/>
        </w:numPr>
        <w:spacing w:line="276" w:lineRule="auto"/>
        <w:rPr>
          <w:lang w:eastAsia="en-NZ"/>
        </w:rPr>
      </w:pPr>
      <w:r>
        <w:rPr>
          <w:lang w:eastAsia="en-NZ"/>
        </w:rPr>
        <w:t xml:space="preserve">Rotational </w:t>
      </w:r>
      <w:r w:rsidR="00DB5CE0">
        <w:rPr>
          <w:lang w:eastAsia="en-NZ"/>
        </w:rPr>
        <w:t xml:space="preserve">planted </w:t>
      </w:r>
      <w:r>
        <w:rPr>
          <w:lang w:eastAsia="en-NZ"/>
        </w:rPr>
        <w:t xml:space="preserve">forests, e.g. plantation forests of radiata pine managed </w:t>
      </w:r>
      <w:r w:rsidR="00AE2655">
        <w:rPr>
          <w:lang w:eastAsia="en-NZ"/>
        </w:rPr>
        <w:t xml:space="preserve">with clearfelling </w:t>
      </w:r>
      <w:r w:rsidR="00DA04DE">
        <w:rPr>
          <w:lang w:eastAsia="en-NZ"/>
        </w:rPr>
        <w:t>followed by</w:t>
      </w:r>
      <w:r w:rsidR="00AE2655">
        <w:rPr>
          <w:lang w:eastAsia="en-NZ"/>
        </w:rPr>
        <w:t xml:space="preserve"> replanting on a rotation of 25-30 years.</w:t>
      </w:r>
    </w:p>
    <w:p w14:paraId="1BC58E2B" w14:textId="32FBCF3F" w:rsidR="00AE2655" w:rsidRDefault="00DA04DE" w:rsidP="002815E0">
      <w:pPr>
        <w:pStyle w:val="ListParagraph"/>
        <w:numPr>
          <w:ilvl w:val="0"/>
          <w:numId w:val="6"/>
        </w:numPr>
        <w:spacing w:line="276" w:lineRule="auto"/>
        <w:rPr>
          <w:lang w:eastAsia="en-NZ"/>
        </w:rPr>
      </w:pPr>
      <w:r>
        <w:rPr>
          <w:lang w:eastAsia="en-NZ"/>
        </w:rPr>
        <w:t xml:space="preserve">Permanent </w:t>
      </w:r>
      <w:r w:rsidR="00C469AE">
        <w:rPr>
          <w:lang w:eastAsia="en-NZ"/>
        </w:rPr>
        <w:t xml:space="preserve">planted </w:t>
      </w:r>
      <w:r>
        <w:rPr>
          <w:lang w:eastAsia="en-NZ"/>
        </w:rPr>
        <w:t>forests man</w:t>
      </w:r>
      <w:r w:rsidR="00DB5CE0">
        <w:rPr>
          <w:lang w:eastAsia="en-NZ"/>
        </w:rPr>
        <w:t>a</w:t>
      </w:r>
      <w:r>
        <w:rPr>
          <w:lang w:eastAsia="en-NZ"/>
        </w:rPr>
        <w:t xml:space="preserve">ged without clearfelling, </w:t>
      </w:r>
      <w:r w:rsidR="00C469AE">
        <w:rPr>
          <w:lang w:eastAsia="en-NZ"/>
        </w:rPr>
        <w:t>e,g.</w:t>
      </w:r>
      <w:r>
        <w:rPr>
          <w:lang w:eastAsia="en-NZ"/>
        </w:rPr>
        <w:t xml:space="preserve"> </w:t>
      </w:r>
      <w:r w:rsidR="00162D76">
        <w:rPr>
          <w:lang w:eastAsia="en-NZ"/>
        </w:rPr>
        <w:t xml:space="preserve">planted forests of exotic species that are intended to transition into </w:t>
      </w:r>
      <w:r w:rsidR="00C469AE">
        <w:rPr>
          <w:lang w:eastAsia="en-NZ"/>
        </w:rPr>
        <w:t>indigenous forest over time</w:t>
      </w:r>
      <w:r w:rsidR="00FE7940">
        <w:rPr>
          <w:lang w:eastAsia="en-NZ"/>
        </w:rPr>
        <w:t>, or that will be managed under a form of Continuous Cover Forestry (CCF).</w:t>
      </w:r>
    </w:p>
    <w:p w14:paraId="46AD8F25" w14:textId="77777777" w:rsidR="00AA6FB9" w:rsidRDefault="00AA6FB9" w:rsidP="00AA6FB9">
      <w:pPr>
        <w:spacing w:line="276" w:lineRule="auto"/>
        <w:rPr>
          <w:lang w:eastAsia="en-NZ"/>
        </w:rPr>
      </w:pPr>
    </w:p>
    <w:p w14:paraId="34F58527" w14:textId="77777777" w:rsidR="00543DC9" w:rsidRPr="00077F8B" w:rsidRDefault="00543DC9" w:rsidP="00543DC9">
      <w:pPr>
        <w:spacing w:line="276" w:lineRule="auto"/>
      </w:pPr>
      <w:r>
        <w:t>The LTA stock is defined as “</w:t>
      </w:r>
      <w:r w:rsidRPr="68366F82">
        <w:rPr>
          <w:i/>
          <w:iCs/>
        </w:rPr>
        <w:t>The long-term average carbon stock per hectare that would be maintained (on average) across all biomass carbon pools under current management conditions</w:t>
      </w:r>
      <w:r>
        <w:t xml:space="preserve">”. </w:t>
      </w:r>
    </w:p>
    <w:p w14:paraId="7CE1414D" w14:textId="13FD7AD3" w:rsidR="00AA6FB9" w:rsidRDefault="00543DC9" w:rsidP="00AA6FB9">
      <w:pPr>
        <w:spacing w:line="276" w:lineRule="auto"/>
        <w:rPr>
          <w:lang w:eastAsia="en-NZ"/>
        </w:rPr>
      </w:pPr>
      <w:r>
        <w:rPr>
          <w:lang w:eastAsia="en-NZ"/>
        </w:rPr>
        <w:t>This</w:t>
      </w:r>
      <w:r w:rsidR="00853239">
        <w:rPr>
          <w:lang w:eastAsia="en-NZ"/>
        </w:rPr>
        <w:t xml:space="preserve"> is affected by </w:t>
      </w:r>
      <w:r w:rsidR="00E15B00">
        <w:rPr>
          <w:lang w:eastAsia="en-NZ"/>
        </w:rPr>
        <w:t xml:space="preserve">factors such as </w:t>
      </w:r>
      <w:r w:rsidR="00853239">
        <w:rPr>
          <w:lang w:eastAsia="en-NZ"/>
        </w:rPr>
        <w:t>forest type, species, silviculture</w:t>
      </w:r>
      <w:r w:rsidR="003A1114">
        <w:rPr>
          <w:lang w:eastAsia="en-NZ"/>
        </w:rPr>
        <w:t xml:space="preserve"> (including the timing and intensity of thinning), harvesting,</w:t>
      </w:r>
      <w:r w:rsidR="00E15B00">
        <w:rPr>
          <w:lang w:eastAsia="en-NZ"/>
        </w:rPr>
        <w:t xml:space="preserve"> the fate of carbon in harvest residues and wood products</w:t>
      </w:r>
      <w:r w:rsidR="00A56FF8">
        <w:rPr>
          <w:lang w:eastAsia="en-NZ"/>
        </w:rPr>
        <w:t xml:space="preserve">. An Excel-based </w:t>
      </w:r>
      <w:r w:rsidR="00A56FF8" w:rsidRPr="00E83892">
        <w:rPr>
          <w:lang w:eastAsia="en-NZ"/>
        </w:rPr>
        <w:t xml:space="preserve">model </w:t>
      </w:r>
      <w:r w:rsidR="00806B08" w:rsidRPr="00E83892">
        <w:rPr>
          <w:lang w:eastAsia="en-NZ"/>
        </w:rPr>
        <w:t>(LTA Calculator)</w:t>
      </w:r>
      <w:r w:rsidR="00806B08">
        <w:rPr>
          <w:lang w:eastAsia="en-NZ"/>
        </w:rPr>
        <w:t xml:space="preserve"> </w:t>
      </w:r>
      <w:r w:rsidR="00A56FF8">
        <w:rPr>
          <w:lang w:eastAsia="en-NZ"/>
        </w:rPr>
        <w:t xml:space="preserve">was developed </w:t>
      </w:r>
      <w:r w:rsidR="00EC5382">
        <w:rPr>
          <w:lang w:eastAsia="en-NZ"/>
        </w:rPr>
        <w:t>for</w:t>
      </w:r>
      <w:r w:rsidR="00A56FF8">
        <w:rPr>
          <w:lang w:eastAsia="en-NZ"/>
        </w:rPr>
        <w:t xml:space="preserve"> </w:t>
      </w:r>
      <w:r w:rsidR="003F79FA">
        <w:rPr>
          <w:lang w:eastAsia="en-NZ"/>
        </w:rPr>
        <w:t xml:space="preserve">calculating the LTA stock resulting from </w:t>
      </w:r>
      <w:r w:rsidR="00AA605A">
        <w:rPr>
          <w:lang w:eastAsia="en-NZ"/>
        </w:rPr>
        <w:t>afforestation</w:t>
      </w:r>
      <w:r w:rsidR="003F79FA">
        <w:rPr>
          <w:lang w:eastAsia="en-NZ"/>
        </w:rPr>
        <w:t xml:space="preserve"> </w:t>
      </w:r>
      <w:r w:rsidR="003F79FA" w:rsidRPr="00FA731A">
        <w:rPr>
          <w:lang w:eastAsia="en-NZ"/>
        </w:rPr>
        <w:t xml:space="preserve">(Dovey </w:t>
      </w:r>
      <w:r w:rsidR="007A6475">
        <w:rPr>
          <w:lang w:eastAsia="en-NZ"/>
        </w:rPr>
        <w:t>&amp;</w:t>
      </w:r>
      <w:r w:rsidR="007A6475" w:rsidRPr="00FA731A">
        <w:rPr>
          <w:lang w:eastAsia="en-NZ"/>
        </w:rPr>
        <w:t xml:space="preserve"> </w:t>
      </w:r>
      <w:r w:rsidR="003F79FA" w:rsidRPr="00FA731A">
        <w:rPr>
          <w:lang w:eastAsia="en-NZ"/>
        </w:rPr>
        <w:t>Wakelin</w:t>
      </w:r>
      <w:r w:rsidR="007A6475">
        <w:rPr>
          <w:lang w:eastAsia="en-NZ"/>
        </w:rPr>
        <w:t>,</w:t>
      </w:r>
      <w:r w:rsidR="003F79FA" w:rsidRPr="00FA731A">
        <w:rPr>
          <w:lang w:eastAsia="en-NZ"/>
        </w:rPr>
        <w:t xml:space="preserve"> 2024).</w:t>
      </w:r>
      <w:r w:rsidR="003A1114">
        <w:rPr>
          <w:lang w:eastAsia="en-NZ"/>
        </w:rPr>
        <w:t xml:space="preserve"> </w:t>
      </w:r>
      <w:r w:rsidR="003F79FA">
        <w:t xml:space="preserve">The underlying principle of the long-term average is that although the carbon stock of a forest and its associated products </w:t>
      </w:r>
      <w:r w:rsidR="003F79FA" w:rsidRPr="68366F82">
        <w:rPr>
          <w:lang w:val="en-NZ"/>
        </w:rPr>
        <w:t>may vary over time with harvesting and replanting, a long-term average carbon stock can be calculated</w:t>
      </w:r>
      <w:r w:rsidR="00F54E0C">
        <w:rPr>
          <w:lang w:val="en-NZ"/>
        </w:rPr>
        <w:t>,</w:t>
      </w:r>
      <w:r w:rsidR="003F79FA" w:rsidRPr="68366F82">
        <w:rPr>
          <w:lang w:val="en-NZ"/>
        </w:rPr>
        <w:t xml:space="preserve"> </w:t>
      </w:r>
      <w:r w:rsidR="00FA2764">
        <w:rPr>
          <w:lang w:val="en-NZ"/>
        </w:rPr>
        <w:t xml:space="preserve">and from this an accounting quantity </w:t>
      </w:r>
      <w:r w:rsidR="00F54E0C">
        <w:rPr>
          <w:lang w:val="en-NZ"/>
        </w:rPr>
        <w:t xml:space="preserve">can be derived </w:t>
      </w:r>
      <w:r w:rsidR="003F79FA" w:rsidRPr="68366F82">
        <w:rPr>
          <w:lang w:val="en-NZ"/>
        </w:rPr>
        <w:t xml:space="preserve">that represents </w:t>
      </w:r>
      <w:r w:rsidR="003F79FA">
        <w:t xml:space="preserve">a net change in stock compared to the pre-existing carbon levels prior to afforestation </w:t>
      </w:r>
      <w:r w:rsidR="003F79FA">
        <w:fldChar w:fldCharType="begin"/>
      </w:r>
      <w:r w:rsidR="003F79FA">
        <w:instrText xml:space="preserve"> ADDIN EN.CITE &lt;EndNote&gt;&lt;Cite&gt;&lt;Author&gt;Wakelin&lt;/Author&gt;&lt;Year&gt;2017&lt;/Year&gt;&lt;RecNum&gt;27602&lt;/RecNum&gt;&lt;DisplayText&gt;(Wakelin, et al., 2017)&lt;/DisplayText&gt;&lt;record&gt;&lt;rec-number&gt;27602&lt;/rec-number&gt;&lt;foreign-keys&gt;&lt;key app="EN" db-id="tvwxw9e9usfasueetdnx2xs1x5eex0fppxpp" timestamp="1687900370"&gt;27602&lt;/key&gt;&lt;/foreign-keys&gt;&lt;ref-type name="Unpublished Work"&gt;34&lt;/ref-type&gt;&lt;contributors&gt;&lt;authors&gt;&lt;author&gt;Wakelin, S J&lt;/author&gt;&lt;author&gt;Manley, B R&lt;/author&gt;&lt;author&gt;Dowling, L J&lt;/author&gt;&lt;/authors&gt;&lt;/contributors&gt;&lt;titles&gt;&lt;title&gt;Options for calculating the long-term average carbon stock in post-1989 forests&lt;/title&gt;&lt;/titles&gt;&lt;number&gt;Output 58646&lt;/number&gt;&lt;keywords&gt;&lt;keyword&gt;carbon inventory&lt;/keyword&gt;&lt;keyword&gt;carbon stocks&lt;/keyword&gt;&lt;keyword&gt;carbon credits&lt;/keyword&gt;&lt;keyword&gt;paris 21 climate agreement&lt;/keyword&gt;&lt;keyword&gt;kyoto protocol&lt;/keyword&gt;&lt;/keywords&gt;&lt;dates&gt;&lt;year&gt;2017&lt;/year&gt;&lt;/dates&gt;&lt;publisher&gt;Scion&lt;/publisher&gt;&lt;work-type&gt;Ministry for Primary Industries (MPI), Internal Contract Report&lt;/work-type&gt;&lt;urls&gt;&lt;/urls&gt;&lt;remote-database-name&gt;SIDNEY&lt;/remote-database-name&gt;&lt;/record&gt;&lt;/Cite&gt;&lt;/EndNote&gt;</w:instrText>
      </w:r>
      <w:r w:rsidR="003F79FA">
        <w:fldChar w:fldCharType="separate"/>
      </w:r>
      <w:r w:rsidR="003F79FA">
        <w:t>(Wakelin, et al., 2017)</w:t>
      </w:r>
      <w:r w:rsidR="003F79FA">
        <w:fldChar w:fldCharType="end"/>
      </w:r>
      <w:r w:rsidR="003F79FA">
        <w:t>.</w:t>
      </w:r>
    </w:p>
    <w:p w14:paraId="5BD594D9" w14:textId="77777777" w:rsidR="009014AD" w:rsidRDefault="009014AD" w:rsidP="009014AD">
      <w:pPr>
        <w:rPr>
          <w:lang w:eastAsia="en-NZ"/>
        </w:rPr>
      </w:pPr>
    </w:p>
    <w:p w14:paraId="6CCAF0AB" w14:textId="09F374D4" w:rsidR="009014AD" w:rsidRPr="000228E1" w:rsidRDefault="009014AD" w:rsidP="000228E1">
      <w:pPr>
        <w:pStyle w:val="Heading3"/>
        <w:rPr>
          <w:b w:val="0"/>
          <w:bCs/>
          <w:lang w:eastAsia="en-NZ"/>
        </w:rPr>
      </w:pPr>
      <w:r w:rsidRPr="000228E1">
        <w:rPr>
          <w:b w:val="0"/>
          <w:bCs/>
          <w:lang w:eastAsia="en-NZ"/>
        </w:rPr>
        <w:t>The Post-1989 Forest Reference Level</w:t>
      </w:r>
    </w:p>
    <w:p w14:paraId="2A6041F3" w14:textId="3C350893" w:rsidR="00EA1E28" w:rsidRDefault="00761BE4" w:rsidP="00A35F7A">
      <w:pPr>
        <w:spacing w:line="276" w:lineRule="auto"/>
        <w:rPr>
          <w:lang w:eastAsia="en-NZ"/>
        </w:rPr>
      </w:pPr>
      <w:r>
        <w:rPr>
          <w:lang w:eastAsia="en-NZ"/>
        </w:rPr>
        <w:t xml:space="preserve">New </w:t>
      </w:r>
      <w:r w:rsidR="001C5F26">
        <w:rPr>
          <w:lang w:eastAsia="en-NZ"/>
        </w:rPr>
        <w:t>Zealand’s</w:t>
      </w:r>
      <w:r>
        <w:rPr>
          <w:lang w:eastAsia="en-NZ"/>
        </w:rPr>
        <w:t xml:space="preserve"> NDC proposed that once post-1989 forests had reached their </w:t>
      </w:r>
      <w:r w:rsidR="0012047D">
        <w:rPr>
          <w:lang w:eastAsia="en-NZ"/>
        </w:rPr>
        <w:t xml:space="preserve">LTA stock, the forests would transfer to the Forest Management </w:t>
      </w:r>
      <w:r w:rsidR="00883C0A">
        <w:rPr>
          <w:lang w:eastAsia="en-NZ"/>
        </w:rPr>
        <w:t xml:space="preserve">category </w:t>
      </w:r>
      <w:r w:rsidR="0012047D">
        <w:rPr>
          <w:lang w:eastAsia="en-NZ"/>
        </w:rPr>
        <w:t xml:space="preserve">(or </w:t>
      </w:r>
      <w:r w:rsidR="00411D42">
        <w:rPr>
          <w:lang w:eastAsia="en-NZ"/>
        </w:rPr>
        <w:t xml:space="preserve">to the </w:t>
      </w:r>
      <w:r w:rsidR="0012047D" w:rsidRPr="00B7773C">
        <w:rPr>
          <w:i/>
          <w:iCs/>
          <w:lang w:eastAsia="en-NZ"/>
        </w:rPr>
        <w:t xml:space="preserve">Forest remaining </w:t>
      </w:r>
      <w:r w:rsidR="00411D42" w:rsidRPr="00B7773C">
        <w:rPr>
          <w:i/>
          <w:iCs/>
          <w:lang w:eastAsia="en-NZ"/>
        </w:rPr>
        <w:t>F</w:t>
      </w:r>
      <w:r w:rsidR="0012047D" w:rsidRPr="00B7773C">
        <w:rPr>
          <w:i/>
          <w:iCs/>
          <w:lang w:eastAsia="en-NZ"/>
        </w:rPr>
        <w:t>orest</w:t>
      </w:r>
      <w:r w:rsidR="001C5F26">
        <w:rPr>
          <w:lang w:eastAsia="en-NZ"/>
        </w:rPr>
        <w:t xml:space="preserve"> category </w:t>
      </w:r>
      <w:r w:rsidR="006769A8">
        <w:rPr>
          <w:lang w:eastAsia="en-NZ"/>
        </w:rPr>
        <w:t>in the case of</w:t>
      </w:r>
      <w:r w:rsidR="001C5F26">
        <w:rPr>
          <w:lang w:eastAsia="en-NZ"/>
        </w:rPr>
        <w:t xml:space="preserve"> land-based accounting), where they would be accounted for under a business-as-usual reference level.</w:t>
      </w:r>
      <w:r w:rsidR="008B783F">
        <w:rPr>
          <w:lang w:eastAsia="en-NZ"/>
        </w:rPr>
        <w:t xml:space="preserve"> </w:t>
      </w:r>
    </w:p>
    <w:p w14:paraId="27CD02DE" w14:textId="77777777" w:rsidR="00761BE4" w:rsidRDefault="00761BE4" w:rsidP="00A35F7A">
      <w:pPr>
        <w:spacing w:line="276" w:lineRule="auto"/>
        <w:rPr>
          <w:lang w:eastAsia="en-NZ"/>
        </w:rPr>
      </w:pPr>
    </w:p>
    <w:p w14:paraId="0D4C6DAF" w14:textId="7462A963" w:rsidR="000228E1" w:rsidRDefault="009F0E96" w:rsidP="00A35F7A">
      <w:pPr>
        <w:spacing w:line="276" w:lineRule="auto"/>
        <w:rPr>
          <w:rFonts w:cs="Arial"/>
          <w:szCs w:val="20"/>
        </w:rPr>
      </w:pPr>
      <w:r>
        <w:rPr>
          <w:rFonts w:cs="Arial"/>
          <w:szCs w:val="20"/>
        </w:rPr>
        <w:t>Accounting for p</w:t>
      </w:r>
      <w:r w:rsidR="00B14033">
        <w:rPr>
          <w:rFonts w:cs="Arial"/>
          <w:szCs w:val="20"/>
        </w:rPr>
        <w:t>re-1990 forests</w:t>
      </w:r>
      <w:r>
        <w:rPr>
          <w:rFonts w:cs="Arial"/>
          <w:szCs w:val="20"/>
        </w:rPr>
        <w:t xml:space="preserve"> (“Forest Management”) against a </w:t>
      </w:r>
      <w:r w:rsidR="00AB08FC">
        <w:rPr>
          <w:rFonts w:cs="Arial"/>
          <w:szCs w:val="20"/>
        </w:rPr>
        <w:t xml:space="preserve">Forest Management Reference Level was mandatory </w:t>
      </w:r>
      <w:r>
        <w:rPr>
          <w:rFonts w:cs="Arial"/>
          <w:szCs w:val="20"/>
        </w:rPr>
        <w:t xml:space="preserve">under the </w:t>
      </w:r>
      <w:r w:rsidR="00AB08FC">
        <w:rPr>
          <w:rFonts w:cs="Arial"/>
          <w:szCs w:val="20"/>
        </w:rPr>
        <w:t xml:space="preserve">second commitment period of the </w:t>
      </w:r>
      <w:r>
        <w:rPr>
          <w:rFonts w:cs="Arial"/>
          <w:szCs w:val="20"/>
        </w:rPr>
        <w:t>Kyoto Protocol</w:t>
      </w:r>
      <w:r w:rsidR="00C8763F">
        <w:rPr>
          <w:rFonts w:cs="Arial"/>
          <w:szCs w:val="20"/>
        </w:rPr>
        <w:t>.</w:t>
      </w:r>
      <w:r>
        <w:rPr>
          <w:rFonts w:cs="Arial"/>
          <w:szCs w:val="20"/>
        </w:rPr>
        <w:t xml:space="preserve"> </w:t>
      </w:r>
      <w:r w:rsidR="00D84A12">
        <w:rPr>
          <w:rFonts w:cs="Arial"/>
          <w:szCs w:val="20"/>
        </w:rPr>
        <w:t>The purpose of th</w:t>
      </w:r>
      <w:r w:rsidR="00C8763F">
        <w:rPr>
          <w:rFonts w:cs="Arial"/>
          <w:szCs w:val="20"/>
        </w:rPr>
        <w:t>e</w:t>
      </w:r>
      <w:r w:rsidR="00D84A12">
        <w:rPr>
          <w:rFonts w:cs="Arial"/>
          <w:szCs w:val="20"/>
        </w:rPr>
        <w:t xml:space="preserve"> pre-1990 FRL is to establish ‘additionality’, so that parties only account for </w:t>
      </w:r>
      <w:r w:rsidR="00905146">
        <w:rPr>
          <w:rFonts w:cs="Arial"/>
          <w:szCs w:val="20"/>
        </w:rPr>
        <w:t xml:space="preserve">the difference between </w:t>
      </w:r>
      <w:r w:rsidR="004A048A">
        <w:rPr>
          <w:rFonts w:cs="Arial"/>
          <w:szCs w:val="20"/>
        </w:rPr>
        <w:t xml:space="preserve">the </w:t>
      </w:r>
      <w:r w:rsidR="00905146">
        <w:rPr>
          <w:rFonts w:cs="Arial"/>
          <w:szCs w:val="20"/>
        </w:rPr>
        <w:t>net emissions</w:t>
      </w:r>
      <w:r w:rsidR="004A048A">
        <w:rPr>
          <w:rFonts w:cs="Arial"/>
          <w:szCs w:val="20"/>
        </w:rPr>
        <w:t xml:space="preserve"> that occur during the </w:t>
      </w:r>
      <w:r w:rsidR="0024502C">
        <w:rPr>
          <w:rFonts w:cs="Arial"/>
          <w:szCs w:val="20"/>
        </w:rPr>
        <w:t>com</w:t>
      </w:r>
      <w:r w:rsidR="004A048A">
        <w:rPr>
          <w:rFonts w:cs="Arial"/>
          <w:szCs w:val="20"/>
        </w:rPr>
        <w:t>pliance period and those expected</w:t>
      </w:r>
      <w:r w:rsidR="00A2663B">
        <w:rPr>
          <w:rFonts w:cs="Arial"/>
          <w:szCs w:val="20"/>
        </w:rPr>
        <w:t xml:space="preserve"> following continuation of </w:t>
      </w:r>
      <w:r w:rsidR="00D84A12">
        <w:rPr>
          <w:rFonts w:cs="Arial"/>
          <w:szCs w:val="20"/>
        </w:rPr>
        <w:t xml:space="preserve">the business-as-usual management practices carried out during </w:t>
      </w:r>
      <w:r w:rsidR="008A6D71">
        <w:rPr>
          <w:rFonts w:cs="Arial"/>
          <w:szCs w:val="20"/>
        </w:rPr>
        <w:t>a</w:t>
      </w:r>
      <w:r w:rsidR="00D84A12">
        <w:rPr>
          <w:rFonts w:cs="Arial"/>
          <w:szCs w:val="20"/>
        </w:rPr>
        <w:t xml:space="preserve"> historic reference period. </w:t>
      </w:r>
      <w:r w:rsidR="00C8763F">
        <w:rPr>
          <w:rFonts w:cs="Arial"/>
          <w:szCs w:val="20"/>
        </w:rPr>
        <w:t>In contrast, t</w:t>
      </w:r>
      <w:r w:rsidR="00D84A12">
        <w:rPr>
          <w:rFonts w:cs="Arial"/>
          <w:szCs w:val="20"/>
        </w:rPr>
        <w:t xml:space="preserve">he purpose of the post-1989 FRL is to provide assurance that changes in </w:t>
      </w:r>
      <w:r w:rsidR="00D84A12">
        <w:rPr>
          <w:rFonts w:cs="Arial"/>
          <w:szCs w:val="20"/>
        </w:rPr>
        <w:lastRenderedPageBreak/>
        <w:t xml:space="preserve">management that would affect the calculated LTA stock are reflected in the accounting quantity. This can also be achieved by recalculating the LTA stock, as </w:t>
      </w:r>
      <w:r w:rsidR="00413A89">
        <w:rPr>
          <w:rFonts w:cs="Arial"/>
          <w:szCs w:val="20"/>
        </w:rPr>
        <w:t>this</w:t>
      </w:r>
      <w:r w:rsidR="00D84A12">
        <w:rPr>
          <w:rFonts w:cs="Arial"/>
          <w:szCs w:val="20"/>
        </w:rPr>
        <w:t xml:space="preserve"> is not tied to a historic time period.</w:t>
      </w:r>
    </w:p>
    <w:p w14:paraId="58BCFBD8" w14:textId="77777777" w:rsidR="0030603B" w:rsidRDefault="0030603B" w:rsidP="00A35F7A">
      <w:pPr>
        <w:spacing w:line="276" w:lineRule="auto"/>
        <w:rPr>
          <w:rFonts w:cs="Arial"/>
          <w:szCs w:val="20"/>
        </w:rPr>
      </w:pPr>
    </w:p>
    <w:p w14:paraId="441E598A" w14:textId="5897F366" w:rsidR="0030603B" w:rsidRDefault="0030603B" w:rsidP="00A35F7A">
      <w:pPr>
        <w:spacing w:line="276" w:lineRule="auto"/>
        <w:rPr>
          <w:rFonts w:cs="Arial"/>
          <w:szCs w:val="20"/>
        </w:rPr>
      </w:pPr>
      <w:r>
        <w:rPr>
          <w:rFonts w:cs="Arial"/>
          <w:szCs w:val="20"/>
        </w:rPr>
        <w:t xml:space="preserve">For this report, the post-1989 FRL is treated </w:t>
      </w:r>
      <w:r w:rsidR="00172041">
        <w:rPr>
          <w:rFonts w:cs="Arial"/>
          <w:szCs w:val="20"/>
        </w:rPr>
        <w:t xml:space="preserve">separately </w:t>
      </w:r>
      <w:r w:rsidR="0020343E">
        <w:rPr>
          <w:rFonts w:cs="Arial"/>
          <w:szCs w:val="20"/>
        </w:rPr>
        <w:t>from the pre-1990 FRL</w:t>
      </w:r>
      <w:r w:rsidR="001600FE">
        <w:rPr>
          <w:rFonts w:cs="Arial"/>
          <w:szCs w:val="20"/>
        </w:rPr>
        <w:t xml:space="preserve">. </w:t>
      </w:r>
      <w:r w:rsidR="002A7444">
        <w:rPr>
          <w:rFonts w:cs="Arial"/>
          <w:szCs w:val="20"/>
        </w:rPr>
        <w:t xml:space="preserve">Conceptually, </w:t>
      </w:r>
      <w:r w:rsidR="00D0357D">
        <w:rPr>
          <w:rFonts w:cs="Arial"/>
          <w:szCs w:val="20"/>
        </w:rPr>
        <w:t>i</w:t>
      </w:r>
      <w:r w:rsidR="001600FE">
        <w:rPr>
          <w:rFonts w:cs="Arial"/>
          <w:szCs w:val="20"/>
        </w:rPr>
        <w:t xml:space="preserve">t represents the </w:t>
      </w:r>
      <w:r w:rsidR="00D0357D">
        <w:rPr>
          <w:rFonts w:cs="Arial"/>
          <w:szCs w:val="20"/>
        </w:rPr>
        <w:t xml:space="preserve">2021-2030 average annual </w:t>
      </w:r>
      <w:r w:rsidR="0046583B">
        <w:rPr>
          <w:rFonts w:cs="Arial"/>
          <w:szCs w:val="20"/>
        </w:rPr>
        <w:t xml:space="preserve">net emissions </w:t>
      </w:r>
      <w:r w:rsidR="00D0357D">
        <w:rPr>
          <w:rFonts w:cs="Arial"/>
          <w:szCs w:val="20"/>
        </w:rPr>
        <w:t xml:space="preserve">that are </w:t>
      </w:r>
      <w:r w:rsidR="0046583B">
        <w:rPr>
          <w:rFonts w:cs="Arial"/>
          <w:szCs w:val="20"/>
        </w:rPr>
        <w:t xml:space="preserve">expected under business-as-usual management </w:t>
      </w:r>
      <w:r w:rsidR="00D0357D">
        <w:rPr>
          <w:rFonts w:cs="Arial"/>
          <w:szCs w:val="20"/>
        </w:rPr>
        <w:t>from</w:t>
      </w:r>
      <w:r w:rsidR="0046583B">
        <w:rPr>
          <w:rFonts w:cs="Arial"/>
          <w:szCs w:val="20"/>
        </w:rPr>
        <w:t xml:space="preserve"> </w:t>
      </w:r>
      <w:r w:rsidR="00B831CB">
        <w:rPr>
          <w:rFonts w:cs="Arial"/>
          <w:szCs w:val="20"/>
        </w:rPr>
        <w:t xml:space="preserve">post-1989 </w:t>
      </w:r>
      <w:r w:rsidR="00D0357D">
        <w:rPr>
          <w:rFonts w:cs="Arial"/>
          <w:szCs w:val="20"/>
        </w:rPr>
        <w:t xml:space="preserve">forests after </w:t>
      </w:r>
      <w:r w:rsidR="00883C0A">
        <w:rPr>
          <w:rFonts w:cs="Arial"/>
          <w:szCs w:val="20"/>
        </w:rPr>
        <w:t>they</w:t>
      </w:r>
      <w:r w:rsidR="0046583B">
        <w:rPr>
          <w:rFonts w:cs="Arial"/>
          <w:szCs w:val="20"/>
        </w:rPr>
        <w:t xml:space="preserve"> </w:t>
      </w:r>
      <w:r w:rsidR="00355DEE">
        <w:rPr>
          <w:rFonts w:cs="Arial"/>
          <w:szCs w:val="20"/>
        </w:rPr>
        <w:t xml:space="preserve">have </w:t>
      </w:r>
      <w:r w:rsidR="0046583B">
        <w:rPr>
          <w:rFonts w:cs="Arial"/>
          <w:szCs w:val="20"/>
        </w:rPr>
        <w:t>grow</w:t>
      </w:r>
      <w:r w:rsidR="00355DEE">
        <w:rPr>
          <w:rFonts w:cs="Arial"/>
          <w:szCs w:val="20"/>
        </w:rPr>
        <w:t>n</w:t>
      </w:r>
      <w:r w:rsidR="00E60D28">
        <w:rPr>
          <w:rFonts w:cs="Arial"/>
          <w:szCs w:val="20"/>
        </w:rPr>
        <w:t xml:space="preserve"> past the</w:t>
      </w:r>
      <w:r w:rsidR="00B831CB">
        <w:rPr>
          <w:rFonts w:cs="Arial"/>
          <w:szCs w:val="20"/>
        </w:rPr>
        <w:t>ir</w:t>
      </w:r>
      <w:r w:rsidR="00E60D28">
        <w:rPr>
          <w:rFonts w:cs="Arial"/>
          <w:szCs w:val="20"/>
        </w:rPr>
        <w:t xml:space="preserve"> LTA age.</w:t>
      </w:r>
      <w:r w:rsidR="005A4963">
        <w:rPr>
          <w:rFonts w:cs="Arial"/>
          <w:szCs w:val="20"/>
        </w:rPr>
        <w:t xml:space="preserve"> </w:t>
      </w:r>
      <w:r w:rsidR="00952100">
        <w:rPr>
          <w:rFonts w:cs="Arial"/>
          <w:szCs w:val="20"/>
        </w:rPr>
        <w:t>The average annual difference</w:t>
      </w:r>
      <w:r w:rsidR="00BB4224">
        <w:rPr>
          <w:rFonts w:cs="Arial"/>
          <w:szCs w:val="20"/>
        </w:rPr>
        <w:t xml:space="preserve"> between this FRL and actual </w:t>
      </w:r>
      <w:r w:rsidR="001A66BF">
        <w:rPr>
          <w:rFonts w:cs="Arial"/>
          <w:szCs w:val="20"/>
        </w:rPr>
        <w:t xml:space="preserve">reported net emissions past </w:t>
      </w:r>
      <w:r w:rsidR="007233DC">
        <w:rPr>
          <w:rFonts w:cs="Arial"/>
          <w:szCs w:val="20"/>
        </w:rPr>
        <w:t>t</w:t>
      </w:r>
      <w:r w:rsidR="001A66BF">
        <w:rPr>
          <w:rFonts w:cs="Arial"/>
          <w:szCs w:val="20"/>
        </w:rPr>
        <w:t xml:space="preserve">he LTA age are added to the </w:t>
      </w:r>
      <w:r w:rsidR="00952100">
        <w:rPr>
          <w:rFonts w:cs="Arial"/>
          <w:szCs w:val="20"/>
        </w:rPr>
        <w:t>average annual</w:t>
      </w:r>
      <w:r w:rsidR="001A66BF">
        <w:rPr>
          <w:rFonts w:cs="Arial"/>
          <w:szCs w:val="20"/>
        </w:rPr>
        <w:t xml:space="preserve"> net emissions up to the LTA age to </w:t>
      </w:r>
      <w:r w:rsidR="007233DC">
        <w:rPr>
          <w:rFonts w:cs="Arial"/>
          <w:szCs w:val="20"/>
        </w:rPr>
        <w:t>calculate the accounting quantity for post-1989 forests.</w:t>
      </w:r>
    </w:p>
    <w:p w14:paraId="453BE3E3" w14:textId="77777777" w:rsidR="00883C0A" w:rsidRDefault="00883C0A" w:rsidP="00A35F7A">
      <w:pPr>
        <w:spacing w:line="276" w:lineRule="auto"/>
        <w:rPr>
          <w:rFonts w:cs="Arial"/>
          <w:szCs w:val="20"/>
        </w:rPr>
      </w:pPr>
    </w:p>
    <w:p w14:paraId="1275378C" w14:textId="34C4BB6E" w:rsidR="00883C0A" w:rsidRDefault="006624E4" w:rsidP="00A35F7A">
      <w:pPr>
        <w:spacing w:line="276" w:lineRule="auto"/>
        <w:rPr>
          <w:lang w:eastAsia="en-NZ"/>
        </w:rPr>
      </w:pPr>
      <w:r>
        <w:rPr>
          <w:lang w:eastAsia="en-NZ"/>
        </w:rPr>
        <w:t>In practice</w:t>
      </w:r>
      <w:r w:rsidR="00912A19">
        <w:rPr>
          <w:lang w:eastAsia="en-NZ"/>
        </w:rPr>
        <w:t>,</w:t>
      </w:r>
      <w:r w:rsidR="000B1D00">
        <w:rPr>
          <w:lang w:eastAsia="en-NZ"/>
        </w:rPr>
        <w:t xml:space="preserve"> implementation of the post-1989 FRL</w:t>
      </w:r>
      <w:r w:rsidR="007233DC">
        <w:rPr>
          <w:lang w:eastAsia="en-NZ"/>
        </w:rPr>
        <w:t xml:space="preserve"> </w:t>
      </w:r>
      <w:r w:rsidR="000A001B">
        <w:rPr>
          <w:lang w:eastAsia="en-NZ"/>
        </w:rPr>
        <w:t>requires a number of issues to be resolved and alternative</w:t>
      </w:r>
      <w:r w:rsidR="008A3D41">
        <w:rPr>
          <w:lang w:eastAsia="en-NZ"/>
        </w:rPr>
        <w:t xml:space="preserve"> approaches are possible. These options are discussed in the following section.</w:t>
      </w:r>
    </w:p>
    <w:p w14:paraId="54A849B7" w14:textId="77777777" w:rsidR="000228E1" w:rsidRDefault="000228E1" w:rsidP="00A35F7A">
      <w:pPr>
        <w:spacing w:line="276" w:lineRule="auto"/>
        <w:rPr>
          <w:lang w:eastAsia="en-NZ"/>
        </w:rPr>
      </w:pPr>
    </w:p>
    <w:p w14:paraId="4231C295" w14:textId="739B662A" w:rsidR="00224156" w:rsidRPr="00A82069" w:rsidRDefault="00046491" w:rsidP="00046491">
      <w:pPr>
        <w:pStyle w:val="Heading2"/>
        <w:rPr>
          <w:lang w:eastAsia="en-NZ"/>
        </w:rPr>
      </w:pPr>
      <w:bookmarkStart w:id="6" w:name="_Toc178255279"/>
      <w:r>
        <w:rPr>
          <w:lang w:eastAsia="en-NZ"/>
        </w:rPr>
        <w:t>Assessing o</w:t>
      </w:r>
      <w:r w:rsidR="00C275A6" w:rsidRPr="00A82069">
        <w:rPr>
          <w:lang w:eastAsia="en-NZ"/>
        </w:rPr>
        <w:t xml:space="preserve">ptions for treatment of </w:t>
      </w:r>
      <w:r w:rsidR="00037A8A" w:rsidRPr="00A82069">
        <w:rPr>
          <w:lang w:eastAsia="en-NZ"/>
        </w:rPr>
        <w:t>pools and forest types within pre-1989 forests</w:t>
      </w:r>
      <w:bookmarkEnd w:id="6"/>
    </w:p>
    <w:p w14:paraId="29721E53" w14:textId="07CFF766" w:rsidR="005704EF" w:rsidRDefault="00745600" w:rsidP="005704EF">
      <w:pPr>
        <w:rPr>
          <w:rStyle w:val="Strong"/>
          <w:b w:val="0"/>
          <w:bCs w:val="0"/>
        </w:rPr>
      </w:pPr>
      <w:r>
        <w:rPr>
          <w:rStyle w:val="Strong"/>
          <w:b w:val="0"/>
          <w:bCs w:val="0"/>
        </w:rPr>
        <w:t xml:space="preserve">Averaging accounting, </w:t>
      </w:r>
      <w:r w:rsidR="00366D9F">
        <w:rPr>
          <w:rStyle w:val="Strong"/>
          <w:b w:val="0"/>
          <w:bCs w:val="0"/>
        </w:rPr>
        <w:t xml:space="preserve">in which </w:t>
      </w:r>
      <w:r>
        <w:rPr>
          <w:rStyle w:val="Strong"/>
          <w:b w:val="0"/>
          <w:bCs w:val="0"/>
        </w:rPr>
        <w:t>net emissions are accounted for only until the LTA</w:t>
      </w:r>
      <w:r w:rsidR="003C66C0">
        <w:rPr>
          <w:rStyle w:val="Strong"/>
          <w:b w:val="0"/>
          <w:bCs w:val="0"/>
        </w:rPr>
        <w:t xml:space="preserve"> </w:t>
      </w:r>
      <w:r w:rsidR="00A22FD0">
        <w:rPr>
          <w:rStyle w:val="Strong"/>
          <w:b w:val="0"/>
          <w:bCs w:val="0"/>
        </w:rPr>
        <w:t>stock</w:t>
      </w:r>
      <w:r>
        <w:rPr>
          <w:rStyle w:val="Strong"/>
          <w:b w:val="0"/>
          <w:bCs w:val="0"/>
        </w:rPr>
        <w:t xml:space="preserve"> is reached, </w:t>
      </w:r>
      <w:r w:rsidR="00366D9F">
        <w:rPr>
          <w:rStyle w:val="Strong"/>
          <w:b w:val="0"/>
          <w:bCs w:val="0"/>
        </w:rPr>
        <w:t>is said to offer several benefits:</w:t>
      </w:r>
    </w:p>
    <w:p w14:paraId="42A67AB8" w14:textId="2E1956C3" w:rsidR="003C3F4E" w:rsidRDefault="003C3F4E" w:rsidP="003C3F4E">
      <w:pPr>
        <w:pStyle w:val="ListParagraph"/>
        <w:numPr>
          <w:ilvl w:val="0"/>
          <w:numId w:val="16"/>
        </w:numPr>
        <w:rPr>
          <w:rStyle w:val="Strong"/>
          <w:b w:val="0"/>
          <w:bCs w:val="0"/>
        </w:rPr>
      </w:pPr>
      <w:r>
        <w:rPr>
          <w:rStyle w:val="Strong"/>
          <w:b w:val="0"/>
          <w:bCs w:val="0"/>
        </w:rPr>
        <w:t xml:space="preserve">Minimisation of fluctuations in forest sinks and reversals between sink and source, by only accounting for sinks up to the LTA age, with no harvest liability. </w:t>
      </w:r>
      <w:r w:rsidR="00523112">
        <w:rPr>
          <w:rStyle w:val="Strong"/>
          <w:b w:val="0"/>
          <w:bCs w:val="0"/>
        </w:rPr>
        <w:t>This a</w:t>
      </w:r>
      <w:r>
        <w:rPr>
          <w:rStyle w:val="Strong"/>
          <w:b w:val="0"/>
          <w:bCs w:val="0"/>
        </w:rPr>
        <w:t xml:space="preserve">llows easier communication to politicians, the public and </w:t>
      </w:r>
      <w:r w:rsidR="006E123B">
        <w:rPr>
          <w:rStyle w:val="Strong"/>
          <w:b w:val="0"/>
          <w:bCs w:val="0"/>
        </w:rPr>
        <w:t xml:space="preserve">the </w:t>
      </w:r>
      <w:r>
        <w:rPr>
          <w:rStyle w:val="Strong"/>
          <w:b w:val="0"/>
          <w:bCs w:val="0"/>
        </w:rPr>
        <w:t>international community of progress towards targets.</w:t>
      </w:r>
    </w:p>
    <w:p w14:paraId="2705CA5A" w14:textId="77777777" w:rsidR="00563C15" w:rsidRDefault="00563C15" w:rsidP="00563C15">
      <w:pPr>
        <w:pStyle w:val="ListParagraph"/>
        <w:numPr>
          <w:ilvl w:val="0"/>
          <w:numId w:val="16"/>
        </w:numPr>
        <w:rPr>
          <w:rStyle w:val="Strong"/>
          <w:b w:val="0"/>
          <w:bCs w:val="0"/>
        </w:rPr>
      </w:pPr>
      <w:r>
        <w:rPr>
          <w:rStyle w:val="Strong"/>
          <w:b w:val="0"/>
          <w:bCs w:val="0"/>
        </w:rPr>
        <w:t>Mitigation of criticism of the lack of permanence of positive stock changes in forests that count towards targets, because only sinks that will be maintained on average in perpetuity are included in accounting.</w:t>
      </w:r>
    </w:p>
    <w:p w14:paraId="24309CBD" w14:textId="7201D13A" w:rsidR="00563C15" w:rsidRDefault="00563C15" w:rsidP="00563C15">
      <w:pPr>
        <w:pStyle w:val="ListParagraph"/>
        <w:numPr>
          <w:ilvl w:val="0"/>
          <w:numId w:val="16"/>
        </w:numPr>
        <w:rPr>
          <w:rStyle w:val="Strong"/>
          <w:b w:val="0"/>
          <w:bCs w:val="0"/>
        </w:rPr>
      </w:pPr>
      <w:r>
        <w:rPr>
          <w:rStyle w:val="Strong"/>
          <w:b w:val="0"/>
          <w:bCs w:val="0"/>
        </w:rPr>
        <w:t xml:space="preserve">Ensuring ongoing environmental integrity through the use of a reference level, allowing the accounting quantity to be adjusted if </w:t>
      </w:r>
      <w:r w:rsidR="005B7E01" w:rsidRPr="00867C5A">
        <w:rPr>
          <w:rStyle w:val="Strong"/>
          <w:b w:val="0"/>
          <w:bCs w:val="0"/>
        </w:rPr>
        <w:t>the</w:t>
      </w:r>
      <w:r w:rsidR="005B7E01">
        <w:rPr>
          <w:rStyle w:val="Strong"/>
          <w:b w:val="0"/>
          <w:bCs w:val="0"/>
        </w:rPr>
        <w:t xml:space="preserve"> </w:t>
      </w:r>
      <w:r>
        <w:rPr>
          <w:rStyle w:val="Strong"/>
          <w:b w:val="0"/>
          <w:bCs w:val="0"/>
        </w:rPr>
        <w:t>actual LTA stock differs from the LTA stock initially assumed.</w:t>
      </w:r>
    </w:p>
    <w:p w14:paraId="0559F920" w14:textId="77777777" w:rsidR="00A82069" w:rsidRDefault="00A82069" w:rsidP="00C275A6">
      <w:pPr>
        <w:spacing w:line="276" w:lineRule="auto"/>
        <w:rPr>
          <w:rFonts w:cs="Arial"/>
        </w:rPr>
      </w:pPr>
    </w:p>
    <w:p w14:paraId="66846EDB" w14:textId="7AED97F4" w:rsidR="00C275A6" w:rsidRPr="00270C37" w:rsidRDefault="00F8688B" w:rsidP="00C275A6">
      <w:pPr>
        <w:spacing w:line="276" w:lineRule="auto"/>
        <w:rPr>
          <w:rFonts w:cs="Arial"/>
        </w:rPr>
      </w:pPr>
      <w:r w:rsidRPr="00270C37">
        <w:rPr>
          <w:rFonts w:cs="Arial"/>
        </w:rPr>
        <w:t xml:space="preserve">There are alternative </w:t>
      </w:r>
      <w:r w:rsidR="00046491">
        <w:rPr>
          <w:rFonts w:cs="Arial"/>
        </w:rPr>
        <w:t xml:space="preserve">accounting </w:t>
      </w:r>
      <w:r w:rsidRPr="00270C37">
        <w:rPr>
          <w:rFonts w:cs="Arial"/>
        </w:rPr>
        <w:t xml:space="preserve">options that could be </w:t>
      </w:r>
      <w:r w:rsidR="008065AE" w:rsidRPr="00270C37">
        <w:rPr>
          <w:rFonts w:cs="Arial"/>
        </w:rPr>
        <w:t>applied to the forest type</w:t>
      </w:r>
      <w:r w:rsidR="00DB2C61" w:rsidRPr="00270C37">
        <w:rPr>
          <w:rFonts w:cs="Arial"/>
        </w:rPr>
        <w:t xml:space="preserve">s </w:t>
      </w:r>
      <w:r w:rsidR="008065AE" w:rsidRPr="00270C37">
        <w:rPr>
          <w:rFonts w:cs="Arial"/>
        </w:rPr>
        <w:t>and pools within</w:t>
      </w:r>
      <w:r w:rsidR="00C275A6" w:rsidRPr="00270C37">
        <w:rPr>
          <w:rFonts w:cs="Arial"/>
        </w:rPr>
        <w:t xml:space="preserve"> post-1989 forests. </w:t>
      </w:r>
      <w:r w:rsidR="003E23C9">
        <w:rPr>
          <w:rFonts w:cs="Arial"/>
        </w:rPr>
        <w:t xml:space="preserve">Selection of </w:t>
      </w:r>
      <w:r w:rsidR="00046491">
        <w:rPr>
          <w:rFonts w:cs="Arial"/>
        </w:rPr>
        <w:t>o</w:t>
      </w:r>
      <w:r w:rsidR="00C275A6" w:rsidRPr="00270C37">
        <w:rPr>
          <w:rFonts w:cs="Arial"/>
        </w:rPr>
        <w:t xml:space="preserve">ptions should </w:t>
      </w:r>
      <w:r w:rsidR="003E23C9">
        <w:rPr>
          <w:rFonts w:cs="Arial"/>
        </w:rPr>
        <w:t>consider</w:t>
      </w:r>
      <w:r w:rsidR="00C275A6" w:rsidRPr="00270C37">
        <w:rPr>
          <w:rFonts w:cs="Arial"/>
        </w:rPr>
        <w:t>:</w:t>
      </w:r>
    </w:p>
    <w:p w14:paraId="6120A7E3" w14:textId="36C6A1CF" w:rsidR="00C1022D" w:rsidRDefault="00311430" w:rsidP="00C1022D">
      <w:pPr>
        <w:pStyle w:val="ListParagraph"/>
        <w:numPr>
          <w:ilvl w:val="0"/>
          <w:numId w:val="26"/>
        </w:numPr>
        <w:spacing w:line="276" w:lineRule="auto"/>
        <w:rPr>
          <w:rFonts w:cs="Arial"/>
        </w:rPr>
      </w:pPr>
      <w:r>
        <w:rPr>
          <w:rFonts w:cs="Arial"/>
        </w:rPr>
        <w:t>Their a</w:t>
      </w:r>
      <w:r w:rsidR="00C1022D" w:rsidRPr="00270C37">
        <w:rPr>
          <w:rFonts w:cs="Arial"/>
        </w:rPr>
        <w:t>bility to represent actual long-term net emissions</w:t>
      </w:r>
      <w:r w:rsidR="00C1022D">
        <w:rPr>
          <w:rFonts w:cs="Arial"/>
        </w:rPr>
        <w:t xml:space="preserve"> fairly and simply, and meet IPCC principles of transparency, accuracy, completeness, comparability, and consistency.</w:t>
      </w:r>
    </w:p>
    <w:p w14:paraId="019DC12C" w14:textId="06A461B7" w:rsidR="00C275A6" w:rsidRPr="00270C37" w:rsidRDefault="00311430" w:rsidP="002815E0">
      <w:pPr>
        <w:pStyle w:val="ListParagraph"/>
        <w:numPr>
          <w:ilvl w:val="0"/>
          <w:numId w:val="26"/>
        </w:numPr>
        <w:spacing w:line="276" w:lineRule="auto"/>
        <w:rPr>
          <w:rFonts w:cs="Arial"/>
        </w:rPr>
      </w:pPr>
      <w:r>
        <w:rPr>
          <w:rFonts w:cs="Arial"/>
        </w:rPr>
        <w:t>Their a</w:t>
      </w:r>
      <w:r w:rsidR="00C275A6" w:rsidRPr="00270C37">
        <w:rPr>
          <w:rFonts w:cs="Arial"/>
        </w:rPr>
        <w:t>bility to achieve the objectives of averaging accounting</w:t>
      </w:r>
      <w:r w:rsidR="003819A5">
        <w:rPr>
          <w:rFonts w:cs="Arial"/>
        </w:rPr>
        <w:t>, as listed above.</w:t>
      </w:r>
    </w:p>
    <w:p w14:paraId="0879F59B" w14:textId="51F84DA0" w:rsidR="00C275A6" w:rsidRPr="00270C37" w:rsidRDefault="00311430" w:rsidP="002815E0">
      <w:pPr>
        <w:pStyle w:val="ListParagraph"/>
        <w:numPr>
          <w:ilvl w:val="0"/>
          <w:numId w:val="26"/>
        </w:numPr>
        <w:spacing w:line="276" w:lineRule="auto"/>
        <w:rPr>
          <w:rFonts w:cs="Arial"/>
        </w:rPr>
      </w:pPr>
      <w:r>
        <w:rPr>
          <w:rFonts w:cs="Arial"/>
        </w:rPr>
        <w:t>The a</w:t>
      </w:r>
      <w:r w:rsidR="00C275A6" w:rsidRPr="00270C37">
        <w:rPr>
          <w:rFonts w:cs="Arial"/>
        </w:rPr>
        <w:t>vailability of appropriate and comparable data for both calculation of the LTA</w:t>
      </w:r>
      <w:r w:rsidR="00046491">
        <w:rPr>
          <w:rFonts w:cs="Arial"/>
        </w:rPr>
        <w:t xml:space="preserve"> and </w:t>
      </w:r>
      <w:r w:rsidR="00C275A6" w:rsidRPr="00270C37">
        <w:rPr>
          <w:rFonts w:cs="Arial"/>
        </w:rPr>
        <w:t>FRL and reporting against it.</w:t>
      </w:r>
    </w:p>
    <w:p w14:paraId="49CFF411" w14:textId="63C80A5A" w:rsidR="00C275A6" w:rsidRPr="00270C37" w:rsidRDefault="004103FF" w:rsidP="002815E0">
      <w:pPr>
        <w:pStyle w:val="ListParagraph"/>
        <w:numPr>
          <w:ilvl w:val="0"/>
          <w:numId w:val="26"/>
        </w:numPr>
        <w:spacing w:line="276" w:lineRule="auto"/>
        <w:rPr>
          <w:rFonts w:cs="Arial"/>
        </w:rPr>
      </w:pPr>
      <w:r>
        <w:rPr>
          <w:rFonts w:cs="Arial"/>
        </w:rPr>
        <w:t>The a</w:t>
      </w:r>
      <w:r w:rsidR="00C275A6" w:rsidRPr="00270C37">
        <w:rPr>
          <w:rFonts w:cs="Arial"/>
        </w:rPr>
        <w:t>bility of the LUCAS Calculation and Reporting Application (CRA) to make a like-for-like comparison between the FRL and actual net emissions.</w:t>
      </w:r>
    </w:p>
    <w:p w14:paraId="6300D18C" w14:textId="77777777" w:rsidR="00C275A6" w:rsidRDefault="00C275A6">
      <w:pPr>
        <w:rPr>
          <w:lang w:eastAsia="en-NZ"/>
        </w:rPr>
      </w:pPr>
    </w:p>
    <w:p w14:paraId="2D967934" w14:textId="03CD02A8" w:rsidR="00224156" w:rsidRDefault="00280424" w:rsidP="00224156">
      <w:pPr>
        <w:rPr>
          <w:rStyle w:val="Strong"/>
          <w:b w:val="0"/>
          <w:bCs w:val="0"/>
        </w:rPr>
      </w:pPr>
      <w:r>
        <w:rPr>
          <w:rStyle w:val="Strong"/>
          <w:b w:val="0"/>
          <w:bCs w:val="0"/>
        </w:rPr>
        <w:t xml:space="preserve">A </w:t>
      </w:r>
      <w:r w:rsidR="00682FF8">
        <w:rPr>
          <w:rStyle w:val="Strong"/>
          <w:b w:val="0"/>
          <w:bCs w:val="0"/>
        </w:rPr>
        <w:t xml:space="preserve">number of </w:t>
      </w:r>
      <w:r>
        <w:rPr>
          <w:rStyle w:val="Strong"/>
          <w:b w:val="0"/>
          <w:bCs w:val="0"/>
        </w:rPr>
        <w:t xml:space="preserve">post-1989 forest </w:t>
      </w:r>
      <w:r w:rsidR="00682FF8">
        <w:rPr>
          <w:rStyle w:val="Strong"/>
          <w:b w:val="0"/>
          <w:bCs w:val="0"/>
        </w:rPr>
        <w:t>components</w:t>
      </w:r>
      <w:r w:rsidR="00D96ABE">
        <w:rPr>
          <w:rStyle w:val="Strong"/>
          <w:b w:val="0"/>
          <w:bCs w:val="0"/>
        </w:rPr>
        <w:t xml:space="preserve"> and pools contribute to the accounting value and </w:t>
      </w:r>
      <w:r w:rsidR="00DD0561">
        <w:rPr>
          <w:rStyle w:val="Strong"/>
          <w:b w:val="0"/>
          <w:bCs w:val="0"/>
        </w:rPr>
        <w:t>options for their treatment</w:t>
      </w:r>
      <w:r w:rsidR="00C87C3A">
        <w:rPr>
          <w:rStyle w:val="Strong"/>
          <w:b w:val="0"/>
          <w:bCs w:val="0"/>
        </w:rPr>
        <w:t xml:space="preserve"> </w:t>
      </w:r>
      <w:r w:rsidR="00086D94">
        <w:rPr>
          <w:rStyle w:val="Strong"/>
          <w:b w:val="0"/>
          <w:bCs w:val="0"/>
        </w:rPr>
        <w:t xml:space="preserve">can </w:t>
      </w:r>
      <w:r w:rsidR="00224156">
        <w:rPr>
          <w:rStyle w:val="Strong"/>
          <w:b w:val="0"/>
          <w:bCs w:val="0"/>
        </w:rPr>
        <w:t xml:space="preserve">differ in </w:t>
      </w:r>
      <w:r w:rsidR="00D96ABE">
        <w:rPr>
          <w:rStyle w:val="Strong"/>
          <w:b w:val="0"/>
          <w:bCs w:val="0"/>
        </w:rPr>
        <w:t xml:space="preserve">terms of </w:t>
      </w:r>
      <w:r w:rsidR="00224156">
        <w:rPr>
          <w:rStyle w:val="Strong"/>
          <w:b w:val="0"/>
          <w:bCs w:val="0"/>
        </w:rPr>
        <w:t xml:space="preserve">the impact they have under stock change </w:t>
      </w:r>
      <w:r w:rsidR="00046491">
        <w:rPr>
          <w:rStyle w:val="Strong"/>
          <w:b w:val="0"/>
          <w:bCs w:val="0"/>
        </w:rPr>
        <w:t xml:space="preserve">and averaging </w:t>
      </w:r>
      <w:r w:rsidR="00224156">
        <w:rPr>
          <w:rStyle w:val="Strong"/>
          <w:b w:val="0"/>
          <w:bCs w:val="0"/>
        </w:rPr>
        <w:t>accounting.</w:t>
      </w:r>
      <w:r w:rsidR="00BB792E">
        <w:rPr>
          <w:rStyle w:val="Strong"/>
          <w:b w:val="0"/>
          <w:bCs w:val="0"/>
        </w:rPr>
        <w:t xml:space="preserve"> </w:t>
      </w:r>
      <w:r w:rsidR="00B96B8F">
        <w:rPr>
          <w:rStyle w:val="Strong"/>
          <w:b w:val="0"/>
          <w:bCs w:val="0"/>
        </w:rPr>
        <w:t xml:space="preserve">There are alternative </w:t>
      </w:r>
      <w:r w:rsidR="00336FA6">
        <w:rPr>
          <w:rStyle w:val="Strong"/>
          <w:b w:val="0"/>
          <w:bCs w:val="0"/>
        </w:rPr>
        <w:t xml:space="preserve">accounting </w:t>
      </w:r>
      <w:r w:rsidR="00B96B8F">
        <w:rPr>
          <w:rStyle w:val="Strong"/>
          <w:b w:val="0"/>
          <w:bCs w:val="0"/>
        </w:rPr>
        <w:t>options for the treatment of</w:t>
      </w:r>
      <w:r w:rsidR="00BB792E">
        <w:rPr>
          <w:rStyle w:val="Strong"/>
          <w:b w:val="0"/>
          <w:bCs w:val="0"/>
        </w:rPr>
        <w:t>:</w:t>
      </w:r>
    </w:p>
    <w:p w14:paraId="7171063C" w14:textId="5625C746" w:rsidR="00BB792E" w:rsidRDefault="00DD0561" w:rsidP="00586EFF">
      <w:pPr>
        <w:pStyle w:val="ListParagraph"/>
        <w:numPr>
          <w:ilvl w:val="0"/>
          <w:numId w:val="32"/>
        </w:numPr>
        <w:rPr>
          <w:rStyle w:val="Strong"/>
          <w:b w:val="0"/>
          <w:bCs w:val="0"/>
        </w:rPr>
      </w:pPr>
      <w:r>
        <w:rPr>
          <w:rStyle w:val="Strong"/>
          <w:b w:val="0"/>
          <w:bCs w:val="0"/>
        </w:rPr>
        <w:t>S</w:t>
      </w:r>
      <w:r w:rsidR="00EA225E">
        <w:rPr>
          <w:rStyle w:val="Strong"/>
          <w:b w:val="0"/>
          <w:bCs w:val="0"/>
        </w:rPr>
        <w:t xml:space="preserve">tock changes related to </w:t>
      </w:r>
      <w:r w:rsidR="00586EFF">
        <w:rPr>
          <w:rStyle w:val="Strong"/>
          <w:b w:val="0"/>
          <w:bCs w:val="0"/>
        </w:rPr>
        <w:t xml:space="preserve">carbon in the biomass and soil in </w:t>
      </w:r>
      <w:r w:rsidR="00EA225E">
        <w:rPr>
          <w:rStyle w:val="Strong"/>
          <w:b w:val="0"/>
          <w:bCs w:val="0"/>
        </w:rPr>
        <w:t>the pre-afforestation land use</w:t>
      </w:r>
      <w:r w:rsidR="00586EFF">
        <w:rPr>
          <w:rStyle w:val="Strong"/>
          <w:b w:val="0"/>
          <w:bCs w:val="0"/>
        </w:rPr>
        <w:t>.</w:t>
      </w:r>
    </w:p>
    <w:p w14:paraId="69644479" w14:textId="1125E85A" w:rsidR="00586EFF" w:rsidRDefault="00DD0561" w:rsidP="00586EFF">
      <w:pPr>
        <w:pStyle w:val="ListParagraph"/>
        <w:numPr>
          <w:ilvl w:val="0"/>
          <w:numId w:val="32"/>
        </w:numPr>
        <w:rPr>
          <w:rStyle w:val="Strong"/>
          <w:b w:val="0"/>
          <w:bCs w:val="0"/>
        </w:rPr>
      </w:pPr>
      <w:r>
        <w:rPr>
          <w:rStyle w:val="Strong"/>
          <w:b w:val="0"/>
          <w:bCs w:val="0"/>
        </w:rPr>
        <w:t>D</w:t>
      </w:r>
      <w:r w:rsidR="00C101F3">
        <w:rPr>
          <w:rStyle w:val="Strong"/>
          <w:b w:val="0"/>
          <w:bCs w:val="0"/>
        </w:rPr>
        <w:t>ifferent forest types, such as post-1989 natural forests, post-1989 rotational planted forests and post-1989 permanent planted forests.</w:t>
      </w:r>
    </w:p>
    <w:p w14:paraId="4DFBC427" w14:textId="4C1EBBC7" w:rsidR="00C101F3" w:rsidRDefault="00692C83" w:rsidP="00586EFF">
      <w:pPr>
        <w:pStyle w:val="ListParagraph"/>
        <w:numPr>
          <w:ilvl w:val="0"/>
          <w:numId w:val="32"/>
        </w:numPr>
        <w:rPr>
          <w:rStyle w:val="Strong"/>
          <w:b w:val="0"/>
          <w:bCs w:val="0"/>
        </w:rPr>
      </w:pPr>
      <w:r>
        <w:rPr>
          <w:rStyle w:val="Strong"/>
          <w:b w:val="0"/>
          <w:bCs w:val="0"/>
        </w:rPr>
        <w:t>Rotational forests of different ages relative to the LTA age</w:t>
      </w:r>
      <w:r w:rsidR="00A46890">
        <w:rPr>
          <w:rStyle w:val="Strong"/>
          <w:b w:val="0"/>
          <w:bCs w:val="0"/>
        </w:rPr>
        <w:t>, including forests harvested before the LTA age</w:t>
      </w:r>
      <w:r w:rsidR="00EB6D8A">
        <w:rPr>
          <w:rStyle w:val="Strong"/>
          <w:b w:val="0"/>
          <w:bCs w:val="0"/>
        </w:rPr>
        <w:t xml:space="preserve"> and</w:t>
      </w:r>
      <w:r w:rsidR="00A46890">
        <w:rPr>
          <w:rStyle w:val="Strong"/>
          <w:b w:val="0"/>
          <w:bCs w:val="0"/>
        </w:rPr>
        <w:t xml:space="preserve"> forests already older than the LTA age at the start of the compliance period</w:t>
      </w:r>
      <w:r w:rsidR="00EB6D8A">
        <w:rPr>
          <w:rStyle w:val="Strong"/>
          <w:b w:val="0"/>
          <w:bCs w:val="0"/>
        </w:rPr>
        <w:t>.</w:t>
      </w:r>
    </w:p>
    <w:p w14:paraId="108DBB4E" w14:textId="77777777" w:rsidR="00FC67E1" w:rsidRDefault="003E183F" w:rsidP="00FC67E1">
      <w:pPr>
        <w:pStyle w:val="ListParagraph"/>
        <w:numPr>
          <w:ilvl w:val="0"/>
          <w:numId w:val="32"/>
        </w:numPr>
        <w:rPr>
          <w:rStyle w:val="Strong"/>
          <w:b w:val="0"/>
          <w:bCs w:val="0"/>
        </w:rPr>
      </w:pPr>
      <w:r>
        <w:rPr>
          <w:rStyle w:val="Strong"/>
          <w:b w:val="0"/>
          <w:bCs w:val="0"/>
        </w:rPr>
        <w:t>Harvested wood products from harvesting activity in post-1989 forests.</w:t>
      </w:r>
    </w:p>
    <w:p w14:paraId="6E0AD2A3" w14:textId="77777777" w:rsidR="00FC67E1" w:rsidRDefault="00FC67E1" w:rsidP="00FC67E1">
      <w:pPr>
        <w:pStyle w:val="ListParagraph"/>
        <w:rPr>
          <w:rStyle w:val="Strong"/>
          <w:b w:val="0"/>
          <w:bCs w:val="0"/>
        </w:rPr>
      </w:pPr>
    </w:p>
    <w:p w14:paraId="21165CFB" w14:textId="16BD3640" w:rsidR="003E183F" w:rsidRPr="00FC67E1" w:rsidRDefault="003E183F" w:rsidP="00FC67E1">
      <w:pPr>
        <w:pStyle w:val="ListParagraph"/>
        <w:ind w:left="0"/>
        <w:rPr>
          <w:rStyle w:val="Strong"/>
          <w:b w:val="0"/>
          <w:bCs w:val="0"/>
        </w:rPr>
      </w:pPr>
      <w:r w:rsidRPr="00FC67E1">
        <w:rPr>
          <w:rStyle w:val="Strong"/>
          <w:b w:val="0"/>
          <w:bCs w:val="0"/>
        </w:rPr>
        <w:t xml:space="preserve">These </w:t>
      </w:r>
      <w:r w:rsidR="0005399E">
        <w:rPr>
          <w:rStyle w:val="Strong"/>
          <w:b w:val="0"/>
          <w:bCs w:val="0"/>
        </w:rPr>
        <w:t>options are described below.</w:t>
      </w:r>
      <w:r w:rsidRPr="00FC67E1">
        <w:rPr>
          <w:rStyle w:val="Strong"/>
          <w:b w:val="0"/>
          <w:bCs w:val="0"/>
        </w:rPr>
        <w:t xml:space="preserve"> </w:t>
      </w:r>
    </w:p>
    <w:p w14:paraId="00B48E7F" w14:textId="18AA69D5" w:rsidR="00EB6D8A" w:rsidRDefault="00EB6D8A">
      <w:pPr>
        <w:rPr>
          <w:rStyle w:val="Strong"/>
          <w:b w:val="0"/>
          <w:bCs w:val="0"/>
        </w:rPr>
      </w:pPr>
      <w:r>
        <w:rPr>
          <w:rStyle w:val="Strong"/>
          <w:b w:val="0"/>
          <w:bCs w:val="0"/>
        </w:rPr>
        <w:br w:type="page"/>
      </w:r>
    </w:p>
    <w:p w14:paraId="5CAAD7C9" w14:textId="77777777" w:rsidR="00224156" w:rsidRDefault="00224156" w:rsidP="00224156">
      <w:pPr>
        <w:rPr>
          <w:rStyle w:val="Strong"/>
          <w:b w:val="0"/>
          <w:bCs w:val="0"/>
        </w:rPr>
      </w:pPr>
    </w:p>
    <w:p w14:paraId="29CB4002" w14:textId="77777777" w:rsidR="00224156" w:rsidRPr="006B2CE4" w:rsidRDefault="00224156" w:rsidP="00224156">
      <w:pPr>
        <w:pStyle w:val="Heading3"/>
        <w:rPr>
          <w:rStyle w:val="Strong"/>
        </w:rPr>
      </w:pPr>
      <w:r w:rsidRPr="006B2CE4">
        <w:rPr>
          <w:rStyle w:val="Strong"/>
        </w:rPr>
        <w:t>Pre-afforestation biomass loss and soil carbon change options</w:t>
      </w:r>
    </w:p>
    <w:p w14:paraId="75634419" w14:textId="77777777" w:rsidR="00224156" w:rsidRPr="004C7E1D" w:rsidRDefault="00224156" w:rsidP="00224156">
      <w:pPr>
        <w:rPr>
          <w:rStyle w:val="Strong"/>
          <w:b w:val="0"/>
        </w:rPr>
      </w:pPr>
      <w:r>
        <w:rPr>
          <w:rStyle w:val="Strong"/>
          <w:b w:val="0"/>
        </w:rPr>
        <w:t>Options:</w:t>
      </w:r>
    </w:p>
    <w:p w14:paraId="7C386156" w14:textId="42E643A2" w:rsidR="00224156" w:rsidRDefault="00224156" w:rsidP="002815E0">
      <w:pPr>
        <w:pStyle w:val="ListParagraph"/>
        <w:numPr>
          <w:ilvl w:val="0"/>
          <w:numId w:val="18"/>
        </w:numPr>
        <w:rPr>
          <w:rStyle w:val="Strong"/>
          <w:b w:val="0"/>
          <w:bCs w:val="0"/>
        </w:rPr>
      </w:pPr>
      <w:r w:rsidRPr="00E617B5">
        <w:rPr>
          <w:rStyle w:val="Strong"/>
          <w:b w:val="0"/>
          <w:bCs w:val="0"/>
        </w:rPr>
        <w:t xml:space="preserve">Leave </w:t>
      </w:r>
      <w:r>
        <w:rPr>
          <w:rStyle w:val="Strong"/>
          <w:b w:val="0"/>
          <w:bCs w:val="0"/>
        </w:rPr>
        <w:t xml:space="preserve">both pre-afforestation biomass and soil carbon </w:t>
      </w:r>
      <w:r w:rsidRPr="00E617B5">
        <w:rPr>
          <w:rStyle w:val="Strong"/>
          <w:b w:val="0"/>
          <w:bCs w:val="0"/>
        </w:rPr>
        <w:t>out of LTA</w:t>
      </w:r>
      <w:r>
        <w:rPr>
          <w:rStyle w:val="Strong"/>
          <w:b w:val="0"/>
          <w:bCs w:val="0"/>
        </w:rPr>
        <w:t xml:space="preserve"> calculation. A</w:t>
      </w:r>
      <w:r w:rsidRPr="00E617B5">
        <w:rPr>
          <w:rStyle w:val="Strong"/>
          <w:b w:val="0"/>
          <w:bCs w:val="0"/>
        </w:rPr>
        <w:t xml:space="preserve">ccount for </w:t>
      </w:r>
      <w:r>
        <w:rPr>
          <w:rStyle w:val="Strong"/>
          <w:b w:val="0"/>
          <w:bCs w:val="0"/>
        </w:rPr>
        <w:t xml:space="preserve">biomass and soil carbon </w:t>
      </w:r>
      <w:r w:rsidRPr="00E617B5">
        <w:rPr>
          <w:rStyle w:val="Strong"/>
          <w:b w:val="0"/>
          <w:bCs w:val="0"/>
        </w:rPr>
        <w:t>emissions</w:t>
      </w:r>
      <w:r>
        <w:rPr>
          <w:rStyle w:val="Strong"/>
          <w:b w:val="0"/>
          <w:bCs w:val="0"/>
        </w:rPr>
        <w:t xml:space="preserve"> due to land use change</w:t>
      </w:r>
      <w:r w:rsidRPr="00E617B5">
        <w:rPr>
          <w:rStyle w:val="Strong"/>
          <w:b w:val="0"/>
          <w:bCs w:val="0"/>
        </w:rPr>
        <w:t xml:space="preserve"> as they occur following afforestation </w:t>
      </w:r>
      <w:r>
        <w:rPr>
          <w:rStyle w:val="Strong"/>
          <w:b w:val="0"/>
          <w:bCs w:val="0"/>
        </w:rPr>
        <w:t>(i.e. steady-state stock to steady</w:t>
      </w:r>
      <w:r w:rsidR="00A46CD7" w:rsidRPr="00867C5A">
        <w:rPr>
          <w:rStyle w:val="Strong"/>
          <w:b w:val="0"/>
          <w:bCs w:val="0"/>
        </w:rPr>
        <w:t>-</w:t>
      </w:r>
      <w:r>
        <w:rPr>
          <w:rStyle w:val="Strong"/>
          <w:b w:val="0"/>
          <w:bCs w:val="0"/>
        </w:rPr>
        <w:t xml:space="preserve">state stock, during the </w:t>
      </w:r>
      <w:r w:rsidRPr="00E617B5">
        <w:rPr>
          <w:rStyle w:val="Strong"/>
          <w:b w:val="0"/>
          <w:bCs w:val="0"/>
        </w:rPr>
        <w:t>first rotation only</w:t>
      </w:r>
      <w:r w:rsidR="0093562E">
        <w:rPr>
          <w:rStyle w:val="Strong"/>
          <w:b w:val="0"/>
          <w:bCs w:val="0"/>
        </w:rPr>
        <w:t xml:space="preserve"> if rotations are longer than 20 years</w:t>
      </w:r>
      <w:r w:rsidRPr="00E617B5">
        <w:rPr>
          <w:rStyle w:val="Strong"/>
          <w:b w:val="0"/>
          <w:bCs w:val="0"/>
        </w:rPr>
        <w:t>)</w:t>
      </w:r>
      <w:r>
        <w:rPr>
          <w:rStyle w:val="Strong"/>
          <w:b w:val="0"/>
          <w:bCs w:val="0"/>
        </w:rPr>
        <w:t>. The FRL would not include net emissions from this source; or</w:t>
      </w:r>
    </w:p>
    <w:p w14:paraId="19FB1834" w14:textId="636E3105" w:rsidR="00224156" w:rsidRPr="000C3D17" w:rsidRDefault="00224156" w:rsidP="002815E0">
      <w:pPr>
        <w:pStyle w:val="ListParagraph"/>
        <w:numPr>
          <w:ilvl w:val="0"/>
          <w:numId w:val="18"/>
        </w:numPr>
        <w:rPr>
          <w:rStyle w:val="Strong"/>
          <w:b w:val="0"/>
          <w:bCs w:val="0"/>
        </w:rPr>
      </w:pPr>
      <w:r>
        <w:rPr>
          <w:rStyle w:val="Strong"/>
          <w:b w:val="0"/>
          <w:bCs w:val="0"/>
        </w:rPr>
        <w:t>Include average biomass and/or soil carbon change in the LTA calculation, based on typical mix of pre-afforestation land uses. Account for biomass or soil carbon loss emissions as they occur following afforestation as above only if not included within the LTA. Changes in steady-state soil carbon values would be captured in a recalculation of the LTA rather than through the FRL.</w:t>
      </w:r>
    </w:p>
    <w:p w14:paraId="50DC5563" w14:textId="77777777" w:rsidR="00224156" w:rsidRDefault="00224156" w:rsidP="00224156">
      <w:pPr>
        <w:rPr>
          <w:rStyle w:val="Strong"/>
          <w:b w:val="0"/>
          <w:bCs w:val="0"/>
        </w:rPr>
      </w:pPr>
    </w:p>
    <w:p w14:paraId="7C0933A9" w14:textId="0875DA5C" w:rsidR="00CB1C54" w:rsidRDefault="00CB1C54" w:rsidP="00CB1C54">
      <w:pPr>
        <w:rPr>
          <w:rStyle w:val="Strong"/>
          <w:b w:val="0"/>
          <w:bCs w:val="0"/>
        </w:rPr>
      </w:pPr>
      <w:r>
        <w:rPr>
          <w:rStyle w:val="Strong"/>
          <w:b w:val="0"/>
          <w:bCs w:val="0"/>
        </w:rPr>
        <w:t xml:space="preserve">Pre-existing biomass is lost in the year of afforestation and soil carbon change is reported as an annual rate </w:t>
      </w:r>
      <w:r w:rsidR="00B34D74">
        <w:rPr>
          <w:rStyle w:val="Strong"/>
          <w:b w:val="0"/>
          <w:bCs w:val="0"/>
        </w:rPr>
        <w:t>for</w:t>
      </w:r>
      <w:r>
        <w:rPr>
          <w:rStyle w:val="Strong"/>
          <w:b w:val="0"/>
          <w:bCs w:val="0"/>
        </w:rPr>
        <w:t xml:space="preserve"> 20 years</w:t>
      </w:r>
      <w:r w:rsidR="00A672CC">
        <w:rPr>
          <w:rStyle w:val="Strong"/>
          <w:b w:val="0"/>
          <w:bCs w:val="0"/>
        </w:rPr>
        <w:t xml:space="preserve"> following land use change</w:t>
      </w:r>
      <w:r>
        <w:rPr>
          <w:rStyle w:val="Strong"/>
          <w:b w:val="0"/>
          <w:bCs w:val="0"/>
        </w:rPr>
        <w:t>. These two components are always a net emission</w:t>
      </w:r>
      <w:r>
        <w:rPr>
          <w:rStyle w:val="FootnoteReference"/>
        </w:rPr>
        <w:footnoteReference w:id="2"/>
      </w:r>
      <w:r>
        <w:rPr>
          <w:rStyle w:val="Strong"/>
          <w:b w:val="0"/>
          <w:bCs w:val="0"/>
        </w:rPr>
        <w:t>, are relatively small, and do not repeat with harvest cycles, so would not cause issues if stock change accounting is applied. Therefore, either of the options described above is acceptable.</w:t>
      </w:r>
    </w:p>
    <w:p w14:paraId="22DFE16A" w14:textId="77777777" w:rsidR="00224156" w:rsidRDefault="00224156" w:rsidP="00224156">
      <w:pPr>
        <w:rPr>
          <w:rStyle w:val="Strong"/>
          <w:b w:val="0"/>
          <w:bCs w:val="0"/>
        </w:rPr>
      </w:pPr>
    </w:p>
    <w:p w14:paraId="01D76F63" w14:textId="76755671" w:rsidR="00224156" w:rsidRDefault="00224156" w:rsidP="00224156">
      <w:pPr>
        <w:rPr>
          <w:rStyle w:val="Strong"/>
          <w:b w:val="0"/>
          <w:bCs w:val="0"/>
        </w:rPr>
      </w:pPr>
      <w:r>
        <w:rPr>
          <w:rStyle w:val="Strong"/>
          <w:b w:val="0"/>
          <w:bCs w:val="0"/>
        </w:rPr>
        <w:t xml:space="preserve">The second option </w:t>
      </w:r>
      <w:r w:rsidR="00C645AA">
        <w:rPr>
          <w:rStyle w:val="Strong"/>
          <w:b w:val="0"/>
          <w:bCs w:val="0"/>
        </w:rPr>
        <w:t xml:space="preserve">(b) </w:t>
      </w:r>
      <w:r>
        <w:rPr>
          <w:rStyle w:val="Strong"/>
          <w:b w:val="0"/>
          <w:bCs w:val="0"/>
        </w:rPr>
        <w:t xml:space="preserve">is </w:t>
      </w:r>
      <w:r w:rsidRPr="00976768">
        <w:rPr>
          <w:rStyle w:val="Strong"/>
          <w:b w:val="0"/>
          <w:bCs w:val="0"/>
        </w:rPr>
        <w:t>convenient for projection</w:t>
      </w:r>
      <w:r>
        <w:rPr>
          <w:rStyle w:val="Strong"/>
          <w:b w:val="0"/>
          <w:bCs w:val="0"/>
        </w:rPr>
        <w:t>s</w:t>
      </w:r>
      <w:r w:rsidR="005F5879">
        <w:rPr>
          <w:rStyle w:val="Strong"/>
          <w:b w:val="0"/>
          <w:bCs w:val="0"/>
        </w:rPr>
        <w:t xml:space="preserve">, in that it does not require projections of conversions from multiple land uses with unique soil carbon changes over time, since an average land use mix is assumed. The current LTA </w:t>
      </w:r>
      <w:r w:rsidR="00F05BCF">
        <w:rPr>
          <w:rStyle w:val="Strong"/>
          <w:b w:val="0"/>
          <w:bCs w:val="0"/>
        </w:rPr>
        <w:t>Calculator</w:t>
      </w:r>
      <w:r w:rsidR="00E169D1">
        <w:rPr>
          <w:rStyle w:val="Strong"/>
          <w:b w:val="0"/>
          <w:bCs w:val="0"/>
        </w:rPr>
        <w:t xml:space="preserve"> </w:t>
      </w:r>
      <w:r w:rsidR="00E169D1" w:rsidRPr="009B55C6">
        <w:rPr>
          <w:rStyle w:val="Strong"/>
          <w:b w:val="0"/>
          <w:bCs w:val="0"/>
        </w:rPr>
        <w:t xml:space="preserve">developed by Dovey </w:t>
      </w:r>
      <w:r w:rsidR="00E169D1" w:rsidRPr="009B55C6">
        <w:rPr>
          <w:lang w:eastAsia="en-NZ"/>
        </w:rPr>
        <w:t>and Wakelin (2024)</w:t>
      </w:r>
      <w:r w:rsidR="00E169D1">
        <w:rPr>
          <w:lang w:eastAsia="en-NZ"/>
        </w:rPr>
        <w:t xml:space="preserve"> </w:t>
      </w:r>
      <w:r w:rsidR="005F5879">
        <w:rPr>
          <w:rStyle w:val="Strong"/>
          <w:b w:val="0"/>
          <w:bCs w:val="0"/>
        </w:rPr>
        <w:t xml:space="preserve">allows the pre-afforestation land use mix to be determined by averaging over </w:t>
      </w:r>
      <w:r w:rsidR="005F5879" w:rsidRPr="009B55C6">
        <w:rPr>
          <w:rStyle w:val="Strong"/>
          <w:b w:val="0"/>
          <w:bCs w:val="0"/>
        </w:rPr>
        <w:t xml:space="preserve">a </w:t>
      </w:r>
      <w:r w:rsidR="002D2B58" w:rsidRPr="009B55C6">
        <w:rPr>
          <w:rStyle w:val="Strong"/>
          <w:b w:val="0"/>
          <w:bCs w:val="0"/>
        </w:rPr>
        <w:t>historic</w:t>
      </w:r>
      <w:r w:rsidR="002D2B58">
        <w:rPr>
          <w:rStyle w:val="Strong"/>
          <w:b w:val="0"/>
          <w:bCs w:val="0"/>
        </w:rPr>
        <w:t>, u</w:t>
      </w:r>
      <w:r w:rsidR="005F5879">
        <w:rPr>
          <w:rStyle w:val="Strong"/>
          <w:b w:val="0"/>
          <w:bCs w:val="0"/>
        </w:rPr>
        <w:t>ser-defined</w:t>
      </w:r>
      <w:r w:rsidR="00825CDB">
        <w:rPr>
          <w:rStyle w:val="Strong"/>
          <w:b w:val="0"/>
          <w:bCs w:val="0"/>
        </w:rPr>
        <w:t xml:space="preserve"> </w:t>
      </w:r>
      <w:r w:rsidR="002D2B58">
        <w:rPr>
          <w:rStyle w:val="Strong"/>
          <w:b w:val="0"/>
          <w:bCs w:val="0"/>
        </w:rPr>
        <w:t>t</w:t>
      </w:r>
      <w:r w:rsidR="005F5879">
        <w:rPr>
          <w:rStyle w:val="Strong"/>
          <w:b w:val="0"/>
          <w:bCs w:val="0"/>
        </w:rPr>
        <w:t xml:space="preserve">ime period. This can then be applied to calculate the average soil carbon change. </w:t>
      </w:r>
      <w:r>
        <w:rPr>
          <w:rStyle w:val="Strong"/>
          <w:b w:val="0"/>
          <w:bCs w:val="0"/>
        </w:rPr>
        <w:t xml:space="preserve">The </w:t>
      </w:r>
      <w:r w:rsidR="004F2741">
        <w:rPr>
          <w:rStyle w:val="Strong"/>
          <w:b w:val="0"/>
          <w:bCs w:val="0"/>
        </w:rPr>
        <w:t xml:space="preserve">first </w:t>
      </w:r>
      <w:r>
        <w:rPr>
          <w:rStyle w:val="Strong"/>
          <w:b w:val="0"/>
          <w:bCs w:val="0"/>
        </w:rPr>
        <w:t xml:space="preserve">option is </w:t>
      </w:r>
      <w:r w:rsidR="00F05BCF">
        <w:rPr>
          <w:rStyle w:val="Strong"/>
          <w:b w:val="0"/>
          <w:bCs w:val="0"/>
        </w:rPr>
        <w:t>the default within the LTA Calculator</w:t>
      </w:r>
      <w:r w:rsidR="00DE7626">
        <w:rPr>
          <w:rStyle w:val="Strong"/>
          <w:b w:val="0"/>
          <w:bCs w:val="0"/>
        </w:rPr>
        <w:t xml:space="preserve">. This ensures that </w:t>
      </w:r>
      <w:r w:rsidR="00F031CD">
        <w:rPr>
          <w:rStyle w:val="Strong"/>
          <w:b w:val="0"/>
          <w:bCs w:val="0"/>
        </w:rPr>
        <w:t xml:space="preserve">no credits or liabilities arise simply due to differences in </w:t>
      </w:r>
      <w:r w:rsidR="00F60FD1">
        <w:rPr>
          <w:rStyle w:val="Strong"/>
          <w:b w:val="0"/>
          <w:bCs w:val="0"/>
        </w:rPr>
        <w:t xml:space="preserve">the </w:t>
      </w:r>
      <w:r w:rsidR="00F031CD">
        <w:rPr>
          <w:rStyle w:val="Strong"/>
          <w:b w:val="0"/>
          <w:bCs w:val="0"/>
        </w:rPr>
        <w:t>assumed and actual pre-afforestation land use mix</w:t>
      </w:r>
      <w:r w:rsidR="00B874EB">
        <w:rPr>
          <w:rStyle w:val="Strong"/>
          <w:b w:val="0"/>
          <w:bCs w:val="0"/>
        </w:rPr>
        <w:t>.</w:t>
      </w:r>
      <w:r>
        <w:rPr>
          <w:rStyle w:val="Strong"/>
          <w:b w:val="0"/>
          <w:bCs w:val="0"/>
        </w:rPr>
        <w:t xml:space="preserve"> </w:t>
      </w:r>
      <w:r w:rsidR="00E25D30">
        <w:rPr>
          <w:rStyle w:val="Strong"/>
          <w:b w:val="0"/>
          <w:bCs w:val="0"/>
        </w:rPr>
        <w:t>Treatment of pre-afforestation biomass and soil carbon is then consistent</w:t>
      </w:r>
      <w:r w:rsidR="00AC20FB">
        <w:rPr>
          <w:rStyle w:val="Strong"/>
          <w:b w:val="0"/>
          <w:bCs w:val="0"/>
        </w:rPr>
        <w:t xml:space="preserve"> - </w:t>
      </w:r>
      <w:r w:rsidR="00BA6C18">
        <w:rPr>
          <w:rStyle w:val="Strong"/>
          <w:b w:val="0"/>
          <w:bCs w:val="0"/>
        </w:rPr>
        <w:t>both</w:t>
      </w:r>
      <w:r w:rsidR="000F5D7B" w:rsidRPr="000F5D7B">
        <w:rPr>
          <w:rStyle w:val="Strong"/>
          <w:b w:val="0"/>
          <w:bCs w:val="0"/>
        </w:rPr>
        <w:t xml:space="preserve"> must be accounted for under stock change accounting as an emission of biomass in the year of conversion</w:t>
      </w:r>
      <w:r w:rsidRPr="00A672CC">
        <w:rPr>
          <w:rStyle w:val="Strong"/>
          <w:b w:val="0"/>
          <w:bCs w:val="0"/>
        </w:rPr>
        <w:t>.</w:t>
      </w:r>
    </w:p>
    <w:p w14:paraId="40D8CE34" w14:textId="77777777" w:rsidR="00224156" w:rsidRDefault="00224156" w:rsidP="00224156">
      <w:pPr>
        <w:rPr>
          <w:rStyle w:val="Strong"/>
          <w:b w:val="0"/>
          <w:bCs w:val="0"/>
        </w:rPr>
      </w:pPr>
    </w:p>
    <w:p w14:paraId="586B854C" w14:textId="2E62A4BE" w:rsidR="00224156" w:rsidRDefault="00224156" w:rsidP="00224156">
      <w:pPr>
        <w:pStyle w:val="Heading3"/>
        <w:rPr>
          <w:rStyle w:val="Strong"/>
          <w:b/>
          <w:bCs w:val="0"/>
        </w:rPr>
      </w:pPr>
      <w:r>
        <w:rPr>
          <w:rStyle w:val="Strong"/>
          <w:bCs w:val="0"/>
          <w:iCs/>
        </w:rPr>
        <w:t>Post-1989 natural forest</w:t>
      </w:r>
      <w:r w:rsidRPr="00AD1D7C">
        <w:rPr>
          <w:rStyle w:val="Strong"/>
          <w:bCs w:val="0"/>
          <w:iCs/>
        </w:rPr>
        <w:t xml:space="preserve"> </w:t>
      </w:r>
      <w:r w:rsidR="00764A85">
        <w:rPr>
          <w:rStyle w:val="Strong"/>
          <w:bCs w:val="0"/>
          <w:iCs/>
        </w:rPr>
        <w:t xml:space="preserve">- </w:t>
      </w:r>
      <w:r w:rsidRPr="00AD1D7C">
        <w:rPr>
          <w:rStyle w:val="Strong"/>
          <w:bCs w:val="0"/>
          <w:iCs/>
        </w:rPr>
        <w:t>biomass (AGB, BGB, Dead wood and Litter pools)</w:t>
      </w:r>
    </w:p>
    <w:p w14:paraId="2FE58E60" w14:textId="77777777" w:rsidR="00224156" w:rsidRDefault="00224156" w:rsidP="00224156">
      <w:pPr>
        <w:rPr>
          <w:rStyle w:val="Strong"/>
          <w:b w:val="0"/>
          <w:bCs w:val="0"/>
        </w:rPr>
      </w:pPr>
      <w:r>
        <w:rPr>
          <w:rStyle w:val="Strong"/>
          <w:b w:val="0"/>
          <w:bCs w:val="0"/>
        </w:rPr>
        <w:t>Options:</w:t>
      </w:r>
    </w:p>
    <w:p w14:paraId="1493C395" w14:textId="45C11B0E" w:rsidR="00224156" w:rsidRDefault="00224156" w:rsidP="002815E0">
      <w:pPr>
        <w:pStyle w:val="ListParagraph"/>
        <w:numPr>
          <w:ilvl w:val="0"/>
          <w:numId w:val="19"/>
        </w:numPr>
        <w:rPr>
          <w:rStyle w:val="Strong"/>
          <w:b w:val="0"/>
          <w:bCs w:val="0"/>
        </w:rPr>
      </w:pPr>
      <w:r>
        <w:rPr>
          <w:rStyle w:val="Strong"/>
          <w:b w:val="0"/>
          <w:bCs w:val="0"/>
        </w:rPr>
        <w:t>S</w:t>
      </w:r>
      <w:r w:rsidRPr="00131693">
        <w:rPr>
          <w:rStyle w:val="Strong"/>
          <w:b w:val="0"/>
          <w:bCs w:val="0"/>
        </w:rPr>
        <w:t>tock change accounting in perpetuity</w:t>
      </w:r>
      <w:r w:rsidRPr="00C13502">
        <w:rPr>
          <w:rStyle w:val="Strong"/>
          <w:b w:val="0"/>
          <w:bCs w:val="0"/>
        </w:rPr>
        <w:t>;</w:t>
      </w:r>
      <w:r>
        <w:rPr>
          <w:rStyle w:val="Strong"/>
          <w:b w:val="0"/>
          <w:bCs w:val="0"/>
        </w:rPr>
        <w:t xml:space="preserve"> </w:t>
      </w:r>
    </w:p>
    <w:p w14:paraId="732F8F9B" w14:textId="071B7163" w:rsidR="003A0049" w:rsidRDefault="00B9052A" w:rsidP="002815E0">
      <w:pPr>
        <w:pStyle w:val="ListParagraph"/>
        <w:numPr>
          <w:ilvl w:val="0"/>
          <w:numId w:val="19"/>
        </w:numPr>
        <w:rPr>
          <w:rStyle w:val="Strong"/>
          <w:b w:val="0"/>
          <w:bCs w:val="0"/>
        </w:rPr>
      </w:pPr>
      <w:r>
        <w:rPr>
          <w:rStyle w:val="Strong"/>
          <w:b w:val="0"/>
          <w:bCs w:val="0"/>
        </w:rPr>
        <w:t xml:space="preserve">Calculate </w:t>
      </w:r>
      <w:r w:rsidR="00F14CC2">
        <w:rPr>
          <w:rStyle w:val="Strong"/>
          <w:b w:val="0"/>
          <w:bCs w:val="0"/>
        </w:rPr>
        <w:t xml:space="preserve">a national LTA stock and LTA age based on areas expected to be </w:t>
      </w:r>
      <w:r w:rsidR="00D121E6">
        <w:rPr>
          <w:rStyle w:val="Strong"/>
          <w:b w:val="0"/>
          <w:bCs w:val="0"/>
        </w:rPr>
        <w:t xml:space="preserve">converted to post-1989 natural forest, the </w:t>
      </w:r>
      <w:r w:rsidR="00782C5E">
        <w:rPr>
          <w:rStyle w:val="Strong"/>
          <w:b w:val="0"/>
          <w:bCs w:val="0"/>
        </w:rPr>
        <w:t xml:space="preserve">likely succession processes and </w:t>
      </w:r>
      <w:r w:rsidR="001E07B9">
        <w:rPr>
          <w:rStyle w:val="Strong"/>
          <w:b w:val="0"/>
          <w:bCs w:val="0"/>
        </w:rPr>
        <w:t xml:space="preserve">their </w:t>
      </w:r>
      <w:r w:rsidR="00782C5E">
        <w:rPr>
          <w:rStyle w:val="Strong"/>
          <w:b w:val="0"/>
          <w:bCs w:val="0"/>
        </w:rPr>
        <w:t>success</w:t>
      </w:r>
      <w:r w:rsidR="009C6831">
        <w:rPr>
          <w:rStyle w:val="Strong"/>
          <w:b w:val="0"/>
          <w:bCs w:val="0"/>
        </w:rPr>
        <w:t xml:space="preserve"> in over-coming barriers,</w:t>
      </w:r>
      <w:r w:rsidR="00782C5E">
        <w:rPr>
          <w:rStyle w:val="Strong"/>
          <w:b w:val="0"/>
          <w:bCs w:val="0"/>
        </w:rPr>
        <w:t xml:space="preserve"> </w:t>
      </w:r>
      <w:r w:rsidR="00636E42">
        <w:rPr>
          <w:rStyle w:val="Strong"/>
          <w:b w:val="0"/>
          <w:bCs w:val="0"/>
        </w:rPr>
        <w:t>the frequency and intensity of natural disturbance</w:t>
      </w:r>
      <w:r w:rsidR="00CD3379">
        <w:rPr>
          <w:rStyle w:val="Strong"/>
          <w:b w:val="0"/>
          <w:bCs w:val="0"/>
        </w:rPr>
        <w:t xml:space="preserve">, </w:t>
      </w:r>
      <w:r w:rsidR="00782C5E">
        <w:rPr>
          <w:rStyle w:val="Strong"/>
          <w:b w:val="0"/>
          <w:bCs w:val="0"/>
        </w:rPr>
        <w:t>and the consequent develop</w:t>
      </w:r>
      <w:r w:rsidR="003A0049">
        <w:rPr>
          <w:rStyle w:val="Strong"/>
          <w:b w:val="0"/>
          <w:bCs w:val="0"/>
        </w:rPr>
        <w:t>ment of carbon stocks over the long term</w:t>
      </w:r>
      <w:r w:rsidR="005065C4" w:rsidRPr="00C13502">
        <w:rPr>
          <w:rStyle w:val="Strong"/>
          <w:b w:val="0"/>
          <w:bCs w:val="0"/>
        </w:rPr>
        <w:t>; or</w:t>
      </w:r>
    </w:p>
    <w:p w14:paraId="03C2E248" w14:textId="00C2E5B0" w:rsidR="00224156" w:rsidRDefault="00224156" w:rsidP="002815E0">
      <w:pPr>
        <w:pStyle w:val="ListParagraph"/>
        <w:numPr>
          <w:ilvl w:val="0"/>
          <w:numId w:val="19"/>
        </w:numPr>
        <w:rPr>
          <w:rStyle w:val="Strong"/>
          <w:b w:val="0"/>
          <w:bCs w:val="0"/>
        </w:rPr>
      </w:pPr>
      <w:r>
        <w:rPr>
          <w:rStyle w:val="Strong"/>
          <w:b w:val="0"/>
          <w:bCs w:val="0"/>
        </w:rPr>
        <w:t xml:space="preserve">Assume </w:t>
      </w:r>
      <w:r w:rsidR="009C6831">
        <w:rPr>
          <w:rStyle w:val="Strong"/>
          <w:b w:val="0"/>
          <w:bCs w:val="0"/>
        </w:rPr>
        <w:t xml:space="preserve">an </w:t>
      </w:r>
      <w:r>
        <w:rPr>
          <w:rStyle w:val="Strong"/>
          <w:b w:val="0"/>
          <w:bCs w:val="0"/>
        </w:rPr>
        <w:t>interim LTA age &gt; 40, allowing stock change accounting throughout the compliance period.</w:t>
      </w:r>
    </w:p>
    <w:p w14:paraId="666F8BA4" w14:textId="77777777" w:rsidR="00224156" w:rsidRDefault="00224156" w:rsidP="00224156">
      <w:pPr>
        <w:rPr>
          <w:rStyle w:val="Strong"/>
          <w:b w:val="0"/>
          <w:bCs w:val="0"/>
        </w:rPr>
      </w:pPr>
    </w:p>
    <w:p w14:paraId="604D0837" w14:textId="47B25946" w:rsidR="00224156" w:rsidRDefault="00224156" w:rsidP="00224156">
      <w:pPr>
        <w:rPr>
          <w:rStyle w:val="Strong"/>
          <w:b w:val="0"/>
          <w:bCs w:val="0"/>
        </w:rPr>
      </w:pPr>
      <w:r>
        <w:rPr>
          <w:rStyle w:val="Strong"/>
          <w:b w:val="0"/>
          <w:bCs w:val="0"/>
        </w:rPr>
        <w:t xml:space="preserve">Management of most naturally regenerating indigenous forest would not be expected to involve clearfell harvesting, so the benefits of averaging accounting </w:t>
      </w:r>
      <w:r w:rsidR="000F4E17">
        <w:rPr>
          <w:rStyle w:val="Strong"/>
          <w:b w:val="0"/>
          <w:bCs w:val="0"/>
        </w:rPr>
        <w:t xml:space="preserve">in terms of reducing fluctuations due to harvest cycles </w:t>
      </w:r>
      <w:r>
        <w:rPr>
          <w:rStyle w:val="Strong"/>
          <w:b w:val="0"/>
          <w:bCs w:val="0"/>
        </w:rPr>
        <w:t>are reduced</w:t>
      </w:r>
      <w:r w:rsidRPr="00FF574F">
        <w:rPr>
          <w:rStyle w:val="Strong"/>
          <w:b w:val="0"/>
          <w:bCs w:val="0"/>
        </w:rPr>
        <w:t>.</w:t>
      </w:r>
      <w:r>
        <w:rPr>
          <w:rStyle w:val="Strong"/>
          <w:b w:val="0"/>
          <w:bCs w:val="0"/>
        </w:rPr>
        <w:t xml:space="preserve"> Fluctuations in stocks would still occur naturally, though this is difficult to model so assessing the LTA stock and age is not straightforward. </w:t>
      </w:r>
      <w:r w:rsidR="00CD3379">
        <w:rPr>
          <w:rStyle w:val="Strong"/>
          <w:b w:val="0"/>
          <w:bCs w:val="0"/>
        </w:rPr>
        <w:t>All three</w:t>
      </w:r>
      <w:r>
        <w:rPr>
          <w:rStyle w:val="Strong"/>
          <w:b w:val="0"/>
          <w:bCs w:val="0"/>
        </w:rPr>
        <w:t xml:space="preserve"> options are </w:t>
      </w:r>
      <w:r w:rsidR="00CD3379">
        <w:rPr>
          <w:rStyle w:val="Strong"/>
          <w:b w:val="0"/>
          <w:bCs w:val="0"/>
        </w:rPr>
        <w:t xml:space="preserve">likely to be </w:t>
      </w:r>
      <w:r>
        <w:rPr>
          <w:rStyle w:val="Strong"/>
          <w:b w:val="0"/>
          <w:bCs w:val="0"/>
        </w:rPr>
        <w:t>equivalent at least until the end of the 2021-2030 compliance period</w:t>
      </w:r>
      <w:r w:rsidR="00653331">
        <w:rPr>
          <w:rStyle w:val="Strong"/>
          <w:b w:val="0"/>
          <w:bCs w:val="0"/>
        </w:rPr>
        <w:t>,</w:t>
      </w:r>
      <w:r>
        <w:rPr>
          <w:rStyle w:val="Strong"/>
          <w:b w:val="0"/>
          <w:bCs w:val="0"/>
        </w:rPr>
        <w:t xml:space="preserve"> given the low sequestration rate reflected in the current post-1989 natural forest carbon yield table.</w:t>
      </w:r>
      <w:r w:rsidR="00A52F69">
        <w:rPr>
          <w:rStyle w:val="Strong"/>
          <w:b w:val="0"/>
          <w:bCs w:val="0"/>
        </w:rPr>
        <w:t xml:space="preserve"> This is described further in the Methods section.</w:t>
      </w:r>
    </w:p>
    <w:p w14:paraId="71721047" w14:textId="77777777" w:rsidR="00270C37" w:rsidRDefault="00270C37" w:rsidP="00270C37">
      <w:pPr>
        <w:rPr>
          <w:rStyle w:val="Strong"/>
          <w:b w:val="0"/>
          <w:bCs w:val="0"/>
        </w:rPr>
      </w:pPr>
    </w:p>
    <w:p w14:paraId="782AACEA" w14:textId="5F13393F" w:rsidR="00224156" w:rsidRPr="00112A7A" w:rsidRDefault="00224156" w:rsidP="00224156">
      <w:pPr>
        <w:pStyle w:val="Heading3"/>
        <w:rPr>
          <w:rStyle w:val="Strong"/>
        </w:rPr>
      </w:pPr>
      <w:r w:rsidRPr="00112A7A">
        <w:rPr>
          <w:rStyle w:val="Strong"/>
        </w:rPr>
        <w:t xml:space="preserve">Post-1989 rotational forest </w:t>
      </w:r>
      <w:r w:rsidRPr="00375C1B">
        <w:rPr>
          <w:rStyle w:val="Strong"/>
          <w:u w:val="single"/>
        </w:rPr>
        <w:t>below</w:t>
      </w:r>
      <w:r w:rsidRPr="00112A7A">
        <w:rPr>
          <w:rStyle w:val="Strong"/>
        </w:rPr>
        <w:t xml:space="preserve"> the LTA </w:t>
      </w:r>
      <w:r w:rsidR="00A2036D">
        <w:rPr>
          <w:rStyle w:val="Strong"/>
        </w:rPr>
        <w:t>in 202</w:t>
      </w:r>
      <w:r w:rsidR="002870E0">
        <w:rPr>
          <w:rStyle w:val="Strong"/>
        </w:rPr>
        <w:t>1</w:t>
      </w:r>
      <w:r w:rsidR="00A2036D">
        <w:rPr>
          <w:rStyle w:val="Strong"/>
        </w:rPr>
        <w:t xml:space="preserve"> - </w:t>
      </w:r>
      <w:r w:rsidRPr="00112A7A">
        <w:rPr>
          <w:rStyle w:val="Strong"/>
        </w:rPr>
        <w:t>biomass (AGB, BGB, Dead wood and Litter pools)</w:t>
      </w:r>
    </w:p>
    <w:p w14:paraId="18387CF4" w14:textId="77777777" w:rsidR="00224156" w:rsidRPr="00112A7A" w:rsidRDefault="00224156" w:rsidP="00224156"/>
    <w:p w14:paraId="4A1E5E81" w14:textId="429FF8A7" w:rsidR="00224156" w:rsidRPr="002013A0" w:rsidRDefault="00224156" w:rsidP="002013A0">
      <w:pPr>
        <w:rPr>
          <w:rStyle w:val="Strong"/>
          <w:b w:val="0"/>
          <w:bCs w:val="0"/>
        </w:rPr>
      </w:pPr>
      <w:r w:rsidRPr="002013A0">
        <w:rPr>
          <w:rStyle w:val="Strong"/>
          <w:b w:val="0"/>
          <w:bCs w:val="0"/>
        </w:rPr>
        <w:t xml:space="preserve">In rotational forests these pools fluctuate with the harvest cycle and are the main cause of the issues that averaging accounting seeks to overcome. Applying averaging accounting to rotational forests below the LTA age in 2021 would eliminate these cycles. </w:t>
      </w:r>
      <w:r w:rsidR="00493116">
        <w:rPr>
          <w:rStyle w:val="Strong"/>
          <w:b w:val="0"/>
          <w:bCs w:val="0"/>
        </w:rPr>
        <w:t xml:space="preserve">Two cases </w:t>
      </w:r>
      <w:r w:rsidR="00B83E54">
        <w:rPr>
          <w:rStyle w:val="Strong"/>
          <w:b w:val="0"/>
          <w:bCs w:val="0"/>
        </w:rPr>
        <w:t xml:space="preserve">for forest below the LTA in 2021 </w:t>
      </w:r>
      <w:r w:rsidR="009306A8">
        <w:rPr>
          <w:rStyle w:val="Strong"/>
          <w:b w:val="0"/>
          <w:bCs w:val="0"/>
        </w:rPr>
        <w:t>can occur:</w:t>
      </w:r>
    </w:p>
    <w:p w14:paraId="0A1C47BE" w14:textId="77777777" w:rsidR="00224156" w:rsidRDefault="00224156" w:rsidP="00224156">
      <w:pPr>
        <w:rPr>
          <w:rStyle w:val="Strong"/>
          <w:b w:val="0"/>
          <w:bCs w:val="0"/>
        </w:rPr>
      </w:pPr>
    </w:p>
    <w:p w14:paraId="66791148" w14:textId="7A2EBB66" w:rsidR="00E40792" w:rsidRDefault="00E40792" w:rsidP="002815E0">
      <w:pPr>
        <w:pStyle w:val="ListParagraph"/>
        <w:numPr>
          <w:ilvl w:val="0"/>
          <w:numId w:val="29"/>
        </w:numPr>
        <w:rPr>
          <w:rStyle w:val="Strong"/>
          <w:b w:val="0"/>
          <w:bCs w:val="0"/>
        </w:rPr>
      </w:pPr>
      <w:r>
        <w:rPr>
          <w:rStyle w:val="Strong"/>
          <w:b w:val="0"/>
          <w:bCs w:val="0"/>
        </w:rPr>
        <w:t xml:space="preserve">Forests below the LTA </w:t>
      </w:r>
      <w:r w:rsidR="00FD0C97">
        <w:rPr>
          <w:rStyle w:val="Strong"/>
          <w:b w:val="0"/>
          <w:bCs w:val="0"/>
        </w:rPr>
        <w:t xml:space="preserve">in 2021 </w:t>
      </w:r>
      <w:r>
        <w:rPr>
          <w:rStyle w:val="Strong"/>
          <w:b w:val="0"/>
          <w:bCs w:val="0"/>
        </w:rPr>
        <w:t>and harvested after the LTA</w:t>
      </w:r>
      <w:r w:rsidR="00BF6A4C">
        <w:rPr>
          <w:rStyle w:val="Strong"/>
          <w:b w:val="0"/>
          <w:bCs w:val="0"/>
        </w:rPr>
        <w:t xml:space="preserve"> age</w:t>
      </w:r>
    </w:p>
    <w:p w14:paraId="133E77D8" w14:textId="77777777" w:rsidR="00E40792" w:rsidRDefault="00E40792" w:rsidP="00224156">
      <w:pPr>
        <w:rPr>
          <w:rStyle w:val="Strong"/>
          <w:b w:val="0"/>
          <w:bCs w:val="0"/>
        </w:rPr>
      </w:pPr>
    </w:p>
    <w:p w14:paraId="79F9056F" w14:textId="3FAD5ED7" w:rsidR="00224156" w:rsidRDefault="007B4613" w:rsidP="00224156">
      <w:pPr>
        <w:rPr>
          <w:rStyle w:val="Strong"/>
          <w:b w:val="0"/>
          <w:bCs w:val="0"/>
        </w:rPr>
      </w:pPr>
      <w:r>
        <w:rPr>
          <w:rStyle w:val="Strong"/>
          <w:b w:val="0"/>
          <w:bCs w:val="0"/>
        </w:rPr>
        <w:t xml:space="preserve">This is the usual case expected under averaging accounting. </w:t>
      </w:r>
      <w:r w:rsidR="00DA6A2D">
        <w:rPr>
          <w:rStyle w:val="Strong"/>
          <w:b w:val="0"/>
          <w:bCs w:val="0"/>
        </w:rPr>
        <w:t xml:space="preserve">These forests are accounted for under stock change accounting up to the LTA age. </w:t>
      </w:r>
      <w:r w:rsidR="00224156">
        <w:rPr>
          <w:rStyle w:val="Strong"/>
          <w:b w:val="0"/>
          <w:bCs w:val="0"/>
        </w:rPr>
        <w:t xml:space="preserve">Business-as-usual net emissions beyond the LTA age are </w:t>
      </w:r>
      <w:r w:rsidR="00243EEB">
        <w:rPr>
          <w:rStyle w:val="Strong"/>
          <w:b w:val="0"/>
          <w:bCs w:val="0"/>
        </w:rPr>
        <w:t>then included in a post-1989 forest FRL</w:t>
      </w:r>
      <w:r w:rsidR="00224156">
        <w:rPr>
          <w:rStyle w:val="Strong"/>
          <w:b w:val="0"/>
          <w:bCs w:val="0"/>
        </w:rPr>
        <w:t xml:space="preserve">. </w:t>
      </w:r>
      <w:r w:rsidR="00565B86">
        <w:rPr>
          <w:rStyle w:val="Strong"/>
          <w:b w:val="0"/>
          <w:bCs w:val="0"/>
        </w:rPr>
        <w:br/>
      </w:r>
      <w:r w:rsidR="00224156">
        <w:rPr>
          <w:rStyle w:val="Strong"/>
          <w:b w:val="0"/>
          <w:bCs w:val="0"/>
        </w:rPr>
        <w:t>Options for this are:</w:t>
      </w:r>
    </w:p>
    <w:p w14:paraId="6152631E" w14:textId="13807C9D" w:rsidR="00224156" w:rsidRDefault="00224156" w:rsidP="002815E0">
      <w:pPr>
        <w:pStyle w:val="ListParagraph"/>
        <w:numPr>
          <w:ilvl w:val="0"/>
          <w:numId w:val="22"/>
        </w:numPr>
        <w:rPr>
          <w:rStyle w:val="Strong"/>
          <w:b w:val="0"/>
          <w:bCs w:val="0"/>
        </w:rPr>
      </w:pPr>
      <w:r>
        <w:rPr>
          <w:rStyle w:val="Strong"/>
          <w:b w:val="0"/>
          <w:bCs w:val="0"/>
        </w:rPr>
        <w:t xml:space="preserve">Model </w:t>
      </w:r>
      <w:r w:rsidR="00F12B54">
        <w:rPr>
          <w:rStyle w:val="Strong"/>
          <w:b w:val="0"/>
          <w:bCs w:val="0"/>
        </w:rPr>
        <w:t xml:space="preserve">post-LTA </w:t>
      </w:r>
      <w:r>
        <w:rPr>
          <w:rStyle w:val="Strong"/>
          <w:b w:val="0"/>
          <w:bCs w:val="0"/>
        </w:rPr>
        <w:t>stock changes to a single weighted average clearfell age (c</w:t>
      </w:r>
      <w:r w:rsidR="004E53E8">
        <w:rPr>
          <w:rStyle w:val="Strong"/>
          <w:b w:val="0"/>
          <w:bCs w:val="0"/>
        </w:rPr>
        <w:t>urrently c</w:t>
      </w:r>
      <w:r w:rsidR="000A736E">
        <w:rPr>
          <w:rStyle w:val="Strong"/>
          <w:b w:val="0"/>
          <w:bCs w:val="0"/>
        </w:rPr>
        <w:t xml:space="preserve">alculated in the LTA Calculator </w:t>
      </w:r>
      <w:r w:rsidR="005E4A46">
        <w:rPr>
          <w:rStyle w:val="Strong"/>
          <w:b w:val="0"/>
          <w:bCs w:val="0"/>
        </w:rPr>
        <w:t xml:space="preserve">(Dovey </w:t>
      </w:r>
      <w:r w:rsidR="00581294">
        <w:rPr>
          <w:rStyle w:val="Strong"/>
          <w:b w:val="0"/>
          <w:bCs w:val="0"/>
        </w:rPr>
        <w:t xml:space="preserve">&amp; Wakelin, 2024) </w:t>
      </w:r>
      <w:r w:rsidR="000A736E">
        <w:rPr>
          <w:rStyle w:val="Strong"/>
          <w:b w:val="0"/>
          <w:bCs w:val="0"/>
        </w:rPr>
        <w:t xml:space="preserve">as a species-weighted average of </w:t>
      </w:r>
      <w:r>
        <w:rPr>
          <w:rStyle w:val="Strong"/>
          <w:b w:val="0"/>
          <w:bCs w:val="0"/>
        </w:rPr>
        <w:t>29</w:t>
      </w:r>
      <w:r w:rsidR="004E53E8">
        <w:rPr>
          <w:rStyle w:val="Strong"/>
          <w:b w:val="0"/>
          <w:bCs w:val="0"/>
        </w:rPr>
        <w:t xml:space="preserve"> years</w:t>
      </w:r>
      <w:r>
        <w:rPr>
          <w:rStyle w:val="Strong"/>
          <w:b w:val="0"/>
          <w:bCs w:val="0"/>
        </w:rPr>
        <w:t xml:space="preserve">); or </w:t>
      </w:r>
    </w:p>
    <w:p w14:paraId="30B1500A" w14:textId="30536264" w:rsidR="00224156" w:rsidRDefault="00224156" w:rsidP="002815E0">
      <w:pPr>
        <w:pStyle w:val="ListParagraph"/>
        <w:numPr>
          <w:ilvl w:val="0"/>
          <w:numId w:val="22"/>
        </w:numPr>
        <w:rPr>
          <w:rStyle w:val="Strong"/>
          <w:b w:val="0"/>
          <w:bCs w:val="0"/>
        </w:rPr>
      </w:pPr>
      <w:r>
        <w:rPr>
          <w:rStyle w:val="Strong"/>
          <w:b w:val="0"/>
          <w:bCs w:val="0"/>
        </w:rPr>
        <w:t xml:space="preserve">Model </w:t>
      </w:r>
      <w:r w:rsidR="00F12B54">
        <w:rPr>
          <w:rStyle w:val="Strong"/>
          <w:b w:val="0"/>
          <w:bCs w:val="0"/>
        </w:rPr>
        <w:t xml:space="preserve">post-LTA </w:t>
      </w:r>
      <w:r>
        <w:rPr>
          <w:rStyle w:val="Strong"/>
          <w:b w:val="0"/>
          <w:bCs w:val="0"/>
        </w:rPr>
        <w:t>stock change to a projected range of rotation ages based on the destocking age profile used in the 2020 inventory year.</w:t>
      </w:r>
    </w:p>
    <w:p w14:paraId="1D5856D1" w14:textId="77777777" w:rsidR="00224156" w:rsidRDefault="00224156" w:rsidP="00224156">
      <w:pPr>
        <w:rPr>
          <w:rStyle w:val="Strong"/>
          <w:b w:val="0"/>
          <w:bCs w:val="0"/>
        </w:rPr>
      </w:pPr>
    </w:p>
    <w:p w14:paraId="610758D4" w14:textId="4CC9D31F" w:rsidR="00224156" w:rsidRDefault="00C16CA6" w:rsidP="00224156">
      <w:pPr>
        <w:rPr>
          <w:rStyle w:val="Strong"/>
          <w:b w:val="0"/>
          <w:bCs w:val="0"/>
        </w:rPr>
      </w:pPr>
      <w:r>
        <w:rPr>
          <w:rStyle w:val="Strong"/>
          <w:b w:val="0"/>
          <w:bCs w:val="0"/>
        </w:rPr>
        <w:t>However, i</w:t>
      </w:r>
      <w:r w:rsidR="00224156">
        <w:rPr>
          <w:rStyle w:val="Strong"/>
          <w:b w:val="0"/>
          <w:bCs w:val="0"/>
        </w:rPr>
        <w:t xml:space="preserve">t is not clear that either would correctly balance accounting at any arbitrary </w:t>
      </w:r>
      <w:r w:rsidR="00F12B54">
        <w:rPr>
          <w:rStyle w:val="Strong"/>
          <w:b w:val="0"/>
          <w:bCs w:val="0"/>
        </w:rPr>
        <w:t xml:space="preserve">future </w:t>
      </w:r>
      <w:r w:rsidR="00224156">
        <w:rPr>
          <w:rStyle w:val="Strong"/>
          <w:b w:val="0"/>
          <w:bCs w:val="0"/>
        </w:rPr>
        <w:t xml:space="preserve">point, such as the end of the compliance period. The second option would require the CRA to continue to apply the harvest profile past 2020, so </w:t>
      </w:r>
      <w:r w:rsidR="006B4031">
        <w:rPr>
          <w:rStyle w:val="Strong"/>
          <w:b w:val="0"/>
          <w:bCs w:val="0"/>
        </w:rPr>
        <w:t xml:space="preserve">harvest </w:t>
      </w:r>
      <w:r w:rsidR="00224156">
        <w:rPr>
          <w:rStyle w:val="Strong"/>
          <w:b w:val="0"/>
          <w:bCs w:val="0"/>
        </w:rPr>
        <w:t xml:space="preserve">areas would need to be calculated incrementally by applying the age class percentages </w:t>
      </w:r>
      <w:r w:rsidR="00630333">
        <w:rPr>
          <w:rStyle w:val="Strong"/>
          <w:b w:val="0"/>
          <w:bCs w:val="0"/>
        </w:rPr>
        <w:t xml:space="preserve">(“harvest fraction”) </w:t>
      </w:r>
      <w:r w:rsidR="00224156">
        <w:rPr>
          <w:rStyle w:val="Strong"/>
          <w:b w:val="0"/>
          <w:bCs w:val="0"/>
        </w:rPr>
        <w:t xml:space="preserve">to areas left standing each year in each age class. </w:t>
      </w:r>
      <w:r w:rsidR="001F5391">
        <w:rPr>
          <w:rStyle w:val="Strong"/>
          <w:b w:val="0"/>
          <w:bCs w:val="0"/>
        </w:rPr>
        <w:t>However, s</w:t>
      </w:r>
      <w:r w:rsidR="00224156">
        <w:rPr>
          <w:rStyle w:val="Strong"/>
          <w:b w:val="0"/>
          <w:bCs w:val="0"/>
        </w:rPr>
        <w:t xml:space="preserve">preading harvest age </w:t>
      </w:r>
      <w:r w:rsidR="007E3AA3">
        <w:rPr>
          <w:rStyle w:val="Strong"/>
          <w:b w:val="0"/>
          <w:bCs w:val="0"/>
        </w:rPr>
        <w:t xml:space="preserve">has the effect of </w:t>
      </w:r>
      <w:r w:rsidR="00151520">
        <w:rPr>
          <w:rStyle w:val="Strong"/>
          <w:b w:val="0"/>
          <w:bCs w:val="0"/>
        </w:rPr>
        <w:t>reducing the year-to-year fluctuations in net emissions</w:t>
      </w:r>
      <w:r w:rsidR="00FC7EC2">
        <w:rPr>
          <w:rStyle w:val="Strong"/>
          <w:b w:val="0"/>
          <w:bCs w:val="0"/>
        </w:rPr>
        <w:t xml:space="preserve"> that can result when accounting for rotational forests.</w:t>
      </w:r>
      <w:r w:rsidR="00FC7EC2" w:rsidDel="00FC7EC2">
        <w:rPr>
          <w:rStyle w:val="Strong"/>
          <w:b w:val="0"/>
          <w:bCs w:val="0"/>
        </w:rPr>
        <w:t xml:space="preserve"> </w:t>
      </w:r>
      <w:r w:rsidR="00B166C9">
        <w:rPr>
          <w:rStyle w:val="Strong"/>
          <w:b w:val="0"/>
          <w:bCs w:val="0"/>
        </w:rPr>
        <w:t>Analysis described in the Methods and Results sections explores the ability of reference level accounting to achieve the objective of smoothing out fluctuations in net emissions.</w:t>
      </w:r>
    </w:p>
    <w:p w14:paraId="71E7B31A" w14:textId="77777777" w:rsidR="00224156" w:rsidRDefault="00224156" w:rsidP="00224156">
      <w:pPr>
        <w:rPr>
          <w:rStyle w:val="Strong"/>
          <w:b w:val="0"/>
          <w:bCs w:val="0"/>
        </w:rPr>
      </w:pPr>
    </w:p>
    <w:p w14:paraId="60CED079" w14:textId="4ADB5274" w:rsidR="00224156" w:rsidRPr="00A2659F" w:rsidRDefault="00224156" w:rsidP="00224156">
      <w:pPr>
        <w:rPr>
          <w:rStyle w:val="Strong"/>
          <w:b w:val="0"/>
          <w:bCs w:val="0"/>
        </w:rPr>
      </w:pPr>
      <w:r>
        <w:rPr>
          <w:rStyle w:val="Strong"/>
          <w:b w:val="0"/>
          <w:bCs w:val="0"/>
        </w:rPr>
        <w:t>The FRL approach assumes that the harvest profile applied in inventory reporting during the compliance period represents actual harvest ages (and therefore, potential changes compared with the FRL), rather than assumptions made to facilitate the simulation process. If there is no evidence that rotation ages have changed, it may be better to correct the FRL to remove harvest age as a source of differences.</w:t>
      </w:r>
      <w:r w:rsidR="00955D38">
        <w:rPr>
          <w:rStyle w:val="Strong"/>
          <w:b w:val="0"/>
          <w:bCs w:val="0"/>
        </w:rPr>
        <w:br/>
      </w:r>
    </w:p>
    <w:p w14:paraId="79209EAD" w14:textId="77777777" w:rsidR="00224156" w:rsidRDefault="00224156" w:rsidP="00224156">
      <w:pPr>
        <w:rPr>
          <w:rStyle w:val="Strong"/>
          <w:b w:val="0"/>
          <w:bCs w:val="0"/>
        </w:rPr>
      </w:pPr>
    </w:p>
    <w:p w14:paraId="14FAEE83" w14:textId="2BA635CD" w:rsidR="00DA6A2D" w:rsidRDefault="00BF6A4C" w:rsidP="00E17F8B">
      <w:pPr>
        <w:pStyle w:val="ListParagraph"/>
        <w:numPr>
          <w:ilvl w:val="0"/>
          <w:numId w:val="29"/>
        </w:numPr>
        <w:rPr>
          <w:rStyle w:val="Strong"/>
          <w:b w:val="0"/>
          <w:bCs w:val="0"/>
        </w:rPr>
      </w:pPr>
      <w:r>
        <w:rPr>
          <w:rStyle w:val="Strong"/>
          <w:b w:val="0"/>
          <w:bCs w:val="0"/>
        </w:rPr>
        <w:t xml:space="preserve">Forests below the LTA age </w:t>
      </w:r>
      <w:r w:rsidR="00D93A0D">
        <w:rPr>
          <w:rStyle w:val="Strong"/>
          <w:b w:val="0"/>
          <w:bCs w:val="0"/>
        </w:rPr>
        <w:t xml:space="preserve">in 2021 </w:t>
      </w:r>
      <w:r>
        <w:rPr>
          <w:rStyle w:val="Strong"/>
          <w:b w:val="0"/>
          <w:bCs w:val="0"/>
        </w:rPr>
        <w:t>but harvested before the LTA age</w:t>
      </w:r>
      <w:r w:rsidR="00D435FD">
        <w:rPr>
          <w:rStyle w:val="Strong"/>
          <w:b w:val="0"/>
          <w:bCs w:val="0"/>
        </w:rPr>
        <w:br/>
      </w:r>
    </w:p>
    <w:p w14:paraId="7A7A3AA7" w14:textId="77777777" w:rsidR="00E17F8B" w:rsidRPr="00E17F8B" w:rsidRDefault="00E17F8B" w:rsidP="00E17F8B">
      <w:pPr>
        <w:rPr>
          <w:rStyle w:val="Strong"/>
          <w:b w:val="0"/>
          <w:bCs w:val="0"/>
        </w:rPr>
      </w:pPr>
      <w:r w:rsidRPr="00E17F8B">
        <w:rPr>
          <w:rStyle w:val="Strong"/>
          <w:b w:val="0"/>
          <w:bCs w:val="0"/>
        </w:rPr>
        <w:t>Under the LTA approach it is recognised that some stands will be harvested at a rotation age that is younger or older than the average assumed within the LTA calculation, but as long as all stands are credited to the LTA age, the correct accounting quantity should result. However, stands harvested during the compliance period at ages younger that the LTA age will only have been credited up to the harvest age. For example, stands harvested at age 15 will only receive about 60% of the credit they would have received if harvested after the LTA age. This creates an accounting imbalance, as stands harvested well beyond the average harvest age will not be rewarded for their greater long term average stock.</w:t>
      </w:r>
    </w:p>
    <w:p w14:paraId="1521DF06" w14:textId="77777777" w:rsidR="00911C96" w:rsidRDefault="00911C96" w:rsidP="00D435FD">
      <w:pPr>
        <w:rPr>
          <w:rStyle w:val="Strong"/>
          <w:b w:val="0"/>
          <w:bCs w:val="0"/>
        </w:rPr>
      </w:pPr>
    </w:p>
    <w:p w14:paraId="1207931A" w14:textId="233BD688" w:rsidR="00D37A98" w:rsidRDefault="00D37A98" w:rsidP="00D37A98">
      <w:pPr>
        <w:rPr>
          <w:rStyle w:val="Strong"/>
          <w:b w:val="0"/>
          <w:bCs w:val="0"/>
        </w:rPr>
      </w:pPr>
      <w:r>
        <w:rPr>
          <w:rStyle w:val="Strong"/>
          <w:b w:val="0"/>
          <w:bCs w:val="0"/>
        </w:rPr>
        <w:t xml:space="preserve">This situation arises because the CRA simulation applies a harvest age profile to ensure that area is harvested at a range of ages centred on the average harvest </w:t>
      </w:r>
      <w:r w:rsidRPr="007B3688">
        <w:rPr>
          <w:rStyle w:val="Strong"/>
          <w:b w:val="0"/>
          <w:bCs w:val="0"/>
        </w:rPr>
        <w:t>age.</w:t>
      </w:r>
      <w:r>
        <w:rPr>
          <w:rStyle w:val="Strong"/>
          <w:b w:val="0"/>
          <w:bCs w:val="0"/>
        </w:rPr>
        <w:t xml:space="preserve"> If all stands were </w:t>
      </w:r>
      <w:r w:rsidR="00163529">
        <w:rPr>
          <w:rStyle w:val="Strong"/>
          <w:b w:val="0"/>
          <w:bCs w:val="0"/>
        </w:rPr>
        <w:t xml:space="preserve">instead </w:t>
      </w:r>
      <w:r>
        <w:rPr>
          <w:rStyle w:val="Strong"/>
          <w:b w:val="0"/>
          <w:bCs w:val="0"/>
        </w:rPr>
        <w:t xml:space="preserve">assumed to be harvested at the average age, area would accumulate in older age classes and in some years there may be insufficient area to match the known level of harvest. Instead, the CRA process attempts to balance areas by age class over time. Stands felled and replanted before the LTA age during the compliance period cannot be credited up to the LTA age because they never reach it. </w:t>
      </w:r>
      <w:r>
        <w:rPr>
          <w:rStyle w:val="Strong"/>
          <w:b w:val="0"/>
          <w:bCs w:val="0"/>
        </w:rPr>
        <w:br/>
      </w:r>
      <w:r>
        <w:rPr>
          <w:rStyle w:val="Strong"/>
          <w:b w:val="0"/>
          <w:bCs w:val="0"/>
        </w:rPr>
        <w:br/>
        <w:t>Options to address this are:</w:t>
      </w:r>
    </w:p>
    <w:p w14:paraId="5B8CAD87" w14:textId="718E8AD7" w:rsidR="00233F89" w:rsidRPr="00E25494" w:rsidRDefault="00D37A98" w:rsidP="002815E0">
      <w:pPr>
        <w:pStyle w:val="ListParagraph"/>
        <w:numPr>
          <w:ilvl w:val="0"/>
          <w:numId w:val="30"/>
        </w:numPr>
        <w:rPr>
          <w:rStyle w:val="Strong"/>
          <w:b w:val="0"/>
          <w:bCs w:val="0"/>
        </w:rPr>
      </w:pPr>
      <w:r w:rsidRPr="00D37A98">
        <w:rPr>
          <w:rStyle w:val="Strong"/>
          <w:b w:val="0"/>
          <w:bCs w:val="0"/>
        </w:rPr>
        <w:t xml:space="preserve">Stock change accounting only to </w:t>
      </w:r>
      <w:r w:rsidR="00F65A99">
        <w:rPr>
          <w:rStyle w:val="Strong"/>
          <w:b w:val="0"/>
          <w:bCs w:val="0"/>
        </w:rPr>
        <w:t xml:space="preserve">the </w:t>
      </w:r>
      <w:r w:rsidRPr="00D37A98">
        <w:rPr>
          <w:rStyle w:val="Strong"/>
          <w:b w:val="0"/>
          <w:bCs w:val="0"/>
        </w:rPr>
        <w:t>harvest</w:t>
      </w:r>
      <w:r w:rsidR="00F65A99">
        <w:rPr>
          <w:rStyle w:val="Strong"/>
          <w:b w:val="0"/>
          <w:bCs w:val="0"/>
        </w:rPr>
        <w:t xml:space="preserve"> age</w:t>
      </w:r>
      <w:r w:rsidRPr="00D37A98">
        <w:rPr>
          <w:rStyle w:val="Strong"/>
          <w:b w:val="0"/>
          <w:bCs w:val="0"/>
        </w:rPr>
        <w:t xml:space="preserve">. </w:t>
      </w:r>
      <w:r w:rsidR="00E26C75">
        <w:rPr>
          <w:rStyle w:val="Strong"/>
          <w:b w:val="0"/>
          <w:bCs w:val="0"/>
        </w:rPr>
        <w:t>Projected n</w:t>
      </w:r>
      <w:r w:rsidRPr="00D37A98">
        <w:rPr>
          <w:rStyle w:val="Strong"/>
          <w:b w:val="0"/>
          <w:bCs w:val="0"/>
        </w:rPr>
        <w:t xml:space="preserve">et emissions beyond harvest </w:t>
      </w:r>
      <w:r w:rsidR="00696444">
        <w:rPr>
          <w:rStyle w:val="Strong"/>
          <w:b w:val="0"/>
          <w:bCs w:val="0"/>
        </w:rPr>
        <w:t xml:space="preserve">(after replanting) </w:t>
      </w:r>
      <w:r w:rsidRPr="00D37A98">
        <w:rPr>
          <w:rStyle w:val="Strong"/>
          <w:b w:val="0"/>
          <w:bCs w:val="0"/>
        </w:rPr>
        <w:t xml:space="preserve">would be </w:t>
      </w:r>
      <w:r w:rsidR="001474F8">
        <w:rPr>
          <w:rStyle w:val="Strong"/>
          <w:b w:val="0"/>
          <w:bCs w:val="0"/>
        </w:rPr>
        <w:t>part of</w:t>
      </w:r>
      <w:r w:rsidRPr="00D37A98">
        <w:rPr>
          <w:rStyle w:val="Strong"/>
          <w:b w:val="0"/>
          <w:bCs w:val="0"/>
        </w:rPr>
        <w:t xml:space="preserve"> the FRL </w:t>
      </w:r>
      <w:r w:rsidR="00D53BDD">
        <w:rPr>
          <w:rStyle w:val="Strong"/>
          <w:b w:val="0"/>
          <w:bCs w:val="0"/>
        </w:rPr>
        <w:t>and actual net emissions would be accounted against this</w:t>
      </w:r>
      <w:r w:rsidR="004357CA">
        <w:rPr>
          <w:rStyle w:val="Strong"/>
          <w:b w:val="0"/>
          <w:bCs w:val="0"/>
        </w:rPr>
        <w:t xml:space="preserve">, </w:t>
      </w:r>
      <w:r w:rsidRPr="00D37A98">
        <w:rPr>
          <w:rStyle w:val="Strong"/>
          <w:b w:val="0"/>
          <w:bCs w:val="0"/>
        </w:rPr>
        <w:t>but if harvesting were to continue at the same young age there would never be an adjustment under reference level accounting, so stands harvested under the LTA age would never receive full accounting to the (national) LTA age.</w:t>
      </w:r>
      <w:r w:rsidR="00FB2306">
        <w:rPr>
          <w:rStyle w:val="Strong"/>
          <w:b w:val="0"/>
          <w:bCs w:val="0"/>
        </w:rPr>
        <w:t xml:space="preserve"> </w:t>
      </w:r>
    </w:p>
    <w:p w14:paraId="0735B7B1" w14:textId="014E19F2" w:rsidR="00E25494" w:rsidRPr="00E25494" w:rsidRDefault="00E25494" w:rsidP="002815E0">
      <w:pPr>
        <w:pStyle w:val="ListParagraph"/>
        <w:numPr>
          <w:ilvl w:val="0"/>
          <w:numId w:val="30"/>
        </w:numPr>
        <w:rPr>
          <w:rStyle w:val="Strong"/>
          <w:b w:val="0"/>
          <w:bCs w:val="0"/>
        </w:rPr>
      </w:pPr>
      <w:r>
        <w:rPr>
          <w:rStyle w:val="Strong"/>
          <w:b w:val="0"/>
          <w:bCs w:val="0"/>
        </w:rPr>
        <w:t>Stock change accounting up to harvest age</w:t>
      </w:r>
      <w:r w:rsidR="003F4BFD">
        <w:rPr>
          <w:rStyle w:val="Strong"/>
          <w:b w:val="0"/>
          <w:bCs w:val="0"/>
        </w:rPr>
        <w:t xml:space="preserve">, but </w:t>
      </w:r>
      <w:r w:rsidR="00F93DDF">
        <w:rPr>
          <w:rStyle w:val="Strong"/>
          <w:b w:val="0"/>
          <w:bCs w:val="0"/>
        </w:rPr>
        <w:t xml:space="preserve">an </w:t>
      </w:r>
      <w:r w:rsidR="003F4BFD">
        <w:rPr>
          <w:rStyle w:val="Strong"/>
          <w:b w:val="0"/>
          <w:bCs w:val="0"/>
        </w:rPr>
        <w:t>annual adjustment made after tha</w:t>
      </w:r>
      <w:r w:rsidR="0025303A">
        <w:rPr>
          <w:rStyle w:val="Strong"/>
          <w:b w:val="0"/>
          <w:bCs w:val="0"/>
        </w:rPr>
        <w:t>t</w:t>
      </w:r>
      <w:r w:rsidR="003F4BFD">
        <w:rPr>
          <w:rStyle w:val="Strong"/>
          <w:b w:val="0"/>
          <w:bCs w:val="0"/>
        </w:rPr>
        <w:t xml:space="preserve">, up to the LTA age. </w:t>
      </w:r>
      <w:r w:rsidR="0063099D">
        <w:rPr>
          <w:rStyle w:val="Strong"/>
          <w:b w:val="0"/>
          <w:bCs w:val="0"/>
        </w:rPr>
        <w:t>P</w:t>
      </w:r>
      <w:r w:rsidR="00AB5E39">
        <w:rPr>
          <w:rStyle w:val="Strong"/>
          <w:b w:val="0"/>
          <w:bCs w:val="0"/>
        </w:rPr>
        <w:t>rojected p</w:t>
      </w:r>
      <w:r w:rsidR="0063099D">
        <w:rPr>
          <w:rStyle w:val="Strong"/>
          <w:b w:val="0"/>
          <w:bCs w:val="0"/>
        </w:rPr>
        <w:t>ost-harvest net emissions would still form part of the FRL</w:t>
      </w:r>
      <w:r w:rsidR="00497EF6">
        <w:rPr>
          <w:rStyle w:val="Strong"/>
          <w:b w:val="0"/>
          <w:bCs w:val="0"/>
        </w:rPr>
        <w:t xml:space="preserve"> </w:t>
      </w:r>
      <w:r w:rsidR="002A6E9C">
        <w:rPr>
          <w:rStyle w:val="Strong"/>
          <w:b w:val="0"/>
          <w:bCs w:val="0"/>
        </w:rPr>
        <w:t>for</w:t>
      </w:r>
      <w:r w:rsidR="00497EF6">
        <w:rPr>
          <w:rStyle w:val="Strong"/>
          <w:b w:val="0"/>
          <w:bCs w:val="0"/>
        </w:rPr>
        <w:t xml:space="preserve"> </w:t>
      </w:r>
      <w:r w:rsidR="002A6E9C">
        <w:rPr>
          <w:rStyle w:val="Strong"/>
          <w:b w:val="0"/>
          <w:bCs w:val="0"/>
        </w:rPr>
        <w:t>comparing</w:t>
      </w:r>
      <w:r w:rsidR="00497EF6">
        <w:rPr>
          <w:rStyle w:val="Strong"/>
          <w:b w:val="0"/>
          <w:bCs w:val="0"/>
        </w:rPr>
        <w:t xml:space="preserve"> actual post-harvest net emissions </w:t>
      </w:r>
      <w:r w:rsidR="002A6E9C">
        <w:rPr>
          <w:rStyle w:val="Strong"/>
          <w:b w:val="0"/>
          <w:bCs w:val="0"/>
        </w:rPr>
        <w:t>with</w:t>
      </w:r>
      <w:r w:rsidR="002F0D53">
        <w:rPr>
          <w:rStyle w:val="Strong"/>
          <w:b w:val="0"/>
          <w:bCs w:val="0"/>
        </w:rPr>
        <w:t>. If</w:t>
      </w:r>
      <w:r w:rsidR="00E54CE8">
        <w:rPr>
          <w:rStyle w:val="Strong"/>
          <w:b w:val="0"/>
          <w:bCs w:val="0"/>
        </w:rPr>
        <w:t xml:space="preserve"> </w:t>
      </w:r>
      <w:r w:rsidR="00D509E3">
        <w:rPr>
          <w:rStyle w:val="Strong"/>
          <w:b w:val="0"/>
          <w:bCs w:val="0"/>
        </w:rPr>
        <w:t>future rotations are longer than the LTA an accounting adjustment would be calculated against the FRL</w:t>
      </w:r>
      <w:r w:rsidR="00DF519B">
        <w:rPr>
          <w:rStyle w:val="Strong"/>
          <w:b w:val="0"/>
          <w:bCs w:val="0"/>
        </w:rPr>
        <w:t>, at least in theory</w:t>
      </w:r>
      <w:r w:rsidR="00DF519B" w:rsidRPr="007B3688">
        <w:rPr>
          <w:rStyle w:val="Strong"/>
          <w:b w:val="0"/>
          <w:bCs w:val="0"/>
        </w:rPr>
        <w:t>.</w:t>
      </w:r>
      <w:r w:rsidR="00A61DE5" w:rsidRPr="00A61DE5">
        <w:rPr>
          <w:rStyle w:val="Strong"/>
          <w:b w:val="0"/>
          <w:bCs w:val="0"/>
        </w:rPr>
        <w:t xml:space="preserve"> </w:t>
      </w:r>
      <w:r w:rsidR="00A61DE5">
        <w:rPr>
          <w:rStyle w:val="Strong"/>
          <w:b w:val="0"/>
          <w:bCs w:val="0"/>
        </w:rPr>
        <w:t>In practice a recalculation of the LTA is more likely.</w:t>
      </w:r>
    </w:p>
    <w:p w14:paraId="1050203E" w14:textId="191C1CE0" w:rsidR="00DA6A2D" w:rsidRDefault="00DA6A2D" w:rsidP="00DA6A2D">
      <w:pPr>
        <w:rPr>
          <w:rStyle w:val="Strong"/>
          <w:b w:val="0"/>
          <w:bCs w:val="0"/>
        </w:rPr>
      </w:pPr>
    </w:p>
    <w:p w14:paraId="2C0ACD27" w14:textId="4A878E16" w:rsidR="009855F0" w:rsidRDefault="00CF5A1C" w:rsidP="00DA6A2D">
      <w:pPr>
        <w:rPr>
          <w:rStyle w:val="Strong"/>
          <w:b w:val="0"/>
          <w:bCs w:val="0"/>
        </w:rPr>
      </w:pPr>
      <w:r>
        <w:rPr>
          <w:rStyle w:val="Strong"/>
          <w:b w:val="0"/>
          <w:bCs w:val="0"/>
        </w:rPr>
        <w:t xml:space="preserve">The first option </w:t>
      </w:r>
      <w:r w:rsidR="006B7DAB">
        <w:rPr>
          <w:rStyle w:val="Strong"/>
          <w:b w:val="0"/>
          <w:bCs w:val="0"/>
        </w:rPr>
        <w:t xml:space="preserve">(a) </w:t>
      </w:r>
      <w:r>
        <w:rPr>
          <w:rStyle w:val="Strong"/>
          <w:b w:val="0"/>
          <w:bCs w:val="0"/>
        </w:rPr>
        <w:t>is conservative</w:t>
      </w:r>
      <w:r w:rsidR="0025303A">
        <w:rPr>
          <w:rStyle w:val="Strong"/>
          <w:b w:val="0"/>
          <w:bCs w:val="0"/>
        </w:rPr>
        <w:t>,</w:t>
      </w:r>
      <w:r>
        <w:rPr>
          <w:rStyle w:val="Strong"/>
          <w:b w:val="0"/>
          <w:bCs w:val="0"/>
        </w:rPr>
        <w:t xml:space="preserve"> as it </w:t>
      </w:r>
      <w:r w:rsidR="00953BFB">
        <w:rPr>
          <w:rStyle w:val="Strong"/>
          <w:b w:val="0"/>
          <w:bCs w:val="0"/>
        </w:rPr>
        <w:t xml:space="preserve">would </w:t>
      </w:r>
      <w:r>
        <w:rPr>
          <w:rStyle w:val="Strong"/>
          <w:b w:val="0"/>
          <w:bCs w:val="0"/>
        </w:rPr>
        <w:t>under-report the accounting quantity</w:t>
      </w:r>
      <w:r w:rsidR="00953BFB">
        <w:rPr>
          <w:rStyle w:val="Strong"/>
          <w:b w:val="0"/>
          <w:bCs w:val="0"/>
        </w:rPr>
        <w:t xml:space="preserve"> based on the </w:t>
      </w:r>
      <w:r w:rsidR="00B51CF5" w:rsidRPr="0023129F">
        <w:rPr>
          <w:rStyle w:val="Strong"/>
          <w:b w:val="0"/>
          <w:bCs w:val="0"/>
        </w:rPr>
        <w:t>national</w:t>
      </w:r>
      <w:r w:rsidR="00B51CF5">
        <w:rPr>
          <w:rStyle w:val="Strong"/>
          <w:b w:val="0"/>
          <w:bCs w:val="0"/>
        </w:rPr>
        <w:t xml:space="preserve"> </w:t>
      </w:r>
      <w:r w:rsidR="00953BFB">
        <w:rPr>
          <w:rStyle w:val="Strong"/>
          <w:b w:val="0"/>
          <w:bCs w:val="0"/>
        </w:rPr>
        <w:t>LTA stock and age</w:t>
      </w:r>
      <w:r>
        <w:rPr>
          <w:rStyle w:val="Strong"/>
          <w:b w:val="0"/>
          <w:bCs w:val="0"/>
        </w:rPr>
        <w:t>.</w:t>
      </w:r>
      <w:r w:rsidR="00D75010">
        <w:rPr>
          <w:rStyle w:val="Strong"/>
          <w:b w:val="0"/>
          <w:bCs w:val="0"/>
        </w:rPr>
        <w:t xml:space="preserve"> This may be offset by under-</w:t>
      </w:r>
      <w:r w:rsidR="00063925">
        <w:rPr>
          <w:rStyle w:val="Strong"/>
          <w:b w:val="0"/>
          <w:bCs w:val="0"/>
        </w:rPr>
        <w:t>estimation</w:t>
      </w:r>
      <w:r w:rsidR="000A63F9">
        <w:rPr>
          <w:rStyle w:val="Strong"/>
          <w:b w:val="0"/>
          <w:bCs w:val="0"/>
        </w:rPr>
        <w:t xml:space="preserve"> elsewhere</w:t>
      </w:r>
      <w:r w:rsidR="00063925">
        <w:rPr>
          <w:rStyle w:val="Strong"/>
          <w:b w:val="0"/>
          <w:bCs w:val="0"/>
        </w:rPr>
        <w:t>. For example,</w:t>
      </w:r>
      <w:r w:rsidR="00551279">
        <w:rPr>
          <w:rStyle w:val="Strong"/>
          <w:b w:val="0"/>
          <w:bCs w:val="0"/>
        </w:rPr>
        <w:t xml:space="preserve"> the HWP contribution to the LTA stock is currently based on a national average applied to all forest</w:t>
      </w:r>
      <w:r w:rsidR="00A404CD">
        <w:rPr>
          <w:rStyle w:val="Strong"/>
          <w:b w:val="0"/>
          <w:bCs w:val="0"/>
        </w:rPr>
        <w:t>s</w:t>
      </w:r>
      <w:r w:rsidR="00551279">
        <w:rPr>
          <w:rStyle w:val="Strong"/>
          <w:b w:val="0"/>
          <w:bCs w:val="0"/>
        </w:rPr>
        <w:t xml:space="preserve">. </w:t>
      </w:r>
      <w:r w:rsidR="00BE0198">
        <w:rPr>
          <w:rStyle w:val="Strong"/>
          <w:b w:val="0"/>
          <w:bCs w:val="0"/>
        </w:rPr>
        <w:lastRenderedPageBreak/>
        <w:t xml:space="preserve">Very </w:t>
      </w:r>
      <w:r w:rsidR="00280FCA">
        <w:rPr>
          <w:rStyle w:val="Strong"/>
          <w:b w:val="0"/>
          <w:bCs w:val="0"/>
        </w:rPr>
        <w:t>e</w:t>
      </w:r>
      <w:r w:rsidR="00BE0198">
        <w:rPr>
          <w:rStyle w:val="Strong"/>
          <w:b w:val="0"/>
          <w:bCs w:val="0"/>
        </w:rPr>
        <w:t>arly harvests</w:t>
      </w:r>
      <w:r w:rsidR="00953BFB">
        <w:rPr>
          <w:rStyle w:val="Strong"/>
          <w:b w:val="0"/>
          <w:bCs w:val="0"/>
        </w:rPr>
        <w:t xml:space="preserve"> </w:t>
      </w:r>
      <w:r w:rsidR="00280FCA">
        <w:rPr>
          <w:rStyle w:val="Strong"/>
          <w:b w:val="0"/>
          <w:bCs w:val="0"/>
        </w:rPr>
        <w:t xml:space="preserve">may </w:t>
      </w:r>
      <w:r w:rsidR="00682B78">
        <w:rPr>
          <w:rStyle w:val="Strong"/>
          <w:b w:val="0"/>
          <w:bCs w:val="0"/>
        </w:rPr>
        <w:t xml:space="preserve">produce little or no long-lived products, </w:t>
      </w:r>
      <w:r w:rsidR="00697B75">
        <w:rPr>
          <w:rStyle w:val="Strong"/>
          <w:b w:val="0"/>
          <w:bCs w:val="0"/>
        </w:rPr>
        <w:t>which would result in</w:t>
      </w:r>
      <w:r w:rsidR="00755466">
        <w:rPr>
          <w:rStyle w:val="Strong"/>
          <w:b w:val="0"/>
          <w:bCs w:val="0"/>
        </w:rPr>
        <w:t xml:space="preserve"> a </w:t>
      </w:r>
      <w:r w:rsidR="00C409DB">
        <w:rPr>
          <w:rStyle w:val="Strong"/>
          <w:b w:val="0"/>
          <w:bCs w:val="0"/>
        </w:rPr>
        <w:t>lower LTA stock and age</w:t>
      </w:r>
      <w:r w:rsidR="00232706">
        <w:rPr>
          <w:rStyle w:val="Strong"/>
          <w:b w:val="0"/>
          <w:bCs w:val="0"/>
        </w:rPr>
        <w:t xml:space="preserve"> than has been cons</w:t>
      </w:r>
      <w:r w:rsidR="003A3B93">
        <w:rPr>
          <w:rStyle w:val="Strong"/>
          <w:b w:val="0"/>
          <w:bCs w:val="0"/>
        </w:rPr>
        <w:t>idered in the LTA calculation</w:t>
      </w:r>
      <w:r w:rsidR="00C409DB">
        <w:rPr>
          <w:rStyle w:val="Strong"/>
          <w:b w:val="0"/>
          <w:bCs w:val="0"/>
        </w:rPr>
        <w:t>.</w:t>
      </w:r>
    </w:p>
    <w:p w14:paraId="7395C8BF" w14:textId="77777777" w:rsidR="009855F0" w:rsidRDefault="009855F0" w:rsidP="00DA6A2D">
      <w:pPr>
        <w:rPr>
          <w:rStyle w:val="Strong"/>
          <w:b w:val="0"/>
          <w:bCs w:val="0"/>
        </w:rPr>
      </w:pPr>
    </w:p>
    <w:p w14:paraId="2BAA2583" w14:textId="00CE7842" w:rsidR="00CF5A1C" w:rsidRDefault="007E59D6" w:rsidP="00DA6A2D">
      <w:pPr>
        <w:rPr>
          <w:rStyle w:val="Strong"/>
          <w:b w:val="0"/>
          <w:bCs w:val="0"/>
        </w:rPr>
      </w:pPr>
      <w:r>
        <w:rPr>
          <w:rStyle w:val="Strong"/>
          <w:b w:val="0"/>
          <w:bCs w:val="0"/>
        </w:rPr>
        <w:t>Option (b)</w:t>
      </w:r>
      <w:r w:rsidR="00CF5A1C">
        <w:rPr>
          <w:rStyle w:val="Strong"/>
          <w:b w:val="0"/>
          <w:bCs w:val="0"/>
        </w:rPr>
        <w:t xml:space="preserve"> </w:t>
      </w:r>
      <w:r w:rsidR="00A878A5">
        <w:rPr>
          <w:rStyle w:val="Strong"/>
          <w:b w:val="0"/>
          <w:bCs w:val="0"/>
        </w:rPr>
        <w:t xml:space="preserve">would require an accounting adjustment to be made, taking into the account the </w:t>
      </w:r>
      <w:r w:rsidR="0063099D">
        <w:rPr>
          <w:rStyle w:val="Strong"/>
          <w:b w:val="0"/>
          <w:bCs w:val="0"/>
        </w:rPr>
        <w:t xml:space="preserve">difference between the </w:t>
      </w:r>
      <w:r w:rsidR="00A878A5">
        <w:rPr>
          <w:rStyle w:val="Strong"/>
          <w:b w:val="0"/>
          <w:bCs w:val="0"/>
        </w:rPr>
        <w:t xml:space="preserve">carbon stock at the </w:t>
      </w:r>
      <w:r w:rsidR="0063099D">
        <w:rPr>
          <w:rStyle w:val="Strong"/>
          <w:b w:val="0"/>
          <w:bCs w:val="0"/>
        </w:rPr>
        <w:t>harvest age and the carbon stock at the LTA age.</w:t>
      </w:r>
      <w:r w:rsidR="00F93DDF">
        <w:rPr>
          <w:rStyle w:val="Strong"/>
          <w:b w:val="0"/>
          <w:bCs w:val="0"/>
        </w:rPr>
        <w:t xml:space="preserve"> </w:t>
      </w:r>
      <w:r w:rsidR="00C1690B">
        <w:rPr>
          <w:rStyle w:val="Strong"/>
          <w:b w:val="0"/>
          <w:bCs w:val="0"/>
        </w:rPr>
        <w:t>Calculations</w:t>
      </w:r>
      <w:r w:rsidR="008246EF">
        <w:rPr>
          <w:rStyle w:val="Strong"/>
          <w:b w:val="0"/>
          <w:bCs w:val="0"/>
        </w:rPr>
        <w:t xml:space="preserve"> would require </w:t>
      </w:r>
      <w:r w:rsidR="00812A8A">
        <w:rPr>
          <w:rStyle w:val="Strong"/>
          <w:b w:val="0"/>
          <w:bCs w:val="0"/>
        </w:rPr>
        <w:t>the sum of area</w:t>
      </w:r>
      <w:r w:rsidR="009801EF">
        <w:rPr>
          <w:rStyle w:val="Strong"/>
          <w:b w:val="0"/>
          <w:bCs w:val="0"/>
        </w:rPr>
        <w:t>s</w:t>
      </w:r>
      <w:r w:rsidR="00812A8A">
        <w:rPr>
          <w:rStyle w:val="Strong"/>
          <w:b w:val="0"/>
          <w:bCs w:val="0"/>
        </w:rPr>
        <w:t xml:space="preserve"> harvested in the CRA simulation </w:t>
      </w:r>
      <w:r w:rsidR="00C1690B">
        <w:rPr>
          <w:rStyle w:val="Strong"/>
          <w:b w:val="0"/>
          <w:bCs w:val="0"/>
        </w:rPr>
        <w:t>in</w:t>
      </w:r>
      <w:r w:rsidR="00812A8A">
        <w:rPr>
          <w:rStyle w:val="Strong"/>
          <w:b w:val="0"/>
          <w:bCs w:val="0"/>
        </w:rPr>
        <w:t xml:space="preserve"> each age class for each year between 2021-2030</w:t>
      </w:r>
      <w:r w:rsidR="00C1690B">
        <w:rPr>
          <w:rStyle w:val="Strong"/>
          <w:b w:val="0"/>
          <w:bCs w:val="0"/>
        </w:rPr>
        <w:t>, and the post-1989 planted forest carbon yield table.</w:t>
      </w:r>
    </w:p>
    <w:p w14:paraId="5D3DA29B" w14:textId="77777777" w:rsidR="00A76893" w:rsidRDefault="00A76893" w:rsidP="00DA6A2D">
      <w:pPr>
        <w:rPr>
          <w:rStyle w:val="Strong"/>
          <w:b w:val="0"/>
          <w:bCs w:val="0"/>
        </w:rPr>
      </w:pPr>
    </w:p>
    <w:p w14:paraId="4B1FE5E2" w14:textId="6BC3450A" w:rsidR="00A76893" w:rsidRDefault="00A76893" w:rsidP="00DA6A2D">
      <w:pPr>
        <w:rPr>
          <w:rStyle w:val="Strong"/>
          <w:b w:val="0"/>
          <w:bCs w:val="0"/>
        </w:rPr>
      </w:pPr>
      <w:r>
        <w:rPr>
          <w:rStyle w:val="Strong"/>
          <w:b w:val="0"/>
          <w:bCs w:val="0"/>
        </w:rPr>
        <w:t>In the longer term</w:t>
      </w:r>
      <w:r w:rsidR="001957C8">
        <w:rPr>
          <w:rStyle w:val="Strong"/>
          <w:b w:val="0"/>
          <w:bCs w:val="0"/>
        </w:rPr>
        <w:t xml:space="preserve">, it </w:t>
      </w:r>
      <w:r w:rsidR="00ED6797">
        <w:rPr>
          <w:rStyle w:val="Strong"/>
          <w:b w:val="0"/>
          <w:bCs w:val="0"/>
        </w:rPr>
        <w:t xml:space="preserve">may be preferable to </w:t>
      </w:r>
      <w:r w:rsidR="00FA0CD6">
        <w:rPr>
          <w:rStyle w:val="Strong"/>
          <w:b w:val="0"/>
          <w:bCs w:val="0"/>
        </w:rPr>
        <w:t>identify short rotation forests as a separate strat</w:t>
      </w:r>
      <w:r w:rsidR="00DF3829">
        <w:rPr>
          <w:rStyle w:val="Strong"/>
          <w:b w:val="0"/>
          <w:bCs w:val="0"/>
        </w:rPr>
        <w:t>um</w:t>
      </w:r>
      <w:r w:rsidR="00FA0CD6">
        <w:rPr>
          <w:rStyle w:val="Strong"/>
          <w:b w:val="0"/>
          <w:bCs w:val="0"/>
        </w:rPr>
        <w:t xml:space="preserve">, particularly if there is an increase in this type of management. </w:t>
      </w:r>
    </w:p>
    <w:p w14:paraId="652F9D06" w14:textId="77777777" w:rsidR="00CF5A1C" w:rsidRPr="00DA6A2D" w:rsidRDefault="00CF5A1C" w:rsidP="00DA6A2D">
      <w:pPr>
        <w:rPr>
          <w:rStyle w:val="Strong"/>
          <w:b w:val="0"/>
          <w:bCs w:val="0"/>
        </w:rPr>
      </w:pPr>
    </w:p>
    <w:p w14:paraId="73744230" w14:textId="3E872250" w:rsidR="00224156" w:rsidRPr="00112A7A" w:rsidRDefault="00224156" w:rsidP="00224156">
      <w:pPr>
        <w:pStyle w:val="Heading3"/>
        <w:rPr>
          <w:rStyle w:val="Strong"/>
        </w:rPr>
      </w:pPr>
      <w:r w:rsidRPr="00112A7A">
        <w:rPr>
          <w:rStyle w:val="Strong"/>
        </w:rPr>
        <w:t xml:space="preserve">Post-1989 rotational forest </w:t>
      </w:r>
      <w:r w:rsidR="00764A85">
        <w:rPr>
          <w:rStyle w:val="Strong"/>
        </w:rPr>
        <w:t xml:space="preserve">already </w:t>
      </w:r>
      <w:r>
        <w:rPr>
          <w:rStyle w:val="Strong"/>
          <w:u w:val="single"/>
        </w:rPr>
        <w:t>above</w:t>
      </w:r>
      <w:r w:rsidRPr="00112A7A">
        <w:rPr>
          <w:rStyle w:val="Strong"/>
        </w:rPr>
        <w:t xml:space="preserve"> the LTA </w:t>
      </w:r>
      <w:r w:rsidR="00764A85">
        <w:rPr>
          <w:rStyle w:val="Strong"/>
        </w:rPr>
        <w:t xml:space="preserve">in 2021 - </w:t>
      </w:r>
      <w:r w:rsidRPr="00112A7A">
        <w:rPr>
          <w:rStyle w:val="Strong"/>
        </w:rPr>
        <w:t>biomass (AGB, BGB, Dead wood and Litter pools)</w:t>
      </w:r>
    </w:p>
    <w:p w14:paraId="4E1C28A4" w14:textId="77777777" w:rsidR="00224156" w:rsidRDefault="00224156" w:rsidP="00224156">
      <w:pPr>
        <w:rPr>
          <w:rStyle w:val="Strong"/>
          <w:b w:val="0"/>
          <w:bCs w:val="0"/>
        </w:rPr>
      </w:pPr>
    </w:p>
    <w:p w14:paraId="4E106795" w14:textId="2E9F5A51" w:rsidR="00473B37" w:rsidRDefault="00473B37" w:rsidP="00473B37">
      <w:pPr>
        <w:rPr>
          <w:rStyle w:val="Strong"/>
          <w:b w:val="0"/>
          <w:bCs w:val="0"/>
        </w:rPr>
      </w:pPr>
      <w:r>
        <w:rPr>
          <w:rStyle w:val="Strong"/>
          <w:b w:val="0"/>
          <w:bCs w:val="0"/>
        </w:rPr>
        <w:t>First rotation stands planted from 1990 to 1998 could already be past the LTA age by 2021. However, because no credit was given under the Kyoto Protocol for growth before 2008, none of these stands would have been credited with more than the stock at the LTA age (stands planted from 1999-2007 will also not receive full crediting up to the LTA age</w:t>
      </w:r>
      <w:r w:rsidR="00CD7B4A">
        <w:rPr>
          <w:rStyle w:val="Strong"/>
          <w:b w:val="0"/>
          <w:bCs w:val="0"/>
        </w:rPr>
        <w:t>, assuming the current LTA age estimate of 23 years</w:t>
      </w:r>
      <w:r>
        <w:rPr>
          <w:rStyle w:val="Strong"/>
          <w:b w:val="0"/>
          <w:bCs w:val="0"/>
        </w:rPr>
        <w:t xml:space="preserve">). </w:t>
      </w:r>
    </w:p>
    <w:p w14:paraId="6662B07E" w14:textId="77777777" w:rsidR="00473B37" w:rsidRDefault="00473B37" w:rsidP="00473B37">
      <w:pPr>
        <w:rPr>
          <w:rStyle w:val="Strong"/>
          <w:b w:val="0"/>
          <w:bCs w:val="0"/>
        </w:rPr>
      </w:pPr>
    </w:p>
    <w:p w14:paraId="7319CB28" w14:textId="77777777" w:rsidR="00473B37" w:rsidRDefault="00473B37" w:rsidP="00473B37">
      <w:pPr>
        <w:rPr>
          <w:rStyle w:val="Strong"/>
          <w:b w:val="0"/>
          <w:bCs w:val="0"/>
        </w:rPr>
      </w:pPr>
      <w:r>
        <w:rPr>
          <w:rStyle w:val="Strong"/>
          <w:b w:val="0"/>
          <w:bCs w:val="0"/>
        </w:rPr>
        <w:t>If there is no intention for New Zealand to ‘reclaim’ credit not awarded under the Kyoto Protocol, the options for forests that are already over the LTA age in 2021 are:</w:t>
      </w:r>
    </w:p>
    <w:p w14:paraId="68695FAD" w14:textId="77777777" w:rsidR="00473B37" w:rsidRDefault="00473B37" w:rsidP="00224156">
      <w:pPr>
        <w:rPr>
          <w:rStyle w:val="Strong"/>
          <w:b w:val="0"/>
          <w:bCs w:val="0"/>
        </w:rPr>
      </w:pPr>
    </w:p>
    <w:p w14:paraId="29500980" w14:textId="77777777" w:rsidR="00224156" w:rsidRDefault="00224156" w:rsidP="00224156">
      <w:pPr>
        <w:rPr>
          <w:rStyle w:val="Strong"/>
          <w:b w:val="0"/>
          <w:bCs w:val="0"/>
        </w:rPr>
      </w:pPr>
      <w:r>
        <w:rPr>
          <w:rStyle w:val="Strong"/>
          <w:b w:val="0"/>
          <w:bCs w:val="0"/>
        </w:rPr>
        <w:t>Options:</w:t>
      </w:r>
    </w:p>
    <w:p w14:paraId="7E8938E1" w14:textId="44A2EED3" w:rsidR="00224156" w:rsidRDefault="007E0D1F" w:rsidP="002815E0">
      <w:pPr>
        <w:pStyle w:val="ListParagraph"/>
        <w:numPr>
          <w:ilvl w:val="0"/>
          <w:numId w:val="20"/>
        </w:numPr>
        <w:rPr>
          <w:rStyle w:val="Strong"/>
          <w:b w:val="0"/>
          <w:bCs w:val="0"/>
        </w:rPr>
      </w:pPr>
      <w:r>
        <w:rPr>
          <w:rStyle w:val="Strong"/>
          <w:b w:val="0"/>
          <w:bCs w:val="0"/>
        </w:rPr>
        <w:t>Exclude from</w:t>
      </w:r>
      <w:r w:rsidR="00224156">
        <w:rPr>
          <w:rStyle w:val="Strong"/>
          <w:b w:val="0"/>
          <w:bCs w:val="0"/>
        </w:rPr>
        <w:t xml:space="preserve"> further </w:t>
      </w:r>
      <w:r>
        <w:rPr>
          <w:rStyle w:val="Strong"/>
          <w:b w:val="0"/>
          <w:bCs w:val="0"/>
        </w:rPr>
        <w:t xml:space="preserve">stock change </w:t>
      </w:r>
      <w:r w:rsidR="00224156">
        <w:rPr>
          <w:rStyle w:val="Strong"/>
          <w:b w:val="0"/>
          <w:bCs w:val="0"/>
        </w:rPr>
        <w:t xml:space="preserve">accounting i.e. assume full credit has been given under Kyoto Protocol accounting and there is no need to </w:t>
      </w:r>
      <w:r w:rsidR="006306F6">
        <w:rPr>
          <w:rStyle w:val="Strong"/>
          <w:b w:val="0"/>
          <w:bCs w:val="0"/>
        </w:rPr>
        <w:t>balance</w:t>
      </w:r>
      <w:r w:rsidR="00007BB3">
        <w:rPr>
          <w:rStyle w:val="Strong"/>
          <w:b w:val="0"/>
          <w:bCs w:val="0"/>
        </w:rPr>
        <w:t xml:space="preserve"> </w:t>
      </w:r>
      <w:r w:rsidR="006306F6">
        <w:rPr>
          <w:rStyle w:val="Strong"/>
          <w:b w:val="0"/>
          <w:bCs w:val="0"/>
        </w:rPr>
        <w:t>under</w:t>
      </w:r>
      <w:r w:rsidR="00224156">
        <w:rPr>
          <w:rStyle w:val="Strong"/>
          <w:b w:val="0"/>
          <w:bCs w:val="0"/>
        </w:rPr>
        <w:t xml:space="preserve">-allocation beyond the LTA, or to track future deviation </w:t>
      </w:r>
      <w:r w:rsidR="00764A85">
        <w:rPr>
          <w:rStyle w:val="Strong"/>
          <w:b w:val="0"/>
          <w:bCs w:val="0"/>
        </w:rPr>
        <w:t>(</w:t>
      </w:r>
      <w:r w:rsidR="00224156">
        <w:rPr>
          <w:rStyle w:val="Strong"/>
          <w:b w:val="0"/>
          <w:bCs w:val="0"/>
        </w:rPr>
        <w:t>unless deforestation occurs</w:t>
      </w:r>
      <w:r w:rsidR="00764A85">
        <w:rPr>
          <w:rStyle w:val="Strong"/>
          <w:b w:val="0"/>
          <w:bCs w:val="0"/>
        </w:rPr>
        <w:t>)</w:t>
      </w:r>
      <w:r w:rsidR="00224156">
        <w:rPr>
          <w:rStyle w:val="Strong"/>
          <w:b w:val="0"/>
          <w:bCs w:val="0"/>
        </w:rPr>
        <w:t xml:space="preserve">. </w:t>
      </w:r>
    </w:p>
    <w:p w14:paraId="71581795" w14:textId="218E5EEF" w:rsidR="00224156" w:rsidRDefault="00224156" w:rsidP="002815E0">
      <w:pPr>
        <w:pStyle w:val="ListParagraph"/>
        <w:numPr>
          <w:ilvl w:val="0"/>
          <w:numId w:val="20"/>
        </w:numPr>
        <w:rPr>
          <w:rStyle w:val="Strong"/>
          <w:b w:val="0"/>
          <w:bCs w:val="0"/>
        </w:rPr>
      </w:pPr>
      <w:r>
        <w:rPr>
          <w:rStyle w:val="Strong"/>
          <w:b w:val="0"/>
          <w:bCs w:val="0"/>
        </w:rPr>
        <w:t>As above, but add net emissions past the current age to the FRL.</w:t>
      </w:r>
    </w:p>
    <w:p w14:paraId="5B8D951B" w14:textId="28E2FBF6" w:rsidR="00224156" w:rsidRDefault="00AE7C72" w:rsidP="002815E0">
      <w:pPr>
        <w:pStyle w:val="ListParagraph"/>
        <w:numPr>
          <w:ilvl w:val="0"/>
          <w:numId w:val="20"/>
        </w:numPr>
        <w:rPr>
          <w:rStyle w:val="Strong"/>
          <w:b w:val="0"/>
          <w:bCs w:val="0"/>
        </w:rPr>
      </w:pPr>
      <w:r>
        <w:rPr>
          <w:rStyle w:val="Strong"/>
          <w:b w:val="0"/>
          <w:bCs w:val="0"/>
        </w:rPr>
        <w:t>Continue to a</w:t>
      </w:r>
      <w:r w:rsidR="00224156">
        <w:rPr>
          <w:rStyle w:val="Strong"/>
          <w:b w:val="0"/>
          <w:bCs w:val="0"/>
        </w:rPr>
        <w:t xml:space="preserve">pply stock change accounting </w:t>
      </w:r>
      <w:r>
        <w:rPr>
          <w:rStyle w:val="Strong"/>
          <w:b w:val="0"/>
          <w:bCs w:val="0"/>
        </w:rPr>
        <w:t xml:space="preserve">up </w:t>
      </w:r>
      <w:r w:rsidR="00224156">
        <w:rPr>
          <w:rStyle w:val="Strong"/>
          <w:b w:val="0"/>
          <w:bCs w:val="0"/>
        </w:rPr>
        <w:t>to and beyond harvest</w:t>
      </w:r>
      <w:r>
        <w:rPr>
          <w:rStyle w:val="Strong"/>
          <w:b w:val="0"/>
          <w:bCs w:val="0"/>
        </w:rPr>
        <w:t>/replanting</w:t>
      </w:r>
      <w:r w:rsidR="00224156">
        <w:rPr>
          <w:rStyle w:val="Strong"/>
          <w:b w:val="0"/>
          <w:bCs w:val="0"/>
        </w:rPr>
        <w:t xml:space="preserve"> until the LTA age is reached in the next rotation. Then account against the reference level.</w:t>
      </w:r>
    </w:p>
    <w:p w14:paraId="619E0EE3" w14:textId="77777777" w:rsidR="00224156" w:rsidRDefault="00224156" w:rsidP="00224156">
      <w:pPr>
        <w:rPr>
          <w:rStyle w:val="Strong"/>
          <w:b w:val="0"/>
          <w:bCs w:val="0"/>
        </w:rPr>
      </w:pPr>
    </w:p>
    <w:p w14:paraId="07AE11C1" w14:textId="3C1CA776" w:rsidR="00224156" w:rsidRDefault="00224156" w:rsidP="00224156">
      <w:pPr>
        <w:rPr>
          <w:rStyle w:val="Strong"/>
          <w:b w:val="0"/>
          <w:bCs w:val="0"/>
        </w:rPr>
      </w:pPr>
      <w:r>
        <w:rPr>
          <w:rStyle w:val="Strong"/>
          <w:b w:val="0"/>
          <w:bCs w:val="0"/>
        </w:rPr>
        <w:t xml:space="preserve">The first option </w:t>
      </w:r>
      <w:r w:rsidR="006B7DAB">
        <w:rPr>
          <w:rStyle w:val="Strong"/>
          <w:b w:val="0"/>
          <w:bCs w:val="0"/>
        </w:rPr>
        <w:t xml:space="preserve">(a) </w:t>
      </w:r>
      <w:r>
        <w:rPr>
          <w:rStyle w:val="Strong"/>
          <w:b w:val="0"/>
          <w:bCs w:val="0"/>
        </w:rPr>
        <w:t>is simple, and treats the Paris Agreement compliance period as a new starting point for accounting. There would be no fluctuations in net emissions but it would not account for management changes on this land that would change the LTA age as this land would not be included in the FRL. The potential for future accounting gains would be lost</w:t>
      </w:r>
      <w:r w:rsidR="005201D7">
        <w:rPr>
          <w:rStyle w:val="Strong"/>
          <w:b w:val="0"/>
          <w:bCs w:val="0"/>
        </w:rPr>
        <w:t xml:space="preserve"> (unless the LTA age is recalculated to a value older than the current age in 2021)</w:t>
      </w:r>
      <w:r>
        <w:rPr>
          <w:rStyle w:val="Strong"/>
          <w:b w:val="0"/>
          <w:bCs w:val="0"/>
        </w:rPr>
        <w:t xml:space="preserve">. To retain this potential, stock changes past the current age could be added to the Post-1989 FRL (option </w:t>
      </w:r>
      <w:r w:rsidR="00E77906">
        <w:rPr>
          <w:rStyle w:val="Strong"/>
          <w:b w:val="0"/>
          <w:bCs w:val="0"/>
        </w:rPr>
        <w:t>b</w:t>
      </w:r>
      <w:r>
        <w:rPr>
          <w:rStyle w:val="Strong"/>
          <w:b w:val="0"/>
          <w:bCs w:val="0"/>
        </w:rPr>
        <w:t>).</w:t>
      </w:r>
      <w:r w:rsidR="00CD0CA7">
        <w:rPr>
          <w:rStyle w:val="Strong"/>
          <w:b w:val="0"/>
          <w:bCs w:val="0"/>
        </w:rPr>
        <w:t xml:space="preserve"> </w:t>
      </w:r>
      <w:r w:rsidR="00993D08">
        <w:rPr>
          <w:rStyle w:val="Strong"/>
          <w:b w:val="0"/>
          <w:bCs w:val="0"/>
        </w:rPr>
        <w:t xml:space="preserve">The investigation of </w:t>
      </w:r>
      <w:r w:rsidR="00E02511">
        <w:rPr>
          <w:rStyle w:val="Strong"/>
          <w:b w:val="0"/>
          <w:bCs w:val="0"/>
        </w:rPr>
        <w:t xml:space="preserve">post-1989 FRL </w:t>
      </w:r>
      <w:r w:rsidR="009F6F1B">
        <w:rPr>
          <w:rStyle w:val="Strong"/>
          <w:b w:val="0"/>
          <w:bCs w:val="0"/>
        </w:rPr>
        <w:t xml:space="preserve">accounting </w:t>
      </w:r>
      <w:r w:rsidR="00E02511">
        <w:rPr>
          <w:rStyle w:val="Strong"/>
          <w:b w:val="0"/>
          <w:bCs w:val="0"/>
        </w:rPr>
        <w:t xml:space="preserve">described in the Methods and Results sections is relevant to </w:t>
      </w:r>
      <w:r w:rsidR="00FB6589">
        <w:rPr>
          <w:rStyle w:val="Strong"/>
          <w:b w:val="0"/>
          <w:bCs w:val="0"/>
        </w:rPr>
        <w:t>t</w:t>
      </w:r>
      <w:r w:rsidR="00E02511">
        <w:rPr>
          <w:rStyle w:val="Strong"/>
          <w:b w:val="0"/>
          <w:bCs w:val="0"/>
        </w:rPr>
        <w:t>his option.</w:t>
      </w:r>
      <w:r w:rsidR="00993D08">
        <w:rPr>
          <w:rStyle w:val="Strong"/>
          <w:b w:val="0"/>
          <w:bCs w:val="0"/>
        </w:rPr>
        <w:t xml:space="preserve"> </w:t>
      </w:r>
    </w:p>
    <w:p w14:paraId="3BEBD32F" w14:textId="77777777" w:rsidR="00224156" w:rsidRDefault="00224156" w:rsidP="00224156">
      <w:pPr>
        <w:rPr>
          <w:rStyle w:val="Strong"/>
          <w:b w:val="0"/>
          <w:bCs w:val="0"/>
        </w:rPr>
      </w:pPr>
    </w:p>
    <w:p w14:paraId="3B691F17" w14:textId="186AC05D" w:rsidR="00BF53AD" w:rsidRDefault="00BF53AD" w:rsidP="00BF53AD">
      <w:pPr>
        <w:rPr>
          <w:rStyle w:val="Strong"/>
          <w:b w:val="0"/>
          <w:bCs w:val="0"/>
        </w:rPr>
      </w:pPr>
      <w:r>
        <w:rPr>
          <w:rStyle w:val="Strong"/>
          <w:b w:val="0"/>
          <w:bCs w:val="0"/>
        </w:rPr>
        <w:t xml:space="preserve">The third option </w:t>
      </w:r>
      <w:r w:rsidR="00DA3522">
        <w:rPr>
          <w:rStyle w:val="Strong"/>
          <w:b w:val="0"/>
          <w:bCs w:val="0"/>
        </w:rPr>
        <w:t>(c)</w:t>
      </w:r>
      <w:r w:rsidR="00FD4054">
        <w:rPr>
          <w:rStyle w:val="Strong"/>
          <w:b w:val="0"/>
          <w:bCs w:val="0"/>
        </w:rPr>
        <w:t xml:space="preserve"> </w:t>
      </w:r>
      <w:r w:rsidRPr="00AD2D38">
        <w:rPr>
          <w:rStyle w:val="Strong"/>
          <w:b w:val="0"/>
          <w:bCs w:val="0"/>
        </w:rPr>
        <w:t>w</w:t>
      </w:r>
      <w:r>
        <w:rPr>
          <w:rStyle w:val="Strong"/>
          <w:b w:val="0"/>
          <w:bCs w:val="0"/>
        </w:rPr>
        <w:t>ould</w:t>
      </w:r>
      <w:r w:rsidRPr="00AD2D38">
        <w:rPr>
          <w:rStyle w:val="Strong"/>
          <w:b w:val="0"/>
          <w:bCs w:val="0"/>
        </w:rPr>
        <w:t xml:space="preserve"> lead to fluctuations in net emissions, although the scale of this will be less than if applied to all rotational forests. However, since </w:t>
      </w:r>
      <w:r>
        <w:rPr>
          <w:rStyle w:val="Strong"/>
          <w:b w:val="0"/>
          <w:bCs w:val="0"/>
        </w:rPr>
        <w:t xml:space="preserve">unharvested </w:t>
      </w:r>
      <w:r w:rsidRPr="00AD2D38">
        <w:rPr>
          <w:rStyle w:val="Strong"/>
          <w:b w:val="0"/>
          <w:bCs w:val="0"/>
        </w:rPr>
        <w:t xml:space="preserve">stands from the peak period of afforestation in the 1990’s are now </w:t>
      </w:r>
      <w:r>
        <w:rPr>
          <w:rStyle w:val="Strong"/>
          <w:b w:val="0"/>
          <w:bCs w:val="0"/>
        </w:rPr>
        <w:t xml:space="preserve">potentially </w:t>
      </w:r>
      <w:r w:rsidRPr="00AD2D38">
        <w:rPr>
          <w:rStyle w:val="Strong"/>
          <w:b w:val="0"/>
          <w:bCs w:val="0"/>
        </w:rPr>
        <w:t>past the LTA age, the impact could still be significant</w:t>
      </w:r>
      <w:r>
        <w:rPr>
          <w:rStyle w:val="Strong"/>
          <w:b w:val="0"/>
          <w:bCs w:val="0"/>
        </w:rPr>
        <w:t>. It would require a separate pathway through the CRA for these areas. This introduces complexity and inconsistency with the NDC statement.</w:t>
      </w:r>
    </w:p>
    <w:p w14:paraId="77E110CF" w14:textId="437F5E48" w:rsidR="00224156" w:rsidRDefault="00692985" w:rsidP="00224156">
      <w:pPr>
        <w:rPr>
          <w:rStyle w:val="Strong"/>
          <w:b w:val="0"/>
          <w:bCs w:val="0"/>
        </w:rPr>
      </w:pPr>
      <w:r>
        <w:rPr>
          <w:rStyle w:val="Strong"/>
          <w:b w:val="0"/>
          <w:bCs w:val="0"/>
        </w:rPr>
        <w:t xml:space="preserve"> </w:t>
      </w:r>
    </w:p>
    <w:p w14:paraId="104EC465" w14:textId="01DF8121" w:rsidR="00224156" w:rsidRDefault="00224156" w:rsidP="00224156">
      <w:pPr>
        <w:pStyle w:val="Heading3"/>
        <w:rPr>
          <w:rStyle w:val="Strong"/>
        </w:rPr>
      </w:pPr>
      <w:r w:rsidRPr="00112A7A">
        <w:rPr>
          <w:rStyle w:val="Strong"/>
        </w:rPr>
        <w:t xml:space="preserve">Post-1989 </w:t>
      </w:r>
      <w:r>
        <w:rPr>
          <w:rStyle w:val="Strong"/>
        </w:rPr>
        <w:t xml:space="preserve">permanent planted forest </w:t>
      </w:r>
      <w:r w:rsidR="003E75E8">
        <w:rPr>
          <w:rStyle w:val="Strong"/>
        </w:rPr>
        <w:t xml:space="preserve">- </w:t>
      </w:r>
      <w:r w:rsidRPr="00112A7A">
        <w:rPr>
          <w:rStyle w:val="Strong"/>
        </w:rPr>
        <w:t>biomass (AGB, BGB, Dead wood and Litter pools)</w:t>
      </w:r>
    </w:p>
    <w:p w14:paraId="38D11F73" w14:textId="77777777" w:rsidR="00224156" w:rsidRDefault="00224156" w:rsidP="00224156">
      <w:pPr>
        <w:rPr>
          <w:rStyle w:val="Strong"/>
          <w:b w:val="0"/>
          <w:bCs w:val="0"/>
        </w:rPr>
      </w:pPr>
    </w:p>
    <w:p w14:paraId="49B04090" w14:textId="77777777" w:rsidR="00224156" w:rsidRDefault="00224156" w:rsidP="00224156">
      <w:pPr>
        <w:rPr>
          <w:rStyle w:val="Strong"/>
          <w:b w:val="0"/>
          <w:bCs w:val="0"/>
        </w:rPr>
      </w:pPr>
      <w:r>
        <w:rPr>
          <w:rStyle w:val="Strong"/>
          <w:b w:val="0"/>
          <w:bCs w:val="0"/>
        </w:rPr>
        <w:t>Options:</w:t>
      </w:r>
    </w:p>
    <w:p w14:paraId="09A9C096" w14:textId="77777777" w:rsidR="00224156" w:rsidRDefault="00224156" w:rsidP="002815E0">
      <w:pPr>
        <w:pStyle w:val="ListParagraph"/>
        <w:numPr>
          <w:ilvl w:val="0"/>
          <w:numId w:val="23"/>
        </w:numPr>
        <w:rPr>
          <w:rStyle w:val="Strong"/>
          <w:b w:val="0"/>
          <w:bCs w:val="0"/>
        </w:rPr>
      </w:pPr>
      <w:r>
        <w:rPr>
          <w:rStyle w:val="Strong"/>
          <w:b w:val="0"/>
          <w:bCs w:val="0"/>
        </w:rPr>
        <w:t>S</w:t>
      </w:r>
      <w:r w:rsidRPr="00131693">
        <w:rPr>
          <w:rStyle w:val="Strong"/>
          <w:b w:val="0"/>
          <w:bCs w:val="0"/>
        </w:rPr>
        <w:t>tock change accounting in perpetuity</w:t>
      </w:r>
      <w:r>
        <w:rPr>
          <w:rStyle w:val="Strong"/>
          <w:b w:val="0"/>
          <w:bCs w:val="0"/>
        </w:rPr>
        <w:t>; or</w:t>
      </w:r>
    </w:p>
    <w:p w14:paraId="504E0006" w14:textId="77777777" w:rsidR="00224156" w:rsidRDefault="00224156" w:rsidP="002815E0">
      <w:pPr>
        <w:pStyle w:val="ListParagraph"/>
        <w:numPr>
          <w:ilvl w:val="0"/>
          <w:numId w:val="23"/>
        </w:numPr>
        <w:rPr>
          <w:rStyle w:val="Strong"/>
          <w:b w:val="0"/>
          <w:bCs w:val="0"/>
        </w:rPr>
      </w:pPr>
      <w:r>
        <w:rPr>
          <w:rStyle w:val="Strong"/>
          <w:b w:val="0"/>
          <w:bCs w:val="0"/>
        </w:rPr>
        <w:t>Assume interim LTA age &gt; 40, allowing stock change accounting throughout the compliance period.</w:t>
      </w:r>
    </w:p>
    <w:p w14:paraId="5B63D599" w14:textId="2DBA0DA7" w:rsidR="00224156" w:rsidRPr="00DD3E1E" w:rsidRDefault="00224156" w:rsidP="002815E0">
      <w:pPr>
        <w:pStyle w:val="ListParagraph"/>
        <w:numPr>
          <w:ilvl w:val="0"/>
          <w:numId w:val="23"/>
        </w:numPr>
        <w:rPr>
          <w:rStyle w:val="Strong"/>
          <w:b w:val="0"/>
          <w:bCs w:val="0"/>
        </w:rPr>
      </w:pPr>
      <w:r>
        <w:rPr>
          <w:rStyle w:val="Strong"/>
          <w:b w:val="0"/>
          <w:bCs w:val="0"/>
        </w:rPr>
        <w:t>Assign the rotational planted forest LTA age in the interim and treat as for rotational forests. Adjust LTA as these forests are better characterised and modelled.</w:t>
      </w:r>
    </w:p>
    <w:p w14:paraId="20062C3F" w14:textId="77777777" w:rsidR="00224156" w:rsidRDefault="00224156" w:rsidP="00224156">
      <w:pPr>
        <w:rPr>
          <w:rStyle w:val="Strong"/>
          <w:b w:val="0"/>
          <w:bCs w:val="0"/>
        </w:rPr>
      </w:pPr>
    </w:p>
    <w:p w14:paraId="00A4FEA8" w14:textId="6B6098DB" w:rsidR="006756F2" w:rsidRDefault="006756F2" w:rsidP="00224156">
      <w:pPr>
        <w:rPr>
          <w:rStyle w:val="Strong"/>
          <w:b w:val="0"/>
          <w:bCs w:val="0"/>
        </w:rPr>
      </w:pPr>
      <w:r>
        <w:rPr>
          <w:rStyle w:val="Strong"/>
          <w:b w:val="0"/>
          <w:bCs w:val="0"/>
        </w:rPr>
        <w:t xml:space="preserve">As with permanent natural forests, management of these forests is assumed to exclude clearfelling, so averaging accounting is not required to avoid the cycles in net emissions that would otherwise result. There could still be periods when these forests are net carbon sources. These forests are not well described and management is unclear. They are more challenging than post-1989 natural </w:t>
      </w:r>
      <w:r>
        <w:rPr>
          <w:rStyle w:val="Strong"/>
          <w:b w:val="0"/>
          <w:bCs w:val="0"/>
        </w:rPr>
        <w:lastRenderedPageBreak/>
        <w:t>forests for two reasons. Firstly, a higher proportion are likely to receive active management that has an impact on carbon stocks. Secondly, the post-1989 planted forest carbon yield table has a much higher sequestration rate than the post-1989 natural forest yield table and will reach a high level of carbon stocks within the compliance period. Because of this, it is less clear that the LTA age will be over 40 years. For example, a forest meeting the “permanent forest” definition in the ETS could be heavily thinned and then clearfelled after 50 years. This would result in a LTA age less than 30 years.</w:t>
      </w:r>
    </w:p>
    <w:p w14:paraId="3F336B3A" w14:textId="77777777" w:rsidR="006756F2" w:rsidRDefault="006756F2" w:rsidP="00224156">
      <w:pPr>
        <w:rPr>
          <w:rStyle w:val="Strong"/>
          <w:b w:val="0"/>
          <w:bCs w:val="0"/>
        </w:rPr>
      </w:pPr>
    </w:p>
    <w:p w14:paraId="5925F7BD" w14:textId="3625FB21" w:rsidR="00C41599" w:rsidRDefault="00C41599" w:rsidP="00C41599">
      <w:pPr>
        <w:rPr>
          <w:rStyle w:val="Strong"/>
          <w:b w:val="0"/>
          <w:bCs w:val="0"/>
        </w:rPr>
      </w:pPr>
      <w:r>
        <w:rPr>
          <w:rStyle w:val="Strong"/>
          <w:b w:val="0"/>
          <w:bCs w:val="0"/>
        </w:rPr>
        <w:t>The national pre-1990 planted forest yield tables may not be appropriate for forests at much older ages than the plots used to derive them and may not be equally representative of both permanent and rotational components. Natural disturbance as well as thinning may reduce future stocks.</w:t>
      </w:r>
    </w:p>
    <w:p w14:paraId="209DE421" w14:textId="77777777" w:rsidR="00C41599" w:rsidRDefault="00C41599" w:rsidP="00C41599">
      <w:pPr>
        <w:rPr>
          <w:rStyle w:val="Strong"/>
          <w:b w:val="0"/>
          <w:bCs w:val="0"/>
        </w:rPr>
      </w:pPr>
    </w:p>
    <w:p w14:paraId="431D1E18" w14:textId="5D61D189" w:rsidR="00224156" w:rsidRDefault="00C41599" w:rsidP="00224156">
      <w:pPr>
        <w:rPr>
          <w:rStyle w:val="Strong"/>
          <w:b w:val="0"/>
          <w:bCs w:val="0"/>
        </w:rPr>
      </w:pPr>
      <w:r>
        <w:rPr>
          <w:rStyle w:val="Strong"/>
          <w:b w:val="0"/>
          <w:bCs w:val="0"/>
        </w:rPr>
        <w:t>If it is assumed that the LTA age is over 40, then it must also be assumed that these forests will not be clearfelled. Further work is required to better define carbon uptake over the longer term for these forests</w:t>
      </w:r>
      <w:r w:rsidRPr="007E0FA9">
        <w:rPr>
          <w:rStyle w:val="Strong"/>
          <w:b w:val="0"/>
          <w:bCs w:val="0"/>
        </w:rPr>
        <w:t>.</w:t>
      </w:r>
    </w:p>
    <w:p w14:paraId="5A860537" w14:textId="77777777" w:rsidR="00224156" w:rsidRDefault="00224156" w:rsidP="00224156">
      <w:pPr>
        <w:rPr>
          <w:rStyle w:val="Strong"/>
          <w:b w:val="0"/>
          <w:bCs w:val="0"/>
        </w:rPr>
      </w:pPr>
    </w:p>
    <w:p w14:paraId="628302BE" w14:textId="77777777" w:rsidR="00224156" w:rsidRDefault="00224156" w:rsidP="009D6BD3">
      <w:pPr>
        <w:pStyle w:val="Heading3"/>
        <w:rPr>
          <w:rStyle w:val="Strong"/>
        </w:rPr>
      </w:pPr>
      <w:r>
        <w:rPr>
          <w:rStyle w:val="Strong"/>
        </w:rPr>
        <w:t>Harvested wood products (HWPs)</w:t>
      </w:r>
    </w:p>
    <w:p w14:paraId="0ECFF5F5" w14:textId="77777777" w:rsidR="00BA36E4" w:rsidRDefault="00BA36E4" w:rsidP="00224156"/>
    <w:p w14:paraId="570D2537" w14:textId="0AB9A3DC" w:rsidR="00224156" w:rsidRDefault="00224156" w:rsidP="00224156">
      <w:r>
        <w:t>HWP Options:</w:t>
      </w:r>
    </w:p>
    <w:p w14:paraId="2E5981ED" w14:textId="08A4A89B" w:rsidR="00224156" w:rsidRDefault="00224156" w:rsidP="002815E0">
      <w:pPr>
        <w:pStyle w:val="ListParagraph"/>
        <w:numPr>
          <w:ilvl w:val="0"/>
          <w:numId w:val="24"/>
        </w:numPr>
      </w:pPr>
      <w:r>
        <w:t>Include HWPs in the LTA calculation and FRL</w:t>
      </w:r>
      <w:r w:rsidR="005C159A">
        <w:t>. Future changes in factors that affect the HWP pool (e.g. conversion to a higher proportion of longer-lived products) are accounted for against the reference level.</w:t>
      </w:r>
      <w:r>
        <w:t xml:space="preserve"> </w:t>
      </w:r>
    </w:p>
    <w:p w14:paraId="3ADA3DDC" w14:textId="77777777" w:rsidR="00224156" w:rsidRDefault="00224156" w:rsidP="002815E0">
      <w:pPr>
        <w:pStyle w:val="ListParagraph"/>
        <w:numPr>
          <w:ilvl w:val="0"/>
          <w:numId w:val="24"/>
        </w:numPr>
      </w:pPr>
      <w:r>
        <w:t>Include in the LTA but not in the FRL. Recalculation of the LTA is required if there are changes in HWP factors affecting net emissions from the pool.</w:t>
      </w:r>
    </w:p>
    <w:p w14:paraId="6183F5D0" w14:textId="7FA318CF" w:rsidR="00224156" w:rsidRDefault="00224156" w:rsidP="002815E0">
      <w:pPr>
        <w:pStyle w:val="ListParagraph"/>
        <w:numPr>
          <w:ilvl w:val="0"/>
          <w:numId w:val="24"/>
        </w:numPr>
      </w:pPr>
      <w:r>
        <w:t xml:space="preserve">Exclude from both the LTA and the FRL. </w:t>
      </w:r>
      <w:r w:rsidR="00990822">
        <w:t>HWPs are accounted for in full under stock change accounting, based on the production and trade data inputs to the HWP model. Projections over the compliance period would need to be made using the HWP Model.</w:t>
      </w:r>
    </w:p>
    <w:p w14:paraId="1E7A250D" w14:textId="77777777" w:rsidR="00224156" w:rsidRDefault="00224156" w:rsidP="00224156"/>
    <w:p w14:paraId="4EEC1A32" w14:textId="77777777" w:rsidR="00224156" w:rsidRDefault="00224156" w:rsidP="00224156">
      <w:r>
        <w:t>In New Zealand’s greenhouse gas inventory reporting, HWPs are assumed to be produced from planted forests – the contribution from natural forests is currently negligible. The contribution from permanent forests (e.g. forests managed under continuous cover forestry systems) is likely to be even lower, so it can be assumed that HWPs are produced by rotational forests – whether above or below the LTA age in 2021.</w:t>
      </w:r>
    </w:p>
    <w:p w14:paraId="52B5CC06" w14:textId="77777777" w:rsidR="00224156" w:rsidRDefault="00224156" w:rsidP="00224156"/>
    <w:p w14:paraId="2360F68C" w14:textId="4AE9D095" w:rsidR="00224156" w:rsidRDefault="00224156" w:rsidP="00224156">
      <w:r>
        <w:t xml:space="preserve">The HWP pool </w:t>
      </w:r>
      <w:r w:rsidR="002C23C4">
        <w:t xml:space="preserve">accounting quantity </w:t>
      </w:r>
      <w:r>
        <w:t>can fluctuate from sink to source in line with high and low periods of post-1989 planted forest harvesting. Inclusion within the LTA is therefore desirable, as stock change accounting may lead to the issues that averaging accounting is designed to prevent. This is a disadvantage of the third option</w:t>
      </w:r>
      <w:r w:rsidR="00FD4054">
        <w:t xml:space="preserve"> (c)</w:t>
      </w:r>
      <w:r>
        <w:t>.</w:t>
      </w:r>
    </w:p>
    <w:p w14:paraId="59DF0FB5" w14:textId="77777777" w:rsidR="00224156" w:rsidRDefault="00224156" w:rsidP="00224156"/>
    <w:p w14:paraId="5D6A6B18" w14:textId="52DB3A83" w:rsidR="00224156" w:rsidRDefault="00224156" w:rsidP="00224156">
      <w:r>
        <w:t xml:space="preserve">The LTA </w:t>
      </w:r>
      <w:r w:rsidR="0011379F">
        <w:t xml:space="preserve">Calculator </w:t>
      </w:r>
      <w:r>
        <w:t>allows users to choose whether to include HWPs in the calculation of the LTA stock. When included, they add about six years to the LTA age, extending the period over which stock change accounting applies</w:t>
      </w:r>
      <w:r w:rsidRPr="00CD7B4A">
        <w:t>.</w:t>
      </w:r>
      <w:r>
        <w:t xml:space="preserve"> If factors such as log market mix, end uses within log markets and lifespans for end uses change in future, the calculated LTA age would no longer be correct</w:t>
      </w:r>
      <w:r w:rsidR="002A4DA7">
        <w:t xml:space="preserve">, so either </w:t>
      </w:r>
      <w:r w:rsidR="000D26AB">
        <w:t>re</w:t>
      </w:r>
      <w:r w:rsidR="00BC4E62">
        <w:t>calculation</w:t>
      </w:r>
      <w:r w:rsidR="002A4DA7">
        <w:t xml:space="preserve"> of the LTA or </w:t>
      </w:r>
      <w:r w:rsidR="00BC4E62">
        <w:t>accounting against a reference level is required</w:t>
      </w:r>
      <w:r>
        <w:t>. Recalculating the LTA based on revised LTA assumptions that better reflect the expected LTA stock (second option</w:t>
      </w:r>
      <w:r w:rsidR="00FD4054">
        <w:t>, b</w:t>
      </w:r>
      <w:r>
        <w:t>) would be simple, but recalculations may lead to a loss of confidence in progress towards international and domestic emission reduction targets</w:t>
      </w:r>
      <w:r w:rsidRPr="007E0FA9">
        <w:t>.</w:t>
      </w:r>
    </w:p>
    <w:p w14:paraId="569B577A" w14:textId="77777777" w:rsidR="00224156" w:rsidRDefault="00224156" w:rsidP="00224156"/>
    <w:p w14:paraId="0DA50857" w14:textId="77777777" w:rsidR="006362BA" w:rsidRDefault="006362BA" w:rsidP="006362BA">
      <w:r>
        <w:t>For reference level accounting as in option (a) to successfully capture changes in actual HWP pool stocks compared with what was assumed when calculating the LTA, the actual HWP pool changes need to be tracked and compared on a like-for-like basis with the FRL. The difficulty here is that the HWP Carbon Accounting Model for reporting is based on roundwood removal and HWP production and trade data that does not distinguish between the source, whether pre-1990 forest, post-1989 rotational forest (above or below the LTA) or permanent forest. This is modelled at the level of “HWP category end uses within markets” (e.g. “</w:t>
      </w:r>
      <w:r w:rsidRPr="00902952">
        <w:rPr>
          <w:i/>
          <w:iCs/>
        </w:rPr>
        <w:t>sawn timber used for concrete formwork and produced from export logs sent to China</w:t>
      </w:r>
      <w:r>
        <w:t>”). There is no direct link to the harvested area reported or the assumed biomass removed as roundwood.</w:t>
      </w:r>
    </w:p>
    <w:p w14:paraId="2D69D684" w14:textId="77777777" w:rsidR="00224156" w:rsidRDefault="00224156" w:rsidP="00224156"/>
    <w:p w14:paraId="254F8983" w14:textId="1A84E973" w:rsidR="00E94C2D" w:rsidRDefault="00E94C2D" w:rsidP="00E94C2D">
      <w:r>
        <w:t xml:space="preserve">The LTA </w:t>
      </w:r>
      <w:r w:rsidR="00E36D19">
        <w:t xml:space="preserve">Calculator </w:t>
      </w:r>
      <w:r>
        <w:t xml:space="preserve">estimates the HWP pool stocks by applying a weighted national HWP discard table to the roundwood assumed to be produced at the assumed rotation age. This discard table is </w:t>
      </w:r>
      <w:r>
        <w:lastRenderedPageBreak/>
        <w:t xml:space="preserve">derived from separate tables for export log markets and the domestic market. This same table is used to produce HWP estimates for the </w:t>
      </w:r>
      <w:r w:rsidR="00EE3CAB">
        <w:t>pre-1990</w:t>
      </w:r>
      <w:r w:rsidR="005B0322">
        <w:t xml:space="preserve"> </w:t>
      </w:r>
      <w:r>
        <w:t>FRL</w:t>
      </w:r>
      <w:r w:rsidR="00E5591F">
        <w:t xml:space="preserve"> and would be used for the post-1989 FRL</w:t>
      </w:r>
      <w:r>
        <w:t>, by applying it to the projected harvest beyond the LTA assumed in the FRL. It would be difficult to generate the HWP pool contribution to the FRL directly from the HWP Model – this would require:</w:t>
      </w:r>
    </w:p>
    <w:p w14:paraId="775B22FB" w14:textId="77777777" w:rsidR="00E94C2D" w:rsidRDefault="00E94C2D" w:rsidP="00E94C2D">
      <w:pPr>
        <w:pStyle w:val="ListParagraph"/>
        <w:numPr>
          <w:ilvl w:val="0"/>
          <w:numId w:val="25"/>
        </w:numPr>
      </w:pPr>
      <w:r>
        <w:t>CRA simulation of harvesting beyond the LTA age (and potentially beyond current age for areas already past the LTA age), and estimation of the annual quantity of roundwood removed.</w:t>
      </w:r>
    </w:p>
    <w:p w14:paraId="7E59E074" w14:textId="77777777" w:rsidR="00E94C2D" w:rsidRDefault="00E94C2D" w:rsidP="00E94C2D">
      <w:pPr>
        <w:pStyle w:val="ListParagraph"/>
        <w:numPr>
          <w:ilvl w:val="0"/>
          <w:numId w:val="25"/>
        </w:numPr>
      </w:pPr>
      <w:r>
        <w:t>Allocation of the annual roundwood removed to log markets (domestic and export) and further allocation to HWP products and end uses, after allowing for waste, export pulp and wood chips, and posts and poles.</w:t>
      </w:r>
    </w:p>
    <w:p w14:paraId="5904CA49" w14:textId="77777777" w:rsidR="00E94C2D" w:rsidRDefault="00E94C2D" w:rsidP="00E94C2D">
      <w:pPr>
        <w:pStyle w:val="ListParagraph"/>
        <w:numPr>
          <w:ilvl w:val="0"/>
          <w:numId w:val="25"/>
        </w:numPr>
      </w:pPr>
      <w:r>
        <w:t>Calculation of HWP pool changes with the HWP Model.</w:t>
      </w:r>
    </w:p>
    <w:p w14:paraId="27D12E02" w14:textId="77777777" w:rsidR="00E94C2D" w:rsidRDefault="00E94C2D" w:rsidP="00E94C2D">
      <w:r>
        <w:t>Differences between the FRL calculated in this way and the HWP pool changes ultimately reported may still arise even in the absence of fundamental changes in end uses and lifespans, as reporting is based on independent production and trade estimates.</w:t>
      </w:r>
    </w:p>
    <w:p w14:paraId="3F169210" w14:textId="77777777" w:rsidR="00FF030E" w:rsidRDefault="00FF030E">
      <w:pPr>
        <w:rPr>
          <w:lang w:eastAsia="en-NZ"/>
        </w:rPr>
      </w:pPr>
    </w:p>
    <w:p w14:paraId="75D59C94" w14:textId="535B3B7A" w:rsidR="00FF030E" w:rsidRPr="00FF030E" w:rsidRDefault="00FF030E" w:rsidP="00FF030E">
      <w:pPr>
        <w:pStyle w:val="Heading2"/>
        <w:rPr>
          <w:b w:val="0"/>
          <w:bCs/>
          <w:lang w:eastAsia="en-NZ"/>
        </w:rPr>
      </w:pPr>
      <w:bookmarkStart w:id="7" w:name="_Toc178255280"/>
      <w:r w:rsidRPr="00FF030E">
        <w:rPr>
          <w:rStyle w:val="Strong"/>
          <w:b/>
          <w:bCs w:val="0"/>
        </w:rPr>
        <w:t>Purpose of this report</w:t>
      </w:r>
      <w:bookmarkEnd w:id="7"/>
    </w:p>
    <w:p w14:paraId="4ABC05BD" w14:textId="77777777" w:rsidR="00FF030E" w:rsidRDefault="00FF030E">
      <w:pPr>
        <w:rPr>
          <w:lang w:eastAsia="en-NZ"/>
        </w:rPr>
      </w:pPr>
    </w:p>
    <w:p w14:paraId="68D2CDC2" w14:textId="03B71A51" w:rsidR="00260FFE" w:rsidRDefault="007D10AF" w:rsidP="00DB6CA7">
      <w:pPr>
        <w:spacing w:line="276" w:lineRule="auto"/>
        <w:rPr>
          <w:lang w:eastAsia="en-NZ"/>
        </w:rPr>
      </w:pPr>
      <w:r>
        <w:rPr>
          <w:lang w:eastAsia="en-NZ"/>
        </w:rPr>
        <w:t xml:space="preserve">This report describes the options selected for the treatment of </w:t>
      </w:r>
      <w:r w:rsidR="00BF6309">
        <w:rPr>
          <w:lang w:eastAsia="en-NZ"/>
        </w:rPr>
        <w:t xml:space="preserve">the pools within </w:t>
      </w:r>
      <w:r>
        <w:rPr>
          <w:lang w:eastAsia="en-NZ"/>
        </w:rPr>
        <w:t>components of the post-1989 forest</w:t>
      </w:r>
      <w:r w:rsidR="00BF6309">
        <w:rPr>
          <w:lang w:eastAsia="en-NZ"/>
        </w:rPr>
        <w:t xml:space="preserve"> </w:t>
      </w:r>
      <w:r w:rsidR="00260FFE">
        <w:rPr>
          <w:lang w:eastAsia="en-NZ"/>
        </w:rPr>
        <w:t>for accounting under the Paris Agreement.</w:t>
      </w:r>
    </w:p>
    <w:p w14:paraId="15CA13FF" w14:textId="77777777" w:rsidR="00260FFE" w:rsidRDefault="00260FFE" w:rsidP="00DB6CA7">
      <w:pPr>
        <w:spacing w:line="276" w:lineRule="auto"/>
        <w:rPr>
          <w:lang w:eastAsia="en-NZ"/>
        </w:rPr>
      </w:pPr>
    </w:p>
    <w:p w14:paraId="4CEB3484" w14:textId="77777777" w:rsidR="00260FFE" w:rsidRDefault="00260FFE" w:rsidP="00DB6CA7">
      <w:pPr>
        <w:spacing w:line="276" w:lineRule="auto"/>
        <w:rPr>
          <w:lang w:eastAsia="en-NZ"/>
        </w:rPr>
      </w:pPr>
      <w:r>
        <w:rPr>
          <w:lang w:eastAsia="en-NZ"/>
        </w:rPr>
        <w:t>It</w:t>
      </w:r>
      <w:r w:rsidR="00DB6CA7">
        <w:rPr>
          <w:lang w:eastAsia="en-NZ"/>
        </w:rPr>
        <w:t xml:space="preserve"> describes</w:t>
      </w:r>
      <w:r>
        <w:rPr>
          <w:lang w:eastAsia="en-NZ"/>
        </w:rPr>
        <w:t>:</w:t>
      </w:r>
    </w:p>
    <w:p w14:paraId="45D69D51" w14:textId="6DFD7382" w:rsidR="00260FFE" w:rsidRDefault="00DB6CA7" w:rsidP="002815E0">
      <w:pPr>
        <w:pStyle w:val="ListParagraph"/>
        <w:numPr>
          <w:ilvl w:val="0"/>
          <w:numId w:val="27"/>
        </w:numPr>
        <w:spacing w:line="276" w:lineRule="auto"/>
        <w:rPr>
          <w:lang w:eastAsia="en-NZ"/>
        </w:rPr>
      </w:pPr>
      <w:r>
        <w:rPr>
          <w:lang w:eastAsia="en-NZ"/>
        </w:rPr>
        <w:t xml:space="preserve">the </w:t>
      </w:r>
      <w:r w:rsidR="007E28A2">
        <w:rPr>
          <w:lang w:eastAsia="en-NZ"/>
        </w:rPr>
        <w:t xml:space="preserve">accounting </w:t>
      </w:r>
      <w:r w:rsidR="000E719A">
        <w:rPr>
          <w:lang w:eastAsia="en-NZ"/>
        </w:rPr>
        <w:t xml:space="preserve">approach </w:t>
      </w:r>
      <w:r w:rsidR="007E28A2">
        <w:rPr>
          <w:lang w:eastAsia="en-NZ"/>
        </w:rPr>
        <w:t>adopted for</w:t>
      </w:r>
      <w:r>
        <w:rPr>
          <w:lang w:eastAsia="en-NZ"/>
        </w:rPr>
        <w:t xml:space="preserve"> different post-1989 forest types</w:t>
      </w:r>
      <w:r w:rsidR="002259AF">
        <w:rPr>
          <w:lang w:eastAsia="en-NZ"/>
        </w:rPr>
        <w:t>.</w:t>
      </w:r>
      <w:r>
        <w:rPr>
          <w:lang w:eastAsia="en-NZ"/>
        </w:rPr>
        <w:t xml:space="preserve"> </w:t>
      </w:r>
    </w:p>
    <w:p w14:paraId="41D9CEA9" w14:textId="7B06B7D4" w:rsidR="00233317" w:rsidRDefault="00DB6CA7" w:rsidP="002815E0">
      <w:pPr>
        <w:pStyle w:val="ListParagraph"/>
        <w:numPr>
          <w:ilvl w:val="0"/>
          <w:numId w:val="27"/>
        </w:numPr>
        <w:spacing w:line="276" w:lineRule="auto"/>
        <w:rPr>
          <w:lang w:eastAsia="en-NZ"/>
        </w:rPr>
      </w:pPr>
      <w:r>
        <w:rPr>
          <w:lang w:eastAsia="en-NZ"/>
        </w:rPr>
        <w:t>the input setting</w:t>
      </w:r>
      <w:r w:rsidR="00260FFE">
        <w:rPr>
          <w:lang w:eastAsia="en-NZ"/>
        </w:rPr>
        <w:t>s</w:t>
      </w:r>
      <w:r>
        <w:rPr>
          <w:lang w:eastAsia="en-NZ"/>
        </w:rPr>
        <w:t xml:space="preserve"> used in the LTA </w:t>
      </w:r>
      <w:r w:rsidR="00114359">
        <w:rPr>
          <w:lang w:eastAsia="en-NZ"/>
        </w:rPr>
        <w:t xml:space="preserve">Calculator </w:t>
      </w:r>
      <w:r>
        <w:rPr>
          <w:lang w:eastAsia="en-NZ"/>
        </w:rPr>
        <w:t xml:space="preserve">(Dovey </w:t>
      </w:r>
      <w:r w:rsidR="00581294">
        <w:rPr>
          <w:lang w:eastAsia="en-NZ"/>
        </w:rPr>
        <w:t xml:space="preserve">&amp; </w:t>
      </w:r>
      <w:r>
        <w:rPr>
          <w:lang w:eastAsia="en-NZ"/>
        </w:rPr>
        <w:t>Wakelin</w:t>
      </w:r>
      <w:r w:rsidR="005E26AD">
        <w:rPr>
          <w:lang w:eastAsia="en-NZ"/>
        </w:rPr>
        <w:t>,</w:t>
      </w:r>
      <w:r>
        <w:rPr>
          <w:lang w:eastAsia="en-NZ"/>
        </w:rPr>
        <w:t xml:space="preserve"> 2024) </w:t>
      </w:r>
      <w:r w:rsidR="00233317">
        <w:rPr>
          <w:lang w:eastAsia="en-NZ"/>
        </w:rPr>
        <w:t xml:space="preserve">to calculate the LTA stock and age, </w:t>
      </w:r>
      <w:r>
        <w:rPr>
          <w:lang w:eastAsia="en-NZ"/>
        </w:rPr>
        <w:t>where appropriate.</w:t>
      </w:r>
    </w:p>
    <w:p w14:paraId="2979D336" w14:textId="7CC3F593" w:rsidR="007E28A2" w:rsidRDefault="002259AF" w:rsidP="002815E0">
      <w:pPr>
        <w:pStyle w:val="ListParagraph"/>
        <w:numPr>
          <w:ilvl w:val="0"/>
          <w:numId w:val="27"/>
        </w:numPr>
        <w:spacing w:line="276" w:lineRule="auto"/>
        <w:rPr>
          <w:lang w:eastAsia="en-NZ"/>
        </w:rPr>
      </w:pPr>
      <w:r>
        <w:rPr>
          <w:lang w:eastAsia="en-NZ"/>
        </w:rPr>
        <w:t>t</w:t>
      </w:r>
      <w:r w:rsidR="007E28A2">
        <w:rPr>
          <w:lang w:eastAsia="en-NZ"/>
        </w:rPr>
        <w:t>he calculated LTA stock and age</w:t>
      </w:r>
      <w:r>
        <w:rPr>
          <w:lang w:eastAsia="en-NZ"/>
        </w:rPr>
        <w:t>.</w:t>
      </w:r>
    </w:p>
    <w:p w14:paraId="69117CD0" w14:textId="1C06F9C1" w:rsidR="00693E15" w:rsidRDefault="00693E15" w:rsidP="002815E0">
      <w:pPr>
        <w:pStyle w:val="ListParagraph"/>
        <w:numPr>
          <w:ilvl w:val="0"/>
          <w:numId w:val="27"/>
        </w:numPr>
        <w:spacing w:line="276" w:lineRule="auto"/>
        <w:rPr>
          <w:lang w:eastAsia="en-NZ"/>
        </w:rPr>
      </w:pPr>
      <w:r w:rsidRPr="00693E15">
        <w:rPr>
          <w:lang w:eastAsia="en-NZ"/>
        </w:rPr>
        <w:t xml:space="preserve">the assumptions made when deriving the post-1989 Forest Reference Level (FRL) reflecting business as usual net emissions from post-1989 forests above the LTA age during the Paris Agreement </w:t>
      </w:r>
      <w:r w:rsidRPr="00FC2883">
        <w:rPr>
          <w:lang w:eastAsia="en-NZ"/>
        </w:rPr>
        <w:t>compliance period of 2021-2030</w:t>
      </w:r>
      <w:r w:rsidR="00FC2883" w:rsidRPr="00FC2883">
        <w:rPr>
          <w:lang w:eastAsia="en-NZ"/>
        </w:rPr>
        <w:t>, and the approach to calculating this using the LUCAS C</w:t>
      </w:r>
      <w:r w:rsidR="00FC2883">
        <w:rPr>
          <w:lang w:eastAsia="en-NZ"/>
        </w:rPr>
        <w:t>RA.</w:t>
      </w:r>
    </w:p>
    <w:p w14:paraId="20EFDC0D" w14:textId="4A249F7C" w:rsidR="001A378B" w:rsidRPr="00693E15" w:rsidRDefault="00900D96" w:rsidP="001A378B">
      <w:pPr>
        <w:pStyle w:val="ListParagraph"/>
        <w:numPr>
          <w:ilvl w:val="0"/>
          <w:numId w:val="27"/>
        </w:numPr>
        <w:spacing w:line="276" w:lineRule="auto"/>
        <w:rPr>
          <w:lang w:eastAsia="en-NZ"/>
        </w:rPr>
      </w:pPr>
      <w:r>
        <w:rPr>
          <w:lang w:eastAsia="en-NZ"/>
        </w:rPr>
        <w:t>a</w:t>
      </w:r>
      <w:r w:rsidR="001A378B">
        <w:rPr>
          <w:lang w:eastAsia="en-NZ"/>
        </w:rPr>
        <w:t xml:space="preserve"> simplified demonstration implementation of averaging accounting.</w:t>
      </w:r>
    </w:p>
    <w:p w14:paraId="3D1108A7" w14:textId="77777777" w:rsidR="001A378B" w:rsidRPr="00693E15" w:rsidRDefault="001A378B" w:rsidP="001A378B">
      <w:pPr>
        <w:pStyle w:val="ListParagraph"/>
        <w:spacing w:line="276" w:lineRule="auto"/>
        <w:ind w:left="780"/>
        <w:rPr>
          <w:lang w:eastAsia="en-NZ"/>
        </w:rPr>
      </w:pPr>
    </w:p>
    <w:p w14:paraId="21CF78C4" w14:textId="26FC1B3B" w:rsidR="00BC5F45" w:rsidRDefault="000306CD" w:rsidP="00DB6CA7">
      <w:pPr>
        <w:spacing w:line="276" w:lineRule="auto"/>
        <w:rPr>
          <w:strike/>
          <w:lang w:val="en-NZ" w:eastAsia="en-NZ"/>
        </w:rPr>
      </w:pPr>
      <w:r>
        <w:rPr>
          <w:lang w:eastAsia="en-NZ"/>
        </w:rPr>
        <w:t xml:space="preserve">The annual and cumulative net emissions over the compliance period </w:t>
      </w:r>
      <w:r w:rsidR="00892A92">
        <w:rPr>
          <w:lang w:eastAsia="en-NZ"/>
        </w:rPr>
        <w:t>will be</w:t>
      </w:r>
      <w:r>
        <w:rPr>
          <w:lang w:eastAsia="en-NZ"/>
        </w:rPr>
        <w:t xml:space="preserve"> estimated </w:t>
      </w:r>
      <w:r w:rsidR="00892A92">
        <w:rPr>
          <w:lang w:eastAsia="en-NZ"/>
        </w:rPr>
        <w:t>using</w:t>
      </w:r>
      <w:r>
        <w:rPr>
          <w:lang w:eastAsia="en-NZ"/>
        </w:rPr>
        <w:t xml:space="preserve"> the LUCAS CRA.</w:t>
      </w:r>
    </w:p>
    <w:p w14:paraId="346CF843" w14:textId="77777777" w:rsidR="002259AF" w:rsidRDefault="002259AF" w:rsidP="00DB6CA7">
      <w:pPr>
        <w:spacing w:line="276" w:lineRule="auto"/>
        <w:rPr>
          <w:lang w:eastAsia="en-NZ"/>
        </w:rPr>
      </w:pPr>
    </w:p>
    <w:p w14:paraId="3D39380E" w14:textId="137C6EF5" w:rsidR="00310D36" w:rsidRDefault="00310D36">
      <w:pPr>
        <w:rPr>
          <w:lang w:eastAsia="en-NZ"/>
        </w:rPr>
      </w:pPr>
      <w:r>
        <w:rPr>
          <w:lang w:eastAsia="en-NZ"/>
        </w:rPr>
        <w:br w:type="page"/>
      </w:r>
    </w:p>
    <w:p w14:paraId="411385A4" w14:textId="77777777" w:rsidR="00D82968" w:rsidRDefault="00D82968" w:rsidP="00A35F7A">
      <w:pPr>
        <w:spacing w:line="276" w:lineRule="auto"/>
        <w:rPr>
          <w:lang w:eastAsia="en-NZ"/>
        </w:rPr>
      </w:pPr>
    </w:p>
    <w:p w14:paraId="2A9E70C7" w14:textId="057B08A3" w:rsidR="00640D43" w:rsidRPr="009D6BD3" w:rsidRDefault="00640D43" w:rsidP="00640D43">
      <w:pPr>
        <w:pStyle w:val="Heading1"/>
        <w:spacing w:line="276" w:lineRule="auto"/>
        <w:rPr>
          <w:color w:val="FF0000"/>
          <w:sz w:val="24"/>
        </w:rPr>
      </w:pPr>
      <w:bookmarkStart w:id="8" w:name="_Toc178255281"/>
      <w:r>
        <w:t>Methods</w:t>
      </w:r>
      <w:bookmarkEnd w:id="8"/>
    </w:p>
    <w:p w14:paraId="16DA09A2" w14:textId="3380AD15" w:rsidR="00862A95" w:rsidRDefault="00310D36" w:rsidP="00D86C71">
      <w:pPr>
        <w:pStyle w:val="Heading2"/>
        <w:rPr>
          <w:lang w:eastAsia="en-NZ"/>
        </w:rPr>
      </w:pPr>
      <w:bookmarkStart w:id="9" w:name="_Toc178255282"/>
      <w:r>
        <w:rPr>
          <w:lang w:eastAsia="en-NZ"/>
        </w:rPr>
        <w:t xml:space="preserve">Long-term Average </w:t>
      </w:r>
      <w:r w:rsidR="0095151A">
        <w:rPr>
          <w:lang w:eastAsia="en-NZ"/>
        </w:rPr>
        <w:t xml:space="preserve">Biomass </w:t>
      </w:r>
      <w:r>
        <w:rPr>
          <w:lang w:eastAsia="en-NZ"/>
        </w:rPr>
        <w:t>Stock and Age Estimates</w:t>
      </w:r>
      <w:bookmarkEnd w:id="9"/>
    </w:p>
    <w:p w14:paraId="48A7A316" w14:textId="04A9DE98" w:rsidR="006A1218" w:rsidRDefault="00310D36" w:rsidP="00A35F7A">
      <w:pPr>
        <w:spacing w:line="276" w:lineRule="auto"/>
        <w:rPr>
          <w:lang w:eastAsia="en-NZ"/>
        </w:rPr>
      </w:pPr>
      <w:r>
        <w:rPr>
          <w:lang w:eastAsia="en-NZ"/>
        </w:rPr>
        <w:t xml:space="preserve">Approaches </w:t>
      </w:r>
      <w:r w:rsidR="00A13FFC">
        <w:rPr>
          <w:lang w:eastAsia="en-NZ"/>
        </w:rPr>
        <w:t xml:space="preserve">used for </w:t>
      </w:r>
      <w:r>
        <w:rPr>
          <w:lang w:eastAsia="en-NZ"/>
        </w:rPr>
        <w:t xml:space="preserve">calculating </w:t>
      </w:r>
      <w:r w:rsidR="000E0547">
        <w:rPr>
          <w:lang w:eastAsia="en-NZ"/>
        </w:rPr>
        <w:t xml:space="preserve">the LTA stock and LTA age are different for different types of </w:t>
      </w:r>
      <w:r w:rsidR="00B814B5">
        <w:rPr>
          <w:lang w:eastAsia="en-NZ"/>
        </w:rPr>
        <w:t>post-1989 forest.</w:t>
      </w:r>
      <w:r w:rsidR="00F122F3">
        <w:rPr>
          <w:lang w:eastAsia="en-NZ"/>
        </w:rPr>
        <w:t xml:space="preserve"> The intended management of </w:t>
      </w:r>
      <w:r w:rsidR="00A528F1">
        <w:rPr>
          <w:lang w:eastAsia="en-NZ"/>
        </w:rPr>
        <w:t>any given post-1989 forest is usually unknown and can change over time</w:t>
      </w:r>
      <w:r w:rsidR="003D1A7D">
        <w:rPr>
          <w:lang w:eastAsia="en-NZ"/>
        </w:rPr>
        <w:t xml:space="preserve">, affecting the </w:t>
      </w:r>
      <w:r w:rsidR="00690D4B">
        <w:rPr>
          <w:lang w:eastAsia="en-NZ"/>
        </w:rPr>
        <w:t xml:space="preserve">LTA stock ultimately achieved. The approach taken </w:t>
      </w:r>
      <w:r w:rsidR="00E713ED">
        <w:rPr>
          <w:lang w:eastAsia="en-NZ"/>
        </w:rPr>
        <w:t>here i</w:t>
      </w:r>
      <w:r w:rsidR="00690D4B">
        <w:rPr>
          <w:lang w:eastAsia="en-NZ"/>
        </w:rPr>
        <w:t xml:space="preserve">s to </w:t>
      </w:r>
      <w:r w:rsidR="006A1218">
        <w:rPr>
          <w:lang w:eastAsia="en-NZ"/>
        </w:rPr>
        <w:t>assume typical management within three broad forest types:</w:t>
      </w:r>
    </w:p>
    <w:p w14:paraId="3C9DF245" w14:textId="62868B63" w:rsidR="006A1218" w:rsidRPr="009D6BD3" w:rsidRDefault="006A1218" w:rsidP="002815E0">
      <w:pPr>
        <w:pStyle w:val="ListParagraph"/>
        <w:numPr>
          <w:ilvl w:val="0"/>
          <w:numId w:val="8"/>
        </w:numPr>
        <w:spacing w:line="276" w:lineRule="auto"/>
        <w:rPr>
          <w:lang w:eastAsia="en-NZ"/>
        </w:rPr>
      </w:pPr>
      <w:r>
        <w:rPr>
          <w:lang w:eastAsia="en-NZ"/>
        </w:rPr>
        <w:t>Natural forests</w:t>
      </w:r>
      <w:r w:rsidR="004147FA">
        <w:rPr>
          <w:lang w:eastAsia="en-NZ"/>
        </w:rPr>
        <w:t xml:space="preserve"> (</w:t>
      </w:r>
      <w:r w:rsidR="009425F1">
        <w:rPr>
          <w:lang w:eastAsia="en-NZ"/>
        </w:rPr>
        <w:t xml:space="preserve">estimated </w:t>
      </w:r>
      <w:r w:rsidR="009425F1" w:rsidRPr="009D6BD3">
        <w:rPr>
          <w:lang w:eastAsia="en-NZ"/>
        </w:rPr>
        <w:t xml:space="preserve">to be </w:t>
      </w:r>
      <w:r w:rsidR="00FD0808" w:rsidRPr="009D6BD3">
        <w:rPr>
          <w:lang w:eastAsia="en-NZ"/>
        </w:rPr>
        <w:t>12</w:t>
      </w:r>
      <w:r w:rsidR="00246D51" w:rsidRPr="009D6BD3">
        <w:rPr>
          <w:lang w:eastAsia="en-NZ"/>
        </w:rPr>
        <w:t>%</w:t>
      </w:r>
      <w:r w:rsidR="009368C2" w:rsidRPr="009D6BD3">
        <w:rPr>
          <w:rStyle w:val="FootnoteReference"/>
          <w:lang w:eastAsia="en-NZ"/>
        </w:rPr>
        <w:footnoteReference w:id="3"/>
      </w:r>
      <w:r w:rsidR="00246D51" w:rsidRPr="009D6BD3">
        <w:rPr>
          <w:lang w:eastAsia="en-NZ"/>
        </w:rPr>
        <w:t xml:space="preserve"> of post-1989 forests)</w:t>
      </w:r>
    </w:p>
    <w:p w14:paraId="47558AEE" w14:textId="64DC36DD" w:rsidR="009F3132" w:rsidRPr="009D6BD3" w:rsidRDefault="009F3132" w:rsidP="002815E0">
      <w:pPr>
        <w:pStyle w:val="ListParagraph"/>
        <w:numPr>
          <w:ilvl w:val="0"/>
          <w:numId w:val="8"/>
        </w:numPr>
        <w:spacing w:line="276" w:lineRule="auto"/>
        <w:rPr>
          <w:lang w:eastAsia="en-NZ"/>
        </w:rPr>
      </w:pPr>
      <w:r w:rsidRPr="009D6BD3">
        <w:rPr>
          <w:lang w:eastAsia="en-NZ"/>
        </w:rPr>
        <w:t>Rotational planted forests</w:t>
      </w:r>
      <w:r w:rsidR="00246D51" w:rsidRPr="009D6BD3">
        <w:rPr>
          <w:lang w:eastAsia="en-NZ"/>
        </w:rPr>
        <w:t xml:space="preserve"> (</w:t>
      </w:r>
      <w:r w:rsidR="00F741E1" w:rsidRPr="009D6BD3">
        <w:rPr>
          <w:lang w:eastAsia="en-NZ"/>
        </w:rPr>
        <w:t>8</w:t>
      </w:r>
      <w:r w:rsidR="00F741E1">
        <w:rPr>
          <w:lang w:eastAsia="en-NZ"/>
        </w:rPr>
        <w:t>2.7</w:t>
      </w:r>
      <w:r w:rsidR="00246D51" w:rsidRPr="009D6BD3">
        <w:rPr>
          <w:lang w:eastAsia="en-NZ"/>
        </w:rPr>
        <w:t>% of post-1989 forests)</w:t>
      </w:r>
    </w:p>
    <w:p w14:paraId="00B4C0E7" w14:textId="005E1B22" w:rsidR="009F3132" w:rsidRDefault="009F3132" w:rsidP="002815E0">
      <w:pPr>
        <w:pStyle w:val="ListParagraph"/>
        <w:numPr>
          <w:ilvl w:val="0"/>
          <w:numId w:val="8"/>
        </w:numPr>
        <w:spacing w:line="276" w:lineRule="auto"/>
        <w:rPr>
          <w:lang w:eastAsia="en-NZ"/>
        </w:rPr>
      </w:pPr>
      <w:r w:rsidRPr="009D6BD3">
        <w:rPr>
          <w:lang w:eastAsia="en-NZ"/>
        </w:rPr>
        <w:t>Permanent planted forests</w:t>
      </w:r>
      <w:r w:rsidR="00246D51" w:rsidRPr="009D6BD3">
        <w:rPr>
          <w:lang w:eastAsia="en-NZ"/>
        </w:rPr>
        <w:t xml:space="preserve"> (</w:t>
      </w:r>
      <w:r w:rsidR="00FD0808" w:rsidRPr="009D6BD3">
        <w:rPr>
          <w:lang w:eastAsia="en-NZ"/>
        </w:rPr>
        <w:t>5</w:t>
      </w:r>
      <w:r w:rsidR="00F741E1">
        <w:rPr>
          <w:lang w:eastAsia="en-NZ"/>
        </w:rPr>
        <w:t>.3</w:t>
      </w:r>
      <w:r w:rsidR="00246D51" w:rsidRPr="009D6BD3">
        <w:rPr>
          <w:lang w:eastAsia="en-NZ"/>
        </w:rPr>
        <w:t>% of</w:t>
      </w:r>
      <w:r w:rsidR="00246D51">
        <w:rPr>
          <w:lang w:eastAsia="en-NZ"/>
        </w:rPr>
        <w:t xml:space="preserve"> post-1989 forests</w:t>
      </w:r>
      <w:r w:rsidR="001C682F">
        <w:rPr>
          <w:lang w:eastAsia="en-NZ"/>
        </w:rPr>
        <w:t>)</w:t>
      </w:r>
    </w:p>
    <w:p w14:paraId="36EA1A12" w14:textId="77777777" w:rsidR="00D637DF" w:rsidRDefault="00D637DF" w:rsidP="00D637DF">
      <w:pPr>
        <w:spacing w:line="276" w:lineRule="auto"/>
        <w:rPr>
          <w:lang w:eastAsia="en-NZ"/>
        </w:rPr>
      </w:pPr>
    </w:p>
    <w:p w14:paraId="26E719D1" w14:textId="55F2B2FD" w:rsidR="003D48AC" w:rsidRDefault="003D48AC" w:rsidP="00D637DF">
      <w:pPr>
        <w:spacing w:line="276" w:lineRule="auto"/>
        <w:rPr>
          <w:lang w:eastAsia="en-NZ"/>
        </w:rPr>
      </w:pPr>
      <w:r>
        <w:rPr>
          <w:lang w:eastAsia="en-NZ"/>
        </w:rPr>
        <w:t xml:space="preserve">The following </w:t>
      </w:r>
      <w:r w:rsidR="00F13D12">
        <w:rPr>
          <w:lang w:eastAsia="en-NZ"/>
        </w:rPr>
        <w:t>sections</w:t>
      </w:r>
      <w:r>
        <w:rPr>
          <w:lang w:eastAsia="en-NZ"/>
        </w:rPr>
        <w:t xml:space="preserve"> describe the characteristics of these </w:t>
      </w:r>
      <w:r w:rsidR="00F9793B">
        <w:rPr>
          <w:lang w:eastAsia="en-NZ"/>
        </w:rPr>
        <w:t>forest types and the likely development of forest carbon stocks over time.</w:t>
      </w:r>
      <w:r w:rsidR="00660FE2">
        <w:rPr>
          <w:lang w:eastAsia="en-NZ"/>
        </w:rPr>
        <w:t xml:space="preserve"> The contribution of carbon stocks in wood products </w:t>
      </w:r>
      <w:r w:rsidR="00F13D12">
        <w:rPr>
          <w:lang w:eastAsia="en-NZ"/>
        </w:rPr>
        <w:t>and post-harvest residues is covered separately</w:t>
      </w:r>
      <w:r w:rsidR="0053226D">
        <w:rPr>
          <w:lang w:eastAsia="en-NZ"/>
        </w:rPr>
        <w:t>,</w:t>
      </w:r>
      <w:r w:rsidR="00330B3F">
        <w:rPr>
          <w:lang w:eastAsia="en-NZ"/>
        </w:rPr>
        <w:t xml:space="preserve"> </w:t>
      </w:r>
      <w:r w:rsidR="0053226D">
        <w:rPr>
          <w:lang w:eastAsia="en-NZ"/>
        </w:rPr>
        <w:t xml:space="preserve">as is the stock in post-harvest </w:t>
      </w:r>
      <w:r w:rsidR="00330B3F">
        <w:rPr>
          <w:lang w:eastAsia="en-NZ"/>
        </w:rPr>
        <w:t>residues</w:t>
      </w:r>
      <w:r w:rsidR="00F13D12">
        <w:rPr>
          <w:lang w:eastAsia="en-NZ"/>
        </w:rPr>
        <w:t xml:space="preserve">. </w:t>
      </w:r>
      <w:r w:rsidR="007E1009">
        <w:rPr>
          <w:lang w:eastAsia="en-NZ"/>
        </w:rPr>
        <w:t xml:space="preserve">The current level of harvest from natural forests </w:t>
      </w:r>
      <w:r w:rsidR="00330B3F">
        <w:rPr>
          <w:lang w:eastAsia="en-NZ"/>
        </w:rPr>
        <w:t>and</w:t>
      </w:r>
      <w:r w:rsidR="007E1009">
        <w:rPr>
          <w:lang w:eastAsia="en-NZ"/>
        </w:rPr>
        <w:t xml:space="preserve"> </w:t>
      </w:r>
      <w:r w:rsidR="00C01D75">
        <w:rPr>
          <w:lang w:eastAsia="en-NZ"/>
        </w:rPr>
        <w:t>perman</w:t>
      </w:r>
      <w:r w:rsidR="00C15FA0">
        <w:rPr>
          <w:lang w:eastAsia="en-NZ"/>
        </w:rPr>
        <w:t>en</w:t>
      </w:r>
      <w:r w:rsidR="00C01D75">
        <w:rPr>
          <w:lang w:eastAsia="en-NZ"/>
        </w:rPr>
        <w:t xml:space="preserve">t </w:t>
      </w:r>
      <w:r w:rsidR="007E1009">
        <w:rPr>
          <w:lang w:eastAsia="en-NZ"/>
        </w:rPr>
        <w:t>planted forests managed under continuous cover</w:t>
      </w:r>
      <w:r w:rsidR="00BF1C1D">
        <w:rPr>
          <w:lang w:eastAsia="en-NZ"/>
        </w:rPr>
        <w:t xml:space="preserve"> is insignificant</w:t>
      </w:r>
      <w:r w:rsidR="00C01D75">
        <w:rPr>
          <w:lang w:eastAsia="en-NZ"/>
        </w:rPr>
        <w:t xml:space="preserve">, </w:t>
      </w:r>
      <w:r w:rsidR="00435FF8">
        <w:rPr>
          <w:lang w:eastAsia="en-NZ"/>
        </w:rPr>
        <w:t xml:space="preserve">and there is insufficient information to quantify the contribution of HWPs </w:t>
      </w:r>
      <w:r w:rsidR="00B25B29">
        <w:rPr>
          <w:lang w:eastAsia="en-NZ"/>
        </w:rPr>
        <w:t>to long term average stocks in these forest types.</w:t>
      </w:r>
    </w:p>
    <w:p w14:paraId="5572FBC1" w14:textId="77777777" w:rsidR="00B25B29" w:rsidRDefault="00B25B29" w:rsidP="00D637DF">
      <w:pPr>
        <w:spacing w:line="276" w:lineRule="auto"/>
        <w:rPr>
          <w:lang w:eastAsia="en-NZ"/>
        </w:rPr>
      </w:pPr>
    </w:p>
    <w:p w14:paraId="6C3AA5EC" w14:textId="11EA33D6" w:rsidR="00B25B29" w:rsidRDefault="00B25B29" w:rsidP="00D637DF">
      <w:pPr>
        <w:spacing w:line="276" w:lineRule="auto"/>
        <w:rPr>
          <w:lang w:eastAsia="en-NZ"/>
        </w:rPr>
      </w:pPr>
      <w:r>
        <w:rPr>
          <w:lang w:eastAsia="en-NZ"/>
        </w:rPr>
        <w:t xml:space="preserve">The implication of </w:t>
      </w:r>
      <w:r w:rsidR="003F7752">
        <w:rPr>
          <w:lang w:eastAsia="en-NZ"/>
        </w:rPr>
        <w:t>afforestation on s</w:t>
      </w:r>
      <w:r>
        <w:rPr>
          <w:lang w:eastAsia="en-NZ"/>
        </w:rPr>
        <w:t>oil carbon stock</w:t>
      </w:r>
      <w:r w:rsidR="003F7752">
        <w:rPr>
          <w:lang w:eastAsia="en-NZ"/>
        </w:rPr>
        <w:t>s is also discussed in a separate section.</w:t>
      </w:r>
    </w:p>
    <w:p w14:paraId="0C577177" w14:textId="77777777" w:rsidR="00660FE2" w:rsidRDefault="00660FE2" w:rsidP="00D637DF">
      <w:pPr>
        <w:spacing w:line="276" w:lineRule="auto"/>
        <w:rPr>
          <w:lang w:eastAsia="en-NZ"/>
        </w:rPr>
      </w:pPr>
    </w:p>
    <w:p w14:paraId="6C23B81C" w14:textId="77777777" w:rsidR="00E30E89" w:rsidRDefault="00E30E89" w:rsidP="00D86C71">
      <w:pPr>
        <w:pStyle w:val="Heading3"/>
        <w:rPr>
          <w:lang w:eastAsia="en-NZ"/>
        </w:rPr>
      </w:pPr>
      <w:r>
        <w:rPr>
          <w:lang w:eastAsia="en-NZ"/>
        </w:rPr>
        <w:t>Natural Forests</w:t>
      </w:r>
    </w:p>
    <w:p w14:paraId="0E15B44A" w14:textId="41680F29" w:rsidR="0041479B" w:rsidRDefault="0041479B" w:rsidP="0041479B">
      <w:pPr>
        <w:spacing w:line="276" w:lineRule="auto"/>
        <w:rPr>
          <w:lang w:eastAsia="en-NZ"/>
        </w:rPr>
      </w:pPr>
      <w:r>
        <w:rPr>
          <w:lang w:eastAsia="en-NZ"/>
        </w:rPr>
        <w:t>Post-1989 natural forest consists of:</w:t>
      </w:r>
    </w:p>
    <w:p w14:paraId="71B22EE1" w14:textId="10185FFF" w:rsidR="0041479B" w:rsidRDefault="0041479B" w:rsidP="002815E0">
      <w:pPr>
        <w:pStyle w:val="ListParagraph"/>
        <w:numPr>
          <w:ilvl w:val="0"/>
          <w:numId w:val="9"/>
        </w:numPr>
        <w:spacing w:line="276" w:lineRule="auto"/>
        <w:rPr>
          <w:lang w:eastAsia="en-NZ"/>
        </w:rPr>
      </w:pPr>
      <w:r>
        <w:rPr>
          <w:lang w:eastAsia="en-NZ"/>
        </w:rPr>
        <w:t xml:space="preserve">forests arising from natural regeneration of indigenous tree species as a result of </w:t>
      </w:r>
      <w:r w:rsidR="00C02E4E">
        <w:rPr>
          <w:lang w:eastAsia="en-NZ"/>
        </w:rPr>
        <w:t>m</w:t>
      </w:r>
      <w:r>
        <w:rPr>
          <w:lang w:eastAsia="en-NZ"/>
        </w:rPr>
        <w:t>anagement change after 31 December 1989</w:t>
      </w:r>
    </w:p>
    <w:p w14:paraId="13E966DF" w14:textId="11D49CE9" w:rsidR="0041479B" w:rsidRDefault="0041479B" w:rsidP="002815E0">
      <w:pPr>
        <w:pStyle w:val="ListParagraph"/>
        <w:numPr>
          <w:ilvl w:val="0"/>
          <w:numId w:val="9"/>
        </w:numPr>
        <w:spacing w:line="276" w:lineRule="auto"/>
        <w:rPr>
          <w:lang w:eastAsia="en-NZ"/>
        </w:rPr>
      </w:pPr>
      <w:r>
        <w:rPr>
          <w:lang w:eastAsia="en-NZ"/>
        </w:rPr>
        <w:t>self-sown exotic trees, such as wilding conifers or grey willows, established after 31 December 1989 (where managed as forest)</w:t>
      </w:r>
      <w:r w:rsidR="00E21BBB">
        <w:rPr>
          <w:lang w:eastAsia="en-NZ"/>
        </w:rPr>
        <w:t xml:space="preserve"> (MFE 2024</w:t>
      </w:r>
      <w:r w:rsidR="00781650">
        <w:rPr>
          <w:lang w:eastAsia="en-NZ"/>
        </w:rPr>
        <w:t>a</w:t>
      </w:r>
      <w:r w:rsidR="00E21BBB">
        <w:rPr>
          <w:lang w:eastAsia="en-NZ"/>
        </w:rPr>
        <w:t>)</w:t>
      </w:r>
      <w:r>
        <w:rPr>
          <w:lang w:eastAsia="en-NZ"/>
        </w:rPr>
        <w:t>.</w:t>
      </w:r>
    </w:p>
    <w:p w14:paraId="5F3CD095" w14:textId="77777777" w:rsidR="0041479B" w:rsidRDefault="0041479B" w:rsidP="00A35F7A">
      <w:pPr>
        <w:spacing w:line="276" w:lineRule="auto"/>
        <w:rPr>
          <w:lang w:eastAsia="en-NZ"/>
        </w:rPr>
      </w:pPr>
    </w:p>
    <w:p w14:paraId="0C335BFA" w14:textId="1A821789" w:rsidR="002E47EF" w:rsidRDefault="000E6E3A" w:rsidP="006A3AFF">
      <w:pPr>
        <w:rPr>
          <w:rStyle w:val="Strong"/>
          <w:rFonts w:cs="Arial"/>
          <w:b w:val="0"/>
          <w:bCs w:val="0"/>
          <w:lang w:val="en-NZ"/>
        </w:rPr>
      </w:pPr>
      <w:r>
        <w:rPr>
          <w:rStyle w:val="Strong"/>
          <w:rFonts w:cs="Arial"/>
          <w:b w:val="0"/>
          <w:bCs w:val="0"/>
          <w:lang w:val="en-NZ"/>
        </w:rPr>
        <w:t xml:space="preserve">Post-1989 </w:t>
      </w:r>
      <w:r w:rsidR="000656CC">
        <w:rPr>
          <w:rStyle w:val="Strong"/>
          <w:rFonts w:cs="Arial"/>
          <w:b w:val="0"/>
          <w:bCs w:val="0"/>
          <w:lang w:val="en-NZ"/>
        </w:rPr>
        <w:t>indigenous</w:t>
      </w:r>
      <w:r>
        <w:rPr>
          <w:rStyle w:val="Strong"/>
          <w:rFonts w:cs="Arial"/>
          <w:b w:val="0"/>
          <w:bCs w:val="0"/>
          <w:lang w:val="en-NZ"/>
        </w:rPr>
        <w:t xml:space="preserve"> </w:t>
      </w:r>
      <w:r w:rsidR="000656CC">
        <w:rPr>
          <w:rStyle w:val="Strong"/>
          <w:rFonts w:cs="Arial"/>
          <w:b w:val="0"/>
          <w:bCs w:val="0"/>
          <w:lang w:val="en-NZ"/>
        </w:rPr>
        <w:t>n</w:t>
      </w:r>
      <w:r w:rsidR="006A3AFF" w:rsidRPr="2744EF10">
        <w:rPr>
          <w:rStyle w:val="Strong"/>
          <w:rFonts w:cs="Arial"/>
          <w:b w:val="0"/>
          <w:bCs w:val="0"/>
          <w:lang w:val="en-NZ"/>
        </w:rPr>
        <w:t>atural forests are highly variable and succession is difficult to model with any certainty</w:t>
      </w:r>
      <w:r w:rsidR="00D91394">
        <w:rPr>
          <w:rStyle w:val="Strong"/>
          <w:rFonts w:cs="Arial"/>
          <w:b w:val="0"/>
          <w:bCs w:val="0"/>
          <w:lang w:val="en-NZ"/>
        </w:rPr>
        <w:t xml:space="preserve"> (</w:t>
      </w:r>
      <w:r w:rsidR="00D91394" w:rsidRPr="009D6BD3">
        <w:rPr>
          <w:rStyle w:val="Strong"/>
          <w:rFonts w:cs="Arial"/>
          <w:b w:val="0"/>
          <w:bCs w:val="0"/>
          <w:lang w:val="en-NZ"/>
        </w:rPr>
        <w:t>Wyse et al</w:t>
      </w:r>
      <w:r w:rsidR="004A7D12">
        <w:rPr>
          <w:rStyle w:val="Strong"/>
          <w:rFonts w:cs="Arial"/>
          <w:b w:val="0"/>
          <w:bCs w:val="0"/>
          <w:lang w:val="en-NZ"/>
        </w:rPr>
        <w:t>.,</w:t>
      </w:r>
      <w:r w:rsidR="00D91394" w:rsidRPr="009D6BD3">
        <w:rPr>
          <w:rStyle w:val="Strong"/>
          <w:rFonts w:cs="Arial"/>
          <w:b w:val="0"/>
          <w:bCs w:val="0"/>
          <w:lang w:val="en-NZ"/>
        </w:rPr>
        <w:t xml:space="preserve"> 2018)</w:t>
      </w:r>
      <w:r w:rsidR="006A3AFF" w:rsidRPr="009D6BD3">
        <w:rPr>
          <w:rStyle w:val="Strong"/>
          <w:rFonts w:cs="Arial"/>
          <w:b w:val="0"/>
          <w:bCs w:val="0"/>
          <w:lang w:val="en-NZ"/>
        </w:rPr>
        <w:t xml:space="preserve">. </w:t>
      </w:r>
      <w:r w:rsidR="00F87508" w:rsidRPr="009D6BD3">
        <w:rPr>
          <w:rStyle w:val="Strong"/>
          <w:rFonts w:cs="Arial"/>
          <w:b w:val="0"/>
          <w:bCs w:val="0"/>
          <w:lang w:val="en-NZ"/>
        </w:rPr>
        <w:t>Management</w:t>
      </w:r>
      <w:r w:rsidR="00F87508">
        <w:rPr>
          <w:rStyle w:val="Strong"/>
          <w:rFonts w:cs="Arial"/>
          <w:b w:val="0"/>
          <w:bCs w:val="0"/>
          <w:lang w:val="en-NZ"/>
        </w:rPr>
        <w:t xml:space="preserve"> of these forests may include active interventions such as control of weeds and browsing pests and </w:t>
      </w:r>
      <w:r w:rsidR="00B3544F">
        <w:rPr>
          <w:rStyle w:val="Strong"/>
          <w:rFonts w:cs="Arial"/>
          <w:b w:val="0"/>
          <w:bCs w:val="0"/>
          <w:lang w:val="en-NZ"/>
        </w:rPr>
        <w:t>supplementary</w:t>
      </w:r>
      <w:r w:rsidR="00F87508">
        <w:rPr>
          <w:rStyle w:val="Strong"/>
          <w:rFonts w:cs="Arial"/>
          <w:b w:val="0"/>
          <w:bCs w:val="0"/>
          <w:lang w:val="en-NZ"/>
        </w:rPr>
        <w:t xml:space="preserve"> planting</w:t>
      </w:r>
      <w:r w:rsidR="00B3544F">
        <w:rPr>
          <w:rStyle w:val="Strong"/>
          <w:rFonts w:cs="Arial"/>
          <w:b w:val="0"/>
          <w:bCs w:val="0"/>
          <w:lang w:val="en-NZ"/>
        </w:rPr>
        <w:t xml:space="preserve">, </w:t>
      </w:r>
      <w:r w:rsidR="003430CA">
        <w:rPr>
          <w:rStyle w:val="Strong"/>
          <w:rFonts w:cs="Arial"/>
          <w:b w:val="0"/>
          <w:bCs w:val="0"/>
          <w:lang w:val="en-NZ"/>
        </w:rPr>
        <w:t>or forest development may be left entirely to natural processes.</w:t>
      </w:r>
      <w:r w:rsidR="0015719F">
        <w:rPr>
          <w:rStyle w:val="Strong"/>
          <w:rFonts w:cs="Arial"/>
          <w:b w:val="0"/>
          <w:bCs w:val="0"/>
          <w:lang w:val="en-NZ"/>
        </w:rPr>
        <w:t xml:space="preserve"> Forests </w:t>
      </w:r>
      <w:r w:rsidR="006019CF">
        <w:rPr>
          <w:rStyle w:val="Strong"/>
          <w:rFonts w:cs="Arial"/>
          <w:b w:val="0"/>
          <w:bCs w:val="0"/>
          <w:lang w:val="en-NZ"/>
        </w:rPr>
        <w:t>are</w:t>
      </w:r>
      <w:r w:rsidR="0015719F">
        <w:rPr>
          <w:rStyle w:val="Strong"/>
          <w:rFonts w:cs="Arial"/>
          <w:b w:val="0"/>
          <w:bCs w:val="0"/>
          <w:lang w:val="en-NZ"/>
        </w:rPr>
        <w:t xml:space="preserve"> </w:t>
      </w:r>
      <w:r w:rsidR="006019CF">
        <w:rPr>
          <w:rStyle w:val="Strong"/>
          <w:rFonts w:cs="Arial"/>
          <w:b w:val="0"/>
          <w:bCs w:val="0"/>
          <w:lang w:val="en-NZ"/>
        </w:rPr>
        <w:t xml:space="preserve">also </w:t>
      </w:r>
      <w:r w:rsidR="0015719F">
        <w:rPr>
          <w:rStyle w:val="Strong"/>
          <w:rFonts w:cs="Arial"/>
          <w:b w:val="0"/>
          <w:bCs w:val="0"/>
          <w:lang w:val="en-NZ"/>
        </w:rPr>
        <w:t>subject to a range of disturbances</w:t>
      </w:r>
      <w:r w:rsidR="004E5C78">
        <w:rPr>
          <w:rStyle w:val="Strong"/>
          <w:rFonts w:cs="Arial"/>
          <w:b w:val="0"/>
          <w:bCs w:val="0"/>
          <w:lang w:val="en-NZ"/>
        </w:rPr>
        <w:t xml:space="preserve"> that affect carbon stocks</w:t>
      </w:r>
      <w:r w:rsidR="0015719F">
        <w:rPr>
          <w:rStyle w:val="Strong"/>
          <w:rFonts w:cs="Arial"/>
          <w:b w:val="0"/>
          <w:bCs w:val="0"/>
          <w:lang w:val="en-NZ"/>
        </w:rPr>
        <w:t>.</w:t>
      </w:r>
    </w:p>
    <w:p w14:paraId="3AE34267" w14:textId="77777777" w:rsidR="008A375B" w:rsidRDefault="008A375B" w:rsidP="006A3AFF">
      <w:pPr>
        <w:rPr>
          <w:rStyle w:val="Strong"/>
          <w:rFonts w:cs="Arial"/>
          <w:b w:val="0"/>
          <w:bCs w:val="0"/>
          <w:lang w:val="en-NZ"/>
        </w:rPr>
      </w:pPr>
    </w:p>
    <w:p w14:paraId="500C616E" w14:textId="68374A2E" w:rsidR="002E47EF" w:rsidRDefault="00E64584" w:rsidP="006A3AFF">
      <w:pPr>
        <w:rPr>
          <w:rStyle w:val="Strong"/>
          <w:rFonts w:cs="Arial"/>
          <w:b w:val="0"/>
          <w:bCs w:val="0"/>
          <w:lang w:val="en-NZ"/>
        </w:rPr>
      </w:pPr>
      <w:r>
        <w:rPr>
          <w:rStyle w:val="Strong"/>
          <w:rFonts w:cs="Arial"/>
          <w:b w:val="0"/>
          <w:bCs w:val="0"/>
          <w:lang w:val="en-NZ"/>
        </w:rPr>
        <w:t>Post</w:t>
      </w:r>
      <w:r w:rsidR="007048D8">
        <w:rPr>
          <w:rStyle w:val="Strong"/>
          <w:rFonts w:cs="Arial"/>
          <w:b w:val="0"/>
          <w:bCs w:val="0"/>
          <w:lang w:val="en-NZ"/>
        </w:rPr>
        <w:t>-1989 self-sown exotic forests</w:t>
      </w:r>
      <w:r w:rsidR="00B608DB">
        <w:rPr>
          <w:rStyle w:val="Strong"/>
          <w:rFonts w:cs="Arial"/>
          <w:b w:val="0"/>
          <w:bCs w:val="0"/>
          <w:lang w:val="en-NZ"/>
        </w:rPr>
        <w:t xml:space="preserve"> may be harvested</w:t>
      </w:r>
      <w:r w:rsidR="0099391A">
        <w:rPr>
          <w:rStyle w:val="Strong"/>
          <w:rFonts w:cs="Arial"/>
          <w:b w:val="0"/>
          <w:bCs w:val="0"/>
          <w:lang w:val="en-NZ"/>
        </w:rPr>
        <w:t xml:space="preserve"> and/or converted to other land uses such as grassland, planted forest land or </w:t>
      </w:r>
      <w:r w:rsidR="00FE29C1">
        <w:rPr>
          <w:rStyle w:val="Strong"/>
          <w:rFonts w:cs="Arial"/>
          <w:b w:val="0"/>
          <w:bCs w:val="0"/>
          <w:lang w:val="en-NZ"/>
        </w:rPr>
        <w:t>indigenous forest.</w:t>
      </w:r>
      <w:r w:rsidR="00EE5165">
        <w:rPr>
          <w:rStyle w:val="Strong"/>
          <w:rFonts w:cs="Arial"/>
          <w:b w:val="0"/>
          <w:bCs w:val="0"/>
          <w:lang w:val="en-NZ"/>
        </w:rPr>
        <w:t xml:space="preserve"> </w:t>
      </w:r>
    </w:p>
    <w:p w14:paraId="2C872EFF" w14:textId="77777777" w:rsidR="00045D5D" w:rsidRDefault="00045D5D" w:rsidP="006A3AFF">
      <w:pPr>
        <w:rPr>
          <w:rStyle w:val="Strong"/>
          <w:rFonts w:cs="Arial"/>
          <w:b w:val="0"/>
          <w:bCs w:val="0"/>
          <w:lang w:val="en-NZ"/>
        </w:rPr>
      </w:pPr>
    </w:p>
    <w:p w14:paraId="257B6FA0" w14:textId="1206587B" w:rsidR="00045D5D" w:rsidRDefault="00045D5D" w:rsidP="006A3AFF">
      <w:pPr>
        <w:rPr>
          <w:rStyle w:val="Strong"/>
          <w:rFonts w:cs="Arial"/>
          <w:b w:val="0"/>
          <w:bCs w:val="0"/>
          <w:lang w:val="en-NZ"/>
        </w:rPr>
      </w:pPr>
      <w:r>
        <w:rPr>
          <w:rStyle w:val="Strong"/>
          <w:rFonts w:cs="Arial"/>
          <w:b w:val="0"/>
          <w:bCs w:val="0"/>
          <w:lang w:val="en-NZ"/>
        </w:rPr>
        <w:t xml:space="preserve">Currently </w:t>
      </w:r>
      <w:r w:rsidR="00873EFB">
        <w:rPr>
          <w:rStyle w:val="Strong"/>
          <w:rFonts w:cs="Arial"/>
          <w:b w:val="0"/>
          <w:bCs w:val="0"/>
          <w:lang w:val="en-NZ"/>
        </w:rPr>
        <w:t xml:space="preserve">post-1989 </w:t>
      </w:r>
      <w:r w:rsidR="00796F27">
        <w:rPr>
          <w:rStyle w:val="Strong"/>
          <w:rFonts w:cs="Arial"/>
          <w:b w:val="0"/>
          <w:bCs w:val="0"/>
          <w:lang w:val="en-NZ"/>
        </w:rPr>
        <w:t>forests</w:t>
      </w:r>
      <w:r w:rsidR="007412DF">
        <w:rPr>
          <w:rStyle w:val="Strong"/>
          <w:rFonts w:cs="Arial"/>
          <w:b w:val="0"/>
          <w:bCs w:val="0"/>
          <w:lang w:val="en-NZ"/>
        </w:rPr>
        <w:t xml:space="preserve"> are </w:t>
      </w:r>
      <w:r w:rsidR="00873EFB">
        <w:rPr>
          <w:rStyle w:val="Strong"/>
          <w:rFonts w:cs="Arial"/>
          <w:b w:val="0"/>
          <w:bCs w:val="0"/>
          <w:lang w:val="en-NZ"/>
        </w:rPr>
        <w:t xml:space="preserve">mapped as one category </w:t>
      </w:r>
      <w:r w:rsidR="008C2C9B">
        <w:rPr>
          <w:rStyle w:val="Strong"/>
          <w:rFonts w:cs="Arial"/>
          <w:b w:val="0"/>
          <w:bCs w:val="0"/>
          <w:lang w:val="en-NZ"/>
        </w:rPr>
        <w:t xml:space="preserve">and </w:t>
      </w:r>
      <w:r w:rsidR="007412DF">
        <w:rPr>
          <w:rStyle w:val="Strong"/>
          <w:rFonts w:cs="Arial"/>
          <w:b w:val="0"/>
          <w:bCs w:val="0"/>
          <w:lang w:val="en-NZ"/>
        </w:rPr>
        <w:t>sampled through the LUCAS post-1989 forest inventory</w:t>
      </w:r>
      <w:r w:rsidR="008C2C9B">
        <w:rPr>
          <w:rStyle w:val="Strong"/>
          <w:rFonts w:cs="Arial"/>
          <w:b w:val="0"/>
          <w:bCs w:val="0"/>
          <w:lang w:val="en-NZ"/>
        </w:rPr>
        <w:t xml:space="preserve">. A combined indigenous and self-sown exotic </w:t>
      </w:r>
      <w:r w:rsidR="003464E7">
        <w:rPr>
          <w:rStyle w:val="Strong"/>
          <w:rFonts w:cs="Arial"/>
          <w:b w:val="0"/>
          <w:bCs w:val="0"/>
          <w:lang w:val="en-NZ"/>
        </w:rPr>
        <w:t xml:space="preserve">post-1989 natural forest </w:t>
      </w:r>
      <w:r w:rsidR="008C2C9B">
        <w:rPr>
          <w:rStyle w:val="Strong"/>
          <w:rFonts w:cs="Arial"/>
          <w:b w:val="0"/>
          <w:bCs w:val="0"/>
          <w:lang w:val="en-NZ"/>
        </w:rPr>
        <w:t>yield table</w:t>
      </w:r>
      <w:r w:rsidR="00236A1F">
        <w:rPr>
          <w:rStyle w:val="Strong"/>
          <w:rFonts w:cs="Arial"/>
          <w:b w:val="0"/>
          <w:bCs w:val="0"/>
          <w:lang w:val="en-NZ"/>
        </w:rPr>
        <w:t xml:space="preserve"> is prepared from plots in post-1989 natural forest</w:t>
      </w:r>
      <w:r w:rsidR="00226B8E" w:rsidRPr="007E0FA9">
        <w:rPr>
          <w:rStyle w:val="Strong"/>
          <w:rFonts w:cs="Arial"/>
          <w:b w:val="0"/>
          <w:bCs w:val="0"/>
          <w:lang w:val="en-NZ"/>
        </w:rPr>
        <w:t>.</w:t>
      </w:r>
      <w:r w:rsidR="00226B8E">
        <w:rPr>
          <w:rStyle w:val="Strong"/>
          <w:rFonts w:cs="Arial"/>
          <w:b w:val="0"/>
          <w:bCs w:val="0"/>
          <w:lang w:val="en-NZ"/>
        </w:rPr>
        <w:t xml:space="preserve"> Separation into </w:t>
      </w:r>
      <w:r w:rsidR="00F327E3">
        <w:rPr>
          <w:rStyle w:val="Strong"/>
          <w:rFonts w:cs="Arial"/>
          <w:b w:val="0"/>
          <w:bCs w:val="0"/>
          <w:lang w:val="en-NZ"/>
        </w:rPr>
        <w:t xml:space="preserve">self-sown </w:t>
      </w:r>
      <w:r w:rsidR="00226B8E">
        <w:rPr>
          <w:rStyle w:val="Strong"/>
          <w:rFonts w:cs="Arial"/>
          <w:b w:val="0"/>
          <w:bCs w:val="0"/>
          <w:lang w:val="en-NZ"/>
        </w:rPr>
        <w:t xml:space="preserve">exotic and indigenous </w:t>
      </w:r>
      <w:r w:rsidR="00F327E3">
        <w:rPr>
          <w:rStyle w:val="Strong"/>
          <w:rFonts w:cs="Arial"/>
          <w:b w:val="0"/>
          <w:bCs w:val="0"/>
          <w:lang w:val="en-NZ"/>
        </w:rPr>
        <w:t xml:space="preserve">post-1989 </w:t>
      </w:r>
      <w:r w:rsidR="00226B8E">
        <w:rPr>
          <w:rStyle w:val="Strong"/>
          <w:rFonts w:cs="Arial"/>
          <w:b w:val="0"/>
          <w:bCs w:val="0"/>
          <w:lang w:val="en-NZ"/>
        </w:rPr>
        <w:t>forest is not currently possible</w:t>
      </w:r>
      <w:r w:rsidR="00B40C86">
        <w:rPr>
          <w:rStyle w:val="Strong"/>
          <w:rFonts w:cs="Arial"/>
          <w:b w:val="0"/>
          <w:bCs w:val="0"/>
          <w:lang w:val="en-NZ"/>
        </w:rPr>
        <w:t xml:space="preserve"> due to the small number of plots available. Carbon stocks in this yield table are dominated by exotic species, and there are plans to </w:t>
      </w:r>
      <w:r w:rsidR="002F4FBD">
        <w:rPr>
          <w:rStyle w:val="Strong"/>
          <w:rFonts w:cs="Arial"/>
          <w:b w:val="0"/>
          <w:bCs w:val="0"/>
          <w:lang w:val="en-NZ"/>
        </w:rPr>
        <w:t xml:space="preserve">increase sampling intensity to allow </w:t>
      </w:r>
      <w:r w:rsidR="002D36ED">
        <w:rPr>
          <w:rStyle w:val="Strong"/>
          <w:rFonts w:cs="Arial"/>
          <w:b w:val="0"/>
          <w:bCs w:val="0"/>
          <w:lang w:val="en-NZ"/>
        </w:rPr>
        <w:t>separate</w:t>
      </w:r>
      <w:r w:rsidR="002F4FBD">
        <w:rPr>
          <w:rStyle w:val="Strong"/>
          <w:rFonts w:cs="Arial"/>
          <w:b w:val="0"/>
          <w:bCs w:val="0"/>
          <w:lang w:val="en-NZ"/>
        </w:rPr>
        <w:t xml:space="preserve"> yield tables to be prepared</w:t>
      </w:r>
      <w:r w:rsidR="00581F39">
        <w:rPr>
          <w:rStyle w:val="Strong"/>
          <w:rFonts w:cs="Arial"/>
          <w:b w:val="0"/>
          <w:bCs w:val="0"/>
          <w:lang w:val="en-NZ"/>
        </w:rPr>
        <w:t xml:space="preserve"> </w:t>
      </w:r>
      <w:r w:rsidR="007748EA">
        <w:rPr>
          <w:rStyle w:val="Strong"/>
          <w:rFonts w:cs="Arial"/>
          <w:b w:val="0"/>
          <w:bCs w:val="0"/>
          <w:lang w:val="en-NZ"/>
        </w:rPr>
        <w:t xml:space="preserve">in future </w:t>
      </w:r>
      <w:r w:rsidR="00581F39">
        <w:rPr>
          <w:rStyle w:val="Strong"/>
          <w:rFonts w:cs="Arial"/>
          <w:b w:val="0"/>
          <w:bCs w:val="0"/>
          <w:lang w:val="en-NZ"/>
        </w:rPr>
        <w:t>(MFE 2024</w:t>
      </w:r>
      <w:r w:rsidR="00781650">
        <w:rPr>
          <w:rStyle w:val="Strong"/>
          <w:rFonts w:cs="Arial"/>
          <w:b w:val="0"/>
          <w:bCs w:val="0"/>
          <w:lang w:val="en-NZ"/>
        </w:rPr>
        <w:t>a</w:t>
      </w:r>
      <w:r w:rsidR="00581F39">
        <w:rPr>
          <w:rStyle w:val="Strong"/>
          <w:rFonts w:cs="Arial"/>
          <w:b w:val="0"/>
          <w:bCs w:val="0"/>
          <w:lang w:val="en-NZ"/>
        </w:rPr>
        <w:t>).</w:t>
      </w:r>
    </w:p>
    <w:p w14:paraId="2D05A5CA" w14:textId="77777777" w:rsidR="002E47EF" w:rsidRDefault="002E47EF" w:rsidP="006A3AFF">
      <w:pPr>
        <w:rPr>
          <w:rStyle w:val="Strong"/>
          <w:rFonts w:cs="Arial"/>
          <w:b w:val="0"/>
          <w:bCs w:val="0"/>
          <w:lang w:val="en-NZ"/>
        </w:rPr>
      </w:pPr>
    </w:p>
    <w:p w14:paraId="2059FC54" w14:textId="6DCFAA99" w:rsidR="006A3AFF" w:rsidRPr="00A216DF" w:rsidRDefault="006A3AFF" w:rsidP="006A3AFF">
      <w:pPr>
        <w:rPr>
          <w:rStyle w:val="Strong"/>
          <w:rFonts w:cs="Arial"/>
          <w:b w:val="0"/>
          <w:bCs w:val="0"/>
          <w:lang w:val="en-NZ"/>
        </w:rPr>
      </w:pPr>
      <w:r w:rsidRPr="2744EF10">
        <w:rPr>
          <w:rStyle w:val="Strong"/>
          <w:rFonts w:cs="Arial"/>
          <w:b w:val="0"/>
          <w:bCs w:val="0"/>
          <w:lang w:val="en-NZ"/>
        </w:rPr>
        <w:t xml:space="preserve">At a national level, post-1989 Natural Forest will ultimately attain a mean stock equal to the current </w:t>
      </w:r>
      <w:r w:rsidR="00C765ED">
        <w:rPr>
          <w:rStyle w:val="Strong"/>
          <w:rFonts w:cs="Arial"/>
          <w:b w:val="0"/>
          <w:bCs w:val="0"/>
          <w:lang w:val="en-NZ"/>
        </w:rPr>
        <w:t xml:space="preserve">weighted </w:t>
      </w:r>
      <w:r w:rsidRPr="2744EF10">
        <w:rPr>
          <w:rStyle w:val="Strong"/>
          <w:rFonts w:cs="Arial"/>
          <w:b w:val="0"/>
          <w:bCs w:val="0"/>
          <w:lang w:val="en-NZ"/>
        </w:rPr>
        <w:t xml:space="preserve">average stock in pre-1990 natural forests of </w:t>
      </w:r>
      <w:r w:rsidR="000316FA" w:rsidRPr="00B013EE">
        <w:rPr>
          <w:rStyle w:val="Strong"/>
          <w:rFonts w:cs="Arial"/>
          <w:b w:val="0"/>
          <w:bCs w:val="0"/>
          <w:lang w:val="en-NZ"/>
        </w:rPr>
        <w:t>812.5</w:t>
      </w:r>
      <w:r w:rsidRPr="00B013EE">
        <w:rPr>
          <w:rStyle w:val="Strong"/>
          <w:rFonts w:cs="Arial"/>
          <w:b w:val="0"/>
          <w:bCs w:val="0"/>
          <w:lang w:val="en-NZ"/>
        </w:rPr>
        <w:t xml:space="preserve"> t CO</w:t>
      </w:r>
      <w:r w:rsidRPr="00B013EE">
        <w:rPr>
          <w:rStyle w:val="Strong"/>
          <w:rFonts w:cs="Arial"/>
          <w:b w:val="0"/>
          <w:bCs w:val="0"/>
          <w:vertAlign w:val="subscript"/>
          <w:lang w:val="en-NZ"/>
        </w:rPr>
        <w:t>2</w:t>
      </w:r>
      <w:r w:rsidRPr="00B013EE">
        <w:rPr>
          <w:rStyle w:val="Strong"/>
          <w:rFonts w:cs="Arial"/>
          <w:b w:val="0"/>
          <w:bCs w:val="0"/>
          <w:lang w:val="en-NZ"/>
        </w:rPr>
        <w:t xml:space="preserve"> ha</w:t>
      </w:r>
      <w:r w:rsidRPr="00B013EE">
        <w:rPr>
          <w:rStyle w:val="Strong"/>
          <w:rFonts w:cs="Arial"/>
          <w:b w:val="0"/>
          <w:bCs w:val="0"/>
          <w:vertAlign w:val="superscript"/>
          <w:lang w:val="en-NZ"/>
        </w:rPr>
        <w:t>-1</w:t>
      </w:r>
      <w:r w:rsidR="00C765ED" w:rsidRPr="00B013EE">
        <w:rPr>
          <w:rStyle w:val="Strong"/>
          <w:rFonts w:cs="Arial"/>
          <w:b w:val="0"/>
          <w:bCs w:val="0"/>
          <w:lang w:val="en-NZ"/>
        </w:rPr>
        <w:t>.</w:t>
      </w:r>
      <w:r w:rsidR="00FF1798" w:rsidRPr="00B013EE">
        <w:rPr>
          <w:rStyle w:val="FootnoteReference"/>
          <w:rFonts w:cs="Arial"/>
          <w:lang w:val="en-NZ"/>
        </w:rPr>
        <w:footnoteReference w:id="4"/>
      </w:r>
      <w:r w:rsidR="00C765ED">
        <w:rPr>
          <w:rStyle w:val="Strong"/>
          <w:rFonts w:cs="Arial"/>
          <w:b w:val="0"/>
          <w:bCs w:val="0"/>
          <w:lang w:val="en-NZ"/>
        </w:rPr>
        <w:t xml:space="preserve"> </w:t>
      </w:r>
      <w:r w:rsidRPr="2744EF10">
        <w:rPr>
          <w:rStyle w:val="Strong"/>
          <w:rFonts w:cs="Arial"/>
          <w:b w:val="0"/>
          <w:bCs w:val="0"/>
          <w:lang w:val="en-NZ"/>
        </w:rPr>
        <w:t xml:space="preserve">Tall natural forest carbon stocks are estimated to be in a steady-state overall </w:t>
      </w:r>
      <w:r w:rsidR="00E1121A">
        <w:rPr>
          <w:rStyle w:val="Strong"/>
          <w:rFonts w:cs="Arial"/>
          <w:b w:val="0"/>
          <w:bCs w:val="0"/>
          <w:lang w:val="en-NZ"/>
        </w:rPr>
        <w:t xml:space="preserve">of </w:t>
      </w:r>
      <w:r w:rsidR="00A65A68">
        <w:rPr>
          <w:rStyle w:val="Strong"/>
          <w:rFonts w:cs="Arial"/>
          <w:b w:val="0"/>
          <w:bCs w:val="0"/>
          <w:lang w:val="en-NZ"/>
        </w:rPr>
        <w:t>898.7</w:t>
      </w:r>
      <w:r w:rsidR="001F2347" w:rsidRPr="001F138E">
        <w:rPr>
          <w:rStyle w:val="Strong"/>
          <w:rFonts w:cs="Arial"/>
          <w:b w:val="0"/>
          <w:bCs w:val="0"/>
          <w:lang w:val="en-NZ"/>
        </w:rPr>
        <w:t xml:space="preserve"> t CO</w:t>
      </w:r>
      <w:r w:rsidR="001F2347" w:rsidRPr="001F138E">
        <w:rPr>
          <w:rStyle w:val="Strong"/>
          <w:rFonts w:cs="Arial"/>
          <w:b w:val="0"/>
          <w:bCs w:val="0"/>
          <w:vertAlign w:val="subscript"/>
          <w:lang w:val="en-NZ"/>
        </w:rPr>
        <w:t>2</w:t>
      </w:r>
      <w:r w:rsidR="001F2347" w:rsidRPr="001F138E">
        <w:rPr>
          <w:rStyle w:val="Strong"/>
          <w:rFonts w:cs="Arial"/>
          <w:b w:val="0"/>
          <w:bCs w:val="0"/>
          <w:lang w:val="en-NZ"/>
        </w:rPr>
        <w:t xml:space="preserve"> ha</w:t>
      </w:r>
      <w:r w:rsidR="001F2347" w:rsidRPr="001F138E">
        <w:rPr>
          <w:rStyle w:val="Strong"/>
          <w:rFonts w:cs="Arial"/>
          <w:b w:val="0"/>
          <w:bCs w:val="0"/>
          <w:vertAlign w:val="superscript"/>
          <w:lang w:val="en-NZ"/>
        </w:rPr>
        <w:t>-1</w:t>
      </w:r>
      <w:r w:rsidR="001F2347" w:rsidRPr="001F138E">
        <w:rPr>
          <w:rStyle w:val="Strong"/>
          <w:rFonts w:cs="Arial"/>
          <w:b w:val="0"/>
          <w:bCs w:val="0"/>
          <w:lang w:val="en-NZ"/>
        </w:rPr>
        <w:t xml:space="preserve"> </w:t>
      </w:r>
      <w:r w:rsidRPr="001F138E">
        <w:rPr>
          <w:rStyle w:val="Strong"/>
          <w:rFonts w:cs="Arial"/>
          <w:b w:val="0"/>
          <w:bCs w:val="0"/>
          <w:lang w:val="en-NZ"/>
        </w:rPr>
        <w:t>(</w:t>
      </w:r>
      <w:r w:rsidR="000316FA">
        <w:rPr>
          <w:rStyle w:val="Strong"/>
          <w:rFonts w:cs="Arial"/>
          <w:b w:val="0"/>
          <w:bCs w:val="0"/>
          <w:lang w:val="en-NZ"/>
        </w:rPr>
        <w:t xml:space="preserve">MFE </w:t>
      </w:r>
      <w:r w:rsidR="00415E2A">
        <w:rPr>
          <w:rStyle w:val="Strong"/>
          <w:rFonts w:cs="Arial"/>
          <w:b w:val="0"/>
          <w:bCs w:val="0"/>
          <w:lang w:val="en-NZ"/>
        </w:rPr>
        <w:t>2024b</w:t>
      </w:r>
      <w:r>
        <w:rPr>
          <w:rStyle w:val="Strong"/>
          <w:rFonts w:cs="Arial"/>
          <w:b w:val="0"/>
          <w:bCs w:val="0"/>
          <w:lang w:val="en-NZ"/>
        </w:rPr>
        <w:t>)</w:t>
      </w:r>
      <w:r w:rsidR="00EB48CA">
        <w:rPr>
          <w:rStyle w:val="Strong"/>
          <w:rFonts w:cs="Arial"/>
          <w:b w:val="0"/>
          <w:bCs w:val="0"/>
          <w:lang w:val="en-NZ"/>
        </w:rPr>
        <w:t xml:space="preserve">, but natural disturbances can </w:t>
      </w:r>
      <w:r w:rsidR="006B1863">
        <w:rPr>
          <w:rStyle w:val="Strong"/>
          <w:rFonts w:cs="Arial"/>
          <w:b w:val="0"/>
          <w:bCs w:val="0"/>
          <w:lang w:val="en-NZ"/>
        </w:rPr>
        <w:t xml:space="preserve">result in </w:t>
      </w:r>
      <w:r w:rsidR="00EB48CA">
        <w:rPr>
          <w:rStyle w:val="Strong"/>
          <w:rFonts w:cs="Arial"/>
          <w:b w:val="0"/>
          <w:bCs w:val="0"/>
          <w:lang w:val="en-NZ"/>
        </w:rPr>
        <w:t xml:space="preserve">tall forest </w:t>
      </w:r>
      <w:r w:rsidR="00174D70">
        <w:rPr>
          <w:rStyle w:val="Strong"/>
          <w:rFonts w:cs="Arial"/>
          <w:b w:val="0"/>
          <w:bCs w:val="0"/>
          <w:lang w:val="en-NZ"/>
        </w:rPr>
        <w:t>be</w:t>
      </w:r>
      <w:r w:rsidR="001F2347">
        <w:rPr>
          <w:rStyle w:val="Strong"/>
          <w:rFonts w:cs="Arial"/>
          <w:b w:val="0"/>
          <w:bCs w:val="0"/>
          <w:lang w:val="en-NZ"/>
        </w:rPr>
        <w:t>ing</w:t>
      </w:r>
      <w:r w:rsidR="00174D70">
        <w:rPr>
          <w:rStyle w:val="Strong"/>
          <w:rFonts w:cs="Arial"/>
          <w:b w:val="0"/>
          <w:bCs w:val="0"/>
          <w:lang w:val="en-NZ"/>
        </w:rPr>
        <w:t xml:space="preserve"> </w:t>
      </w:r>
      <w:r w:rsidR="00EF3F27">
        <w:rPr>
          <w:rStyle w:val="Strong"/>
          <w:rFonts w:cs="Arial"/>
          <w:b w:val="0"/>
          <w:bCs w:val="0"/>
          <w:lang w:val="en-NZ"/>
        </w:rPr>
        <w:t xml:space="preserve">converted into the regenerating natural forest class, </w:t>
      </w:r>
      <w:r w:rsidR="004F2859">
        <w:rPr>
          <w:rStyle w:val="Strong"/>
          <w:rFonts w:cs="Arial"/>
          <w:b w:val="0"/>
          <w:bCs w:val="0"/>
          <w:lang w:val="en-NZ"/>
        </w:rPr>
        <w:t>which have</w:t>
      </w:r>
      <w:r w:rsidR="00EF3F27">
        <w:rPr>
          <w:rStyle w:val="Strong"/>
          <w:rFonts w:cs="Arial"/>
          <w:b w:val="0"/>
          <w:bCs w:val="0"/>
          <w:lang w:val="en-NZ"/>
        </w:rPr>
        <w:t xml:space="preserve"> lower </w:t>
      </w:r>
      <w:r w:rsidR="004160C8">
        <w:rPr>
          <w:rStyle w:val="Strong"/>
          <w:rFonts w:cs="Arial"/>
          <w:b w:val="0"/>
          <w:bCs w:val="0"/>
          <w:lang w:val="en-NZ"/>
        </w:rPr>
        <w:t xml:space="preserve">average </w:t>
      </w:r>
      <w:r w:rsidR="00EF3F27">
        <w:rPr>
          <w:rStyle w:val="Strong"/>
          <w:rFonts w:cs="Arial"/>
          <w:b w:val="0"/>
          <w:bCs w:val="0"/>
          <w:lang w:val="en-NZ"/>
        </w:rPr>
        <w:t xml:space="preserve">stocks </w:t>
      </w:r>
      <w:r w:rsidR="001F138E">
        <w:rPr>
          <w:rStyle w:val="Strong"/>
          <w:rFonts w:cs="Arial"/>
          <w:b w:val="0"/>
          <w:bCs w:val="0"/>
          <w:lang w:val="en-NZ"/>
        </w:rPr>
        <w:t>(</w:t>
      </w:r>
      <w:r w:rsidR="000C373D">
        <w:rPr>
          <w:rStyle w:val="Strong"/>
          <w:rFonts w:cs="Arial"/>
          <w:b w:val="0"/>
          <w:bCs w:val="0"/>
          <w:lang w:val="en-NZ"/>
        </w:rPr>
        <w:t>278.7</w:t>
      </w:r>
      <w:r w:rsidR="001F138E" w:rsidRPr="001F138E">
        <w:rPr>
          <w:rStyle w:val="Strong"/>
          <w:rFonts w:cs="Arial"/>
          <w:b w:val="0"/>
          <w:bCs w:val="0"/>
          <w:lang w:val="en-NZ"/>
        </w:rPr>
        <w:t xml:space="preserve"> t CO</w:t>
      </w:r>
      <w:r w:rsidR="001F138E" w:rsidRPr="001F138E">
        <w:rPr>
          <w:rStyle w:val="Strong"/>
          <w:rFonts w:cs="Arial"/>
          <w:b w:val="0"/>
          <w:bCs w:val="0"/>
          <w:vertAlign w:val="subscript"/>
          <w:lang w:val="en-NZ"/>
        </w:rPr>
        <w:t>2</w:t>
      </w:r>
      <w:r w:rsidR="001F138E" w:rsidRPr="001F138E">
        <w:rPr>
          <w:rStyle w:val="Strong"/>
          <w:rFonts w:cs="Arial"/>
          <w:b w:val="0"/>
          <w:bCs w:val="0"/>
          <w:lang w:val="en-NZ"/>
        </w:rPr>
        <w:t xml:space="preserve"> ha</w:t>
      </w:r>
      <w:r w:rsidR="001F138E" w:rsidRPr="001F138E">
        <w:rPr>
          <w:rStyle w:val="Strong"/>
          <w:rFonts w:cs="Arial"/>
          <w:b w:val="0"/>
          <w:bCs w:val="0"/>
          <w:vertAlign w:val="superscript"/>
          <w:lang w:val="en-NZ"/>
        </w:rPr>
        <w:t>-1</w:t>
      </w:r>
      <w:r w:rsidR="001F138E">
        <w:rPr>
          <w:rStyle w:val="Strong"/>
          <w:rFonts w:cs="Arial"/>
          <w:b w:val="0"/>
          <w:bCs w:val="0"/>
          <w:lang w:val="en-NZ"/>
        </w:rPr>
        <w:t xml:space="preserve">) </w:t>
      </w:r>
      <w:r w:rsidR="004F2859">
        <w:rPr>
          <w:rStyle w:val="Strong"/>
          <w:rFonts w:cs="Arial"/>
          <w:b w:val="0"/>
          <w:bCs w:val="0"/>
          <w:lang w:val="en-NZ"/>
        </w:rPr>
        <w:t>though</w:t>
      </w:r>
      <w:r w:rsidR="00EF3F27">
        <w:rPr>
          <w:rStyle w:val="Strong"/>
          <w:rFonts w:cs="Arial"/>
          <w:b w:val="0"/>
          <w:bCs w:val="0"/>
          <w:lang w:val="en-NZ"/>
        </w:rPr>
        <w:t xml:space="preserve"> higher </w:t>
      </w:r>
      <w:r w:rsidR="00DE3BB8">
        <w:rPr>
          <w:rStyle w:val="Strong"/>
          <w:rFonts w:cs="Arial"/>
          <w:b w:val="0"/>
          <w:bCs w:val="0"/>
          <w:lang w:val="en-NZ"/>
        </w:rPr>
        <w:t>sequestration rates</w:t>
      </w:r>
      <w:r w:rsidR="001F138E">
        <w:rPr>
          <w:rStyle w:val="Strong"/>
          <w:rFonts w:cs="Arial"/>
          <w:b w:val="0"/>
          <w:bCs w:val="0"/>
          <w:lang w:val="en-NZ"/>
        </w:rPr>
        <w:t xml:space="preserve"> </w:t>
      </w:r>
      <w:r w:rsidR="001F138E" w:rsidRPr="001F138E">
        <w:rPr>
          <w:rStyle w:val="Strong"/>
          <w:rFonts w:cs="Arial"/>
          <w:b w:val="0"/>
          <w:bCs w:val="0"/>
          <w:lang w:val="en-NZ"/>
        </w:rPr>
        <w:t>(</w:t>
      </w:r>
      <w:r w:rsidR="000C373D">
        <w:rPr>
          <w:rStyle w:val="Strong"/>
          <w:rFonts w:cs="Arial"/>
          <w:b w:val="0"/>
          <w:bCs w:val="0"/>
          <w:lang w:val="en-NZ"/>
        </w:rPr>
        <w:t xml:space="preserve">MFE </w:t>
      </w:r>
      <w:r w:rsidR="000C373D">
        <w:rPr>
          <w:rStyle w:val="Strong"/>
          <w:rFonts w:cs="Arial"/>
          <w:b w:val="0"/>
          <w:bCs w:val="0"/>
          <w:lang w:val="en-NZ"/>
        </w:rPr>
        <w:lastRenderedPageBreak/>
        <w:t>2024</w:t>
      </w:r>
      <w:r w:rsidR="00182C62">
        <w:rPr>
          <w:rStyle w:val="Strong"/>
          <w:rFonts w:cs="Arial"/>
          <w:b w:val="0"/>
          <w:bCs w:val="0"/>
          <w:lang w:val="en-NZ"/>
        </w:rPr>
        <w:t>b</w:t>
      </w:r>
      <w:r w:rsidR="001F138E">
        <w:rPr>
          <w:rStyle w:val="Strong"/>
          <w:rFonts w:cs="Arial"/>
          <w:b w:val="0"/>
          <w:bCs w:val="0"/>
          <w:lang w:val="en-NZ"/>
        </w:rPr>
        <w:t>)</w:t>
      </w:r>
      <w:r w:rsidR="00DE3BB8">
        <w:rPr>
          <w:rStyle w:val="Strong"/>
          <w:rFonts w:cs="Arial"/>
          <w:b w:val="0"/>
          <w:bCs w:val="0"/>
          <w:lang w:val="en-NZ"/>
        </w:rPr>
        <w:t>.</w:t>
      </w:r>
      <w:r w:rsidR="004160C8">
        <w:rPr>
          <w:rStyle w:val="Strong"/>
          <w:rFonts w:cs="Arial"/>
          <w:b w:val="0"/>
          <w:bCs w:val="0"/>
          <w:lang w:val="en-NZ"/>
        </w:rPr>
        <w:t xml:space="preserve"> </w:t>
      </w:r>
      <w:r w:rsidR="0077090A">
        <w:rPr>
          <w:rStyle w:val="Strong"/>
          <w:rFonts w:cs="Arial"/>
          <w:b w:val="0"/>
          <w:bCs w:val="0"/>
          <w:lang w:val="en-NZ"/>
        </w:rPr>
        <w:t>However</w:t>
      </w:r>
      <w:r w:rsidR="00095EB5">
        <w:rPr>
          <w:rStyle w:val="Strong"/>
          <w:rFonts w:cs="Arial"/>
          <w:b w:val="0"/>
          <w:bCs w:val="0"/>
          <w:lang w:val="en-NZ"/>
        </w:rPr>
        <w:t>,</w:t>
      </w:r>
      <w:r w:rsidR="005A0D74">
        <w:rPr>
          <w:rStyle w:val="Strong"/>
          <w:rFonts w:cs="Arial"/>
          <w:b w:val="0"/>
          <w:bCs w:val="0"/>
          <w:lang w:val="en-NZ"/>
        </w:rPr>
        <w:t xml:space="preserve"> the long-term outcome for post-1989 natural forests</w:t>
      </w:r>
      <w:r w:rsidR="00E65008">
        <w:rPr>
          <w:rStyle w:val="Strong"/>
          <w:rFonts w:cs="Arial"/>
          <w:b w:val="0"/>
          <w:bCs w:val="0"/>
          <w:lang w:val="en-NZ"/>
        </w:rPr>
        <w:t xml:space="preserve"> is highly uncertain due to the highly </w:t>
      </w:r>
      <w:r w:rsidR="00582C2D">
        <w:rPr>
          <w:rStyle w:val="Strong"/>
          <w:rFonts w:cs="Arial"/>
          <w:b w:val="0"/>
          <w:bCs w:val="0"/>
          <w:lang w:val="en-NZ"/>
        </w:rPr>
        <w:t>modified</w:t>
      </w:r>
      <w:r w:rsidR="00E65008">
        <w:rPr>
          <w:rStyle w:val="Strong"/>
          <w:rFonts w:cs="Arial"/>
          <w:b w:val="0"/>
          <w:bCs w:val="0"/>
          <w:lang w:val="en-NZ"/>
        </w:rPr>
        <w:t xml:space="preserve"> characteristics of ex-agricultural soils</w:t>
      </w:r>
      <w:r w:rsidR="00095EB5">
        <w:rPr>
          <w:rStyle w:val="Strong"/>
          <w:rFonts w:cs="Arial"/>
          <w:b w:val="0"/>
          <w:bCs w:val="0"/>
          <w:lang w:val="en-NZ"/>
        </w:rPr>
        <w:t>,</w:t>
      </w:r>
      <w:r w:rsidR="00582C2D">
        <w:rPr>
          <w:rStyle w:val="Strong"/>
          <w:rFonts w:cs="Arial"/>
          <w:b w:val="0"/>
          <w:bCs w:val="0"/>
          <w:lang w:val="en-NZ"/>
        </w:rPr>
        <w:t xml:space="preserve"> </w:t>
      </w:r>
      <w:r w:rsidR="007A784A">
        <w:rPr>
          <w:rStyle w:val="Strong"/>
          <w:rFonts w:cs="Arial"/>
          <w:b w:val="0"/>
          <w:bCs w:val="0"/>
          <w:lang w:val="en-NZ"/>
        </w:rPr>
        <w:t>isolation from native tree species seed sources</w:t>
      </w:r>
      <w:r w:rsidR="00095EB5">
        <w:rPr>
          <w:rStyle w:val="Strong"/>
          <w:rFonts w:cs="Arial"/>
          <w:b w:val="0"/>
          <w:bCs w:val="0"/>
          <w:lang w:val="en-NZ"/>
        </w:rPr>
        <w:t xml:space="preserve">, </w:t>
      </w:r>
      <w:r w:rsidR="00AB48CF">
        <w:rPr>
          <w:rStyle w:val="Strong"/>
          <w:rFonts w:cs="Arial"/>
          <w:b w:val="0"/>
          <w:bCs w:val="0"/>
          <w:lang w:val="en-NZ"/>
        </w:rPr>
        <w:t>and climate change.</w:t>
      </w:r>
      <w:r w:rsidR="007A784A">
        <w:rPr>
          <w:rStyle w:val="Strong"/>
          <w:rFonts w:cs="Arial"/>
          <w:b w:val="0"/>
          <w:bCs w:val="0"/>
          <w:lang w:val="en-NZ"/>
        </w:rPr>
        <w:t xml:space="preserve"> </w:t>
      </w:r>
      <w:r w:rsidR="00AE28CD">
        <w:rPr>
          <w:rStyle w:val="Strong"/>
          <w:rFonts w:cs="Arial"/>
          <w:b w:val="0"/>
          <w:bCs w:val="0"/>
          <w:lang w:val="en-NZ"/>
        </w:rPr>
        <w:t>More detailed analysis of factors influ</w:t>
      </w:r>
      <w:r w:rsidR="00577BDD">
        <w:rPr>
          <w:rStyle w:val="Strong"/>
          <w:rFonts w:cs="Arial"/>
          <w:b w:val="0"/>
          <w:bCs w:val="0"/>
          <w:lang w:val="en-NZ"/>
        </w:rPr>
        <w:t>encing carbon stock</w:t>
      </w:r>
      <w:r w:rsidR="000C0488">
        <w:rPr>
          <w:rStyle w:val="Strong"/>
          <w:rFonts w:cs="Arial"/>
          <w:b w:val="0"/>
          <w:bCs w:val="0"/>
          <w:lang w:val="en-NZ"/>
        </w:rPr>
        <w:t xml:space="preserve"> development</w:t>
      </w:r>
      <w:r w:rsidR="00577BDD">
        <w:rPr>
          <w:rStyle w:val="Strong"/>
          <w:rFonts w:cs="Arial"/>
          <w:b w:val="0"/>
          <w:bCs w:val="0"/>
          <w:lang w:val="en-NZ"/>
        </w:rPr>
        <w:t xml:space="preserve"> (e.g. </w:t>
      </w:r>
      <w:r w:rsidR="007560E8">
        <w:rPr>
          <w:rStyle w:val="Strong"/>
          <w:rFonts w:cs="Arial"/>
          <w:b w:val="0"/>
          <w:bCs w:val="0"/>
          <w:lang w:val="en-NZ"/>
        </w:rPr>
        <w:t xml:space="preserve">forest type, environmental </w:t>
      </w:r>
      <w:r w:rsidR="00AD4EE7">
        <w:rPr>
          <w:rStyle w:val="Strong"/>
          <w:rFonts w:cs="Arial"/>
          <w:b w:val="0"/>
          <w:bCs w:val="0"/>
          <w:lang w:val="en-NZ"/>
        </w:rPr>
        <w:t>variables</w:t>
      </w:r>
      <w:r w:rsidR="007560E8">
        <w:rPr>
          <w:rStyle w:val="Strong"/>
          <w:rFonts w:cs="Arial"/>
          <w:b w:val="0"/>
          <w:bCs w:val="0"/>
          <w:lang w:val="en-NZ"/>
        </w:rPr>
        <w:t xml:space="preserve">, factors </w:t>
      </w:r>
      <w:r w:rsidR="000C0488">
        <w:rPr>
          <w:rStyle w:val="Strong"/>
          <w:rFonts w:cs="Arial"/>
          <w:b w:val="0"/>
          <w:bCs w:val="0"/>
          <w:lang w:val="en-NZ"/>
        </w:rPr>
        <w:t>inhibiting</w:t>
      </w:r>
      <w:r w:rsidR="007560E8">
        <w:rPr>
          <w:rStyle w:val="Strong"/>
          <w:rFonts w:cs="Arial"/>
          <w:b w:val="0"/>
          <w:bCs w:val="0"/>
          <w:lang w:val="en-NZ"/>
        </w:rPr>
        <w:t xml:space="preserve"> </w:t>
      </w:r>
      <w:r w:rsidR="00AD4EE7">
        <w:rPr>
          <w:rStyle w:val="Strong"/>
          <w:rFonts w:cs="Arial"/>
          <w:b w:val="0"/>
          <w:bCs w:val="0"/>
          <w:lang w:val="en-NZ"/>
        </w:rPr>
        <w:t xml:space="preserve">forest </w:t>
      </w:r>
      <w:r w:rsidR="000C0488">
        <w:rPr>
          <w:rStyle w:val="Strong"/>
          <w:rFonts w:cs="Arial"/>
          <w:b w:val="0"/>
          <w:bCs w:val="0"/>
          <w:lang w:val="en-NZ"/>
        </w:rPr>
        <w:t>succession, disturbance regimes etc)</w:t>
      </w:r>
      <w:r w:rsidR="001F55AF">
        <w:rPr>
          <w:rStyle w:val="Strong"/>
          <w:rFonts w:cs="Arial"/>
          <w:b w:val="0"/>
          <w:bCs w:val="0"/>
          <w:lang w:val="en-NZ"/>
        </w:rPr>
        <w:t xml:space="preserve"> in the post-1989 forest is required.</w:t>
      </w:r>
      <w:r w:rsidR="000C0488">
        <w:rPr>
          <w:rStyle w:val="Strong"/>
          <w:rFonts w:cs="Arial"/>
          <w:b w:val="0"/>
          <w:bCs w:val="0"/>
          <w:lang w:val="en-NZ"/>
        </w:rPr>
        <w:t xml:space="preserve"> </w:t>
      </w:r>
    </w:p>
    <w:p w14:paraId="3731F34A" w14:textId="77777777" w:rsidR="006A3AFF" w:rsidRDefault="006A3AFF" w:rsidP="006A3AFF">
      <w:pPr>
        <w:rPr>
          <w:rStyle w:val="Strong"/>
          <w:rFonts w:cs="Arial"/>
          <w:b w:val="0"/>
          <w:bCs w:val="0"/>
        </w:rPr>
      </w:pPr>
    </w:p>
    <w:p w14:paraId="481C81A1" w14:textId="7B4F4646" w:rsidR="00BC019F" w:rsidRDefault="005A6D6F" w:rsidP="006A3AFF">
      <w:pPr>
        <w:rPr>
          <w:rStyle w:val="Strong"/>
          <w:rFonts w:cs="Arial"/>
          <w:b w:val="0"/>
          <w:bCs w:val="0"/>
        </w:rPr>
      </w:pPr>
      <w:r>
        <w:rPr>
          <w:rStyle w:val="Strong"/>
          <w:rFonts w:cs="Arial"/>
          <w:b w:val="0"/>
          <w:bCs w:val="0"/>
        </w:rPr>
        <w:t xml:space="preserve">The mean pre-1990 natural forest carbon stock is shown in Figure </w:t>
      </w:r>
      <w:r w:rsidR="00FC3960">
        <w:rPr>
          <w:rStyle w:val="Strong"/>
          <w:rFonts w:cs="Arial"/>
          <w:b w:val="0"/>
          <w:bCs w:val="0"/>
        </w:rPr>
        <w:t>1</w:t>
      </w:r>
      <w:r>
        <w:rPr>
          <w:rStyle w:val="Strong"/>
          <w:rFonts w:cs="Arial"/>
          <w:b w:val="0"/>
          <w:bCs w:val="0"/>
        </w:rPr>
        <w:t xml:space="preserve"> with two</w:t>
      </w:r>
      <w:r w:rsidR="00831777">
        <w:rPr>
          <w:rStyle w:val="Strong"/>
          <w:rFonts w:cs="Arial"/>
          <w:b w:val="0"/>
          <w:bCs w:val="0"/>
        </w:rPr>
        <w:t xml:space="preserve"> post-1989 natural forest carbon yield </w:t>
      </w:r>
      <w:r w:rsidR="00FC3960">
        <w:rPr>
          <w:rStyle w:val="Strong"/>
          <w:rFonts w:cs="Arial"/>
          <w:b w:val="0"/>
          <w:bCs w:val="0"/>
        </w:rPr>
        <w:t>tables</w:t>
      </w:r>
      <w:r w:rsidR="00831777">
        <w:rPr>
          <w:rStyle w:val="Strong"/>
          <w:rFonts w:cs="Arial"/>
          <w:b w:val="0"/>
          <w:bCs w:val="0"/>
        </w:rPr>
        <w:t xml:space="preserve"> – one starting from bare land and the other </w:t>
      </w:r>
      <w:r w:rsidR="00FC3960">
        <w:rPr>
          <w:rStyle w:val="Strong"/>
          <w:rFonts w:cs="Arial"/>
          <w:b w:val="0"/>
          <w:bCs w:val="0"/>
        </w:rPr>
        <w:t>assuming</w:t>
      </w:r>
      <w:r w:rsidR="00831777">
        <w:rPr>
          <w:rStyle w:val="Strong"/>
          <w:rFonts w:cs="Arial"/>
          <w:b w:val="0"/>
          <w:bCs w:val="0"/>
        </w:rPr>
        <w:t xml:space="preserve"> conversion from transitional </w:t>
      </w:r>
      <w:r w:rsidR="00395EEF">
        <w:rPr>
          <w:rStyle w:val="Strong"/>
          <w:rFonts w:cs="Arial"/>
          <w:b w:val="0"/>
          <w:bCs w:val="0"/>
        </w:rPr>
        <w:t xml:space="preserve">Grassland with </w:t>
      </w:r>
      <w:r w:rsidR="00A90DAC">
        <w:rPr>
          <w:rStyle w:val="Strong"/>
          <w:rFonts w:cs="Arial"/>
          <w:b w:val="0"/>
          <w:bCs w:val="0"/>
        </w:rPr>
        <w:t>W</w:t>
      </w:r>
      <w:r w:rsidR="00395EEF">
        <w:rPr>
          <w:rStyle w:val="Strong"/>
          <w:rFonts w:cs="Arial"/>
          <w:b w:val="0"/>
          <w:bCs w:val="0"/>
        </w:rPr>
        <w:t>oody biomass</w:t>
      </w:r>
      <w:r w:rsidR="00DE77EB">
        <w:rPr>
          <w:rStyle w:val="Strong"/>
          <w:rFonts w:cs="Arial"/>
          <w:b w:val="0"/>
          <w:bCs w:val="0"/>
        </w:rPr>
        <w:t>, GWB</w:t>
      </w:r>
      <w:r w:rsidR="00395EEF">
        <w:rPr>
          <w:rStyle w:val="Strong"/>
          <w:rFonts w:cs="Arial"/>
          <w:b w:val="0"/>
          <w:bCs w:val="0"/>
        </w:rPr>
        <w:t xml:space="preserve"> (MFE 2024b). These tables end at age 32, so </w:t>
      </w:r>
      <w:r w:rsidR="00CE0C84">
        <w:rPr>
          <w:rStyle w:val="Strong"/>
          <w:rFonts w:cs="Arial"/>
          <w:b w:val="0"/>
          <w:bCs w:val="0"/>
        </w:rPr>
        <w:t xml:space="preserve">the ETS indigenous forest lookup table is also shown to give </w:t>
      </w:r>
      <w:r w:rsidR="00F262A2">
        <w:rPr>
          <w:rStyle w:val="Strong"/>
          <w:rFonts w:cs="Arial"/>
          <w:b w:val="0"/>
          <w:bCs w:val="0"/>
        </w:rPr>
        <w:t xml:space="preserve">an </w:t>
      </w:r>
      <w:r w:rsidR="00FC3960">
        <w:rPr>
          <w:rStyle w:val="Strong"/>
          <w:rFonts w:cs="Arial"/>
          <w:b w:val="0"/>
          <w:bCs w:val="0"/>
        </w:rPr>
        <w:t>indication</w:t>
      </w:r>
      <w:r w:rsidR="00F262A2">
        <w:rPr>
          <w:rStyle w:val="Strong"/>
          <w:rFonts w:cs="Arial"/>
          <w:b w:val="0"/>
          <w:bCs w:val="0"/>
        </w:rPr>
        <w:t xml:space="preserve"> of the possible trajectory to age 50. </w:t>
      </w:r>
      <w:r w:rsidR="006A3AFF" w:rsidRPr="2744EF10">
        <w:rPr>
          <w:rStyle w:val="Strong"/>
          <w:rFonts w:cs="Arial"/>
          <w:b w:val="0"/>
          <w:bCs w:val="0"/>
        </w:rPr>
        <w:t xml:space="preserve">Based on </w:t>
      </w:r>
      <w:r w:rsidR="0084221C">
        <w:rPr>
          <w:rStyle w:val="Strong"/>
          <w:rFonts w:cs="Arial"/>
          <w:b w:val="0"/>
          <w:bCs w:val="0"/>
        </w:rPr>
        <w:t>this information,</w:t>
      </w:r>
      <w:r w:rsidR="00BC019F">
        <w:rPr>
          <w:rStyle w:val="Strong"/>
          <w:rFonts w:cs="Arial"/>
          <w:b w:val="0"/>
          <w:bCs w:val="0"/>
        </w:rPr>
        <w:t xml:space="preserve"> the mean pre-1990 natural forest stock </w:t>
      </w:r>
      <w:r w:rsidR="006A3AFF" w:rsidRPr="2744EF10">
        <w:rPr>
          <w:rStyle w:val="Strong"/>
          <w:rFonts w:cs="Arial"/>
          <w:b w:val="0"/>
          <w:bCs w:val="0"/>
        </w:rPr>
        <w:t>would take well over 50 years (and perhaps centuries) to achieve on average</w:t>
      </w:r>
      <w:r w:rsidR="00680C86">
        <w:rPr>
          <w:rStyle w:val="Strong"/>
          <w:rFonts w:cs="Arial"/>
          <w:b w:val="0"/>
          <w:bCs w:val="0"/>
        </w:rPr>
        <w:t>. This means that</w:t>
      </w:r>
      <w:r w:rsidR="006A3AFF" w:rsidRPr="2744EF10">
        <w:rPr>
          <w:rStyle w:val="Strong"/>
          <w:rFonts w:cs="Arial"/>
          <w:b w:val="0"/>
          <w:bCs w:val="0"/>
        </w:rPr>
        <w:t xml:space="preserve"> </w:t>
      </w:r>
      <w:r w:rsidR="00680C86">
        <w:rPr>
          <w:rStyle w:val="Strong"/>
          <w:rFonts w:cs="Arial"/>
          <w:b w:val="0"/>
          <w:bCs w:val="0"/>
        </w:rPr>
        <w:t xml:space="preserve">all </w:t>
      </w:r>
      <w:r w:rsidR="006A3AFF" w:rsidRPr="2744EF10">
        <w:rPr>
          <w:rStyle w:val="Strong"/>
          <w:rFonts w:cs="Arial"/>
          <w:b w:val="0"/>
          <w:bCs w:val="0"/>
        </w:rPr>
        <w:t>post-1989 natural forests would remain under stock change accounting throughout the Paris Agreement compliance period.</w:t>
      </w:r>
    </w:p>
    <w:p w14:paraId="0EF6BE9D" w14:textId="77777777" w:rsidR="00BC019F" w:rsidRDefault="00BC019F" w:rsidP="006A3AFF">
      <w:pPr>
        <w:rPr>
          <w:rStyle w:val="Strong"/>
          <w:rFonts w:cs="Arial"/>
          <w:b w:val="0"/>
          <w:bCs w:val="0"/>
        </w:rPr>
      </w:pPr>
    </w:p>
    <w:p w14:paraId="4DD14E7A" w14:textId="79355B26" w:rsidR="00EC0FF7" w:rsidRDefault="006A3AFF" w:rsidP="006A3AFF">
      <w:pPr>
        <w:rPr>
          <w:rStyle w:val="Strong"/>
          <w:rFonts w:cs="Arial"/>
          <w:b w:val="0"/>
          <w:bCs w:val="0"/>
        </w:rPr>
      </w:pPr>
      <w:r w:rsidRPr="2744EF10">
        <w:rPr>
          <w:rStyle w:val="Strong"/>
          <w:rFonts w:cs="Arial"/>
          <w:b w:val="0"/>
          <w:bCs w:val="0"/>
        </w:rPr>
        <w:t xml:space="preserve"> </w:t>
      </w:r>
    </w:p>
    <w:p w14:paraId="69AD6849" w14:textId="0A00B10C" w:rsidR="00EC0FF7" w:rsidRDefault="00AB04E7" w:rsidP="006A3AFF">
      <w:pPr>
        <w:rPr>
          <w:rStyle w:val="Strong"/>
          <w:rFonts w:cs="Arial"/>
          <w:b w:val="0"/>
          <w:bCs w:val="0"/>
        </w:rPr>
      </w:pPr>
      <w:r>
        <w:rPr>
          <w:rStyle w:val="Strong"/>
          <w:rFonts w:cs="Arial"/>
          <w:b w:val="0"/>
          <w:bCs w:val="0"/>
          <w:noProof/>
        </w:rPr>
        <w:drawing>
          <wp:inline distT="0" distB="0" distL="0" distR="0" wp14:anchorId="57466644" wp14:editId="50712013">
            <wp:extent cx="5575300" cy="3400863"/>
            <wp:effectExtent l="0" t="0" r="6350" b="9525"/>
            <wp:docPr id="652404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0983" cy="3410429"/>
                    </a:xfrm>
                    <a:prstGeom prst="rect">
                      <a:avLst/>
                    </a:prstGeom>
                    <a:noFill/>
                  </pic:spPr>
                </pic:pic>
              </a:graphicData>
            </a:graphic>
          </wp:inline>
        </w:drawing>
      </w:r>
    </w:p>
    <w:p w14:paraId="14BA1D0D" w14:textId="77777777" w:rsidR="00771C14" w:rsidRDefault="00771C14" w:rsidP="006A3AFF">
      <w:pPr>
        <w:rPr>
          <w:rStyle w:val="Strong"/>
          <w:rFonts w:cs="Arial"/>
          <w:b w:val="0"/>
          <w:bCs w:val="0"/>
        </w:rPr>
      </w:pPr>
    </w:p>
    <w:p w14:paraId="2C039F32" w14:textId="4FA0D6C1" w:rsidR="00771C14" w:rsidRPr="00F67A67" w:rsidRDefault="003E6A2A" w:rsidP="006A3AFF">
      <w:pPr>
        <w:rPr>
          <w:rStyle w:val="Strong"/>
          <w:rFonts w:cs="Arial"/>
        </w:rPr>
      </w:pPr>
      <w:r w:rsidRPr="00F67A67">
        <w:rPr>
          <w:rStyle w:val="Strong"/>
          <w:rFonts w:cs="Arial"/>
        </w:rPr>
        <w:t xml:space="preserve">Figure 1. </w:t>
      </w:r>
      <w:r w:rsidR="000E012E" w:rsidRPr="00F67A67">
        <w:rPr>
          <w:rStyle w:val="Strong"/>
          <w:rFonts w:cs="Arial"/>
        </w:rPr>
        <w:t>Post-1989 natural forest carbon yield table</w:t>
      </w:r>
      <w:r w:rsidR="00AD0052" w:rsidRPr="00F67A67">
        <w:rPr>
          <w:rStyle w:val="Strong"/>
          <w:rFonts w:cs="Arial"/>
        </w:rPr>
        <w:t>s,</w:t>
      </w:r>
      <w:r w:rsidR="004B1EBF" w:rsidRPr="00F67A67">
        <w:rPr>
          <w:rStyle w:val="Strong"/>
          <w:rFonts w:cs="Arial"/>
        </w:rPr>
        <w:t xml:space="preserve"> with (</w:t>
      </w:r>
      <w:r w:rsidR="00CC7D21" w:rsidRPr="00F67A67">
        <w:rPr>
          <w:rStyle w:val="Strong"/>
          <w:rFonts w:cs="Arial"/>
          <w:i/>
          <w:iCs/>
        </w:rPr>
        <w:t>Post89 NF ex-GWB</w:t>
      </w:r>
      <w:r w:rsidR="00CC7D21" w:rsidRPr="00F67A67">
        <w:rPr>
          <w:rStyle w:val="Strong"/>
          <w:rFonts w:cs="Arial"/>
        </w:rPr>
        <w:t>) and without (</w:t>
      </w:r>
      <w:r w:rsidR="00CC7D21" w:rsidRPr="00F67A67">
        <w:rPr>
          <w:rStyle w:val="Strong"/>
          <w:rFonts w:cs="Arial"/>
          <w:i/>
          <w:iCs/>
        </w:rPr>
        <w:t>Post89 NF</w:t>
      </w:r>
      <w:r w:rsidR="00CC7D21" w:rsidRPr="00F67A67">
        <w:rPr>
          <w:rStyle w:val="Strong"/>
          <w:rFonts w:cs="Arial"/>
        </w:rPr>
        <w:t>) initial biomass in grassland with woody biomass</w:t>
      </w:r>
      <w:r w:rsidR="00AD0052" w:rsidRPr="00F67A67">
        <w:rPr>
          <w:rStyle w:val="Strong"/>
          <w:rFonts w:cs="Arial"/>
        </w:rPr>
        <w:t xml:space="preserve">, </w:t>
      </w:r>
      <w:r w:rsidR="006D2ECB" w:rsidRPr="00F67A67">
        <w:rPr>
          <w:rStyle w:val="Strong"/>
          <w:rFonts w:cs="Arial"/>
        </w:rPr>
        <w:t>with ETS indigenous forest default table (</w:t>
      </w:r>
      <w:r w:rsidR="006D2ECB" w:rsidRPr="00F67A67">
        <w:rPr>
          <w:rStyle w:val="Strong"/>
          <w:rFonts w:cs="Arial"/>
          <w:i/>
          <w:iCs/>
        </w:rPr>
        <w:t>ETS Lookup</w:t>
      </w:r>
      <w:r w:rsidR="006D2ECB" w:rsidRPr="00F67A67">
        <w:rPr>
          <w:rStyle w:val="Strong"/>
          <w:rFonts w:cs="Arial"/>
        </w:rPr>
        <w:t>) for compa</w:t>
      </w:r>
      <w:r w:rsidR="00F67A67" w:rsidRPr="00F67A67">
        <w:rPr>
          <w:rStyle w:val="Strong"/>
          <w:rFonts w:cs="Arial"/>
        </w:rPr>
        <w:t>rison.</w:t>
      </w:r>
      <w:r w:rsidR="00F67A67">
        <w:rPr>
          <w:rStyle w:val="Strong"/>
          <w:rFonts w:cs="Arial"/>
        </w:rPr>
        <w:t xml:space="preserve"> </w:t>
      </w:r>
      <w:r w:rsidR="00064F79">
        <w:rPr>
          <w:rStyle w:val="Strong"/>
          <w:rFonts w:cs="Arial"/>
        </w:rPr>
        <w:t xml:space="preserve">Also shown: </w:t>
      </w:r>
      <w:r w:rsidR="00F67A67">
        <w:rPr>
          <w:rStyle w:val="Strong"/>
          <w:rFonts w:cs="Arial"/>
        </w:rPr>
        <w:t>Pre-1990 natural forest weighted mean current stock (</w:t>
      </w:r>
      <w:r w:rsidR="00064F79" w:rsidRPr="00FC3960">
        <w:rPr>
          <w:rStyle w:val="Strong"/>
          <w:rFonts w:cs="Arial"/>
          <w:i/>
          <w:iCs/>
        </w:rPr>
        <w:t>LTA weighted</w:t>
      </w:r>
      <w:r w:rsidR="00FC3960" w:rsidRPr="00FC3960">
        <w:rPr>
          <w:rStyle w:val="Strong"/>
          <w:rFonts w:cs="Arial"/>
          <w:i/>
          <w:iCs/>
        </w:rPr>
        <w:t xml:space="preserve"> Pre90 NF</w:t>
      </w:r>
      <w:r w:rsidR="00FC3960">
        <w:rPr>
          <w:rStyle w:val="Strong"/>
          <w:rFonts w:cs="Arial"/>
        </w:rPr>
        <w:t xml:space="preserve">, </w:t>
      </w:r>
      <w:r w:rsidR="00F67A67">
        <w:rPr>
          <w:rStyle w:val="Strong"/>
          <w:rFonts w:cs="Arial"/>
        </w:rPr>
        <w:t>812.5</w:t>
      </w:r>
      <w:r w:rsidR="00FC3960">
        <w:rPr>
          <w:rStyle w:val="Strong"/>
          <w:rFonts w:cs="Arial"/>
        </w:rPr>
        <w:t xml:space="preserve"> t CO</w:t>
      </w:r>
      <w:r w:rsidR="00FC3960" w:rsidRPr="00FC3960">
        <w:rPr>
          <w:rStyle w:val="Strong"/>
          <w:rFonts w:cs="Arial"/>
          <w:vertAlign w:val="subscript"/>
        </w:rPr>
        <w:t>2</w:t>
      </w:r>
      <w:r w:rsidR="00FC3960">
        <w:rPr>
          <w:rStyle w:val="Strong"/>
          <w:rFonts w:cs="Arial"/>
        </w:rPr>
        <w:t>/ha</w:t>
      </w:r>
      <w:r w:rsidR="00F67A67">
        <w:rPr>
          <w:rStyle w:val="Strong"/>
          <w:rFonts w:cs="Arial"/>
        </w:rPr>
        <w:t>)</w:t>
      </w:r>
      <w:r w:rsidR="00064F79">
        <w:rPr>
          <w:rStyle w:val="Strong"/>
          <w:rFonts w:cs="Arial"/>
        </w:rPr>
        <w:t xml:space="preserve">, and maximum </w:t>
      </w:r>
      <w:r w:rsidR="00FC3960">
        <w:rPr>
          <w:rStyle w:val="Strong"/>
          <w:rFonts w:cs="Arial"/>
        </w:rPr>
        <w:t xml:space="preserve">possible </w:t>
      </w:r>
      <w:r w:rsidR="00064F79">
        <w:rPr>
          <w:rStyle w:val="Strong"/>
          <w:rFonts w:cs="Arial"/>
        </w:rPr>
        <w:t xml:space="preserve">age during Paris </w:t>
      </w:r>
      <w:r w:rsidR="00FC3960">
        <w:rPr>
          <w:rStyle w:val="Strong"/>
          <w:rFonts w:cs="Arial"/>
        </w:rPr>
        <w:t>A</w:t>
      </w:r>
      <w:r w:rsidR="00064F79">
        <w:rPr>
          <w:rStyle w:val="Strong"/>
          <w:rFonts w:cs="Arial"/>
        </w:rPr>
        <w:t>greement compliance period (age 40).</w:t>
      </w:r>
    </w:p>
    <w:p w14:paraId="2BEAC590" w14:textId="77777777" w:rsidR="003E6A2A" w:rsidRDefault="003E6A2A" w:rsidP="006A3AFF">
      <w:pPr>
        <w:rPr>
          <w:rStyle w:val="Strong"/>
          <w:rFonts w:cs="Arial"/>
          <w:b w:val="0"/>
          <w:bCs w:val="0"/>
        </w:rPr>
      </w:pPr>
    </w:p>
    <w:p w14:paraId="32F2B5D6" w14:textId="77777777" w:rsidR="006947CB" w:rsidRDefault="006947CB" w:rsidP="006A3AFF">
      <w:pPr>
        <w:rPr>
          <w:rStyle w:val="Strong"/>
          <w:rFonts w:cs="Arial"/>
          <w:b w:val="0"/>
          <w:bCs w:val="0"/>
        </w:rPr>
      </w:pPr>
    </w:p>
    <w:p w14:paraId="1F2F1C37" w14:textId="089EF37A" w:rsidR="00AC78D5" w:rsidRPr="006947CB" w:rsidRDefault="006947CB" w:rsidP="006A3AFF">
      <w:pPr>
        <w:rPr>
          <w:rStyle w:val="Strong"/>
          <w:rFonts w:cs="Arial"/>
          <w:b w:val="0"/>
          <w:bCs w:val="0"/>
          <w:i/>
          <w:iCs/>
        </w:rPr>
      </w:pPr>
      <w:r w:rsidRPr="006947CB">
        <w:rPr>
          <w:rStyle w:val="Strong"/>
          <w:rFonts w:cs="Arial"/>
          <w:b w:val="0"/>
          <w:bCs w:val="0"/>
          <w:i/>
          <w:iCs/>
        </w:rPr>
        <w:t>Accounting treatment summary</w:t>
      </w:r>
    </w:p>
    <w:p w14:paraId="72AAB6C0" w14:textId="77777777" w:rsidR="005713AE" w:rsidRDefault="005713AE" w:rsidP="006A3AFF">
      <w:pPr>
        <w:rPr>
          <w:rStyle w:val="Strong"/>
          <w:rFonts w:cs="Arial"/>
          <w:b w:val="0"/>
          <w:bCs w:val="0"/>
        </w:rPr>
      </w:pPr>
    </w:p>
    <w:p w14:paraId="5588B25F" w14:textId="7910AF87" w:rsidR="00E82D29" w:rsidRDefault="006224C9" w:rsidP="006A3AFF">
      <w:pPr>
        <w:rPr>
          <w:rStyle w:val="Strong"/>
          <w:rFonts w:cs="Arial"/>
          <w:b w:val="0"/>
          <w:bCs w:val="0"/>
        </w:rPr>
      </w:pPr>
      <w:r>
        <w:rPr>
          <w:rStyle w:val="Strong"/>
          <w:rFonts w:cs="Arial"/>
          <w:b w:val="0"/>
          <w:bCs w:val="0"/>
        </w:rPr>
        <w:t xml:space="preserve">Given the uncertainty around the development of </w:t>
      </w:r>
      <w:r w:rsidR="007F7A20">
        <w:rPr>
          <w:rStyle w:val="Strong"/>
          <w:rFonts w:cs="Arial"/>
          <w:b w:val="0"/>
          <w:bCs w:val="0"/>
        </w:rPr>
        <w:t xml:space="preserve">carbon stocks in post-1989 natural forests in </w:t>
      </w:r>
      <w:r w:rsidR="009F2241" w:rsidRPr="00372577">
        <w:rPr>
          <w:rStyle w:val="Strong"/>
          <w:rFonts w:cs="Arial"/>
          <w:b w:val="0"/>
          <w:bCs w:val="0"/>
        </w:rPr>
        <w:t>the</w:t>
      </w:r>
      <w:r w:rsidR="009F2241">
        <w:rPr>
          <w:rStyle w:val="Strong"/>
          <w:rFonts w:cs="Arial"/>
          <w:b w:val="0"/>
          <w:bCs w:val="0"/>
        </w:rPr>
        <w:t xml:space="preserve"> </w:t>
      </w:r>
      <w:r w:rsidR="005713AE">
        <w:rPr>
          <w:rStyle w:val="Strong"/>
          <w:rFonts w:cs="Arial"/>
          <w:b w:val="0"/>
          <w:bCs w:val="0"/>
        </w:rPr>
        <w:t>future</w:t>
      </w:r>
      <w:r w:rsidR="007F7A20">
        <w:rPr>
          <w:rStyle w:val="Strong"/>
          <w:rFonts w:cs="Arial"/>
          <w:b w:val="0"/>
          <w:bCs w:val="0"/>
        </w:rPr>
        <w:t xml:space="preserve"> and the very long timeframes involved, </w:t>
      </w:r>
      <w:r w:rsidR="00AC78D5">
        <w:rPr>
          <w:rStyle w:val="Strong"/>
          <w:rFonts w:cs="Arial"/>
          <w:b w:val="0"/>
          <w:bCs w:val="0"/>
        </w:rPr>
        <w:t xml:space="preserve">these forests </w:t>
      </w:r>
      <w:r w:rsidR="00A10BD4">
        <w:rPr>
          <w:rStyle w:val="Strong"/>
          <w:rFonts w:cs="Arial"/>
          <w:b w:val="0"/>
          <w:bCs w:val="0"/>
        </w:rPr>
        <w:t>would ideally be</w:t>
      </w:r>
      <w:r w:rsidR="00AC78D5">
        <w:rPr>
          <w:rStyle w:val="Strong"/>
          <w:rFonts w:cs="Arial"/>
          <w:b w:val="0"/>
          <w:bCs w:val="0"/>
        </w:rPr>
        <w:t xml:space="preserve"> treated under stock change accounting</w:t>
      </w:r>
      <w:r w:rsidR="00DC657B">
        <w:rPr>
          <w:rStyle w:val="Strong"/>
          <w:rFonts w:cs="Arial"/>
          <w:b w:val="0"/>
          <w:bCs w:val="0"/>
        </w:rPr>
        <w:t xml:space="preserve"> indefinitely.</w:t>
      </w:r>
      <w:r w:rsidR="00E82D29">
        <w:rPr>
          <w:rStyle w:val="Strong"/>
          <w:rFonts w:cs="Arial"/>
          <w:b w:val="0"/>
          <w:bCs w:val="0"/>
        </w:rPr>
        <w:t xml:space="preserve"> This is consistent with New Zealand’s intention to </w:t>
      </w:r>
      <w:r w:rsidR="00582608">
        <w:rPr>
          <w:rStyle w:val="Strong"/>
          <w:rFonts w:cs="Arial"/>
          <w:b w:val="0"/>
          <w:bCs w:val="0"/>
        </w:rPr>
        <w:t>use “…</w:t>
      </w:r>
      <w:r w:rsidR="00E82D29" w:rsidRPr="00AF674C">
        <w:rPr>
          <w:rFonts w:cs="Arial"/>
          <w:i/>
          <w:iCs/>
          <w:szCs w:val="20"/>
        </w:rPr>
        <w:t>a combination of the 2006 IPCC Guidance and the 2013 IPCC Kyoto Protocol Supplement, providing for Kyoto Protocol accounting approaches to be applied to the greenhouse gas inventory land</w:t>
      </w:r>
      <w:r w:rsidR="00E82D29">
        <w:rPr>
          <w:rFonts w:cs="Arial"/>
          <w:i/>
          <w:iCs/>
          <w:szCs w:val="20"/>
        </w:rPr>
        <w:t>-</w:t>
      </w:r>
      <w:r w:rsidR="00E82D29" w:rsidRPr="00AF674C">
        <w:rPr>
          <w:rFonts w:cs="Arial"/>
          <w:i/>
          <w:iCs/>
          <w:szCs w:val="20"/>
        </w:rPr>
        <w:t>based categories</w:t>
      </w:r>
      <w:r w:rsidR="00582608">
        <w:rPr>
          <w:rFonts w:cs="Arial"/>
          <w:i/>
          <w:iCs/>
          <w:szCs w:val="20"/>
        </w:rPr>
        <w:t>”</w:t>
      </w:r>
      <w:r w:rsidR="00582608" w:rsidRPr="007E0FA9">
        <w:rPr>
          <w:rFonts w:cs="Arial"/>
          <w:i/>
          <w:iCs/>
          <w:szCs w:val="20"/>
        </w:rPr>
        <w:t>.</w:t>
      </w:r>
      <w:r w:rsidR="00582608">
        <w:rPr>
          <w:rFonts w:cs="Arial"/>
          <w:i/>
          <w:iCs/>
          <w:szCs w:val="20"/>
        </w:rPr>
        <w:t xml:space="preserve"> </w:t>
      </w:r>
      <w:r w:rsidR="00FE1CF5">
        <w:rPr>
          <w:rFonts w:cs="Arial"/>
          <w:szCs w:val="20"/>
        </w:rPr>
        <w:t>However, i</w:t>
      </w:r>
      <w:r w:rsidR="00417F0A" w:rsidRPr="00417F0A">
        <w:rPr>
          <w:rFonts w:cs="Arial"/>
          <w:szCs w:val="20"/>
        </w:rPr>
        <w:t xml:space="preserve">t </w:t>
      </w:r>
      <w:r w:rsidR="00417F0A">
        <w:rPr>
          <w:rFonts w:cs="Arial"/>
          <w:szCs w:val="20"/>
        </w:rPr>
        <w:t xml:space="preserve">would not be consistent with the stated intention </w:t>
      </w:r>
      <w:r w:rsidR="00195CE7">
        <w:rPr>
          <w:rFonts w:cs="Arial"/>
          <w:szCs w:val="20"/>
        </w:rPr>
        <w:t>to</w:t>
      </w:r>
      <w:r w:rsidR="00417F0A">
        <w:rPr>
          <w:rFonts w:cs="Arial"/>
          <w:szCs w:val="20"/>
        </w:rPr>
        <w:t xml:space="preserve"> </w:t>
      </w:r>
      <w:r w:rsidR="00CC07C0">
        <w:rPr>
          <w:rFonts w:cs="Arial"/>
          <w:szCs w:val="20"/>
        </w:rPr>
        <w:t xml:space="preserve">transfer post-1989 forests from stock change accounting to accounting against a reference level </w:t>
      </w:r>
      <w:r w:rsidR="006C75E7">
        <w:rPr>
          <w:rFonts w:cs="Arial"/>
          <w:szCs w:val="20"/>
        </w:rPr>
        <w:t xml:space="preserve">after they attain their </w:t>
      </w:r>
      <w:r w:rsidR="00406F45">
        <w:rPr>
          <w:rFonts w:cs="Arial"/>
          <w:szCs w:val="20"/>
        </w:rPr>
        <w:t>“</w:t>
      </w:r>
      <w:r w:rsidR="006C75E7">
        <w:rPr>
          <w:rFonts w:cs="Arial"/>
          <w:szCs w:val="20"/>
        </w:rPr>
        <w:t>long-term average stock</w:t>
      </w:r>
      <w:r w:rsidR="00406F45">
        <w:rPr>
          <w:rFonts w:cs="Arial"/>
          <w:szCs w:val="20"/>
        </w:rPr>
        <w:t>”</w:t>
      </w:r>
      <w:r w:rsidR="006C75E7" w:rsidRPr="007E0FA9">
        <w:rPr>
          <w:rFonts w:cs="Arial"/>
          <w:szCs w:val="20"/>
        </w:rPr>
        <w:t>.</w:t>
      </w:r>
    </w:p>
    <w:p w14:paraId="431991EF" w14:textId="77777777" w:rsidR="003E6A2A" w:rsidRDefault="003E6A2A" w:rsidP="006A3AFF">
      <w:pPr>
        <w:rPr>
          <w:rStyle w:val="Strong"/>
          <w:rFonts w:cs="Arial"/>
          <w:b w:val="0"/>
          <w:bCs w:val="0"/>
        </w:rPr>
      </w:pPr>
    </w:p>
    <w:p w14:paraId="59FFF4C2" w14:textId="66FB104D" w:rsidR="00E71419" w:rsidRDefault="005B21E5" w:rsidP="006A3AFF">
      <w:pPr>
        <w:rPr>
          <w:rStyle w:val="Strong"/>
          <w:rFonts w:cs="Arial"/>
          <w:b w:val="0"/>
          <w:bCs w:val="0"/>
        </w:rPr>
      </w:pPr>
      <w:r>
        <w:rPr>
          <w:rStyle w:val="Strong"/>
          <w:rFonts w:cs="Arial"/>
          <w:b w:val="0"/>
          <w:bCs w:val="0"/>
        </w:rPr>
        <w:t>For</w:t>
      </w:r>
      <w:r w:rsidR="00CA3F44">
        <w:rPr>
          <w:rStyle w:val="Strong"/>
          <w:rFonts w:cs="Arial"/>
          <w:b w:val="0"/>
          <w:bCs w:val="0"/>
        </w:rPr>
        <w:t xml:space="preserve"> post-1989 natural forests, </w:t>
      </w:r>
      <w:r w:rsidR="005E06E2">
        <w:rPr>
          <w:rStyle w:val="Strong"/>
          <w:rFonts w:cs="Arial"/>
          <w:b w:val="0"/>
          <w:bCs w:val="0"/>
        </w:rPr>
        <w:t>the use of an inter</w:t>
      </w:r>
      <w:r w:rsidR="00E65F47">
        <w:rPr>
          <w:rStyle w:val="Strong"/>
          <w:rFonts w:cs="Arial"/>
          <w:b w:val="0"/>
          <w:bCs w:val="0"/>
        </w:rPr>
        <w:t>i</w:t>
      </w:r>
      <w:r w:rsidR="005E06E2">
        <w:rPr>
          <w:rStyle w:val="Strong"/>
          <w:rFonts w:cs="Arial"/>
          <w:b w:val="0"/>
          <w:bCs w:val="0"/>
        </w:rPr>
        <w:t xml:space="preserve">m long-term average carbon stock </w:t>
      </w:r>
      <w:r w:rsidR="00E65F47">
        <w:rPr>
          <w:rStyle w:val="Strong"/>
          <w:rFonts w:cs="Arial"/>
          <w:b w:val="0"/>
          <w:bCs w:val="0"/>
        </w:rPr>
        <w:t xml:space="preserve">based on the average in pre-1990 natural forests </w:t>
      </w:r>
      <w:r w:rsidR="005216F0">
        <w:rPr>
          <w:rStyle w:val="Strong"/>
          <w:rFonts w:cs="Arial"/>
          <w:b w:val="0"/>
          <w:bCs w:val="0"/>
        </w:rPr>
        <w:t>is unlikely to result in th</w:t>
      </w:r>
      <w:r w:rsidR="00A07A03">
        <w:rPr>
          <w:rStyle w:val="Strong"/>
          <w:rFonts w:cs="Arial"/>
          <w:b w:val="0"/>
          <w:bCs w:val="0"/>
        </w:rPr>
        <w:t xml:space="preserve">is LTA </w:t>
      </w:r>
      <w:r w:rsidR="00AB7F32">
        <w:rPr>
          <w:rStyle w:val="Strong"/>
          <w:rFonts w:cs="Arial"/>
          <w:b w:val="0"/>
          <w:bCs w:val="0"/>
        </w:rPr>
        <w:t>stock</w:t>
      </w:r>
      <w:r w:rsidR="00A07A03">
        <w:rPr>
          <w:rStyle w:val="Strong"/>
          <w:rFonts w:cs="Arial"/>
          <w:b w:val="0"/>
          <w:bCs w:val="0"/>
        </w:rPr>
        <w:t xml:space="preserve"> being exceeded during the </w:t>
      </w:r>
      <w:r w:rsidR="00A07A03">
        <w:rPr>
          <w:rStyle w:val="Strong"/>
          <w:rFonts w:cs="Arial"/>
          <w:b w:val="0"/>
          <w:bCs w:val="0"/>
        </w:rPr>
        <w:lastRenderedPageBreak/>
        <w:t xml:space="preserve">Paris </w:t>
      </w:r>
      <w:r w:rsidR="00FE1CF5">
        <w:rPr>
          <w:rStyle w:val="Strong"/>
          <w:rFonts w:cs="Arial"/>
          <w:b w:val="0"/>
          <w:bCs w:val="0"/>
        </w:rPr>
        <w:t>A</w:t>
      </w:r>
      <w:r w:rsidR="00A07A03">
        <w:rPr>
          <w:rStyle w:val="Strong"/>
          <w:rFonts w:cs="Arial"/>
          <w:b w:val="0"/>
          <w:bCs w:val="0"/>
        </w:rPr>
        <w:t>greement reference period</w:t>
      </w:r>
      <w:r w:rsidR="00AB7F32">
        <w:rPr>
          <w:rStyle w:val="Strong"/>
          <w:rFonts w:cs="Arial"/>
          <w:b w:val="0"/>
          <w:bCs w:val="0"/>
        </w:rPr>
        <w:t>, so forests will remain under stock change accounting</w:t>
      </w:r>
      <w:r w:rsidR="00FE1CF5">
        <w:rPr>
          <w:rStyle w:val="Strong"/>
          <w:rFonts w:cs="Arial"/>
          <w:b w:val="0"/>
          <w:bCs w:val="0"/>
        </w:rPr>
        <w:t xml:space="preserve"> to at least 2030</w:t>
      </w:r>
      <w:r w:rsidR="00AB7F32">
        <w:rPr>
          <w:rStyle w:val="Strong"/>
          <w:rFonts w:cs="Arial"/>
          <w:b w:val="0"/>
          <w:bCs w:val="0"/>
        </w:rPr>
        <w:t>.</w:t>
      </w:r>
    </w:p>
    <w:p w14:paraId="17C6FEC5" w14:textId="77777777" w:rsidR="000E065D" w:rsidRDefault="000E065D" w:rsidP="006A3AFF">
      <w:pPr>
        <w:rPr>
          <w:rStyle w:val="Strong"/>
          <w:rFonts w:cs="Arial"/>
          <w:b w:val="0"/>
          <w:bCs w:val="0"/>
        </w:rPr>
      </w:pPr>
    </w:p>
    <w:p w14:paraId="0FBB8E79" w14:textId="77777777" w:rsidR="000E065D" w:rsidRDefault="000E065D" w:rsidP="006A3AFF">
      <w:pPr>
        <w:rPr>
          <w:rStyle w:val="Strong"/>
          <w:rFonts w:cs="Arial"/>
          <w:b w:val="0"/>
          <w:bCs w:val="0"/>
        </w:rPr>
      </w:pPr>
    </w:p>
    <w:p w14:paraId="62924DC7" w14:textId="4D4A547A" w:rsidR="00E30E89" w:rsidRDefault="00E30E89" w:rsidP="00D86C71">
      <w:pPr>
        <w:pStyle w:val="Heading3"/>
        <w:rPr>
          <w:lang w:eastAsia="en-NZ"/>
        </w:rPr>
      </w:pPr>
      <w:r>
        <w:rPr>
          <w:lang w:eastAsia="en-NZ"/>
        </w:rPr>
        <w:t>Rotational Planted Forests</w:t>
      </w:r>
    </w:p>
    <w:p w14:paraId="50E7F7E4" w14:textId="77777777" w:rsidR="00E30E89" w:rsidRDefault="00E30E89" w:rsidP="00A35F7A">
      <w:pPr>
        <w:spacing w:line="276" w:lineRule="auto"/>
        <w:rPr>
          <w:lang w:eastAsia="en-NZ"/>
        </w:rPr>
      </w:pPr>
    </w:p>
    <w:p w14:paraId="0E0EAC43" w14:textId="6FE845DB" w:rsidR="0035092F" w:rsidRDefault="00E37A03" w:rsidP="00A35F7A">
      <w:pPr>
        <w:spacing w:line="276" w:lineRule="auto"/>
        <w:rPr>
          <w:rStyle w:val="Strong"/>
          <w:b w:val="0"/>
          <w:bCs w:val="0"/>
        </w:rPr>
      </w:pPr>
      <w:r>
        <w:rPr>
          <w:lang w:eastAsia="en-NZ"/>
        </w:rPr>
        <w:t xml:space="preserve">The </w:t>
      </w:r>
      <w:r w:rsidR="00E30E89">
        <w:rPr>
          <w:lang w:eastAsia="en-NZ"/>
        </w:rPr>
        <w:t>LTA stock</w:t>
      </w:r>
      <w:r>
        <w:rPr>
          <w:lang w:eastAsia="en-NZ"/>
        </w:rPr>
        <w:t>s</w:t>
      </w:r>
      <w:r w:rsidR="00E30E89">
        <w:rPr>
          <w:lang w:eastAsia="en-NZ"/>
        </w:rPr>
        <w:t xml:space="preserve"> and age</w:t>
      </w:r>
      <w:r>
        <w:rPr>
          <w:lang w:eastAsia="en-NZ"/>
        </w:rPr>
        <w:t>s</w:t>
      </w:r>
      <w:r w:rsidR="00E30E89">
        <w:rPr>
          <w:lang w:eastAsia="en-NZ"/>
        </w:rPr>
        <w:t xml:space="preserve"> for </w:t>
      </w:r>
      <w:r>
        <w:rPr>
          <w:lang w:eastAsia="en-NZ"/>
        </w:rPr>
        <w:t xml:space="preserve">planted forests managed under a clearfell regime are </w:t>
      </w:r>
      <w:r w:rsidR="004147FA">
        <w:rPr>
          <w:lang w:eastAsia="en-NZ"/>
        </w:rPr>
        <w:t xml:space="preserve">estimated using the </w:t>
      </w:r>
      <w:r w:rsidR="00701791">
        <w:rPr>
          <w:lang w:eastAsia="en-NZ"/>
        </w:rPr>
        <w:t xml:space="preserve">LTA </w:t>
      </w:r>
      <w:r w:rsidR="00114359">
        <w:rPr>
          <w:lang w:eastAsia="en-NZ"/>
        </w:rPr>
        <w:t xml:space="preserve">Calculator </w:t>
      </w:r>
      <w:r w:rsidR="00701791">
        <w:rPr>
          <w:lang w:eastAsia="en-NZ"/>
        </w:rPr>
        <w:t xml:space="preserve">described in </w:t>
      </w:r>
      <w:r w:rsidR="00EF5140">
        <w:rPr>
          <w:lang w:eastAsia="en-NZ"/>
        </w:rPr>
        <w:t xml:space="preserve">detail by Dovey </w:t>
      </w:r>
      <w:r w:rsidR="005E26AD">
        <w:rPr>
          <w:lang w:eastAsia="en-NZ"/>
        </w:rPr>
        <w:t>and</w:t>
      </w:r>
      <w:r w:rsidR="00AB1322">
        <w:rPr>
          <w:lang w:eastAsia="en-NZ"/>
        </w:rPr>
        <w:t xml:space="preserve"> </w:t>
      </w:r>
      <w:r w:rsidR="00EF5140">
        <w:rPr>
          <w:lang w:eastAsia="en-NZ"/>
        </w:rPr>
        <w:t xml:space="preserve">Wakelin (2024). </w:t>
      </w:r>
      <w:r w:rsidR="005F31C4">
        <w:rPr>
          <w:rStyle w:val="Strong"/>
          <w:b w:val="0"/>
          <w:bCs w:val="0"/>
        </w:rPr>
        <w:t xml:space="preserve">LTA stocks and ages are calculated for three species groups (radiata pine, Douglas-fir and other softwood and hardwoods) and then combined into area-weighted national averages for </w:t>
      </w:r>
      <w:r w:rsidR="009033DE">
        <w:rPr>
          <w:rStyle w:val="Strong"/>
          <w:b w:val="0"/>
          <w:bCs w:val="0"/>
        </w:rPr>
        <w:t xml:space="preserve">post-1989 </w:t>
      </w:r>
      <w:r w:rsidR="005F31C4">
        <w:rPr>
          <w:rStyle w:val="Strong"/>
          <w:b w:val="0"/>
          <w:bCs w:val="0"/>
        </w:rPr>
        <w:t xml:space="preserve">rotational planted forests. Variables that affect this calculation (e.g. rotation length, yield table, harvest residue decay rates and HWP discard rates) are able to be </w:t>
      </w:r>
      <w:r w:rsidR="00E50414">
        <w:rPr>
          <w:rStyle w:val="Strong"/>
          <w:b w:val="0"/>
          <w:bCs w:val="0"/>
        </w:rPr>
        <w:t>selected and revised</w:t>
      </w:r>
      <w:r w:rsidR="005F31C4">
        <w:rPr>
          <w:rStyle w:val="Strong"/>
          <w:b w:val="0"/>
          <w:bCs w:val="0"/>
        </w:rPr>
        <w:t xml:space="preserve"> by the user.</w:t>
      </w:r>
      <w:r w:rsidR="007B71F7">
        <w:rPr>
          <w:rStyle w:val="Strong"/>
          <w:b w:val="0"/>
          <w:bCs w:val="0"/>
        </w:rPr>
        <w:t xml:space="preserve"> </w:t>
      </w:r>
    </w:p>
    <w:p w14:paraId="3C187842" w14:textId="77777777" w:rsidR="0035092F" w:rsidRDefault="0035092F" w:rsidP="00A35F7A">
      <w:pPr>
        <w:spacing w:line="276" w:lineRule="auto"/>
        <w:rPr>
          <w:rStyle w:val="Strong"/>
          <w:b w:val="0"/>
          <w:bCs w:val="0"/>
        </w:rPr>
      </w:pPr>
    </w:p>
    <w:p w14:paraId="1426C21E" w14:textId="19829121" w:rsidR="0035092F" w:rsidRDefault="00CE4A2B" w:rsidP="00A35F7A">
      <w:pPr>
        <w:spacing w:line="276" w:lineRule="auto"/>
        <w:rPr>
          <w:rStyle w:val="Strong"/>
          <w:b w:val="0"/>
          <w:bCs w:val="0"/>
        </w:rPr>
      </w:pPr>
      <w:r>
        <w:rPr>
          <w:rStyle w:val="Strong"/>
          <w:b w:val="0"/>
          <w:bCs w:val="0"/>
        </w:rPr>
        <w:t xml:space="preserve">Under Kyoto Protocol accounting for post-1989 forests, all stock changes </w:t>
      </w:r>
      <w:r w:rsidR="00BC0FD4">
        <w:rPr>
          <w:rStyle w:val="Strong"/>
          <w:b w:val="0"/>
          <w:bCs w:val="0"/>
        </w:rPr>
        <w:t>were treated as</w:t>
      </w:r>
      <w:r>
        <w:rPr>
          <w:rStyle w:val="Strong"/>
          <w:b w:val="0"/>
          <w:bCs w:val="0"/>
        </w:rPr>
        <w:t xml:space="preserve"> additional</w:t>
      </w:r>
      <w:r w:rsidR="00BC0FD4">
        <w:rPr>
          <w:rStyle w:val="Strong"/>
          <w:b w:val="0"/>
          <w:bCs w:val="0"/>
        </w:rPr>
        <w:t xml:space="preserve"> and therefore accounted for in full. In contrast, </w:t>
      </w:r>
      <w:r w:rsidR="009A67BB">
        <w:rPr>
          <w:rStyle w:val="Strong"/>
          <w:b w:val="0"/>
          <w:bCs w:val="0"/>
        </w:rPr>
        <w:t xml:space="preserve">for pre-1990 forests only the </w:t>
      </w:r>
      <w:r w:rsidR="00877620">
        <w:rPr>
          <w:rStyle w:val="Strong"/>
          <w:b w:val="0"/>
          <w:bCs w:val="0"/>
        </w:rPr>
        <w:t>difference between the actual reported net emissions and the net emissions assumed in the business-as-usual Forest Reference Level wer</w:t>
      </w:r>
      <w:r w:rsidR="000462AB">
        <w:rPr>
          <w:rStyle w:val="Strong"/>
          <w:b w:val="0"/>
          <w:bCs w:val="0"/>
        </w:rPr>
        <w:t xml:space="preserve">e </w:t>
      </w:r>
      <w:r w:rsidR="008B0073">
        <w:rPr>
          <w:rStyle w:val="Strong"/>
          <w:b w:val="0"/>
          <w:bCs w:val="0"/>
        </w:rPr>
        <w:t>considered part of the accounting quantity</w:t>
      </w:r>
      <w:r w:rsidR="000462AB">
        <w:rPr>
          <w:rStyle w:val="Strong"/>
          <w:b w:val="0"/>
          <w:bCs w:val="0"/>
        </w:rPr>
        <w:t>.</w:t>
      </w:r>
      <w:r w:rsidR="00877620">
        <w:rPr>
          <w:rStyle w:val="Strong"/>
          <w:b w:val="0"/>
          <w:bCs w:val="0"/>
        </w:rPr>
        <w:t xml:space="preserve"> </w:t>
      </w:r>
      <w:r w:rsidR="00017AF1">
        <w:rPr>
          <w:rStyle w:val="Strong"/>
          <w:b w:val="0"/>
          <w:bCs w:val="0"/>
        </w:rPr>
        <w:t xml:space="preserve">This means that the LTA stock and </w:t>
      </w:r>
      <w:r w:rsidR="00A43C9F">
        <w:rPr>
          <w:rStyle w:val="Strong"/>
          <w:b w:val="0"/>
          <w:bCs w:val="0"/>
        </w:rPr>
        <w:t xml:space="preserve">post-1989 reference level do not need to be limited by </w:t>
      </w:r>
      <w:r w:rsidR="006D0BE0">
        <w:rPr>
          <w:rStyle w:val="Strong"/>
          <w:b w:val="0"/>
          <w:bCs w:val="0"/>
        </w:rPr>
        <w:t xml:space="preserve">historic </w:t>
      </w:r>
      <w:r w:rsidR="00A43C9F">
        <w:rPr>
          <w:rStyle w:val="Strong"/>
          <w:b w:val="0"/>
          <w:bCs w:val="0"/>
        </w:rPr>
        <w:t xml:space="preserve">management </w:t>
      </w:r>
      <w:r w:rsidR="006D0BE0">
        <w:rPr>
          <w:rStyle w:val="Strong"/>
          <w:b w:val="0"/>
          <w:bCs w:val="0"/>
        </w:rPr>
        <w:t>practices in a past</w:t>
      </w:r>
      <w:r w:rsidR="00B16FEE">
        <w:rPr>
          <w:rStyle w:val="Strong"/>
          <w:b w:val="0"/>
          <w:bCs w:val="0"/>
        </w:rPr>
        <w:t xml:space="preserve"> r</w:t>
      </w:r>
      <w:r w:rsidR="00A43C9F">
        <w:rPr>
          <w:rStyle w:val="Strong"/>
          <w:b w:val="0"/>
          <w:bCs w:val="0"/>
        </w:rPr>
        <w:t>eference period.</w:t>
      </w:r>
    </w:p>
    <w:p w14:paraId="6CAC2869" w14:textId="77777777" w:rsidR="00F96D9A" w:rsidRDefault="00F96D9A" w:rsidP="009033DE">
      <w:pPr>
        <w:spacing w:line="276" w:lineRule="auto"/>
        <w:rPr>
          <w:lang w:eastAsia="en-NZ"/>
        </w:rPr>
      </w:pPr>
    </w:p>
    <w:p w14:paraId="2C930423" w14:textId="4E3FBE55" w:rsidR="009033DE" w:rsidRDefault="009033DE" w:rsidP="009033DE">
      <w:pPr>
        <w:spacing w:line="276" w:lineRule="auto"/>
        <w:rPr>
          <w:szCs w:val="20"/>
          <w:lang w:eastAsia="en-NZ"/>
        </w:rPr>
      </w:pPr>
      <w:r>
        <w:rPr>
          <w:szCs w:val="20"/>
          <w:lang w:eastAsia="en-NZ"/>
        </w:rPr>
        <w:t>The intention is for the LTA to reflect both past and expected future forest management based on current best information. S</w:t>
      </w:r>
      <w:r w:rsidR="00DE05E0">
        <w:rPr>
          <w:szCs w:val="20"/>
          <w:lang w:eastAsia="en-NZ"/>
        </w:rPr>
        <w:t>ome variables affecting future carbon stocks</w:t>
      </w:r>
      <w:r w:rsidR="00776F46">
        <w:rPr>
          <w:szCs w:val="20"/>
          <w:lang w:eastAsia="en-NZ"/>
        </w:rPr>
        <w:t xml:space="preserve"> </w:t>
      </w:r>
      <w:r>
        <w:rPr>
          <w:szCs w:val="20"/>
          <w:lang w:eastAsia="en-NZ"/>
        </w:rPr>
        <w:t xml:space="preserve">are determined for each rotation at or relatively soon after planting </w:t>
      </w:r>
      <w:r w:rsidR="00776F46">
        <w:rPr>
          <w:szCs w:val="20"/>
          <w:lang w:eastAsia="en-NZ"/>
        </w:rPr>
        <w:t xml:space="preserve">(e.g. species and stocking) </w:t>
      </w:r>
      <w:r>
        <w:rPr>
          <w:szCs w:val="20"/>
          <w:lang w:eastAsia="en-NZ"/>
        </w:rPr>
        <w:t xml:space="preserve">while there is a lag for determining </w:t>
      </w:r>
      <w:r w:rsidR="00F96D9A">
        <w:rPr>
          <w:szCs w:val="20"/>
          <w:lang w:eastAsia="en-NZ"/>
        </w:rPr>
        <w:t xml:space="preserve">others (e.g. </w:t>
      </w:r>
      <w:r>
        <w:rPr>
          <w:szCs w:val="20"/>
          <w:lang w:eastAsia="en-NZ"/>
        </w:rPr>
        <w:t>harvest age and wood product markets</w:t>
      </w:r>
      <w:r w:rsidR="00F96D9A">
        <w:rPr>
          <w:szCs w:val="20"/>
          <w:lang w:eastAsia="en-NZ"/>
        </w:rPr>
        <w:t>)</w:t>
      </w:r>
      <w:r>
        <w:rPr>
          <w:szCs w:val="20"/>
          <w:lang w:eastAsia="en-NZ"/>
        </w:rPr>
        <w:t xml:space="preserve">. Species mix and product markets have changed since 1990 so there is scope to restrict the inclusion of data </w:t>
      </w:r>
      <w:r w:rsidR="00A10543">
        <w:rPr>
          <w:szCs w:val="20"/>
          <w:lang w:eastAsia="en-NZ"/>
        </w:rPr>
        <w:t>to time periods that</w:t>
      </w:r>
      <w:r>
        <w:rPr>
          <w:szCs w:val="20"/>
          <w:lang w:eastAsia="en-NZ"/>
        </w:rPr>
        <w:t xml:space="preserve"> better represent what is expected.</w:t>
      </w:r>
    </w:p>
    <w:p w14:paraId="1F1272DB" w14:textId="77777777" w:rsidR="009033DE" w:rsidRDefault="009033DE" w:rsidP="009033DE">
      <w:pPr>
        <w:spacing w:line="276" w:lineRule="auto"/>
        <w:rPr>
          <w:szCs w:val="20"/>
          <w:lang w:eastAsia="en-NZ"/>
        </w:rPr>
      </w:pPr>
    </w:p>
    <w:p w14:paraId="7F80423B" w14:textId="67464D13" w:rsidR="00A10543" w:rsidRDefault="00A202E3" w:rsidP="009033DE">
      <w:pPr>
        <w:spacing w:line="276" w:lineRule="auto"/>
        <w:rPr>
          <w:szCs w:val="20"/>
          <w:lang w:eastAsia="en-NZ"/>
        </w:rPr>
      </w:pPr>
      <w:r>
        <w:rPr>
          <w:szCs w:val="20"/>
          <w:lang w:eastAsia="en-NZ"/>
        </w:rPr>
        <w:t xml:space="preserve">Ultimately </w:t>
      </w:r>
      <w:r w:rsidR="007510D6">
        <w:rPr>
          <w:szCs w:val="20"/>
          <w:lang w:eastAsia="en-NZ"/>
        </w:rPr>
        <w:t xml:space="preserve">the choice of species and management for </w:t>
      </w:r>
      <w:r w:rsidR="00EA6F0E">
        <w:rPr>
          <w:szCs w:val="20"/>
          <w:lang w:eastAsia="en-NZ"/>
        </w:rPr>
        <w:t xml:space="preserve">multiple successive </w:t>
      </w:r>
      <w:r w:rsidR="00AB1AA3">
        <w:rPr>
          <w:szCs w:val="20"/>
          <w:lang w:eastAsia="en-NZ"/>
        </w:rPr>
        <w:t xml:space="preserve">future </w:t>
      </w:r>
      <w:r w:rsidR="00EA6F0E">
        <w:rPr>
          <w:szCs w:val="20"/>
          <w:lang w:eastAsia="en-NZ"/>
        </w:rPr>
        <w:t xml:space="preserve">rotations cannot be predicted with certainty. </w:t>
      </w:r>
      <w:r w:rsidR="00E77C75">
        <w:rPr>
          <w:szCs w:val="20"/>
          <w:lang w:eastAsia="en-NZ"/>
        </w:rPr>
        <w:t>Th</w:t>
      </w:r>
      <w:r w:rsidR="008A7C72">
        <w:rPr>
          <w:szCs w:val="20"/>
          <w:lang w:eastAsia="en-NZ"/>
        </w:rPr>
        <w:t xml:space="preserve">e </w:t>
      </w:r>
      <w:r w:rsidR="00680FA5">
        <w:rPr>
          <w:szCs w:val="20"/>
          <w:lang w:eastAsia="en-NZ"/>
        </w:rPr>
        <w:t>effect</w:t>
      </w:r>
      <w:r w:rsidR="008A7C72">
        <w:rPr>
          <w:szCs w:val="20"/>
          <w:lang w:eastAsia="en-NZ"/>
        </w:rPr>
        <w:t xml:space="preserve"> of differences in future management compared with the </w:t>
      </w:r>
      <w:r w:rsidR="00680FA5">
        <w:rPr>
          <w:szCs w:val="20"/>
          <w:lang w:eastAsia="en-NZ"/>
        </w:rPr>
        <w:t>assumptions</w:t>
      </w:r>
      <w:r w:rsidR="008A7C72">
        <w:rPr>
          <w:szCs w:val="20"/>
          <w:lang w:eastAsia="en-NZ"/>
        </w:rPr>
        <w:t xml:space="preserve"> </w:t>
      </w:r>
      <w:r w:rsidR="00680FA5">
        <w:rPr>
          <w:szCs w:val="20"/>
          <w:lang w:eastAsia="en-NZ"/>
        </w:rPr>
        <w:t>used in estimating the LTA age</w:t>
      </w:r>
      <w:r w:rsidR="00E77C75">
        <w:rPr>
          <w:szCs w:val="20"/>
          <w:lang w:eastAsia="en-NZ"/>
        </w:rPr>
        <w:t xml:space="preserve"> </w:t>
      </w:r>
      <w:r w:rsidR="00AA1889">
        <w:rPr>
          <w:szCs w:val="20"/>
          <w:lang w:eastAsia="en-NZ"/>
        </w:rPr>
        <w:t xml:space="preserve">can be </w:t>
      </w:r>
      <w:r w:rsidR="00E77C75">
        <w:rPr>
          <w:szCs w:val="20"/>
          <w:lang w:eastAsia="en-NZ"/>
        </w:rPr>
        <w:t xml:space="preserve">addressed through </w:t>
      </w:r>
      <w:r w:rsidR="00AA1889">
        <w:rPr>
          <w:szCs w:val="20"/>
          <w:lang w:eastAsia="en-NZ"/>
        </w:rPr>
        <w:t xml:space="preserve">a </w:t>
      </w:r>
      <w:r w:rsidR="00E77C75">
        <w:rPr>
          <w:szCs w:val="20"/>
          <w:lang w:eastAsia="en-NZ"/>
        </w:rPr>
        <w:t>post-1989 Forest Reference Level (see below).</w:t>
      </w:r>
    </w:p>
    <w:p w14:paraId="1A0C765C" w14:textId="77777777" w:rsidR="00E771BB" w:rsidRDefault="00E771BB" w:rsidP="009033DE">
      <w:pPr>
        <w:spacing w:line="276" w:lineRule="auto"/>
        <w:rPr>
          <w:szCs w:val="20"/>
          <w:lang w:eastAsia="en-NZ"/>
        </w:rPr>
      </w:pPr>
    </w:p>
    <w:p w14:paraId="74E296C1" w14:textId="3A7FC9EE" w:rsidR="00E771BB" w:rsidRDefault="00E771BB" w:rsidP="00E771BB">
      <w:pPr>
        <w:spacing w:line="276" w:lineRule="auto"/>
        <w:rPr>
          <w:lang w:eastAsia="en-NZ"/>
        </w:rPr>
      </w:pPr>
      <w:r>
        <w:rPr>
          <w:rStyle w:val="Strong"/>
          <w:b w:val="0"/>
          <w:bCs w:val="0"/>
        </w:rPr>
        <w:t xml:space="preserve">The assumptions made </w:t>
      </w:r>
      <w:r w:rsidR="00DC0692">
        <w:rPr>
          <w:rStyle w:val="Strong"/>
          <w:b w:val="0"/>
          <w:bCs w:val="0"/>
        </w:rPr>
        <w:t xml:space="preserve">in the LTA </w:t>
      </w:r>
      <w:r w:rsidR="00114359">
        <w:rPr>
          <w:rStyle w:val="Strong"/>
          <w:b w:val="0"/>
          <w:bCs w:val="0"/>
        </w:rPr>
        <w:t xml:space="preserve">Calculator </w:t>
      </w:r>
      <w:r w:rsidR="00DC0692">
        <w:rPr>
          <w:rStyle w:val="Strong"/>
          <w:b w:val="0"/>
          <w:bCs w:val="0"/>
        </w:rPr>
        <w:t xml:space="preserve">for </w:t>
      </w:r>
      <w:r w:rsidR="00E118B8">
        <w:rPr>
          <w:rStyle w:val="Strong"/>
          <w:b w:val="0"/>
          <w:bCs w:val="0"/>
        </w:rPr>
        <w:t xml:space="preserve">calculating the LTA stock and age for </w:t>
      </w:r>
      <w:r w:rsidR="00FD055A">
        <w:rPr>
          <w:rStyle w:val="Strong"/>
          <w:b w:val="0"/>
          <w:bCs w:val="0"/>
        </w:rPr>
        <w:t xml:space="preserve">post-1989 rotational planted forests </w:t>
      </w:r>
      <w:r>
        <w:rPr>
          <w:rStyle w:val="Strong"/>
          <w:b w:val="0"/>
          <w:bCs w:val="0"/>
        </w:rPr>
        <w:t xml:space="preserve">are listed </w:t>
      </w:r>
      <w:r w:rsidR="00FD055A">
        <w:rPr>
          <w:rStyle w:val="Strong"/>
          <w:b w:val="0"/>
          <w:bCs w:val="0"/>
        </w:rPr>
        <w:t xml:space="preserve">in Table </w:t>
      </w:r>
      <w:r w:rsidR="00C41423">
        <w:rPr>
          <w:rStyle w:val="Strong"/>
          <w:b w:val="0"/>
          <w:bCs w:val="0"/>
        </w:rPr>
        <w:t>1</w:t>
      </w:r>
      <w:r w:rsidR="00FD055A">
        <w:rPr>
          <w:rStyle w:val="Strong"/>
          <w:b w:val="0"/>
          <w:bCs w:val="0"/>
        </w:rPr>
        <w:t>.</w:t>
      </w:r>
      <w:r w:rsidR="00AA7D24">
        <w:rPr>
          <w:rStyle w:val="Strong"/>
          <w:b w:val="0"/>
          <w:bCs w:val="0"/>
        </w:rPr>
        <w:t xml:space="preserve"> </w:t>
      </w:r>
      <w:r w:rsidR="00306109">
        <w:rPr>
          <w:rStyle w:val="Strong"/>
          <w:b w:val="0"/>
          <w:bCs w:val="0"/>
        </w:rPr>
        <w:t>Assumptions related to carbon stocks in harvested wood products</w:t>
      </w:r>
      <w:r w:rsidR="00680FA5">
        <w:rPr>
          <w:rStyle w:val="Strong"/>
          <w:b w:val="0"/>
          <w:bCs w:val="0"/>
        </w:rPr>
        <w:t xml:space="preserve">, </w:t>
      </w:r>
      <w:r w:rsidR="00B846AE">
        <w:rPr>
          <w:rStyle w:val="Strong"/>
          <w:b w:val="0"/>
          <w:bCs w:val="0"/>
        </w:rPr>
        <w:t>post-</w:t>
      </w:r>
      <w:r w:rsidR="00680FA5">
        <w:rPr>
          <w:rStyle w:val="Strong"/>
          <w:b w:val="0"/>
          <w:bCs w:val="0"/>
        </w:rPr>
        <w:t xml:space="preserve">harvest residues </w:t>
      </w:r>
      <w:r w:rsidR="003658FD">
        <w:rPr>
          <w:rStyle w:val="Strong"/>
          <w:b w:val="0"/>
          <w:bCs w:val="0"/>
        </w:rPr>
        <w:t xml:space="preserve">and </w:t>
      </w:r>
      <w:r w:rsidR="00306109">
        <w:rPr>
          <w:rStyle w:val="Strong"/>
          <w:b w:val="0"/>
          <w:bCs w:val="0"/>
        </w:rPr>
        <w:t xml:space="preserve">soil </w:t>
      </w:r>
      <w:r w:rsidR="003658FD">
        <w:rPr>
          <w:rStyle w:val="Strong"/>
          <w:b w:val="0"/>
          <w:bCs w:val="0"/>
        </w:rPr>
        <w:t>are discussed separately</w:t>
      </w:r>
      <w:r w:rsidR="009F447F">
        <w:rPr>
          <w:rStyle w:val="Strong"/>
          <w:b w:val="0"/>
          <w:bCs w:val="0"/>
        </w:rPr>
        <w:t xml:space="preserve"> in a later section.</w:t>
      </w:r>
    </w:p>
    <w:p w14:paraId="7C9E5ED4" w14:textId="77777777" w:rsidR="00E771BB" w:rsidRDefault="00E771BB" w:rsidP="009033DE">
      <w:pPr>
        <w:spacing w:line="276" w:lineRule="auto"/>
        <w:rPr>
          <w:szCs w:val="20"/>
          <w:lang w:eastAsia="en-NZ"/>
        </w:rPr>
      </w:pPr>
    </w:p>
    <w:p w14:paraId="2B0DE31E" w14:textId="77777777" w:rsidR="00B846AE" w:rsidRDefault="00B846AE" w:rsidP="009033DE">
      <w:pPr>
        <w:spacing w:line="276" w:lineRule="auto"/>
        <w:rPr>
          <w:szCs w:val="20"/>
          <w:lang w:eastAsia="en-NZ"/>
        </w:rPr>
      </w:pPr>
    </w:p>
    <w:p w14:paraId="7F2EF022" w14:textId="77777777" w:rsidR="00B846AE" w:rsidRPr="00EE1EC0" w:rsidRDefault="00B846AE" w:rsidP="00B846AE">
      <w:pPr>
        <w:spacing w:line="276" w:lineRule="auto"/>
        <w:rPr>
          <w:i/>
          <w:iCs/>
          <w:lang w:eastAsia="en-NZ"/>
        </w:rPr>
      </w:pPr>
      <w:r w:rsidRPr="00EE1EC0">
        <w:rPr>
          <w:i/>
          <w:iCs/>
          <w:lang w:eastAsia="en-NZ"/>
        </w:rPr>
        <w:t>Yield tables</w:t>
      </w:r>
    </w:p>
    <w:p w14:paraId="46BF56CA" w14:textId="5E4C58AB" w:rsidR="00B846AE" w:rsidRDefault="00B846AE" w:rsidP="00B846AE">
      <w:pPr>
        <w:spacing w:line="276" w:lineRule="auto"/>
        <w:rPr>
          <w:lang w:eastAsia="en-NZ"/>
        </w:rPr>
      </w:pPr>
      <w:r>
        <w:rPr>
          <w:lang w:eastAsia="en-NZ"/>
        </w:rPr>
        <w:t>Yield tables for three species groups</w:t>
      </w:r>
      <w:r w:rsidR="00C02299">
        <w:rPr>
          <w:lang w:eastAsia="en-NZ"/>
        </w:rPr>
        <w:t xml:space="preserve"> (</w:t>
      </w:r>
      <w:r w:rsidR="00C02299" w:rsidRPr="00372577">
        <w:rPr>
          <w:lang w:eastAsia="en-NZ"/>
        </w:rPr>
        <w:t>radiata pine, Douglas fir and other softwoods, and hardwoods)</w:t>
      </w:r>
      <w:r>
        <w:rPr>
          <w:lang w:eastAsia="en-NZ"/>
        </w:rPr>
        <w:t xml:space="preserve"> are presented in </w:t>
      </w:r>
      <w:r w:rsidRPr="0DE32E75">
        <w:rPr>
          <w:lang w:eastAsia="en-NZ"/>
        </w:rPr>
        <w:fldChar w:fldCharType="begin"/>
      </w:r>
      <w:r w:rsidRPr="0DE32E75">
        <w:rPr>
          <w:lang w:eastAsia="en-NZ"/>
        </w:rPr>
        <w:instrText xml:space="preserve"> ADDIN EN.CITE &lt;EndNote&gt;&lt;Cite AuthorYear="1"&gt;&lt;Author&gt;Paul&lt;/Author&gt;&lt;Year&gt; 2023&lt;/Year&gt;&lt;RecNum&gt;2385&lt;/RecNum&gt;&lt;DisplayText&gt;Paul, et al. ( 2023)&lt;/DisplayText&gt;&lt;record&gt;&lt;rec-number&gt;2385&lt;/rec-number&gt;&lt;foreign-keys&gt;&lt;key app="EN" db-id="r5at02trje259vefp29x5zrovdfee299wts9" timestamp="1695944910"&gt;2385&lt;/key&gt;&lt;/foreign-keys&gt;&lt;ref-type name="Report"&gt;27&lt;/ref-type&gt;&lt;contributors&gt;&lt;authors&gt;&lt;author&gt;Paul, T.S.H.&lt;/author&gt;&lt;author&gt;Wakelin, S.J.&lt;/author&gt;&lt;author&gt;Dodunski, C.&lt;/author&gt;&lt;/authors&gt;&lt;tertiary-authors&gt;&lt;author&gt;Scion&lt;/author&gt;&lt;/tertiary-authors&gt;&lt;/contributors&gt;&lt;titles&gt;&lt;title&gt;The National Forest Inventory 2018-2022 analysis: Yield tables and carbon stocks in planted forests in New Zealand based on a five- year inventory cycle&lt;/title&gt;&lt;/titles&gt;&lt;dates&gt;&lt;year&gt; 2023&lt;/year&gt;&lt;/dates&gt;&lt;pub-location&gt;Rotorua&lt;/pub-location&gt;&lt;isbn&gt;Contract report for MFE&lt;/isbn&gt;&lt;work-type&gt;Contract report for MFE&lt;/work-type&gt;&lt;urls&gt;&lt;/urls&gt;&lt;/record&gt;&lt;/Cite&gt;&lt;/EndNote&gt;</w:instrText>
      </w:r>
      <w:r w:rsidRPr="0DE32E75">
        <w:rPr>
          <w:lang w:eastAsia="en-NZ"/>
        </w:rPr>
        <w:fldChar w:fldCharType="separate"/>
      </w:r>
      <w:r w:rsidRPr="0DE32E75">
        <w:rPr>
          <w:noProof/>
          <w:lang w:eastAsia="en-NZ"/>
        </w:rPr>
        <w:t xml:space="preserve">Paul, et al. </w:t>
      </w:r>
      <w:r>
        <w:rPr>
          <w:noProof/>
          <w:lang w:eastAsia="en-NZ"/>
        </w:rPr>
        <w:t>(</w:t>
      </w:r>
      <w:r w:rsidRPr="0DE32E75">
        <w:rPr>
          <w:noProof/>
          <w:lang w:eastAsia="en-NZ"/>
        </w:rPr>
        <w:t>202</w:t>
      </w:r>
      <w:r>
        <w:rPr>
          <w:noProof/>
          <w:lang w:eastAsia="en-NZ"/>
        </w:rPr>
        <w:t>4</w:t>
      </w:r>
      <w:r w:rsidRPr="00372577">
        <w:rPr>
          <w:noProof/>
          <w:lang w:eastAsia="en-NZ"/>
        </w:rPr>
        <w:t>)</w:t>
      </w:r>
      <w:r w:rsidRPr="0DE32E75">
        <w:rPr>
          <w:noProof/>
          <w:lang w:eastAsia="en-NZ"/>
        </w:rPr>
        <w:t>; tables 2a-4, 2a-5 and 2a-6 for post-1989 planted forests</w:t>
      </w:r>
      <w:r w:rsidRPr="0DE32E75">
        <w:rPr>
          <w:lang w:eastAsia="en-NZ"/>
        </w:rPr>
        <w:fldChar w:fldCharType="end"/>
      </w:r>
      <w:r w:rsidRPr="0DE32E75">
        <w:rPr>
          <w:lang w:eastAsia="en-NZ"/>
        </w:rPr>
        <w:t>.</w:t>
      </w:r>
      <w:r>
        <w:rPr>
          <w:lang w:eastAsia="en-NZ"/>
        </w:rPr>
        <w:t xml:space="preserve"> The relatively small area of species other than radiata pine and Douglas fir means that there are few plots available from which robust carbon yield tables could be developed for individual minor species. </w:t>
      </w:r>
    </w:p>
    <w:p w14:paraId="357168C3" w14:textId="77777777" w:rsidR="00B846AE" w:rsidRDefault="00B846AE" w:rsidP="00B846AE">
      <w:pPr>
        <w:spacing w:line="276" w:lineRule="auto"/>
        <w:rPr>
          <w:lang w:eastAsia="en-NZ"/>
        </w:rPr>
      </w:pPr>
    </w:p>
    <w:p w14:paraId="5ACCD176" w14:textId="442E5FBC" w:rsidR="00B846AE" w:rsidRDefault="00B846AE" w:rsidP="00B846AE">
      <w:pPr>
        <w:spacing w:line="276" w:lineRule="auto"/>
        <w:rPr>
          <w:lang w:eastAsia="en-NZ"/>
        </w:rPr>
      </w:pPr>
      <w:r>
        <w:rPr>
          <w:lang w:eastAsia="en-NZ"/>
        </w:rPr>
        <w:t xml:space="preserve">The approach taken was to calculate the LTA stock and age separately for these three species groups within the LTA </w:t>
      </w:r>
      <w:r w:rsidR="00114359">
        <w:rPr>
          <w:rStyle w:val="Strong"/>
          <w:b w:val="0"/>
          <w:bCs w:val="0"/>
        </w:rPr>
        <w:t>Calculator</w:t>
      </w:r>
      <w:r w:rsidR="00114359" w:rsidDel="00114359">
        <w:rPr>
          <w:lang w:eastAsia="en-NZ"/>
        </w:rPr>
        <w:t xml:space="preserve"> </w:t>
      </w:r>
      <w:r>
        <w:rPr>
          <w:lang w:eastAsia="en-NZ"/>
        </w:rPr>
        <w:t xml:space="preserve">(Dovey </w:t>
      </w:r>
      <w:r w:rsidR="00AB1322">
        <w:rPr>
          <w:lang w:eastAsia="en-NZ"/>
        </w:rPr>
        <w:t xml:space="preserve">&amp; </w:t>
      </w:r>
      <w:r>
        <w:rPr>
          <w:lang w:eastAsia="en-NZ"/>
        </w:rPr>
        <w:t>Wakelin</w:t>
      </w:r>
      <w:r w:rsidR="002E4E47">
        <w:rPr>
          <w:lang w:eastAsia="en-NZ"/>
        </w:rPr>
        <w:t>,</w:t>
      </w:r>
      <w:r>
        <w:rPr>
          <w:lang w:eastAsia="en-NZ"/>
        </w:rPr>
        <w:t xml:space="preserve"> 2024) and then weight the results by the area proportions. MFE’s Calculation and Reporting Application (CRA) currently uses a single national combined species yield table for post-1989 planted forests, so a single national LTA stock and age is required.</w:t>
      </w:r>
    </w:p>
    <w:p w14:paraId="6D7D68EB" w14:textId="77777777" w:rsidR="00B846AE" w:rsidRDefault="00B846AE" w:rsidP="009033DE">
      <w:pPr>
        <w:spacing w:line="276" w:lineRule="auto"/>
        <w:rPr>
          <w:szCs w:val="20"/>
          <w:lang w:eastAsia="en-NZ"/>
        </w:rPr>
      </w:pPr>
    </w:p>
    <w:p w14:paraId="6F437C03" w14:textId="1A83F983" w:rsidR="00B846AE" w:rsidRDefault="00B846AE" w:rsidP="00B846AE">
      <w:pPr>
        <w:spacing w:line="276" w:lineRule="auto"/>
        <w:rPr>
          <w:lang w:eastAsia="en-NZ"/>
        </w:rPr>
      </w:pPr>
      <w:r>
        <w:rPr>
          <w:lang w:eastAsia="en-NZ"/>
        </w:rPr>
        <w:t xml:space="preserve">Carbon yield tables include the above-ground </w:t>
      </w:r>
      <w:r w:rsidR="006164EE">
        <w:rPr>
          <w:lang w:eastAsia="en-NZ"/>
        </w:rPr>
        <w:t xml:space="preserve">live </w:t>
      </w:r>
      <w:r>
        <w:rPr>
          <w:lang w:eastAsia="en-NZ"/>
        </w:rPr>
        <w:t xml:space="preserve">biomass, below-ground </w:t>
      </w:r>
      <w:r w:rsidR="006164EE">
        <w:rPr>
          <w:lang w:eastAsia="en-NZ"/>
        </w:rPr>
        <w:t xml:space="preserve">live </w:t>
      </w:r>
      <w:r>
        <w:rPr>
          <w:lang w:eastAsia="en-NZ"/>
        </w:rPr>
        <w:t xml:space="preserve">biomass, dead wood and litter pools, including carbon associated with the understorey (non-crop) component of the stand. </w:t>
      </w:r>
    </w:p>
    <w:p w14:paraId="0AF9837E" w14:textId="77777777" w:rsidR="00B846AE" w:rsidRDefault="00B846AE" w:rsidP="00B846AE">
      <w:pPr>
        <w:spacing w:line="276" w:lineRule="auto"/>
        <w:rPr>
          <w:lang w:eastAsia="en-NZ"/>
        </w:rPr>
      </w:pPr>
    </w:p>
    <w:p w14:paraId="21362AC1" w14:textId="77777777" w:rsidR="00B846AE" w:rsidRDefault="00B846AE" w:rsidP="00B846AE">
      <w:pPr>
        <w:spacing w:line="276" w:lineRule="auto"/>
        <w:rPr>
          <w:lang w:eastAsia="en-NZ"/>
        </w:rPr>
      </w:pPr>
    </w:p>
    <w:p w14:paraId="7B0D1E2E" w14:textId="77777777" w:rsidR="00B846AE" w:rsidRDefault="00B846AE" w:rsidP="009033DE">
      <w:pPr>
        <w:spacing w:line="276" w:lineRule="auto"/>
        <w:rPr>
          <w:szCs w:val="20"/>
          <w:lang w:eastAsia="en-NZ"/>
        </w:rPr>
      </w:pPr>
    </w:p>
    <w:p w14:paraId="0597D4CC" w14:textId="77777777" w:rsidR="00B846AE" w:rsidRDefault="00B846AE" w:rsidP="009033DE">
      <w:pPr>
        <w:spacing w:line="276" w:lineRule="auto"/>
        <w:rPr>
          <w:szCs w:val="20"/>
          <w:lang w:eastAsia="en-NZ"/>
        </w:rPr>
      </w:pPr>
    </w:p>
    <w:p w14:paraId="1084B221" w14:textId="77777777" w:rsidR="00B846AE" w:rsidRDefault="00B846AE" w:rsidP="009033DE">
      <w:pPr>
        <w:spacing w:line="276" w:lineRule="auto"/>
        <w:rPr>
          <w:szCs w:val="20"/>
          <w:lang w:eastAsia="en-NZ"/>
        </w:rPr>
      </w:pPr>
    </w:p>
    <w:p w14:paraId="11D15A7C" w14:textId="77777777" w:rsidR="00B846AE" w:rsidRDefault="00B846AE" w:rsidP="009033DE">
      <w:pPr>
        <w:spacing w:line="276" w:lineRule="auto"/>
        <w:rPr>
          <w:szCs w:val="20"/>
          <w:lang w:eastAsia="en-NZ"/>
        </w:rPr>
      </w:pPr>
    </w:p>
    <w:p w14:paraId="21CD019E" w14:textId="2CE9E394" w:rsidR="009033DE" w:rsidRPr="00AA7D24" w:rsidRDefault="009033DE" w:rsidP="009033DE">
      <w:pPr>
        <w:spacing w:line="276" w:lineRule="auto"/>
        <w:rPr>
          <w:b/>
          <w:bCs/>
          <w:szCs w:val="20"/>
          <w:lang w:eastAsia="en-NZ"/>
        </w:rPr>
      </w:pPr>
      <w:r w:rsidRPr="00AA7D24">
        <w:rPr>
          <w:b/>
          <w:bCs/>
          <w:szCs w:val="20"/>
          <w:lang w:eastAsia="en-NZ"/>
        </w:rPr>
        <w:t xml:space="preserve">Table </w:t>
      </w:r>
      <w:r w:rsidR="00A10AAA" w:rsidRPr="00AA7D24">
        <w:rPr>
          <w:b/>
          <w:bCs/>
          <w:szCs w:val="20"/>
          <w:lang w:eastAsia="en-NZ"/>
        </w:rPr>
        <w:t>1</w:t>
      </w:r>
      <w:r w:rsidRPr="00AA7D24">
        <w:rPr>
          <w:b/>
          <w:bCs/>
          <w:szCs w:val="20"/>
          <w:lang w:eastAsia="en-NZ"/>
        </w:rPr>
        <w:t xml:space="preserve">. Elements contributing to </w:t>
      </w:r>
      <w:r w:rsidR="00DB196A">
        <w:rPr>
          <w:b/>
          <w:bCs/>
          <w:szCs w:val="20"/>
          <w:lang w:eastAsia="en-NZ"/>
        </w:rPr>
        <w:t xml:space="preserve">the </w:t>
      </w:r>
      <w:r w:rsidRPr="00AA7D24">
        <w:rPr>
          <w:b/>
          <w:bCs/>
          <w:szCs w:val="20"/>
          <w:lang w:eastAsia="en-NZ"/>
        </w:rPr>
        <w:t xml:space="preserve">LTA </w:t>
      </w:r>
      <w:r w:rsidR="00DB196A">
        <w:rPr>
          <w:b/>
          <w:bCs/>
          <w:szCs w:val="20"/>
          <w:lang w:eastAsia="en-NZ"/>
        </w:rPr>
        <w:t xml:space="preserve">stock </w:t>
      </w:r>
      <w:r w:rsidRPr="00AA7D24">
        <w:rPr>
          <w:b/>
          <w:bCs/>
          <w:szCs w:val="20"/>
          <w:lang w:eastAsia="en-NZ"/>
        </w:rPr>
        <w:t>and their selection period for inclusion in calculations</w:t>
      </w:r>
      <w:r w:rsidR="00DB196A">
        <w:rPr>
          <w:b/>
          <w:bCs/>
          <w:szCs w:val="20"/>
          <w:lang w:eastAsia="en-NZ"/>
        </w:rPr>
        <w:t xml:space="preserve"> for rotational post-1989 planted forests</w:t>
      </w:r>
    </w:p>
    <w:p w14:paraId="50C3DDDE" w14:textId="77777777" w:rsidR="009033DE" w:rsidRDefault="009033DE" w:rsidP="009033DE">
      <w:pPr>
        <w:spacing w:line="276" w:lineRule="auto"/>
        <w:rPr>
          <w:szCs w:val="20"/>
          <w:lang w:eastAsia="en-NZ"/>
        </w:rPr>
      </w:pPr>
    </w:p>
    <w:tbl>
      <w:tblPr>
        <w:tblStyle w:val="TableGrid"/>
        <w:tblW w:w="0" w:type="auto"/>
        <w:tblLook w:val="04A0" w:firstRow="1" w:lastRow="0" w:firstColumn="1" w:lastColumn="0" w:noHBand="0" w:noVBand="1"/>
      </w:tblPr>
      <w:tblGrid>
        <w:gridCol w:w="1271"/>
        <w:gridCol w:w="2693"/>
        <w:gridCol w:w="1985"/>
        <w:gridCol w:w="1985"/>
      </w:tblGrid>
      <w:tr w:rsidR="005733BF" w14:paraId="0BCEAD23" w14:textId="3F1F086F" w:rsidTr="00682F99">
        <w:tc>
          <w:tcPr>
            <w:tcW w:w="1271" w:type="dxa"/>
          </w:tcPr>
          <w:p w14:paraId="052374D4" w14:textId="77777777" w:rsidR="005733BF" w:rsidRPr="008F26DA" w:rsidRDefault="005733BF" w:rsidP="002D6DFE">
            <w:pPr>
              <w:spacing w:line="276" w:lineRule="auto"/>
              <w:rPr>
                <w:b/>
                <w:bCs/>
                <w:szCs w:val="20"/>
                <w:lang w:eastAsia="en-NZ"/>
              </w:rPr>
            </w:pPr>
            <w:r w:rsidRPr="008F26DA">
              <w:rPr>
                <w:b/>
                <w:bCs/>
                <w:szCs w:val="20"/>
                <w:lang w:eastAsia="en-NZ"/>
              </w:rPr>
              <w:t>Element</w:t>
            </w:r>
          </w:p>
        </w:tc>
        <w:tc>
          <w:tcPr>
            <w:tcW w:w="2693" w:type="dxa"/>
          </w:tcPr>
          <w:p w14:paraId="3C45A110" w14:textId="77777777" w:rsidR="005733BF" w:rsidRPr="00DF5E97" w:rsidRDefault="005733BF" w:rsidP="002D6DFE">
            <w:pPr>
              <w:spacing w:line="276" w:lineRule="auto"/>
              <w:rPr>
                <w:b/>
                <w:bCs/>
                <w:szCs w:val="20"/>
                <w:lang w:eastAsia="en-NZ"/>
              </w:rPr>
            </w:pPr>
            <w:r w:rsidRPr="008F26DA">
              <w:rPr>
                <w:b/>
                <w:bCs/>
                <w:szCs w:val="20"/>
                <w:lang w:eastAsia="en-NZ"/>
              </w:rPr>
              <w:t>Selection</w:t>
            </w:r>
            <w:r>
              <w:rPr>
                <w:b/>
                <w:bCs/>
                <w:szCs w:val="20"/>
                <w:lang w:eastAsia="en-NZ"/>
              </w:rPr>
              <w:t xml:space="preserve"> basis</w:t>
            </w:r>
          </w:p>
        </w:tc>
        <w:tc>
          <w:tcPr>
            <w:tcW w:w="1985" w:type="dxa"/>
          </w:tcPr>
          <w:p w14:paraId="5640B78E" w14:textId="77777777" w:rsidR="005733BF" w:rsidRPr="00DF5E97" w:rsidRDefault="005733BF" w:rsidP="002D6DFE">
            <w:pPr>
              <w:spacing w:line="276" w:lineRule="auto"/>
              <w:rPr>
                <w:b/>
                <w:bCs/>
                <w:szCs w:val="20"/>
                <w:lang w:eastAsia="en-NZ"/>
              </w:rPr>
            </w:pPr>
            <w:r w:rsidRPr="00DF5E97">
              <w:rPr>
                <w:b/>
                <w:bCs/>
                <w:szCs w:val="20"/>
                <w:lang w:eastAsia="en-NZ"/>
              </w:rPr>
              <w:t>Years to include</w:t>
            </w:r>
          </w:p>
        </w:tc>
        <w:tc>
          <w:tcPr>
            <w:tcW w:w="1985" w:type="dxa"/>
          </w:tcPr>
          <w:p w14:paraId="2493637E" w14:textId="406D8E0E" w:rsidR="005733BF" w:rsidRPr="00DF5E97" w:rsidRDefault="005733BF" w:rsidP="002D6DFE">
            <w:pPr>
              <w:spacing w:line="276" w:lineRule="auto"/>
              <w:rPr>
                <w:b/>
                <w:bCs/>
                <w:szCs w:val="20"/>
                <w:lang w:eastAsia="en-NZ"/>
              </w:rPr>
            </w:pPr>
            <w:r>
              <w:rPr>
                <w:b/>
                <w:bCs/>
                <w:szCs w:val="20"/>
                <w:lang w:eastAsia="en-NZ"/>
              </w:rPr>
              <w:t>Source</w:t>
            </w:r>
          </w:p>
        </w:tc>
      </w:tr>
      <w:tr w:rsidR="005733BF" w14:paraId="272D79F9" w14:textId="1C3E2E99" w:rsidTr="00682F99">
        <w:tc>
          <w:tcPr>
            <w:tcW w:w="1271" w:type="dxa"/>
          </w:tcPr>
          <w:p w14:paraId="12D4D66F" w14:textId="77777777" w:rsidR="005733BF" w:rsidRDefault="005733BF" w:rsidP="002D6DFE">
            <w:pPr>
              <w:spacing w:line="276" w:lineRule="auto"/>
              <w:rPr>
                <w:szCs w:val="20"/>
                <w:lang w:eastAsia="en-NZ"/>
              </w:rPr>
            </w:pPr>
            <w:r>
              <w:rPr>
                <w:szCs w:val="20"/>
                <w:lang w:eastAsia="en-NZ"/>
              </w:rPr>
              <w:t>Yield tables</w:t>
            </w:r>
          </w:p>
        </w:tc>
        <w:tc>
          <w:tcPr>
            <w:tcW w:w="2693" w:type="dxa"/>
          </w:tcPr>
          <w:p w14:paraId="0A331514" w14:textId="77777777" w:rsidR="005733BF" w:rsidRDefault="005733BF" w:rsidP="002D6DFE">
            <w:pPr>
              <w:spacing w:line="276" w:lineRule="auto"/>
              <w:rPr>
                <w:szCs w:val="20"/>
                <w:lang w:eastAsia="en-NZ"/>
              </w:rPr>
            </w:pPr>
            <w:r>
              <w:rPr>
                <w:szCs w:val="20"/>
                <w:lang w:eastAsia="en-NZ"/>
              </w:rPr>
              <w:t>All post-1989 plots based on latest measurement</w:t>
            </w:r>
          </w:p>
        </w:tc>
        <w:tc>
          <w:tcPr>
            <w:tcW w:w="1985" w:type="dxa"/>
          </w:tcPr>
          <w:p w14:paraId="64BC4EF2" w14:textId="77777777" w:rsidR="005733BF" w:rsidRDefault="005733BF" w:rsidP="002D6DFE">
            <w:pPr>
              <w:spacing w:line="276" w:lineRule="auto"/>
              <w:rPr>
                <w:szCs w:val="20"/>
                <w:lang w:eastAsia="en-NZ"/>
              </w:rPr>
            </w:pPr>
            <w:r>
              <w:rPr>
                <w:szCs w:val="20"/>
                <w:lang w:eastAsia="en-NZ"/>
              </w:rPr>
              <w:t>Planted 1990 onward</w:t>
            </w:r>
          </w:p>
        </w:tc>
        <w:tc>
          <w:tcPr>
            <w:tcW w:w="1985" w:type="dxa"/>
          </w:tcPr>
          <w:p w14:paraId="188E68AB" w14:textId="02183026" w:rsidR="005733BF" w:rsidRDefault="0052680B" w:rsidP="002D6DFE">
            <w:pPr>
              <w:spacing w:line="276" w:lineRule="auto"/>
              <w:rPr>
                <w:szCs w:val="20"/>
                <w:lang w:eastAsia="en-NZ"/>
              </w:rPr>
            </w:pPr>
            <w:r w:rsidRPr="00E74A1F">
              <w:rPr>
                <w:szCs w:val="20"/>
                <w:lang w:eastAsia="en-NZ"/>
              </w:rPr>
              <w:t>Paul et al</w:t>
            </w:r>
            <w:r w:rsidR="00D57D61">
              <w:rPr>
                <w:szCs w:val="20"/>
                <w:lang w:eastAsia="en-NZ"/>
              </w:rPr>
              <w:t>.</w:t>
            </w:r>
            <w:r w:rsidRPr="00E74A1F">
              <w:rPr>
                <w:szCs w:val="20"/>
                <w:lang w:eastAsia="en-NZ"/>
              </w:rPr>
              <w:t xml:space="preserve"> </w:t>
            </w:r>
            <w:r w:rsidR="00D57D61">
              <w:rPr>
                <w:szCs w:val="20"/>
                <w:lang w:eastAsia="en-NZ"/>
              </w:rPr>
              <w:t>(</w:t>
            </w:r>
            <w:r w:rsidRPr="00E74A1F">
              <w:rPr>
                <w:szCs w:val="20"/>
                <w:lang w:eastAsia="en-NZ"/>
              </w:rPr>
              <w:t>2024</w:t>
            </w:r>
            <w:r w:rsidR="00D57D61">
              <w:rPr>
                <w:szCs w:val="20"/>
                <w:lang w:eastAsia="en-NZ"/>
              </w:rPr>
              <w:t>)</w:t>
            </w:r>
          </w:p>
        </w:tc>
      </w:tr>
      <w:tr w:rsidR="00A33749" w14:paraId="7CC849E3" w14:textId="0163468C" w:rsidTr="00E26643">
        <w:tc>
          <w:tcPr>
            <w:tcW w:w="1271" w:type="dxa"/>
          </w:tcPr>
          <w:p w14:paraId="16AD1A0E" w14:textId="77777777" w:rsidR="00A33749" w:rsidRDefault="00A33749" w:rsidP="002D6DFE">
            <w:pPr>
              <w:spacing w:line="276" w:lineRule="auto"/>
              <w:rPr>
                <w:szCs w:val="20"/>
                <w:lang w:eastAsia="en-NZ"/>
              </w:rPr>
            </w:pPr>
            <w:r>
              <w:rPr>
                <w:szCs w:val="20"/>
                <w:lang w:eastAsia="en-NZ"/>
              </w:rPr>
              <w:t>Silviculture</w:t>
            </w:r>
          </w:p>
        </w:tc>
        <w:tc>
          <w:tcPr>
            <w:tcW w:w="4678" w:type="dxa"/>
            <w:gridSpan w:val="2"/>
          </w:tcPr>
          <w:p w14:paraId="22504734" w14:textId="41285A18" w:rsidR="00A33749" w:rsidRDefault="00A33749" w:rsidP="002D6DFE">
            <w:pPr>
              <w:spacing w:line="276" w:lineRule="auto"/>
              <w:rPr>
                <w:szCs w:val="20"/>
                <w:lang w:eastAsia="en-NZ"/>
              </w:rPr>
            </w:pPr>
            <w:r>
              <w:rPr>
                <w:szCs w:val="20"/>
                <w:lang w:eastAsia="en-NZ"/>
              </w:rPr>
              <w:t>(as reflected in the yield tables above, based on the representative sample of plots)</w:t>
            </w:r>
          </w:p>
        </w:tc>
        <w:tc>
          <w:tcPr>
            <w:tcW w:w="1985" w:type="dxa"/>
          </w:tcPr>
          <w:p w14:paraId="58961EA8" w14:textId="77777777" w:rsidR="00A33749" w:rsidRDefault="00A33749" w:rsidP="002D6DFE">
            <w:pPr>
              <w:spacing w:line="276" w:lineRule="auto"/>
              <w:rPr>
                <w:szCs w:val="20"/>
                <w:lang w:eastAsia="en-NZ"/>
              </w:rPr>
            </w:pPr>
          </w:p>
        </w:tc>
      </w:tr>
      <w:tr w:rsidR="005733BF" w14:paraId="5CC953EA" w14:textId="22167BC8" w:rsidTr="00682F99">
        <w:tc>
          <w:tcPr>
            <w:tcW w:w="1271" w:type="dxa"/>
          </w:tcPr>
          <w:p w14:paraId="2AC78BEB" w14:textId="77777777" w:rsidR="005733BF" w:rsidRDefault="005733BF" w:rsidP="002D6DFE">
            <w:pPr>
              <w:spacing w:line="276" w:lineRule="auto"/>
              <w:rPr>
                <w:szCs w:val="20"/>
                <w:lang w:eastAsia="en-NZ"/>
              </w:rPr>
            </w:pPr>
            <w:r>
              <w:rPr>
                <w:szCs w:val="20"/>
                <w:lang w:eastAsia="en-NZ"/>
              </w:rPr>
              <w:t>Rotation age</w:t>
            </w:r>
          </w:p>
        </w:tc>
        <w:tc>
          <w:tcPr>
            <w:tcW w:w="2693" w:type="dxa"/>
          </w:tcPr>
          <w:p w14:paraId="444F72FD" w14:textId="77777777" w:rsidR="005733BF" w:rsidRDefault="005733BF" w:rsidP="002D6DFE">
            <w:pPr>
              <w:spacing w:line="276" w:lineRule="auto"/>
              <w:rPr>
                <w:szCs w:val="20"/>
                <w:lang w:eastAsia="en-NZ"/>
              </w:rPr>
            </w:pPr>
            <w:r>
              <w:rPr>
                <w:szCs w:val="20"/>
                <w:lang w:eastAsia="en-NZ"/>
              </w:rPr>
              <w:t>Current best estimate – based largely on pre-1990 forest harvesting.</w:t>
            </w:r>
          </w:p>
        </w:tc>
        <w:tc>
          <w:tcPr>
            <w:tcW w:w="1985" w:type="dxa"/>
          </w:tcPr>
          <w:p w14:paraId="36FB2BBA" w14:textId="50B7E17A" w:rsidR="005733BF" w:rsidRDefault="004C6CF7" w:rsidP="002D6DFE">
            <w:pPr>
              <w:spacing w:line="276" w:lineRule="auto"/>
              <w:rPr>
                <w:szCs w:val="20"/>
                <w:lang w:eastAsia="en-NZ"/>
              </w:rPr>
            </w:pPr>
            <w:r>
              <w:rPr>
                <w:szCs w:val="20"/>
                <w:lang w:eastAsia="en-NZ"/>
              </w:rPr>
              <w:t xml:space="preserve">For radiata pine - </w:t>
            </w:r>
            <w:r w:rsidR="005733BF">
              <w:rPr>
                <w:szCs w:val="20"/>
                <w:lang w:eastAsia="en-NZ"/>
              </w:rPr>
              <w:t>1995-2022</w:t>
            </w:r>
            <w:r w:rsidR="00924E19">
              <w:rPr>
                <w:szCs w:val="20"/>
                <w:lang w:eastAsia="en-NZ"/>
              </w:rPr>
              <w:t xml:space="preserve"> (data range available in NEFD reports)</w:t>
            </w:r>
          </w:p>
        </w:tc>
        <w:tc>
          <w:tcPr>
            <w:tcW w:w="1985" w:type="dxa"/>
          </w:tcPr>
          <w:p w14:paraId="5397689E" w14:textId="730ADB3C" w:rsidR="005733BF" w:rsidRDefault="004C6CF7" w:rsidP="002D6DFE">
            <w:pPr>
              <w:spacing w:line="276" w:lineRule="auto"/>
              <w:rPr>
                <w:szCs w:val="20"/>
                <w:lang w:eastAsia="en-NZ"/>
              </w:rPr>
            </w:pPr>
            <w:r>
              <w:rPr>
                <w:szCs w:val="20"/>
                <w:lang w:eastAsia="en-NZ"/>
              </w:rPr>
              <w:t xml:space="preserve">Annual </w:t>
            </w:r>
            <w:r w:rsidR="00A10AAA">
              <w:rPr>
                <w:szCs w:val="20"/>
                <w:lang w:eastAsia="en-NZ"/>
              </w:rPr>
              <w:t xml:space="preserve">NEFD reports e.g. </w:t>
            </w:r>
            <w:r w:rsidR="00A10AAA" w:rsidRPr="00E74A1F">
              <w:rPr>
                <w:szCs w:val="20"/>
                <w:lang w:eastAsia="en-NZ"/>
              </w:rPr>
              <w:t>MPI (202</w:t>
            </w:r>
            <w:r w:rsidR="00516E77" w:rsidRPr="00E74A1F">
              <w:rPr>
                <w:szCs w:val="20"/>
                <w:lang w:eastAsia="en-NZ"/>
              </w:rPr>
              <w:t>2</w:t>
            </w:r>
            <w:r w:rsidR="00A10AAA" w:rsidRPr="00E74A1F">
              <w:rPr>
                <w:szCs w:val="20"/>
                <w:lang w:eastAsia="en-NZ"/>
              </w:rPr>
              <w:t>)</w:t>
            </w:r>
          </w:p>
        </w:tc>
      </w:tr>
      <w:tr w:rsidR="005733BF" w14:paraId="6F354148" w14:textId="3E02F7D6" w:rsidTr="00682F99">
        <w:tc>
          <w:tcPr>
            <w:tcW w:w="1271" w:type="dxa"/>
          </w:tcPr>
          <w:p w14:paraId="32A50D94" w14:textId="77777777" w:rsidR="005733BF" w:rsidRDefault="005733BF" w:rsidP="002D6DFE">
            <w:pPr>
              <w:spacing w:line="276" w:lineRule="auto"/>
              <w:rPr>
                <w:szCs w:val="20"/>
                <w:lang w:eastAsia="en-NZ"/>
              </w:rPr>
            </w:pPr>
            <w:r>
              <w:rPr>
                <w:szCs w:val="20"/>
                <w:lang w:eastAsia="en-NZ"/>
              </w:rPr>
              <w:t>Species area weighting</w:t>
            </w:r>
          </w:p>
        </w:tc>
        <w:tc>
          <w:tcPr>
            <w:tcW w:w="2693" w:type="dxa"/>
          </w:tcPr>
          <w:p w14:paraId="0106AAE1" w14:textId="76EDE0C8" w:rsidR="005733BF" w:rsidRDefault="00AB2A52" w:rsidP="002D6DFE">
            <w:pPr>
              <w:spacing w:line="276" w:lineRule="auto"/>
              <w:rPr>
                <w:szCs w:val="20"/>
                <w:lang w:eastAsia="en-NZ"/>
              </w:rPr>
            </w:pPr>
            <w:r>
              <w:rPr>
                <w:szCs w:val="20"/>
                <w:lang w:eastAsia="en-NZ"/>
              </w:rPr>
              <w:t xml:space="preserve">Based on net stocked area </w:t>
            </w:r>
            <w:r w:rsidR="00E34B87">
              <w:rPr>
                <w:szCs w:val="20"/>
                <w:lang w:eastAsia="en-NZ"/>
              </w:rPr>
              <w:t xml:space="preserve">from the </w:t>
            </w:r>
            <w:r w:rsidR="005733BF">
              <w:rPr>
                <w:szCs w:val="20"/>
                <w:lang w:eastAsia="en-NZ"/>
              </w:rPr>
              <w:t>LUCAS plot data used for yield tables</w:t>
            </w:r>
          </w:p>
        </w:tc>
        <w:tc>
          <w:tcPr>
            <w:tcW w:w="1985" w:type="dxa"/>
          </w:tcPr>
          <w:p w14:paraId="77D6317B" w14:textId="79F3BFD0" w:rsidR="005733BF" w:rsidRDefault="005733BF" w:rsidP="002D6DFE">
            <w:pPr>
              <w:spacing w:line="276" w:lineRule="auto"/>
              <w:rPr>
                <w:szCs w:val="20"/>
                <w:lang w:eastAsia="en-NZ"/>
              </w:rPr>
            </w:pPr>
            <w:r>
              <w:rPr>
                <w:szCs w:val="20"/>
                <w:lang w:eastAsia="en-NZ"/>
              </w:rPr>
              <w:t>LUCAS plot areas for stands planted from 1990 onward</w:t>
            </w:r>
          </w:p>
        </w:tc>
        <w:tc>
          <w:tcPr>
            <w:tcW w:w="1985" w:type="dxa"/>
          </w:tcPr>
          <w:p w14:paraId="12EAB1C0" w14:textId="15385D8E" w:rsidR="005733BF" w:rsidRDefault="004A5DCD" w:rsidP="002D6DFE">
            <w:pPr>
              <w:spacing w:line="276" w:lineRule="auto"/>
              <w:rPr>
                <w:szCs w:val="20"/>
                <w:lang w:eastAsia="en-NZ"/>
              </w:rPr>
            </w:pPr>
            <w:r>
              <w:rPr>
                <w:szCs w:val="20"/>
                <w:lang w:eastAsia="en-NZ"/>
              </w:rPr>
              <w:t>Paul et al</w:t>
            </w:r>
            <w:r w:rsidR="004C6CF7">
              <w:rPr>
                <w:szCs w:val="20"/>
                <w:lang w:eastAsia="en-NZ"/>
              </w:rPr>
              <w:t>. (</w:t>
            </w:r>
            <w:r>
              <w:rPr>
                <w:szCs w:val="20"/>
                <w:lang w:eastAsia="en-NZ"/>
              </w:rPr>
              <w:t>2024</w:t>
            </w:r>
            <w:r w:rsidR="00E75CA2">
              <w:rPr>
                <w:szCs w:val="20"/>
                <w:lang w:eastAsia="en-NZ"/>
              </w:rPr>
              <w:t>)</w:t>
            </w:r>
          </w:p>
        </w:tc>
      </w:tr>
      <w:tr w:rsidR="005733BF" w14:paraId="567A13E8" w14:textId="3B2092B9" w:rsidTr="00682F99">
        <w:tc>
          <w:tcPr>
            <w:tcW w:w="1271" w:type="dxa"/>
          </w:tcPr>
          <w:p w14:paraId="69164770" w14:textId="77777777" w:rsidR="005733BF" w:rsidRDefault="005733BF" w:rsidP="002D6DFE">
            <w:pPr>
              <w:spacing w:line="276" w:lineRule="auto"/>
              <w:rPr>
                <w:szCs w:val="20"/>
                <w:lang w:eastAsia="en-NZ"/>
              </w:rPr>
            </w:pPr>
            <w:r>
              <w:rPr>
                <w:szCs w:val="20"/>
                <w:lang w:eastAsia="en-NZ"/>
              </w:rPr>
              <w:t>HWP market share</w:t>
            </w:r>
          </w:p>
        </w:tc>
        <w:tc>
          <w:tcPr>
            <w:tcW w:w="2693" w:type="dxa"/>
          </w:tcPr>
          <w:p w14:paraId="16BF7D44" w14:textId="77777777" w:rsidR="005733BF" w:rsidRDefault="005733BF" w:rsidP="002D6DFE">
            <w:pPr>
              <w:spacing w:line="276" w:lineRule="auto"/>
              <w:rPr>
                <w:szCs w:val="20"/>
                <w:lang w:eastAsia="en-NZ"/>
              </w:rPr>
            </w:pPr>
            <w:r>
              <w:rPr>
                <w:szCs w:val="20"/>
                <w:lang w:eastAsia="en-NZ"/>
              </w:rPr>
              <w:t xml:space="preserve">Current best estimate, taking into account strong trends since 1990 but smoothing one-off events e.g. Covid. </w:t>
            </w:r>
          </w:p>
        </w:tc>
        <w:tc>
          <w:tcPr>
            <w:tcW w:w="1985" w:type="dxa"/>
          </w:tcPr>
          <w:p w14:paraId="4B354A8E" w14:textId="77777777" w:rsidR="005733BF" w:rsidRDefault="005733BF" w:rsidP="002D6DFE">
            <w:pPr>
              <w:spacing w:line="276" w:lineRule="auto"/>
              <w:rPr>
                <w:szCs w:val="20"/>
                <w:lang w:eastAsia="en-NZ"/>
              </w:rPr>
            </w:pPr>
            <w:r>
              <w:rPr>
                <w:szCs w:val="20"/>
                <w:lang w:eastAsia="en-NZ"/>
              </w:rPr>
              <w:t>2018-2022 (last five years)</w:t>
            </w:r>
          </w:p>
        </w:tc>
        <w:tc>
          <w:tcPr>
            <w:tcW w:w="1985" w:type="dxa"/>
          </w:tcPr>
          <w:p w14:paraId="6BA99B52" w14:textId="60B188F2" w:rsidR="005733BF" w:rsidRDefault="002C3717" w:rsidP="002D6DFE">
            <w:pPr>
              <w:spacing w:line="276" w:lineRule="auto"/>
              <w:rPr>
                <w:szCs w:val="20"/>
                <w:lang w:eastAsia="en-NZ"/>
              </w:rPr>
            </w:pPr>
            <w:r>
              <w:rPr>
                <w:szCs w:val="20"/>
                <w:lang w:eastAsia="en-NZ"/>
              </w:rPr>
              <w:t>Derived in HWP Carbon accounting model (</w:t>
            </w:r>
            <w:r w:rsidRPr="00E74A1F">
              <w:rPr>
                <w:szCs w:val="20"/>
                <w:lang w:eastAsia="en-NZ"/>
              </w:rPr>
              <w:t xml:space="preserve">Wakelin </w:t>
            </w:r>
            <w:r w:rsidR="002F5AFD">
              <w:rPr>
                <w:szCs w:val="20"/>
                <w:lang w:eastAsia="en-NZ"/>
              </w:rPr>
              <w:t>(</w:t>
            </w:r>
            <w:r w:rsidRPr="00E74A1F">
              <w:rPr>
                <w:szCs w:val="20"/>
                <w:lang w:eastAsia="en-NZ"/>
              </w:rPr>
              <w:t>2023)</w:t>
            </w:r>
            <w:r w:rsidR="009032E4" w:rsidRPr="00E74A1F">
              <w:rPr>
                <w:szCs w:val="20"/>
                <w:lang w:eastAsia="en-NZ"/>
              </w:rPr>
              <w:t>.</w:t>
            </w:r>
          </w:p>
        </w:tc>
      </w:tr>
      <w:tr w:rsidR="005733BF" w14:paraId="5FAB0ADD" w14:textId="283A580B" w:rsidTr="00682F99">
        <w:tc>
          <w:tcPr>
            <w:tcW w:w="1271" w:type="dxa"/>
          </w:tcPr>
          <w:p w14:paraId="245AA1D2" w14:textId="77777777" w:rsidR="005733BF" w:rsidRDefault="005733BF" w:rsidP="002D6DFE">
            <w:pPr>
              <w:spacing w:line="276" w:lineRule="auto"/>
              <w:rPr>
                <w:szCs w:val="20"/>
                <w:lang w:eastAsia="en-NZ"/>
              </w:rPr>
            </w:pPr>
            <w:r>
              <w:rPr>
                <w:szCs w:val="20"/>
                <w:lang w:eastAsia="en-NZ"/>
              </w:rPr>
              <w:t>Soil Carbon</w:t>
            </w:r>
          </w:p>
        </w:tc>
        <w:tc>
          <w:tcPr>
            <w:tcW w:w="2693" w:type="dxa"/>
          </w:tcPr>
          <w:p w14:paraId="434CB83C" w14:textId="77777777" w:rsidR="00352A4B" w:rsidRDefault="00352A4B" w:rsidP="002D6DFE">
            <w:pPr>
              <w:spacing w:line="276" w:lineRule="auto"/>
              <w:rPr>
                <w:szCs w:val="20"/>
                <w:lang w:eastAsia="en-NZ"/>
              </w:rPr>
            </w:pPr>
            <w:r>
              <w:rPr>
                <w:szCs w:val="20"/>
                <w:lang w:eastAsia="en-NZ"/>
              </w:rPr>
              <w:t>Stock change excluded from LTA calculation.</w:t>
            </w:r>
          </w:p>
          <w:p w14:paraId="05816730" w14:textId="77777777" w:rsidR="00352A4B" w:rsidRDefault="00352A4B" w:rsidP="002D6DFE">
            <w:pPr>
              <w:spacing w:line="276" w:lineRule="auto"/>
              <w:rPr>
                <w:szCs w:val="20"/>
                <w:lang w:eastAsia="en-NZ"/>
              </w:rPr>
            </w:pPr>
          </w:p>
          <w:p w14:paraId="43FEB667" w14:textId="467BCC49" w:rsidR="004E6A2E" w:rsidRDefault="00352A4B" w:rsidP="002D6DFE">
            <w:pPr>
              <w:spacing w:line="276" w:lineRule="auto"/>
              <w:rPr>
                <w:szCs w:val="20"/>
                <w:lang w:eastAsia="en-NZ"/>
              </w:rPr>
            </w:pPr>
            <w:r>
              <w:rPr>
                <w:szCs w:val="20"/>
                <w:lang w:eastAsia="en-NZ"/>
              </w:rPr>
              <w:t>[Option is to include the d</w:t>
            </w:r>
            <w:r w:rsidR="006D038C">
              <w:rPr>
                <w:szCs w:val="20"/>
                <w:lang w:eastAsia="en-NZ"/>
              </w:rPr>
              <w:t>ifference in steady-state soil carbon stocks</w:t>
            </w:r>
            <w:r w:rsidR="00391C28">
              <w:rPr>
                <w:szCs w:val="20"/>
                <w:lang w:eastAsia="en-NZ"/>
              </w:rPr>
              <w:t xml:space="preserve"> based on r</w:t>
            </w:r>
            <w:r w:rsidR="005733BF">
              <w:rPr>
                <w:szCs w:val="20"/>
                <w:lang w:eastAsia="en-NZ"/>
              </w:rPr>
              <w:t xml:space="preserve">ecent </w:t>
            </w:r>
            <w:r w:rsidR="00391C28">
              <w:rPr>
                <w:szCs w:val="20"/>
                <w:lang w:eastAsia="en-NZ"/>
              </w:rPr>
              <w:t xml:space="preserve">pre-afforestation </w:t>
            </w:r>
            <w:r w:rsidR="005733BF">
              <w:rPr>
                <w:szCs w:val="20"/>
                <w:lang w:eastAsia="en-NZ"/>
              </w:rPr>
              <w:t>land use</w:t>
            </w:r>
            <w:r w:rsidR="00391C28">
              <w:rPr>
                <w:szCs w:val="20"/>
                <w:lang w:eastAsia="en-NZ"/>
              </w:rPr>
              <w:t>s</w:t>
            </w:r>
            <w:r>
              <w:rPr>
                <w:szCs w:val="20"/>
                <w:lang w:eastAsia="en-NZ"/>
              </w:rPr>
              <w:t>.]</w:t>
            </w:r>
          </w:p>
        </w:tc>
        <w:tc>
          <w:tcPr>
            <w:tcW w:w="1985" w:type="dxa"/>
          </w:tcPr>
          <w:p w14:paraId="2ED7B2AB" w14:textId="6AFFD351" w:rsidR="00352A4B" w:rsidRDefault="005E38CB" w:rsidP="002D6DFE">
            <w:pPr>
              <w:spacing w:line="276" w:lineRule="auto"/>
              <w:rPr>
                <w:szCs w:val="20"/>
                <w:lang w:eastAsia="en-NZ"/>
              </w:rPr>
            </w:pPr>
            <w:r>
              <w:rPr>
                <w:szCs w:val="20"/>
                <w:lang w:eastAsia="en-NZ"/>
              </w:rPr>
              <w:t>n.a.</w:t>
            </w:r>
          </w:p>
          <w:p w14:paraId="666565B4" w14:textId="77777777" w:rsidR="00352A4B" w:rsidRDefault="00352A4B" w:rsidP="002D6DFE">
            <w:pPr>
              <w:spacing w:line="276" w:lineRule="auto"/>
              <w:rPr>
                <w:szCs w:val="20"/>
                <w:lang w:eastAsia="en-NZ"/>
              </w:rPr>
            </w:pPr>
          </w:p>
          <w:p w14:paraId="7979B9F9" w14:textId="77777777" w:rsidR="00352A4B" w:rsidRDefault="00352A4B" w:rsidP="002D6DFE">
            <w:pPr>
              <w:spacing w:line="276" w:lineRule="auto"/>
              <w:rPr>
                <w:szCs w:val="20"/>
                <w:lang w:eastAsia="en-NZ"/>
              </w:rPr>
            </w:pPr>
          </w:p>
          <w:p w14:paraId="1DA86157" w14:textId="0A72D3E9" w:rsidR="005733BF" w:rsidRDefault="005E38CB" w:rsidP="002D6DFE">
            <w:pPr>
              <w:spacing w:line="276" w:lineRule="auto"/>
              <w:rPr>
                <w:szCs w:val="20"/>
                <w:lang w:eastAsia="en-NZ"/>
              </w:rPr>
            </w:pPr>
            <w:r>
              <w:rPr>
                <w:szCs w:val="20"/>
                <w:lang w:eastAsia="en-NZ"/>
              </w:rPr>
              <w:t>[</w:t>
            </w:r>
            <w:r w:rsidR="005733BF">
              <w:rPr>
                <w:szCs w:val="20"/>
                <w:lang w:eastAsia="en-NZ"/>
              </w:rPr>
              <w:t>2018-2022 (last five years)</w:t>
            </w:r>
            <w:r>
              <w:rPr>
                <w:szCs w:val="20"/>
                <w:lang w:eastAsia="en-NZ"/>
              </w:rPr>
              <w:t>]</w:t>
            </w:r>
          </w:p>
        </w:tc>
        <w:tc>
          <w:tcPr>
            <w:tcW w:w="1985" w:type="dxa"/>
          </w:tcPr>
          <w:p w14:paraId="2ED40B80" w14:textId="2443421E" w:rsidR="005E38CB" w:rsidRDefault="00377EFE" w:rsidP="002D6DFE">
            <w:pPr>
              <w:spacing w:line="276" w:lineRule="auto"/>
              <w:rPr>
                <w:szCs w:val="20"/>
                <w:lang w:eastAsia="en-NZ"/>
              </w:rPr>
            </w:pPr>
            <w:r>
              <w:rPr>
                <w:szCs w:val="20"/>
                <w:lang w:eastAsia="en-NZ"/>
              </w:rPr>
              <w:t>n.a.</w:t>
            </w:r>
          </w:p>
          <w:p w14:paraId="43BCEC39" w14:textId="77777777" w:rsidR="005E38CB" w:rsidRDefault="005E38CB" w:rsidP="002D6DFE">
            <w:pPr>
              <w:spacing w:line="276" w:lineRule="auto"/>
              <w:rPr>
                <w:szCs w:val="20"/>
                <w:lang w:eastAsia="en-NZ"/>
              </w:rPr>
            </w:pPr>
          </w:p>
          <w:p w14:paraId="304C25A7" w14:textId="77777777" w:rsidR="005E38CB" w:rsidRDefault="005E38CB" w:rsidP="002D6DFE">
            <w:pPr>
              <w:spacing w:line="276" w:lineRule="auto"/>
              <w:rPr>
                <w:szCs w:val="20"/>
                <w:lang w:eastAsia="en-NZ"/>
              </w:rPr>
            </w:pPr>
          </w:p>
          <w:p w14:paraId="615069E6" w14:textId="3BE96B6E" w:rsidR="005733BF" w:rsidRDefault="005E38CB" w:rsidP="002D6DFE">
            <w:pPr>
              <w:spacing w:line="276" w:lineRule="auto"/>
              <w:rPr>
                <w:szCs w:val="20"/>
                <w:lang w:eastAsia="en-NZ"/>
              </w:rPr>
            </w:pPr>
            <w:r>
              <w:rPr>
                <w:szCs w:val="20"/>
                <w:lang w:eastAsia="en-NZ"/>
              </w:rPr>
              <w:t>[</w:t>
            </w:r>
            <w:r w:rsidR="00C41423">
              <w:rPr>
                <w:szCs w:val="20"/>
                <w:lang w:eastAsia="en-NZ"/>
              </w:rPr>
              <w:t xml:space="preserve">Land Use Change matrix, </w:t>
            </w:r>
            <w:r w:rsidR="00801F86">
              <w:rPr>
                <w:szCs w:val="20"/>
                <w:lang w:eastAsia="en-NZ"/>
              </w:rPr>
              <w:t>MFE (2024</w:t>
            </w:r>
            <w:r w:rsidR="00C41423">
              <w:rPr>
                <w:szCs w:val="20"/>
                <w:lang w:eastAsia="en-NZ"/>
              </w:rPr>
              <w:t>b</w:t>
            </w:r>
            <w:r w:rsidR="00801F86">
              <w:rPr>
                <w:szCs w:val="20"/>
                <w:lang w:eastAsia="en-NZ"/>
              </w:rPr>
              <w:t>)</w:t>
            </w:r>
            <w:r>
              <w:rPr>
                <w:szCs w:val="20"/>
                <w:lang w:eastAsia="en-NZ"/>
              </w:rPr>
              <w:t>]</w:t>
            </w:r>
          </w:p>
        </w:tc>
      </w:tr>
    </w:tbl>
    <w:p w14:paraId="3FCCAC55" w14:textId="77777777" w:rsidR="009033DE" w:rsidRDefault="009033DE" w:rsidP="009033DE">
      <w:pPr>
        <w:spacing w:line="276" w:lineRule="auto"/>
        <w:rPr>
          <w:szCs w:val="20"/>
          <w:lang w:eastAsia="en-NZ"/>
        </w:rPr>
      </w:pPr>
    </w:p>
    <w:p w14:paraId="137A943C" w14:textId="77777777" w:rsidR="00121040" w:rsidRDefault="00121040" w:rsidP="009F3E7C">
      <w:pPr>
        <w:spacing w:line="276" w:lineRule="auto"/>
        <w:rPr>
          <w:lang w:eastAsia="en-NZ"/>
        </w:rPr>
      </w:pPr>
    </w:p>
    <w:p w14:paraId="42A2E343" w14:textId="0FA35A15" w:rsidR="00516E77" w:rsidRPr="00516E77" w:rsidRDefault="00516E77" w:rsidP="009F3E7C">
      <w:pPr>
        <w:spacing w:line="276" w:lineRule="auto"/>
        <w:rPr>
          <w:i/>
          <w:iCs/>
          <w:lang w:eastAsia="en-NZ"/>
        </w:rPr>
      </w:pPr>
      <w:r w:rsidRPr="00516E77">
        <w:rPr>
          <w:i/>
          <w:iCs/>
          <w:lang w:eastAsia="en-NZ"/>
        </w:rPr>
        <w:t>Rotation age</w:t>
      </w:r>
    </w:p>
    <w:p w14:paraId="21086AE4" w14:textId="4D403178" w:rsidR="00281A43" w:rsidRDefault="00281A43" w:rsidP="00281A43">
      <w:r>
        <w:t xml:space="preserve">Average clearfell age for radiata pine has been reported by MPI </w:t>
      </w:r>
      <w:r w:rsidR="00667FD3">
        <w:t xml:space="preserve">based on a survey of forest owners </w:t>
      </w:r>
      <w:r>
        <w:t>as part of the National Exotic Forest Description (e.g. MPI 202</w:t>
      </w:r>
      <w:r w:rsidR="008E0B7F">
        <w:t>3</w:t>
      </w:r>
      <w:r>
        <w:t xml:space="preserve">). Figure </w:t>
      </w:r>
      <w:r w:rsidR="000F439E">
        <w:t>2 shows</w:t>
      </w:r>
      <w:r>
        <w:t xml:space="preserve"> that the area-weighted clearfell age has been generally in the range 27-29. A rotation age of 28 is appropriate for use in the LTA </w:t>
      </w:r>
      <w:r w:rsidR="00114359">
        <w:rPr>
          <w:rStyle w:val="Strong"/>
          <w:b w:val="0"/>
          <w:bCs w:val="0"/>
        </w:rPr>
        <w:t>Calculator</w:t>
      </w:r>
      <w:r>
        <w:t>.</w:t>
      </w:r>
    </w:p>
    <w:p w14:paraId="5AF96D0A" w14:textId="77777777" w:rsidR="00281A43" w:rsidRDefault="00281A43" w:rsidP="00281A43"/>
    <w:p w14:paraId="2DD90C06" w14:textId="77777777" w:rsidR="00281A43" w:rsidRDefault="00281A43" w:rsidP="00281A43"/>
    <w:p w14:paraId="7AAF1187" w14:textId="77777777" w:rsidR="00281A43" w:rsidRDefault="00281A43" w:rsidP="00281A43">
      <w:r>
        <w:rPr>
          <w:noProof/>
        </w:rPr>
        <w:lastRenderedPageBreak/>
        <w:drawing>
          <wp:inline distT="0" distB="0" distL="0" distR="0" wp14:anchorId="50E1714F" wp14:editId="73C4C7BA">
            <wp:extent cx="4371975" cy="2651040"/>
            <wp:effectExtent l="0" t="0" r="0" b="0"/>
            <wp:docPr id="755763490" name="Picture 755763490"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63490" name="Picture 755763490" descr="A graph with a line going u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9361" cy="2655519"/>
                    </a:xfrm>
                    <a:prstGeom prst="rect">
                      <a:avLst/>
                    </a:prstGeom>
                    <a:noFill/>
                  </pic:spPr>
                </pic:pic>
              </a:graphicData>
            </a:graphic>
          </wp:inline>
        </w:drawing>
      </w:r>
    </w:p>
    <w:p w14:paraId="29404F98" w14:textId="77777777" w:rsidR="00281A43" w:rsidRDefault="00281A43" w:rsidP="00281A43"/>
    <w:p w14:paraId="233A5542" w14:textId="0AB1D283" w:rsidR="00281A43" w:rsidRPr="007044B0" w:rsidRDefault="00281A43" w:rsidP="00281A43">
      <w:pPr>
        <w:rPr>
          <w:b/>
          <w:bCs/>
        </w:rPr>
      </w:pPr>
      <w:r w:rsidRPr="007044B0">
        <w:rPr>
          <w:b/>
          <w:bCs/>
        </w:rPr>
        <w:t xml:space="preserve">Figure </w:t>
      </w:r>
      <w:r w:rsidR="003D5FF4">
        <w:rPr>
          <w:b/>
          <w:bCs/>
        </w:rPr>
        <w:t>2</w:t>
      </w:r>
      <w:r w:rsidRPr="007044B0">
        <w:rPr>
          <w:b/>
          <w:bCs/>
        </w:rPr>
        <w:t xml:space="preserve">. Mean clearfell age for </w:t>
      </w:r>
      <w:r w:rsidRPr="007044B0">
        <w:rPr>
          <w:b/>
          <w:bCs/>
          <w:i/>
          <w:iCs/>
        </w:rPr>
        <w:t>Pinus radiata</w:t>
      </w:r>
      <w:r w:rsidRPr="007044B0">
        <w:rPr>
          <w:b/>
          <w:bCs/>
        </w:rPr>
        <w:t xml:space="preserve"> </w:t>
      </w:r>
      <w:r w:rsidR="00A935BE">
        <w:rPr>
          <w:b/>
          <w:bCs/>
        </w:rPr>
        <w:t>as reported in annual NEFD reports (</w:t>
      </w:r>
      <w:r w:rsidR="000F02E8">
        <w:rPr>
          <w:b/>
          <w:bCs/>
        </w:rPr>
        <w:t>e.g. MPI 202</w:t>
      </w:r>
      <w:r w:rsidR="000D3DB9">
        <w:rPr>
          <w:b/>
          <w:bCs/>
        </w:rPr>
        <w:t>3</w:t>
      </w:r>
      <w:r w:rsidRPr="007044B0">
        <w:rPr>
          <w:b/>
          <w:bCs/>
        </w:rPr>
        <w:t>)</w:t>
      </w:r>
    </w:p>
    <w:p w14:paraId="0FE5930E" w14:textId="77777777" w:rsidR="00281A43" w:rsidRDefault="00281A43" w:rsidP="00281A43"/>
    <w:p w14:paraId="0E221030" w14:textId="77777777" w:rsidR="00281A43" w:rsidRDefault="00281A43" w:rsidP="00281A43"/>
    <w:p w14:paraId="2DF737A4" w14:textId="4A72A52D" w:rsidR="00281A43" w:rsidRDefault="00941FD5" w:rsidP="00281A43">
      <w:r>
        <w:t xml:space="preserve">For Douglas fir and other exotic </w:t>
      </w:r>
      <w:r w:rsidR="00CF6949">
        <w:t>softwoods, t</w:t>
      </w:r>
      <w:r w:rsidR="00281A43">
        <w:t xml:space="preserve">here is no national clearfell age data </w:t>
      </w:r>
      <w:r w:rsidR="00CF6949">
        <w:t>published in the NEFD</w:t>
      </w:r>
      <w:r w:rsidR="00281A43">
        <w:t xml:space="preserve">. Apart from Douglas fir and to a lesser extent </w:t>
      </w:r>
      <w:r w:rsidR="00281A43" w:rsidRPr="00CF104C">
        <w:rPr>
          <w:i/>
          <w:iCs/>
        </w:rPr>
        <w:t>Cupressus macrocarpa</w:t>
      </w:r>
      <w:r w:rsidR="008E23E6">
        <w:rPr>
          <w:i/>
          <w:iCs/>
        </w:rPr>
        <w:t>,</w:t>
      </w:r>
      <w:r w:rsidR="00281A43">
        <w:t xml:space="preserve"> </w:t>
      </w:r>
      <w:r w:rsidR="00281A43" w:rsidRPr="00CF104C">
        <w:rPr>
          <w:i/>
          <w:iCs/>
        </w:rPr>
        <w:t xml:space="preserve">Cupressus </w:t>
      </w:r>
      <w:r w:rsidR="00281A43">
        <w:rPr>
          <w:i/>
          <w:iCs/>
        </w:rPr>
        <w:t>l</w:t>
      </w:r>
      <w:r w:rsidR="00281A43" w:rsidRPr="00CF104C">
        <w:rPr>
          <w:i/>
          <w:iCs/>
        </w:rPr>
        <w:t>usitanica</w:t>
      </w:r>
      <w:r w:rsidR="00281A43">
        <w:t xml:space="preserve"> and redwood (</w:t>
      </w:r>
      <w:r w:rsidR="00281A43" w:rsidRPr="00CF104C">
        <w:rPr>
          <w:i/>
          <w:iCs/>
        </w:rPr>
        <w:t>Sequoia sempervirens</w:t>
      </w:r>
      <w:r w:rsidR="00281A43">
        <w:t xml:space="preserve">), planted areas are </w:t>
      </w:r>
      <w:r w:rsidR="00CF6949">
        <w:t xml:space="preserve">very </w:t>
      </w:r>
      <w:r w:rsidR="00281A43">
        <w:t>small and management regimes vary.</w:t>
      </w:r>
    </w:p>
    <w:p w14:paraId="001E5EC1" w14:textId="77777777" w:rsidR="00281A43" w:rsidRDefault="00281A43" w:rsidP="00281A43"/>
    <w:p w14:paraId="2825D33A" w14:textId="06CFC8A1" w:rsidR="00281A43" w:rsidRDefault="00281A43" w:rsidP="00281A43">
      <w:r>
        <w:t>Scion’s Douglas fir manual (Maclaren</w:t>
      </w:r>
      <w:r w:rsidR="00544512">
        <w:t>,</w:t>
      </w:r>
      <w:r>
        <w:t xml:space="preserve"> 2009) assumed a “base case” rotation for Douglas fir of 45 years</w:t>
      </w:r>
      <w:r w:rsidRPr="00AA1889">
        <w:t>.</w:t>
      </w:r>
      <w:r>
        <w:t xml:space="preserve"> In </w:t>
      </w:r>
      <w:r w:rsidR="00C42C26">
        <w:t xml:space="preserve">more recent </w:t>
      </w:r>
      <w:r>
        <w:t>wood availability forecasts carried out for MPI, the target rotation age for Douglas fir was 35 in Nelson, 38 years in the Central North Island and 43 years in Otago, Southland and Canterbury</w:t>
      </w:r>
      <w:r w:rsidR="004A6C47">
        <w:t xml:space="preserve"> (Margules Groome, 2021)</w:t>
      </w:r>
      <w:r>
        <w:t xml:space="preserve">. </w:t>
      </w:r>
    </w:p>
    <w:p w14:paraId="4E252BFE" w14:textId="77777777" w:rsidR="00281A43" w:rsidRDefault="00281A43" w:rsidP="00281A43"/>
    <w:p w14:paraId="031581EC" w14:textId="5FF8FE2A" w:rsidR="00281A43" w:rsidRDefault="00281A43" w:rsidP="00281A43">
      <w:r>
        <w:t>Suggested rotation ages for other species from a recent guidebook on alternatives to radiata pine are given in Table 2</w:t>
      </w:r>
      <w:r w:rsidR="00880D64">
        <w:t xml:space="preserve"> (Anon., </w:t>
      </w:r>
      <w:r w:rsidR="002F24CB">
        <w:t>2023)</w:t>
      </w:r>
      <w:r>
        <w:t>. Dozens of other softwood and hardwood species have been planted in small areas, generally with higher expected rotation ages than for radiata pine.</w:t>
      </w:r>
    </w:p>
    <w:p w14:paraId="2B32E825" w14:textId="77777777" w:rsidR="00281A43" w:rsidRDefault="00281A43" w:rsidP="00281A43"/>
    <w:p w14:paraId="088BE707" w14:textId="77777777" w:rsidR="00C74E64" w:rsidRDefault="00C74E64" w:rsidP="00281A43"/>
    <w:p w14:paraId="5B0094B4" w14:textId="1572B723" w:rsidR="00281A43" w:rsidRPr="00224541" w:rsidRDefault="00281A43" w:rsidP="00281A43">
      <w:pPr>
        <w:rPr>
          <w:b/>
          <w:bCs/>
        </w:rPr>
      </w:pPr>
      <w:r w:rsidRPr="51BBCFFC">
        <w:rPr>
          <w:b/>
          <w:bCs/>
        </w:rPr>
        <w:t>Table</w:t>
      </w:r>
      <w:r w:rsidR="00A935BE">
        <w:rPr>
          <w:b/>
          <w:bCs/>
        </w:rPr>
        <w:t xml:space="preserve"> </w:t>
      </w:r>
      <w:r w:rsidRPr="51BBCFFC">
        <w:rPr>
          <w:b/>
          <w:bCs/>
        </w:rPr>
        <w:t>2. Suggested rotations for non-radiata pine species</w:t>
      </w:r>
    </w:p>
    <w:p w14:paraId="40559F3F" w14:textId="77777777" w:rsidR="00281A43" w:rsidRDefault="00281A43" w:rsidP="00281A43"/>
    <w:tbl>
      <w:tblPr>
        <w:tblStyle w:val="TableGrid"/>
        <w:tblW w:w="0" w:type="auto"/>
        <w:tblLook w:val="04A0" w:firstRow="1" w:lastRow="0" w:firstColumn="1" w:lastColumn="0" w:noHBand="0" w:noVBand="1"/>
      </w:tblPr>
      <w:tblGrid>
        <w:gridCol w:w="1838"/>
        <w:gridCol w:w="4013"/>
        <w:gridCol w:w="1090"/>
        <w:gridCol w:w="1276"/>
      </w:tblGrid>
      <w:tr w:rsidR="00281A43" w14:paraId="4F80419D" w14:textId="77777777" w:rsidTr="006858F7">
        <w:tc>
          <w:tcPr>
            <w:tcW w:w="1838" w:type="dxa"/>
          </w:tcPr>
          <w:p w14:paraId="2FCB1645" w14:textId="77777777" w:rsidR="00281A43" w:rsidRPr="00224541" w:rsidRDefault="00281A43" w:rsidP="006858F7">
            <w:pPr>
              <w:rPr>
                <w:b/>
                <w:bCs/>
              </w:rPr>
            </w:pPr>
            <w:r w:rsidRPr="00224541">
              <w:rPr>
                <w:b/>
                <w:bCs/>
              </w:rPr>
              <w:t>Species</w:t>
            </w:r>
          </w:p>
        </w:tc>
        <w:tc>
          <w:tcPr>
            <w:tcW w:w="4013" w:type="dxa"/>
          </w:tcPr>
          <w:p w14:paraId="1D221B80" w14:textId="77777777" w:rsidR="00281A43" w:rsidRPr="00224541" w:rsidRDefault="00281A43" w:rsidP="006858F7">
            <w:pPr>
              <w:rPr>
                <w:b/>
                <w:bCs/>
              </w:rPr>
            </w:pPr>
            <w:r w:rsidRPr="00224541">
              <w:rPr>
                <w:b/>
                <w:bCs/>
              </w:rPr>
              <w:t>Purpose</w:t>
            </w:r>
          </w:p>
        </w:tc>
        <w:tc>
          <w:tcPr>
            <w:tcW w:w="1090" w:type="dxa"/>
          </w:tcPr>
          <w:p w14:paraId="4085CD73" w14:textId="77777777" w:rsidR="00281A43" w:rsidRPr="00224541" w:rsidRDefault="00281A43" w:rsidP="006858F7">
            <w:pPr>
              <w:rPr>
                <w:b/>
                <w:bCs/>
              </w:rPr>
            </w:pPr>
            <w:r w:rsidRPr="00224541">
              <w:rPr>
                <w:b/>
                <w:bCs/>
              </w:rPr>
              <w:t>Rotation</w:t>
            </w:r>
          </w:p>
        </w:tc>
        <w:tc>
          <w:tcPr>
            <w:tcW w:w="1276" w:type="dxa"/>
          </w:tcPr>
          <w:p w14:paraId="68278759" w14:textId="77777777" w:rsidR="00281A43" w:rsidRPr="00224541" w:rsidRDefault="00281A43" w:rsidP="006858F7">
            <w:pPr>
              <w:rPr>
                <w:b/>
                <w:bCs/>
              </w:rPr>
            </w:pPr>
            <w:r>
              <w:rPr>
                <w:b/>
                <w:bCs/>
              </w:rPr>
              <w:t>LTA Model</w:t>
            </w:r>
          </w:p>
        </w:tc>
      </w:tr>
      <w:tr w:rsidR="00281A43" w14:paraId="02CFB4E7" w14:textId="77777777" w:rsidTr="006858F7">
        <w:tc>
          <w:tcPr>
            <w:tcW w:w="6941" w:type="dxa"/>
            <w:gridSpan w:val="3"/>
          </w:tcPr>
          <w:p w14:paraId="06620D8A" w14:textId="77777777" w:rsidR="00281A43" w:rsidRPr="00202DF1" w:rsidRDefault="00281A43" w:rsidP="006858F7">
            <w:pPr>
              <w:rPr>
                <w:b/>
                <w:bCs/>
              </w:rPr>
            </w:pPr>
            <w:r w:rsidRPr="00202DF1">
              <w:rPr>
                <w:b/>
                <w:bCs/>
              </w:rPr>
              <w:t>Softwoods</w:t>
            </w:r>
          </w:p>
        </w:tc>
        <w:tc>
          <w:tcPr>
            <w:tcW w:w="1276" w:type="dxa"/>
          </w:tcPr>
          <w:p w14:paraId="7AAE1104" w14:textId="77777777" w:rsidR="00281A43" w:rsidRDefault="00281A43" w:rsidP="006858F7">
            <w:pPr>
              <w:jc w:val="center"/>
            </w:pPr>
            <w:r>
              <w:t>40</w:t>
            </w:r>
          </w:p>
        </w:tc>
      </w:tr>
      <w:tr w:rsidR="00281A43" w14:paraId="6F1762C5" w14:textId="77777777" w:rsidTr="006858F7">
        <w:tc>
          <w:tcPr>
            <w:tcW w:w="1838" w:type="dxa"/>
          </w:tcPr>
          <w:p w14:paraId="755BAB80" w14:textId="77777777" w:rsidR="00281A43" w:rsidRDefault="00281A43" w:rsidP="006858F7">
            <w:r>
              <w:t>Cypresses</w:t>
            </w:r>
          </w:p>
        </w:tc>
        <w:tc>
          <w:tcPr>
            <w:tcW w:w="4013" w:type="dxa"/>
          </w:tcPr>
          <w:p w14:paraId="58CF466F" w14:textId="77777777" w:rsidR="00281A43" w:rsidRDefault="00281A43" w:rsidP="006858F7">
            <w:r>
              <w:t>Sawn timber</w:t>
            </w:r>
          </w:p>
        </w:tc>
        <w:tc>
          <w:tcPr>
            <w:tcW w:w="1090" w:type="dxa"/>
          </w:tcPr>
          <w:p w14:paraId="22CE07B0" w14:textId="77777777" w:rsidR="00281A43" w:rsidRDefault="00281A43" w:rsidP="006858F7">
            <w:r>
              <w:t>35-45</w:t>
            </w:r>
          </w:p>
        </w:tc>
        <w:tc>
          <w:tcPr>
            <w:tcW w:w="1276" w:type="dxa"/>
          </w:tcPr>
          <w:p w14:paraId="5509ABF9" w14:textId="77777777" w:rsidR="00281A43" w:rsidRDefault="00281A43" w:rsidP="006858F7"/>
        </w:tc>
      </w:tr>
      <w:tr w:rsidR="00281A43" w14:paraId="0A1686DB" w14:textId="77777777" w:rsidTr="006858F7">
        <w:tc>
          <w:tcPr>
            <w:tcW w:w="1838" w:type="dxa"/>
          </w:tcPr>
          <w:p w14:paraId="6F350E4F" w14:textId="77777777" w:rsidR="00281A43" w:rsidRDefault="00281A43" w:rsidP="006858F7">
            <w:r>
              <w:t>Redwood</w:t>
            </w:r>
          </w:p>
        </w:tc>
        <w:tc>
          <w:tcPr>
            <w:tcW w:w="4013" w:type="dxa"/>
          </w:tcPr>
          <w:p w14:paraId="6172D885" w14:textId="77777777" w:rsidR="00281A43" w:rsidRDefault="00281A43" w:rsidP="006858F7">
            <w:r>
              <w:t>Sawn timber</w:t>
            </w:r>
          </w:p>
        </w:tc>
        <w:tc>
          <w:tcPr>
            <w:tcW w:w="1090" w:type="dxa"/>
          </w:tcPr>
          <w:p w14:paraId="0DE94ED8" w14:textId="77777777" w:rsidR="00281A43" w:rsidRDefault="00281A43" w:rsidP="006858F7">
            <w:r>
              <w:t>35-45</w:t>
            </w:r>
          </w:p>
        </w:tc>
        <w:tc>
          <w:tcPr>
            <w:tcW w:w="1276" w:type="dxa"/>
          </w:tcPr>
          <w:p w14:paraId="4A8276DB" w14:textId="77777777" w:rsidR="00281A43" w:rsidRDefault="00281A43" w:rsidP="006858F7"/>
        </w:tc>
      </w:tr>
      <w:tr w:rsidR="00281A43" w14:paraId="6CDF2D9D" w14:textId="77777777" w:rsidTr="006858F7">
        <w:tc>
          <w:tcPr>
            <w:tcW w:w="1838" w:type="dxa"/>
          </w:tcPr>
          <w:p w14:paraId="1D402420" w14:textId="77777777" w:rsidR="00281A43" w:rsidRDefault="00281A43" w:rsidP="006858F7">
            <w:r>
              <w:t>Japanese cedar</w:t>
            </w:r>
          </w:p>
        </w:tc>
        <w:tc>
          <w:tcPr>
            <w:tcW w:w="4013" w:type="dxa"/>
          </w:tcPr>
          <w:p w14:paraId="40B6ABAD" w14:textId="77777777" w:rsidR="00281A43" w:rsidRDefault="00281A43" w:rsidP="006858F7">
            <w:r>
              <w:t>Sawn timber</w:t>
            </w:r>
          </w:p>
        </w:tc>
        <w:tc>
          <w:tcPr>
            <w:tcW w:w="1090" w:type="dxa"/>
          </w:tcPr>
          <w:p w14:paraId="3AE4F3B3" w14:textId="77777777" w:rsidR="00281A43" w:rsidRDefault="00281A43" w:rsidP="006858F7">
            <w:r>
              <w:t>40-50</w:t>
            </w:r>
          </w:p>
        </w:tc>
        <w:tc>
          <w:tcPr>
            <w:tcW w:w="1276" w:type="dxa"/>
          </w:tcPr>
          <w:p w14:paraId="7C65EA6C" w14:textId="77777777" w:rsidR="00281A43" w:rsidRDefault="00281A43" w:rsidP="006858F7"/>
        </w:tc>
      </w:tr>
      <w:tr w:rsidR="00281A43" w14:paraId="3157F5AB" w14:textId="77777777" w:rsidTr="006858F7">
        <w:tc>
          <w:tcPr>
            <w:tcW w:w="1838" w:type="dxa"/>
          </w:tcPr>
          <w:p w14:paraId="48E5CDF4" w14:textId="77777777" w:rsidR="00281A43" w:rsidRDefault="00281A43" w:rsidP="006858F7"/>
        </w:tc>
        <w:tc>
          <w:tcPr>
            <w:tcW w:w="4013" w:type="dxa"/>
          </w:tcPr>
          <w:p w14:paraId="331AF577" w14:textId="77777777" w:rsidR="00281A43" w:rsidRDefault="00281A43" w:rsidP="006858F7"/>
        </w:tc>
        <w:tc>
          <w:tcPr>
            <w:tcW w:w="1090" w:type="dxa"/>
          </w:tcPr>
          <w:p w14:paraId="2C479852" w14:textId="77777777" w:rsidR="00281A43" w:rsidRDefault="00281A43" w:rsidP="006858F7"/>
        </w:tc>
        <w:tc>
          <w:tcPr>
            <w:tcW w:w="1276" w:type="dxa"/>
          </w:tcPr>
          <w:p w14:paraId="51AB3D35" w14:textId="77777777" w:rsidR="00281A43" w:rsidRDefault="00281A43" w:rsidP="006858F7"/>
        </w:tc>
      </w:tr>
      <w:tr w:rsidR="00281A43" w14:paraId="18A25454" w14:textId="77777777" w:rsidTr="006858F7">
        <w:tc>
          <w:tcPr>
            <w:tcW w:w="6941" w:type="dxa"/>
            <w:gridSpan w:val="3"/>
          </w:tcPr>
          <w:p w14:paraId="16786BAD" w14:textId="77777777" w:rsidR="00281A43" w:rsidRPr="00202DF1" w:rsidRDefault="00281A43" w:rsidP="006858F7">
            <w:pPr>
              <w:rPr>
                <w:b/>
                <w:bCs/>
              </w:rPr>
            </w:pPr>
            <w:r w:rsidRPr="00202DF1">
              <w:rPr>
                <w:b/>
                <w:bCs/>
              </w:rPr>
              <w:t>Hardwoods</w:t>
            </w:r>
          </w:p>
        </w:tc>
        <w:tc>
          <w:tcPr>
            <w:tcW w:w="1276" w:type="dxa"/>
          </w:tcPr>
          <w:p w14:paraId="24C79B6C" w14:textId="77777777" w:rsidR="00281A43" w:rsidRDefault="00281A43" w:rsidP="006858F7">
            <w:pPr>
              <w:jc w:val="center"/>
            </w:pPr>
            <w:r>
              <w:t>30</w:t>
            </w:r>
          </w:p>
        </w:tc>
      </w:tr>
      <w:tr w:rsidR="00281A43" w14:paraId="70466158" w14:textId="77777777" w:rsidTr="006858F7">
        <w:tc>
          <w:tcPr>
            <w:tcW w:w="1838" w:type="dxa"/>
          </w:tcPr>
          <w:p w14:paraId="2689E90B" w14:textId="77777777" w:rsidR="00281A43" w:rsidRDefault="00281A43" w:rsidP="006858F7">
            <w:r>
              <w:t>Eucalyptus spp</w:t>
            </w:r>
          </w:p>
        </w:tc>
        <w:tc>
          <w:tcPr>
            <w:tcW w:w="4013" w:type="dxa"/>
          </w:tcPr>
          <w:p w14:paraId="13BE0C43" w14:textId="77777777" w:rsidR="00281A43" w:rsidRDefault="00281A43" w:rsidP="006858F7">
            <w:r>
              <w:t>Paper, biomaterials</w:t>
            </w:r>
          </w:p>
        </w:tc>
        <w:tc>
          <w:tcPr>
            <w:tcW w:w="1090" w:type="dxa"/>
          </w:tcPr>
          <w:p w14:paraId="7CE921D4" w14:textId="77777777" w:rsidR="00281A43" w:rsidRDefault="00281A43" w:rsidP="006858F7">
            <w:r>
              <w:t>12-15</w:t>
            </w:r>
          </w:p>
        </w:tc>
        <w:tc>
          <w:tcPr>
            <w:tcW w:w="1276" w:type="dxa"/>
          </w:tcPr>
          <w:p w14:paraId="16C3CAC3" w14:textId="77777777" w:rsidR="00281A43" w:rsidRDefault="00281A43" w:rsidP="006858F7"/>
        </w:tc>
      </w:tr>
      <w:tr w:rsidR="00281A43" w14:paraId="117A543B" w14:textId="77777777" w:rsidTr="006858F7">
        <w:tc>
          <w:tcPr>
            <w:tcW w:w="1838" w:type="dxa"/>
          </w:tcPr>
          <w:p w14:paraId="57116A3F" w14:textId="77777777" w:rsidR="00281A43" w:rsidRDefault="00281A43" w:rsidP="006858F7">
            <w:pPr>
              <w:jc w:val="center"/>
            </w:pPr>
            <w:r>
              <w:t>“</w:t>
            </w:r>
          </w:p>
        </w:tc>
        <w:tc>
          <w:tcPr>
            <w:tcW w:w="4013" w:type="dxa"/>
          </w:tcPr>
          <w:p w14:paraId="5225E7B3" w14:textId="77777777" w:rsidR="00281A43" w:rsidRDefault="00281A43" w:rsidP="006858F7">
            <w:r>
              <w:t>Posts/poles, engineered wood products</w:t>
            </w:r>
          </w:p>
        </w:tc>
        <w:tc>
          <w:tcPr>
            <w:tcW w:w="1090" w:type="dxa"/>
          </w:tcPr>
          <w:p w14:paraId="13369EB0" w14:textId="77777777" w:rsidR="00281A43" w:rsidRDefault="00281A43" w:rsidP="006858F7">
            <w:r>
              <w:t>15-20</w:t>
            </w:r>
          </w:p>
        </w:tc>
        <w:tc>
          <w:tcPr>
            <w:tcW w:w="1276" w:type="dxa"/>
          </w:tcPr>
          <w:p w14:paraId="3172858E" w14:textId="77777777" w:rsidR="00281A43" w:rsidRDefault="00281A43" w:rsidP="006858F7"/>
        </w:tc>
      </w:tr>
      <w:tr w:rsidR="00281A43" w14:paraId="71DA9C9E" w14:textId="77777777" w:rsidTr="006858F7">
        <w:tc>
          <w:tcPr>
            <w:tcW w:w="1838" w:type="dxa"/>
          </w:tcPr>
          <w:p w14:paraId="1CFE2564" w14:textId="77777777" w:rsidR="00281A43" w:rsidRDefault="00281A43" w:rsidP="006858F7">
            <w:pPr>
              <w:jc w:val="center"/>
            </w:pPr>
            <w:r>
              <w:t>“</w:t>
            </w:r>
          </w:p>
        </w:tc>
        <w:tc>
          <w:tcPr>
            <w:tcW w:w="4013" w:type="dxa"/>
          </w:tcPr>
          <w:p w14:paraId="5CED2B84" w14:textId="77777777" w:rsidR="00281A43" w:rsidRDefault="00281A43" w:rsidP="006858F7">
            <w:r>
              <w:t>Sawn timber</w:t>
            </w:r>
          </w:p>
        </w:tc>
        <w:tc>
          <w:tcPr>
            <w:tcW w:w="1090" w:type="dxa"/>
          </w:tcPr>
          <w:p w14:paraId="11AB5E04" w14:textId="77777777" w:rsidR="00281A43" w:rsidRDefault="00281A43" w:rsidP="006858F7">
            <w:r>
              <w:t>25-40</w:t>
            </w:r>
          </w:p>
        </w:tc>
        <w:tc>
          <w:tcPr>
            <w:tcW w:w="1276" w:type="dxa"/>
          </w:tcPr>
          <w:p w14:paraId="76428AFA" w14:textId="77777777" w:rsidR="00281A43" w:rsidRDefault="00281A43" w:rsidP="006858F7"/>
        </w:tc>
      </w:tr>
      <w:tr w:rsidR="00281A43" w14:paraId="7249BAA3" w14:textId="77777777" w:rsidTr="006858F7">
        <w:tc>
          <w:tcPr>
            <w:tcW w:w="1838" w:type="dxa"/>
          </w:tcPr>
          <w:p w14:paraId="6AB746B7" w14:textId="77777777" w:rsidR="00281A43" w:rsidRDefault="00281A43" w:rsidP="006858F7">
            <w:r>
              <w:t>Poplars</w:t>
            </w:r>
          </w:p>
        </w:tc>
        <w:tc>
          <w:tcPr>
            <w:tcW w:w="4013" w:type="dxa"/>
          </w:tcPr>
          <w:p w14:paraId="1420DB49" w14:textId="77777777" w:rsidR="00281A43" w:rsidRDefault="00281A43" w:rsidP="006858F7">
            <w:r>
              <w:t>Sawn timber</w:t>
            </w:r>
          </w:p>
        </w:tc>
        <w:tc>
          <w:tcPr>
            <w:tcW w:w="1090" w:type="dxa"/>
          </w:tcPr>
          <w:p w14:paraId="4B893C36" w14:textId="77777777" w:rsidR="00281A43" w:rsidRDefault="00281A43" w:rsidP="006858F7">
            <w:r>
              <w:t>25-35</w:t>
            </w:r>
          </w:p>
        </w:tc>
        <w:tc>
          <w:tcPr>
            <w:tcW w:w="1276" w:type="dxa"/>
          </w:tcPr>
          <w:p w14:paraId="6AD7C266" w14:textId="77777777" w:rsidR="00281A43" w:rsidRDefault="00281A43" w:rsidP="006858F7"/>
        </w:tc>
      </w:tr>
    </w:tbl>
    <w:p w14:paraId="1189FB86" w14:textId="77777777" w:rsidR="00281A43" w:rsidRDefault="00281A43" w:rsidP="00281A43"/>
    <w:p w14:paraId="75830457" w14:textId="71ADC758" w:rsidR="00281A43" w:rsidRDefault="00A935BE" w:rsidP="00281A43">
      <w:r>
        <w:t>Based on this information</w:t>
      </w:r>
      <w:r w:rsidR="00DE40C8">
        <w:t>, a</w:t>
      </w:r>
      <w:r w:rsidR="00281A43">
        <w:t xml:space="preserve"> default rotation age of 40 for Douglas-fir and other softwoods has been implemented in the LTA </w:t>
      </w:r>
      <w:r w:rsidR="00114359">
        <w:rPr>
          <w:rStyle w:val="Strong"/>
          <w:b w:val="0"/>
          <w:bCs w:val="0"/>
        </w:rPr>
        <w:t>Calculator</w:t>
      </w:r>
      <w:r w:rsidR="00281A43">
        <w:t>.</w:t>
      </w:r>
    </w:p>
    <w:p w14:paraId="3E4A7471" w14:textId="77777777" w:rsidR="00281A43" w:rsidRDefault="00281A43" w:rsidP="00281A43"/>
    <w:p w14:paraId="4732C4FA" w14:textId="7DE4AFEA" w:rsidR="00281A43" w:rsidRDefault="00281A43" w:rsidP="00281A43">
      <w:r>
        <w:t>The hardwood resource is dominated by Eucalyptus and related species. In the past there have been attempts to manage eucalypts and acacia on short rotations for paper production, but productivity was lower</w:t>
      </w:r>
      <w:r w:rsidR="00DE40C8">
        <w:t xml:space="preserve"> (</w:t>
      </w:r>
      <w:r>
        <w:t>and rotations longer</w:t>
      </w:r>
      <w:r w:rsidR="00DE40C8">
        <w:t>)</w:t>
      </w:r>
      <w:r>
        <w:t xml:space="preserve"> than anticipated. Sawlogs require longer rotations (Table 2). Hardwoods make up a very small proportion of the total resource so the rotation age assumed has little influence on the national weighted mean. A default rotation age of 30 for hardwoods has been implemented in the LTA </w:t>
      </w:r>
      <w:r w:rsidR="00114359">
        <w:rPr>
          <w:rStyle w:val="Strong"/>
          <w:b w:val="0"/>
          <w:bCs w:val="0"/>
        </w:rPr>
        <w:t>Calculator</w:t>
      </w:r>
      <w:r>
        <w:t>.</w:t>
      </w:r>
    </w:p>
    <w:p w14:paraId="01BB7514" w14:textId="77777777" w:rsidR="00281A43" w:rsidRDefault="00281A43" w:rsidP="00281A43"/>
    <w:p w14:paraId="550C51AB" w14:textId="24EB3977" w:rsidR="00496AE5" w:rsidRDefault="00496AE5" w:rsidP="00281A43">
      <w:r>
        <w:rPr>
          <w:i/>
          <w:iCs/>
          <w:lang w:eastAsia="en-NZ"/>
        </w:rPr>
        <w:t>Species weighting</w:t>
      </w:r>
    </w:p>
    <w:p w14:paraId="583FFBF2" w14:textId="51ED16E8" w:rsidR="00496AE5" w:rsidRDefault="00496AE5" w:rsidP="00496AE5">
      <w:r>
        <w:t xml:space="preserve">A single national LTA stock and LTA age are created by weighting the three species groups (radiata pine, Douglas fir and other softwoods, and hardwoods). The default option </w:t>
      </w:r>
      <w:r w:rsidR="00887472">
        <w:t xml:space="preserve">within the LTA </w:t>
      </w:r>
      <w:r w:rsidR="00114359">
        <w:rPr>
          <w:rStyle w:val="Strong"/>
          <w:b w:val="0"/>
          <w:bCs w:val="0"/>
        </w:rPr>
        <w:t>Calculator</w:t>
      </w:r>
      <w:r w:rsidR="00114359" w:rsidDel="00114359">
        <w:t xml:space="preserve"> </w:t>
      </w:r>
      <w:r>
        <w:t>uses LUCAS post-1989 plot area by species group for the weighting</w:t>
      </w:r>
      <w:r w:rsidR="00B846AE">
        <w:t xml:space="preserve"> (Table 3)</w:t>
      </w:r>
      <w:r w:rsidRPr="007E0FA9">
        <w:t>.</w:t>
      </w:r>
      <w:r w:rsidR="007E0FA9">
        <w:t xml:space="preserve"> </w:t>
      </w:r>
      <w:r w:rsidR="00272B2D">
        <w:t>Harvested and unvisited plots were excluded.</w:t>
      </w:r>
    </w:p>
    <w:p w14:paraId="120F8C33" w14:textId="77777777" w:rsidR="00496AE5" w:rsidRDefault="00496AE5" w:rsidP="00496AE5"/>
    <w:p w14:paraId="14383425" w14:textId="77777777" w:rsidR="009E62E1" w:rsidRDefault="009E62E1" w:rsidP="00496AE5"/>
    <w:p w14:paraId="79824AB4" w14:textId="104A69D2" w:rsidR="00496AE5" w:rsidRDefault="009E62E1" w:rsidP="00496AE5">
      <w:pPr>
        <w:rPr>
          <w:b/>
          <w:bCs/>
        </w:rPr>
      </w:pPr>
      <w:r>
        <w:rPr>
          <w:b/>
          <w:bCs/>
        </w:rPr>
        <w:t xml:space="preserve">Table 3. </w:t>
      </w:r>
      <w:r w:rsidR="00496AE5" w:rsidRPr="58842DA5">
        <w:rPr>
          <w:b/>
          <w:bCs/>
        </w:rPr>
        <w:t>LUCAS post-1989 planted forest plot</w:t>
      </w:r>
      <w:r w:rsidR="00017D5D">
        <w:rPr>
          <w:b/>
          <w:bCs/>
        </w:rPr>
        <w:t xml:space="preserve"> area by species</w:t>
      </w:r>
      <w:r w:rsidR="001D3D25">
        <w:rPr>
          <w:b/>
          <w:bCs/>
        </w:rPr>
        <w:t xml:space="preserve"> (</w:t>
      </w:r>
      <w:r w:rsidR="001D3D25" w:rsidRPr="005D415B">
        <w:rPr>
          <w:b/>
          <w:bCs/>
        </w:rPr>
        <w:t>Data from 2018-2022 measurement cycle, Paul et al. 2024)</w:t>
      </w:r>
    </w:p>
    <w:p w14:paraId="04442D24" w14:textId="77777777" w:rsidR="00017D5D" w:rsidRDefault="00017D5D" w:rsidP="00496AE5">
      <w:pPr>
        <w:rPr>
          <w:b/>
          <w:bCs/>
        </w:rPr>
      </w:pPr>
    </w:p>
    <w:tbl>
      <w:tblPr>
        <w:tblpPr w:leftFromText="180" w:rightFromText="180" w:vertAnchor="text"/>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701"/>
        <w:gridCol w:w="1985"/>
      </w:tblGrid>
      <w:tr w:rsidR="00E71747" w:rsidRPr="00D11F15" w14:paraId="471A56C9" w14:textId="77777777" w:rsidTr="00A64B73">
        <w:trPr>
          <w:trHeight w:val="300"/>
        </w:trPr>
        <w:tc>
          <w:tcPr>
            <w:tcW w:w="2405" w:type="dxa"/>
            <w:noWrap/>
            <w:tcMar>
              <w:top w:w="0" w:type="dxa"/>
              <w:left w:w="108" w:type="dxa"/>
              <w:bottom w:w="0" w:type="dxa"/>
              <w:right w:w="108" w:type="dxa"/>
            </w:tcMar>
            <w:vAlign w:val="center"/>
          </w:tcPr>
          <w:p w14:paraId="1678D4DA" w14:textId="77777777" w:rsidR="00E71747" w:rsidRPr="00F634B2" w:rsidRDefault="00E71747" w:rsidP="006858F7">
            <w:pPr>
              <w:jc w:val="center"/>
              <w:rPr>
                <w:rFonts w:cs="Arial"/>
                <w:b/>
                <w:bCs/>
                <w:color w:val="000000"/>
                <w:szCs w:val="20"/>
                <w:lang w:val="en-NZ" w:eastAsia="en-NZ"/>
              </w:rPr>
            </w:pPr>
          </w:p>
        </w:tc>
        <w:tc>
          <w:tcPr>
            <w:tcW w:w="3686" w:type="dxa"/>
            <w:gridSpan w:val="2"/>
            <w:shd w:val="clear" w:color="auto" w:fill="auto"/>
            <w:vAlign w:val="center"/>
            <w:hideMark/>
          </w:tcPr>
          <w:p w14:paraId="15D27D37" w14:textId="7425F524" w:rsidR="00E71747" w:rsidRPr="00017D5D" w:rsidRDefault="00E71747" w:rsidP="006858F7">
            <w:pPr>
              <w:jc w:val="center"/>
              <w:rPr>
                <w:rFonts w:cs="Arial"/>
                <w:b/>
                <w:bCs/>
                <w:color w:val="000000"/>
                <w:szCs w:val="20"/>
                <w:lang w:eastAsia="en-NZ"/>
              </w:rPr>
            </w:pPr>
            <w:r w:rsidRPr="00017D5D">
              <w:rPr>
                <w:rFonts w:cs="Arial"/>
                <w:b/>
                <w:bCs/>
                <w:color w:val="000000"/>
                <w:szCs w:val="20"/>
                <w:lang w:eastAsia="en-NZ"/>
              </w:rPr>
              <w:t>Post89</w:t>
            </w:r>
            <w:r>
              <w:rPr>
                <w:rFonts w:cs="Arial"/>
                <w:b/>
                <w:bCs/>
                <w:color w:val="000000"/>
                <w:szCs w:val="20"/>
                <w:lang w:eastAsia="en-NZ"/>
              </w:rPr>
              <w:t xml:space="preserve"> Total plot area (ha)</w:t>
            </w:r>
          </w:p>
        </w:tc>
      </w:tr>
      <w:tr w:rsidR="00E71747" w:rsidRPr="00D11F15" w14:paraId="6A839AC5" w14:textId="77777777" w:rsidTr="00A64B73">
        <w:trPr>
          <w:trHeight w:val="300"/>
        </w:trPr>
        <w:tc>
          <w:tcPr>
            <w:tcW w:w="2405" w:type="dxa"/>
            <w:noWrap/>
            <w:tcMar>
              <w:top w:w="0" w:type="dxa"/>
              <w:left w:w="108" w:type="dxa"/>
              <w:bottom w:w="0" w:type="dxa"/>
              <w:right w:w="108" w:type="dxa"/>
            </w:tcMar>
            <w:vAlign w:val="center"/>
          </w:tcPr>
          <w:p w14:paraId="58803283" w14:textId="77777777" w:rsidR="00E71747" w:rsidRPr="00F634B2" w:rsidRDefault="00E71747" w:rsidP="006858F7">
            <w:pPr>
              <w:jc w:val="center"/>
              <w:rPr>
                <w:rFonts w:cs="Arial"/>
                <w:b/>
                <w:bCs/>
                <w:color w:val="000000"/>
                <w:szCs w:val="20"/>
                <w:lang w:eastAsia="en-NZ"/>
              </w:rPr>
            </w:pPr>
          </w:p>
        </w:tc>
        <w:tc>
          <w:tcPr>
            <w:tcW w:w="1701" w:type="dxa"/>
            <w:shd w:val="clear" w:color="auto" w:fill="auto"/>
            <w:vAlign w:val="center"/>
            <w:hideMark/>
          </w:tcPr>
          <w:p w14:paraId="6022D0E7" w14:textId="77777777" w:rsidR="00E71747" w:rsidRPr="00017D5D" w:rsidRDefault="00E71747" w:rsidP="006858F7">
            <w:pPr>
              <w:jc w:val="center"/>
              <w:rPr>
                <w:rFonts w:cs="Arial"/>
                <w:b/>
                <w:bCs/>
                <w:color w:val="000000"/>
                <w:szCs w:val="20"/>
                <w:lang w:eastAsia="en-NZ"/>
              </w:rPr>
            </w:pPr>
            <w:r w:rsidRPr="00017D5D">
              <w:rPr>
                <w:rFonts w:cs="Arial"/>
                <w:b/>
                <w:bCs/>
                <w:color w:val="000000"/>
                <w:szCs w:val="20"/>
                <w:lang w:eastAsia="en-NZ"/>
              </w:rPr>
              <w:t>Including harvested</w:t>
            </w:r>
          </w:p>
        </w:tc>
        <w:tc>
          <w:tcPr>
            <w:tcW w:w="1985" w:type="dxa"/>
            <w:shd w:val="clear" w:color="auto" w:fill="auto"/>
            <w:vAlign w:val="center"/>
            <w:hideMark/>
          </w:tcPr>
          <w:p w14:paraId="32B5261B" w14:textId="77777777" w:rsidR="00E71747" w:rsidRPr="00017D5D" w:rsidRDefault="00E71747" w:rsidP="006858F7">
            <w:pPr>
              <w:jc w:val="center"/>
              <w:rPr>
                <w:rFonts w:cs="Arial"/>
                <w:b/>
                <w:bCs/>
                <w:color w:val="000000"/>
                <w:szCs w:val="20"/>
                <w:lang w:eastAsia="en-NZ"/>
              </w:rPr>
            </w:pPr>
            <w:r w:rsidRPr="00017D5D">
              <w:rPr>
                <w:rFonts w:cs="Arial"/>
                <w:b/>
                <w:bCs/>
                <w:color w:val="000000"/>
                <w:szCs w:val="20"/>
                <w:lang w:eastAsia="en-NZ"/>
              </w:rPr>
              <w:t>Excl. harvested and unvisited</w:t>
            </w:r>
          </w:p>
        </w:tc>
      </w:tr>
      <w:tr w:rsidR="00E71747" w:rsidRPr="00D11F15" w14:paraId="4BD9E18D" w14:textId="77777777" w:rsidTr="00A64B73">
        <w:trPr>
          <w:trHeight w:val="300"/>
        </w:trPr>
        <w:tc>
          <w:tcPr>
            <w:tcW w:w="2405" w:type="dxa"/>
            <w:shd w:val="clear" w:color="auto" w:fill="D9D9D9" w:themeFill="background1" w:themeFillShade="D9"/>
            <w:noWrap/>
            <w:tcMar>
              <w:top w:w="0" w:type="dxa"/>
              <w:left w:w="108" w:type="dxa"/>
              <w:bottom w:w="0" w:type="dxa"/>
              <w:right w:w="108" w:type="dxa"/>
            </w:tcMar>
            <w:vAlign w:val="center"/>
            <w:hideMark/>
          </w:tcPr>
          <w:p w14:paraId="55D563E9" w14:textId="77777777" w:rsidR="00E71747" w:rsidRPr="00F634B2" w:rsidRDefault="00E71747" w:rsidP="006858F7">
            <w:pPr>
              <w:jc w:val="center"/>
              <w:rPr>
                <w:rFonts w:cs="Arial"/>
                <w:b/>
                <w:bCs/>
                <w:color w:val="000000"/>
                <w:szCs w:val="20"/>
                <w:lang w:eastAsia="en-NZ"/>
              </w:rPr>
            </w:pPr>
            <w:r w:rsidRPr="00F634B2">
              <w:rPr>
                <w:rFonts w:cs="Arial"/>
                <w:b/>
                <w:bCs/>
                <w:color w:val="000000"/>
                <w:szCs w:val="20"/>
                <w:lang w:eastAsia="en-NZ"/>
              </w:rPr>
              <w:t>Radiata pine</w:t>
            </w:r>
          </w:p>
        </w:tc>
        <w:tc>
          <w:tcPr>
            <w:tcW w:w="1701" w:type="dxa"/>
            <w:shd w:val="clear" w:color="auto" w:fill="D9D9D9" w:themeFill="background1" w:themeFillShade="D9"/>
            <w:vAlign w:val="center"/>
            <w:hideMark/>
          </w:tcPr>
          <w:p w14:paraId="0D6C68C0" w14:textId="77777777" w:rsidR="00E71747" w:rsidRPr="00017D5D" w:rsidRDefault="00E71747" w:rsidP="006858F7">
            <w:pPr>
              <w:jc w:val="center"/>
              <w:rPr>
                <w:rFonts w:cs="Arial"/>
                <w:b/>
                <w:bCs/>
                <w:color w:val="000000"/>
                <w:szCs w:val="20"/>
                <w:lang w:eastAsia="en-NZ"/>
              </w:rPr>
            </w:pPr>
            <w:r w:rsidRPr="00017D5D">
              <w:rPr>
                <w:rFonts w:cs="Arial"/>
                <w:b/>
                <w:bCs/>
                <w:color w:val="000000"/>
                <w:szCs w:val="20"/>
                <w:lang w:eastAsia="en-NZ"/>
              </w:rPr>
              <w:t>15.37 (84.5%)</w:t>
            </w:r>
          </w:p>
        </w:tc>
        <w:tc>
          <w:tcPr>
            <w:tcW w:w="1985" w:type="dxa"/>
            <w:shd w:val="clear" w:color="auto" w:fill="D9D9D9" w:themeFill="background1" w:themeFillShade="D9"/>
            <w:vAlign w:val="center"/>
            <w:hideMark/>
          </w:tcPr>
          <w:p w14:paraId="12FB402E" w14:textId="77777777" w:rsidR="00E71747" w:rsidRPr="00017D5D" w:rsidRDefault="00E71747" w:rsidP="006858F7">
            <w:pPr>
              <w:jc w:val="center"/>
              <w:rPr>
                <w:rFonts w:cs="Arial"/>
                <w:b/>
                <w:bCs/>
                <w:color w:val="000000"/>
                <w:szCs w:val="20"/>
                <w:lang w:eastAsia="en-NZ"/>
              </w:rPr>
            </w:pPr>
            <w:r w:rsidRPr="00017D5D">
              <w:rPr>
                <w:rFonts w:cs="Arial"/>
                <w:b/>
                <w:bCs/>
                <w:color w:val="000000"/>
                <w:szCs w:val="20"/>
                <w:lang w:eastAsia="en-NZ"/>
              </w:rPr>
              <w:t>12.73 (82.4%)</w:t>
            </w:r>
          </w:p>
        </w:tc>
      </w:tr>
      <w:tr w:rsidR="00E71747" w:rsidRPr="00D11F15" w14:paraId="33C917C1" w14:textId="77777777" w:rsidTr="00A64B73">
        <w:trPr>
          <w:trHeight w:val="300"/>
        </w:trPr>
        <w:tc>
          <w:tcPr>
            <w:tcW w:w="2405" w:type="dxa"/>
            <w:noWrap/>
            <w:tcMar>
              <w:top w:w="0" w:type="dxa"/>
              <w:left w:w="108" w:type="dxa"/>
              <w:bottom w:w="0" w:type="dxa"/>
              <w:right w:w="108" w:type="dxa"/>
            </w:tcMar>
            <w:vAlign w:val="center"/>
            <w:hideMark/>
          </w:tcPr>
          <w:p w14:paraId="00AECAF3" w14:textId="77777777" w:rsidR="00E71747" w:rsidRPr="00F634B2" w:rsidRDefault="00E71747" w:rsidP="006858F7">
            <w:pPr>
              <w:jc w:val="center"/>
              <w:rPr>
                <w:rFonts w:cs="Arial"/>
                <w:color w:val="000000"/>
                <w:szCs w:val="20"/>
                <w:lang w:eastAsia="en-NZ"/>
              </w:rPr>
            </w:pPr>
          </w:p>
        </w:tc>
        <w:tc>
          <w:tcPr>
            <w:tcW w:w="1701" w:type="dxa"/>
            <w:shd w:val="clear" w:color="auto" w:fill="auto"/>
            <w:vAlign w:val="center"/>
          </w:tcPr>
          <w:p w14:paraId="0D12D0F7" w14:textId="77777777" w:rsidR="00E71747" w:rsidRPr="00017D5D" w:rsidRDefault="00E71747" w:rsidP="006858F7">
            <w:pPr>
              <w:jc w:val="center"/>
              <w:rPr>
                <w:rFonts w:cs="Arial"/>
                <w:szCs w:val="20"/>
                <w:lang w:eastAsia="en-NZ"/>
              </w:rPr>
            </w:pPr>
          </w:p>
        </w:tc>
        <w:tc>
          <w:tcPr>
            <w:tcW w:w="1985" w:type="dxa"/>
            <w:shd w:val="clear" w:color="auto" w:fill="auto"/>
            <w:vAlign w:val="center"/>
          </w:tcPr>
          <w:p w14:paraId="25E74183" w14:textId="77777777" w:rsidR="00E71747" w:rsidRPr="00017D5D" w:rsidRDefault="00E71747" w:rsidP="006858F7">
            <w:pPr>
              <w:jc w:val="center"/>
              <w:rPr>
                <w:rFonts w:cs="Arial"/>
                <w:szCs w:val="20"/>
                <w:lang w:eastAsia="en-NZ"/>
              </w:rPr>
            </w:pPr>
          </w:p>
        </w:tc>
      </w:tr>
      <w:tr w:rsidR="00E71747" w:rsidRPr="00D11F15" w14:paraId="5CB85C66" w14:textId="77777777" w:rsidTr="00A64B73">
        <w:trPr>
          <w:trHeight w:val="300"/>
        </w:trPr>
        <w:tc>
          <w:tcPr>
            <w:tcW w:w="2405" w:type="dxa"/>
            <w:shd w:val="clear" w:color="auto" w:fill="D9D9D9" w:themeFill="background1" w:themeFillShade="D9"/>
            <w:noWrap/>
            <w:tcMar>
              <w:top w:w="0" w:type="dxa"/>
              <w:left w:w="108" w:type="dxa"/>
              <w:bottom w:w="0" w:type="dxa"/>
              <w:right w:w="108" w:type="dxa"/>
            </w:tcMar>
            <w:vAlign w:val="center"/>
            <w:hideMark/>
          </w:tcPr>
          <w:p w14:paraId="44A126CC" w14:textId="77777777" w:rsidR="00E71747" w:rsidRPr="00F634B2" w:rsidRDefault="00E71747" w:rsidP="006858F7">
            <w:pPr>
              <w:jc w:val="center"/>
              <w:rPr>
                <w:rFonts w:cs="Arial"/>
                <w:b/>
                <w:bCs/>
                <w:color w:val="000000"/>
                <w:szCs w:val="20"/>
                <w:lang w:eastAsia="en-NZ"/>
              </w:rPr>
            </w:pPr>
            <w:r w:rsidRPr="00F634B2">
              <w:rPr>
                <w:rFonts w:cs="Arial"/>
                <w:b/>
                <w:bCs/>
                <w:color w:val="000000"/>
                <w:szCs w:val="20"/>
                <w:lang w:eastAsia="en-NZ"/>
              </w:rPr>
              <w:t>Softwoods</w:t>
            </w:r>
          </w:p>
        </w:tc>
        <w:tc>
          <w:tcPr>
            <w:tcW w:w="1701" w:type="dxa"/>
            <w:shd w:val="clear" w:color="auto" w:fill="D9D9D9" w:themeFill="background1" w:themeFillShade="D9"/>
            <w:vAlign w:val="center"/>
            <w:hideMark/>
          </w:tcPr>
          <w:p w14:paraId="79A6E08D" w14:textId="77777777" w:rsidR="00E71747" w:rsidRPr="00017D5D" w:rsidRDefault="00E71747" w:rsidP="006858F7">
            <w:pPr>
              <w:jc w:val="center"/>
              <w:rPr>
                <w:rFonts w:cs="Arial"/>
                <w:b/>
                <w:bCs/>
                <w:color w:val="000000"/>
                <w:szCs w:val="20"/>
                <w:lang w:eastAsia="en-NZ"/>
              </w:rPr>
            </w:pPr>
            <w:r w:rsidRPr="00017D5D">
              <w:rPr>
                <w:rFonts w:cs="Arial"/>
                <w:b/>
                <w:bCs/>
                <w:color w:val="000000"/>
                <w:szCs w:val="20"/>
                <w:lang w:eastAsia="en-NZ"/>
              </w:rPr>
              <w:t>1.89 (10.3%)</w:t>
            </w:r>
          </w:p>
        </w:tc>
        <w:tc>
          <w:tcPr>
            <w:tcW w:w="1985" w:type="dxa"/>
            <w:shd w:val="clear" w:color="auto" w:fill="D9D9D9" w:themeFill="background1" w:themeFillShade="D9"/>
            <w:vAlign w:val="center"/>
            <w:hideMark/>
          </w:tcPr>
          <w:p w14:paraId="1201737E" w14:textId="77777777" w:rsidR="00E71747" w:rsidRPr="00017D5D" w:rsidRDefault="00E71747" w:rsidP="006858F7">
            <w:pPr>
              <w:jc w:val="center"/>
              <w:rPr>
                <w:rFonts w:cs="Arial"/>
                <w:b/>
                <w:bCs/>
                <w:color w:val="000000"/>
                <w:szCs w:val="20"/>
                <w:lang w:eastAsia="en-NZ"/>
              </w:rPr>
            </w:pPr>
            <w:r w:rsidRPr="00017D5D">
              <w:rPr>
                <w:rFonts w:cs="Arial"/>
                <w:b/>
                <w:bCs/>
                <w:color w:val="000000"/>
                <w:szCs w:val="20"/>
                <w:lang w:eastAsia="en-NZ"/>
              </w:rPr>
              <w:t>1.83 (11.6%)</w:t>
            </w:r>
          </w:p>
        </w:tc>
      </w:tr>
      <w:tr w:rsidR="00E71747" w:rsidRPr="00D11F15" w14:paraId="4FA6D880" w14:textId="77777777" w:rsidTr="00A64B73">
        <w:trPr>
          <w:trHeight w:val="300"/>
        </w:trPr>
        <w:tc>
          <w:tcPr>
            <w:tcW w:w="2405" w:type="dxa"/>
            <w:noWrap/>
            <w:tcMar>
              <w:top w:w="0" w:type="dxa"/>
              <w:left w:w="108" w:type="dxa"/>
              <w:bottom w:w="0" w:type="dxa"/>
              <w:right w:w="108" w:type="dxa"/>
            </w:tcMar>
            <w:vAlign w:val="center"/>
            <w:hideMark/>
          </w:tcPr>
          <w:p w14:paraId="27BD94AA" w14:textId="77777777" w:rsidR="00E71747" w:rsidRPr="00F634B2" w:rsidRDefault="00E71747" w:rsidP="006858F7">
            <w:pPr>
              <w:jc w:val="center"/>
              <w:rPr>
                <w:rFonts w:cs="Arial"/>
                <w:color w:val="000000"/>
                <w:szCs w:val="20"/>
                <w:lang w:eastAsia="en-NZ"/>
              </w:rPr>
            </w:pPr>
            <w:r w:rsidRPr="00F634B2">
              <w:rPr>
                <w:rFonts w:cs="Arial"/>
                <w:color w:val="000000"/>
                <w:szCs w:val="20"/>
                <w:lang w:eastAsia="en-NZ"/>
              </w:rPr>
              <w:t>Douglas fir</w:t>
            </w:r>
          </w:p>
        </w:tc>
        <w:tc>
          <w:tcPr>
            <w:tcW w:w="1701" w:type="dxa"/>
            <w:shd w:val="clear" w:color="auto" w:fill="auto"/>
            <w:vAlign w:val="center"/>
            <w:hideMark/>
          </w:tcPr>
          <w:p w14:paraId="1C14E212" w14:textId="77777777" w:rsidR="00E71747" w:rsidRPr="00017D5D" w:rsidRDefault="00E71747" w:rsidP="006858F7">
            <w:pPr>
              <w:jc w:val="center"/>
              <w:rPr>
                <w:rFonts w:cs="Arial"/>
                <w:color w:val="000000"/>
                <w:szCs w:val="20"/>
                <w:lang w:eastAsia="en-NZ"/>
              </w:rPr>
            </w:pPr>
            <w:r w:rsidRPr="00017D5D">
              <w:rPr>
                <w:rFonts w:cs="Arial"/>
                <w:color w:val="000000"/>
                <w:szCs w:val="20"/>
                <w:lang w:eastAsia="en-NZ"/>
              </w:rPr>
              <w:t>1.65 (9%)</w:t>
            </w:r>
          </w:p>
        </w:tc>
        <w:tc>
          <w:tcPr>
            <w:tcW w:w="1985" w:type="dxa"/>
            <w:shd w:val="clear" w:color="auto" w:fill="auto"/>
            <w:vAlign w:val="center"/>
            <w:hideMark/>
          </w:tcPr>
          <w:p w14:paraId="68318ACD" w14:textId="77777777" w:rsidR="00E71747" w:rsidRPr="00017D5D" w:rsidRDefault="00E71747" w:rsidP="006858F7">
            <w:pPr>
              <w:jc w:val="center"/>
              <w:rPr>
                <w:rFonts w:cs="Arial"/>
                <w:color w:val="000000"/>
                <w:szCs w:val="20"/>
                <w:lang w:eastAsia="en-NZ"/>
              </w:rPr>
            </w:pPr>
            <w:r w:rsidRPr="00017D5D">
              <w:rPr>
                <w:rFonts w:cs="Arial"/>
                <w:color w:val="000000"/>
                <w:szCs w:val="20"/>
                <w:lang w:eastAsia="en-NZ"/>
              </w:rPr>
              <w:t>1.65 (10.6%)</w:t>
            </w:r>
          </w:p>
        </w:tc>
      </w:tr>
      <w:tr w:rsidR="00E71747" w:rsidRPr="00D11F15" w14:paraId="444380DB" w14:textId="77777777" w:rsidTr="00A64B73">
        <w:trPr>
          <w:trHeight w:val="300"/>
        </w:trPr>
        <w:tc>
          <w:tcPr>
            <w:tcW w:w="2405" w:type="dxa"/>
            <w:noWrap/>
            <w:tcMar>
              <w:top w:w="0" w:type="dxa"/>
              <w:left w:w="108" w:type="dxa"/>
              <w:bottom w:w="0" w:type="dxa"/>
              <w:right w:w="108" w:type="dxa"/>
            </w:tcMar>
            <w:vAlign w:val="center"/>
            <w:hideMark/>
          </w:tcPr>
          <w:p w14:paraId="736484D9" w14:textId="31373B37" w:rsidR="00E71747" w:rsidRPr="00F634B2" w:rsidRDefault="00E71747" w:rsidP="006858F7">
            <w:pPr>
              <w:jc w:val="center"/>
              <w:rPr>
                <w:rFonts w:cs="Arial"/>
                <w:color w:val="000000"/>
                <w:szCs w:val="20"/>
                <w:lang w:eastAsia="en-NZ"/>
              </w:rPr>
            </w:pPr>
            <w:r>
              <w:rPr>
                <w:rFonts w:cs="Arial"/>
                <w:color w:val="000000"/>
                <w:szCs w:val="20"/>
                <w:lang w:eastAsia="en-NZ"/>
              </w:rPr>
              <w:t>C</w:t>
            </w:r>
            <w:r w:rsidRPr="00F634B2">
              <w:rPr>
                <w:rFonts w:cs="Arial"/>
                <w:color w:val="000000"/>
                <w:szCs w:val="20"/>
                <w:lang w:eastAsia="en-NZ"/>
              </w:rPr>
              <w:t>ypress</w:t>
            </w:r>
            <w:r w:rsidR="00A64B73">
              <w:rPr>
                <w:rFonts w:cs="Arial"/>
                <w:color w:val="000000"/>
                <w:szCs w:val="20"/>
                <w:lang w:eastAsia="en-NZ"/>
              </w:rPr>
              <w:t>es</w:t>
            </w:r>
          </w:p>
        </w:tc>
        <w:tc>
          <w:tcPr>
            <w:tcW w:w="1701" w:type="dxa"/>
            <w:shd w:val="clear" w:color="auto" w:fill="auto"/>
            <w:vAlign w:val="center"/>
            <w:hideMark/>
          </w:tcPr>
          <w:p w14:paraId="5F05B024" w14:textId="77777777" w:rsidR="00E71747" w:rsidRPr="00017D5D" w:rsidRDefault="00E71747" w:rsidP="006858F7">
            <w:pPr>
              <w:jc w:val="center"/>
              <w:rPr>
                <w:rFonts w:cs="Arial"/>
                <w:color w:val="000000"/>
                <w:szCs w:val="20"/>
                <w:lang w:eastAsia="en-NZ"/>
              </w:rPr>
            </w:pPr>
            <w:r w:rsidRPr="00017D5D">
              <w:rPr>
                <w:rFonts w:cs="Arial"/>
                <w:color w:val="000000"/>
                <w:szCs w:val="20"/>
                <w:lang w:eastAsia="en-NZ"/>
              </w:rPr>
              <w:t>0.24 (1.3%)</w:t>
            </w:r>
          </w:p>
        </w:tc>
        <w:tc>
          <w:tcPr>
            <w:tcW w:w="1985" w:type="dxa"/>
            <w:shd w:val="clear" w:color="auto" w:fill="auto"/>
            <w:vAlign w:val="center"/>
            <w:hideMark/>
          </w:tcPr>
          <w:p w14:paraId="78432DDD" w14:textId="77777777" w:rsidR="00E71747" w:rsidRPr="00017D5D" w:rsidRDefault="00E71747" w:rsidP="006858F7">
            <w:pPr>
              <w:jc w:val="center"/>
              <w:rPr>
                <w:rFonts w:cs="Arial"/>
                <w:color w:val="000000"/>
                <w:szCs w:val="20"/>
                <w:lang w:eastAsia="en-NZ"/>
              </w:rPr>
            </w:pPr>
            <w:r w:rsidRPr="00017D5D">
              <w:rPr>
                <w:rFonts w:cs="Arial"/>
                <w:color w:val="000000"/>
                <w:szCs w:val="20"/>
                <w:lang w:eastAsia="en-NZ"/>
              </w:rPr>
              <w:t>0.18 (1%)</w:t>
            </w:r>
          </w:p>
        </w:tc>
      </w:tr>
      <w:tr w:rsidR="00E71747" w:rsidRPr="00D11F15" w14:paraId="3CC1ABC9" w14:textId="77777777" w:rsidTr="00A64B73">
        <w:trPr>
          <w:trHeight w:val="213"/>
        </w:trPr>
        <w:tc>
          <w:tcPr>
            <w:tcW w:w="2405" w:type="dxa"/>
            <w:noWrap/>
            <w:tcMar>
              <w:top w:w="0" w:type="dxa"/>
              <w:left w:w="108" w:type="dxa"/>
              <w:bottom w:w="0" w:type="dxa"/>
              <w:right w:w="108" w:type="dxa"/>
            </w:tcMar>
            <w:vAlign w:val="center"/>
            <w:hideMark/>
          </w:tcPr>
          <w:p w14:paraId="6CB317EA" w14:textId="77777777" w:rsidR="00E71747" w:rsidRPr="00F634B2" w:rsidRDefault="00E71747" w:rsidP="006858F7">
            <w:pPr>
              <w:jc w:val="center"/>
              <w:rPr>
                <w:rFonts w:cs="Arial"/>
                <w:color w:val="000000"/>
                <w:szCs w:val="20"/>
                <w:lang w:eastAsia="en-NZ"/>
              </w:rPr>
            </w:pPr>
          </w:p>
        </w:tc>
        <w:tc>
          <w:tcPr>
            <w:tcW w:w="1701" w:type="dxa"/>
            <w:shd w:val="clear" w:color="auto" w:fill="auto"/>
            <w:vAlign w:val="center"/>
          </w:tcPr>
          <w:p w14:paraId="4602DED0" w14:textId="77777777" w:rsidR="00E71747" w:rsidRPr="00017D5D" w:rsidRDefault="00E71747" w:rsidP="006858F7">
            <w:pPr>
              <w:jc w:val="center"/>
              <w:rPr>
                <w:rFonts w:cs="Arial"/>
                <w:szCs w:val="20"/>
                <w:lang w:eastAsia="en-NZ"/>
              </w:rPr>
            </w:pPr>
          </w:p>
        </w:tc>
        <w:tc>
          <w:tcPr>
            <w:tcW w:w="1985" w:type="dxa"/>
            <w:shd w:val="clear" w:color="auto" w:fill="auto"/>
            <w:vAlign w:val="center"/>
          </w:tcPr>
          <w:p w14:paraId="772AB72A" w14:textId="77777777" w:rsidR="00E71747" w:rsidRPr="00017D5D" w:rsidRDefault="00E71747" w:rsidP="006858F7">
            <w:pPr>
              <w:jc w:val="center"/>
              <w:rPr>
                <w:rFonts w:cs="Arial"/>
                <w:szCs w:val="20"/>
                <w:lang w:eastAsia="en-NZ"/>
              </w:rPr>
            </w:pPr>
          </w:p>
        </w:tc>
      </w:tr>
      <w:tr w:rsidR="00E71747" w:rsidRPr="00D11F15" w14:paraId="699DD55A" w14:textId="77777777" w:rsidTr="00A64B73">
        <w:trPr>
          <w:trHeight w:val="300"/>
        </w:trPr>
        <w:tc>
          <w:tcPr>
            <w:tcW w:w="2405" w:type="dxa"/>
            <w:shd w:val="clear" w:color="auto" w:fill="D9D9D9" w:themeFill="background1" w:themeFillShade="D9"/>
            <w:noWrap/>
            <w:tcMar>
              <w:top w:w="0" w:type="dxa"/>
              <w:left w:w="108" w:type="dxa"/>
              <w:bottom w:w="0" w:type="dxa"/>
              <w:right w:w="108" w:type="dxa"/>
            </w:tcMar>
            <w:vAlign w:val="center"/>
            <w:hideMark/>
          </w:tcPr>
          <w:p w14:paraId="6CE81CA7" w14:textId="77777777" w:rsidR="00E71747" w:rsidRPr="00F634B2" w:rsidRDefault="00E71747" w:rsidP="006858F7">
            <w:pPr>
              <w:jc w:val="center"/>
              <w:rPr>
                <w:rFonts w:cs="Arial"/>
                <w:b/>
                <w:bCs/>
                <w:color w:val="000000"/>
                <w:szCs w:val="20"/>
                <w:lang w:eastAsia="en-NZ"/>
              </w:rPr>
            </w:pPr>
            <w:r w:rsidRPr="00F634B2">
              <w:rPr>
                <w:rFonts w:cs="Arial"/>
                <w:b/>
                <w:bCs/>
                <w:color w:val="000000"/>
                <w:szCs w:val="20"/>
                <w:lang w:eastAsia="en-NZ"/>
              </w:rPr>
              <w:t>Hardwoods</w:t>
            </w:r>
          </w:p>
        </w:tc>
        <w:tc>
          <w:tcPr>
            <w:tcW w:w="1701" w:type="dxa"/>
            <w:shd w:val="clear" w:color="auto" w:fill="D9D9D9" w:themeFill="background1" w:themeFillShade="D9"/>
            <w:vAlign w:val="center"/>
            <w:hideMark/>
          </w:tcPr>
          <w:p w14:paraId="79ABF8B3" w14:textId="77777777" w:rsidR="00E71747" w:rsidRPr="00017D5D" w:rsidRDefault="00E71747" w:rsidP="006858F7">
            <w:pPr>
              <w:jc w:val="center"/>
              <w:rPr>
                <w:rFonts w:cs="Arial"/>
                <w:b/>
                <w:bCs/>
                <w:color w:val="000000"/>
                <w:szCs w:val="20"/>
                <w:lang w:eastAsia="en-NZ"/>
              </w:rPr>
            </w:pPr>
            <w:r w:rsidRPr="00017D5D">
              <w:rPr>
                <w:rFonts w:cs="Arial"/>
                <w:b/>
                <w:bCs/>
                <w:color w:val="000000"/>
                <w:szCs w:val="20"/>
                <w:lang w:eastAsia="en-NZ"/>
              </w:rPr>
              <w:t>0.97 (5.2%)</w:t>
            </w:r>
          </w:p>
        </w:tc>
        <w:tc>
          <w:tcPr>
            <w:tcW w:w="1985" w:type="dxa"/>
            <w:shd w:val="clear" w:color="auto" w:fill="D9D9D9" w:themeFill="background1" w:themeFillShade="D9"/>
            <w:vAlign w:val="center"/>
            <w:hideMark/>
          </w:tcPr>
          <w:p w14:paraId="5570F618" w14:textId="77777777" w:rsidR="00E71747" w:rsidRPr="00017D5D" w:rsidRDefault="00E71747" w:rsidP="006858F7">
            <w:pPr>
              <w:jc w:val="center"/>
              <w:rPr>
                <w:rFonts w:cs="Arial"/>
                <w:b/>
                <w:bCs/>
                <w:color w:val="000000"/>
                <w:szCs w:val="20"/>
                <w:lang w:eastAsia="en-NZ"/>
              </w:rPr>
            </w:pPr>
            <w:r w:rsidRPr="00017D5D">
              <w:rPr>
                <w:rFonts w:cs="Arial"/>
                <w:b/>
                <w:bCs/>
                <w:color w:val="000000"/>
                <w:szCs w:val="20"/>
                <w:lang w:eastAsia="en-NZ"/>
              </w:rPr>
              <w:t>0.89 (5.8%)</w:t>
            </w:r>
          </w:p>
        </w:tc>
      </w:tr>
      <w:tr w:rsidR="00E71747" w:rsidRPr="00D11F15" w14:paraId="29A9A537" w14:textId="77777777" w:rsidTr="00A64B73">
        <w:trPr>
          <w:trHeight w:val="300"/>
        </w:trPr>
        <w:tc>
          <w:tcPr>
            <w:tcW w:w="2405" w:type="dxa"/>
            <w:noWrap/>
            <w:tcMar>
              <w:top w:w="0" w:type="dxa"/>
              <w:left w:w="108" w:type="dxa"/>
              <w:bottom w:w="0" w:type="dxa"/>
              <w:right w:w="108" w:type="dxa"/>
            </w:tcMar>
            <w:vAlign w:val="center"/>
            <w:hideMark/>
          </w:tcPr>
          <w:p w14:paraId="670EC758" w14:textId="3630A058" w:rsidR="00E71747" w:rsidRPr="00F634B2" w:rsidRDefault="00E71747" w:rsidP="006858F7">
            <w:pPr>
              <w:jc w:val="center"/>
              <w:rPr>
                <w:rFonts w:cs="Arial"/>
                <w:color w:val="000000"/>
                <w:szCs w:val="20"/>
                <w:lang w:eastAsia="en-NZ"/>
              </w:rPr>
            </w:pPr>
            <w:r w:rsidRPr="00F634B2">
              <w:rPr>
                <w:rFonts w:cs="Arial"/>
                <w:color w:val="000000"/>
                <w:szCs w:val="20"/>
                <w:lang w:eastAsia="en-NZ"/>
              </w:rPr>
              <w:t>Euc</w:t>
            </w:r>
            <w:r>
              <w:rPr>
                <w:rFonts w:cs="Arial"/>
                <w:color w:val="000000"/>
                <w:szCs w:val="20"/>
                <w:lang w:eastAsia="en-NZ"/>
              </w:rPr>
              <w:t>alyptus sp</w:t>
            </w:r>
            <w:r w:rsidR="00A64B73">
              <w:rPr>
                <w:rFonts w:cs="Arial"/>
                <w:color w:val="000000"/>
                <w:szCs w:val="20"/>
                <w:lang w:eastAsia="en-NZ"/>
              </w:rPr>
              <w:t>ecies</w:t>
            </w:r>
          </w:p>
        </w:tc>
        <w:tc>
          <w:tcPr>
            <w:tcW w:w="1701" w:type="dxa"/>
            <w:shd w:val="clear" w:color="auto" w:fill="auto"/>
            <w:vAlign w:val="center"/>
            <w:hideMark/>
          </w:tcPr>
          <w:p w14:paraId="3361C768" w14:textId="77777777" w:rsidR="00E71747" w:rsidRPr="00017D5D" w:rsidRDefault="00E71747" w:rsidP="006858F7">
            <w:pPr>
              <w:jc w:val="center"/>
              <w:rPr>
                <w:rFonts w:cs="Arial"/>
                <w:color w:val="000000"/>
                <w:szCs w:val="20"/>
                <w:lang w:eastAsia="en-NZ"/>
              </w:rPr>
            </w:pPr>
            <w:r w:rsidRPr="00017D5D">
              <w:rPr>
                <w:rFonts w:cs="Arial"/>
                <w:color w:val="000000"/>
                <w:szCs w:val="20"/>
                <w:lang w:eastAsia="en-NZ"/>
              </w:rPr>
              <w:t>0.79 (4.3%)</w:t>
            </w:r>
          </w:p>
        </w:tc>
        <w:tc>
          <w:tcPr>
            <w:tcW w:w="1985" w:type="dxa"/>
            <w:shd w:val="clear" w:color="auto" w:fill="auto"/>
            <w:vAlign w:val="center"/>
            <w:hideMark/>
          </w:tcPr>
          <w:p w14:paraId="492BA018" w14:textId="77777777" w:rsidR="00E71747" w:rsidRPr="00017D5D" w:rsidRDefault="00E71747" w:rsidP="006858F7">
            <w:pPr>
              <w:jc w:val="center"/>
              <w:rPr>
                <w:rFonts w:cs="Arial"/>
                <w:color w:val="000000"/>
                <w:szCs w:val="20"/>
                <w:lang w:eastAsia="en-NZ"/>
              </w:rPr>
            </w:pPr>
            <w:r w:rsidRPr="00017D5D">
              <w:rPr>
                <w:rFonts w:cs="Arial"/>
                <w:color w:val="000000"/>
                <w:szCs w:val="20"/>
                <w:lang w:eastAsia="en-NZ"/>
              </w:rPr>
              <w:t>0.71 (4.6%)</w:t>
            </w:r>
          </w:p>
        </w:tc>
      </w:tr>
      <w:tr w:rsidR="00E71747" w:rsidRPr="00D11F15" w14:paraId="571434BA" w14:textId="77777777" w:rsidTr="00A64B73">
        <w:trPr>
          <w:trHeight w:val="300"/>
        </w:trPr>
        <w:tc>
          <w:tcPr>
            <w:tcW w:w="2405" w:type="dxa"/>
            <w:noWrap/>
            <w:tcMar>
              <w:top w:w="0" w:type="dxa"/>
              <w:left w:w="108" w:type="dxa"/>
              <w:bottom w:w="0" w:type="dxa"/>
              <w:right w:w="108" w:type="dxa"/>
            </w:tcMar>
            <w:vAlign w:val="center"/>
            <w:hideMark/>
          </w:tcPr>
          <w:p w14:paraId="6C34096B" w14:textId="77777777" w:rsidR="00E71747" w:rsidRPr="00F634B2" w:rsidRDefault="00E71747" w:rsidP="006858F7">
            <w:pPr>
              <w:jc w:val="center"/>
              <w:rPr>
                <w:rFonts w:cs="Arial"/>
                <w:color w:val="000000"/>
                <w:szCs w:val="20"/>
                <w:lang w:eastAsia="en-NZ"/>
              </w:rPr>
            </w:pPr>
            <w:r w:rsidRPr="00F634B2">
              <w:rPr>
                <w:rFonts w:cs="Arial"/>
                <w:color w:val="000000"/>
                <w:szCs w:val="20"/>
                <w:lang w:eastAsia="en-NZ"/>
              </w:rPr>
              <w:t>Blackwood</w:t>
            </w:r>
          </w:p>
        </w:tc>
        <w:tc>
          <w:tcPr>
            <w:tcW w:w="1701" w:type="dxa"/>
            <w:shd w:val="clear" w:color="auto" w:fill="auto"/>
            <w:vAlign w:val="center"/>
            <w:hideMark/>
          </w:tcPr>
          <w:p w14:paraId="2B2F8EE1" w14:textId="77777777" w:rsidR="00E71747" w:rsidRPr="00017D5D" w:rsidRDefault="00E71747" w:rsidP="006858F7">
            <w:pPr>
              <w:jc w:val="center"/>
              <w:rPr>
                <w:rFonts w:cs="Arial"/>
                <w:color w:val="000000"/>
                <w:szCs w:val="20"/>
                <w:lang w:eastAsia="en-NZ"/>
              </w:rPr>
            </w:pPr>
            <w:r w:rsidRPr="00017D5D">
              <w:rPr>
                <w:rFonts w:cs="Arial"/>
                <w:color w:val="000000"/>
                <w:szCs w:val="20"/>
                <w:lang w:eastAsia="en-NZ"/>
              </w:rPr>
              <w:t>0.06 (0.3%)</w:t>
            </w:r>
          </w:p>
        </w:tc>
        <w:tc>
          <w:tcPr>
            <w:tcW w:w="1985" w:type="dxa"/>
            <w:shd w:val="clear" w:color="auto" w:fill="auto"/>
            <w:vAlign w:val="center"/>
            <w:hideMark/>
          </w:tcPr>
          <w:p w14:paraId="5A890F13" w14:textId="77777777" w:rsidR="00E71747" w:rsidRPr="00017D5D" w:rsidRDefault="00E71747" w:rsidP="006858F7">
            <w:pPr>
              <w:jc w:val="center"/>
              <w:rPr>
                <w:rFonts w:cs="Arial"/>
                <w:color w:val="000000"/>
                <w:szCs w:val="20"/>
                <w:lang w:eastAsia="en-NZ"/>
              </w:rPr>
            </w:pPr>
            <w:r w:rsidRPr="00017D5D">
              <w:rPr>
                <w:rFonts w:cs="Arial"/>
                <w:color w:val="000000"/>
                <w:szCs w:val="20"/>
                <w:lang w:eastAsia="en-NZ"/>
              </w:rPr>
              <w:t>0.06 (0.4%)</w:t>
            </w:r>
          </w:p>
        </w:tc>
      </w:tr>
      <w:tr w:rsidR="00E71747" w:rsidRPr="00D11F15" w14:paraId="277C009D" w14:textId="77777777" w:rsidTr="00A64B73">
        <w:trPr>
          <w:trHeight w:val="300"/>
        </w:trPr>
        <w:tc>
          <w:tcPr>
            <w:tcW w:w="2405" w:type="dxa"/>
            <w:noWrap/>
            <w:tcMar>
              <w:top w:w="0" w:type="dxa"/>
              <w:left w:w="108" w:type="dxa"/>
              <w:bottom w:w="0" w:type="dxa"/>
              <w:right w:w="108" w:type="dxa"/>
            </w:tcMar>
            <w:vAlign w:val="center"/>
            <w:hideMark/>
          </w:tcPr>
          <w:p w14:paraId="3D37A1D5" w14:textId="3B6A5C2C" w:rsidR="00E71747" w:rsidRPr="00F634B2" w:rsidRDefault="00E71747" w:rsidP="006858F7">
            <w:pPr>
              <w:jc w:val="center"/>
              <w:rPr>
                <w:rFonts w:cs="Arial"/>
                <w:color w:val="000000"/>
                <w:szCs w:val="20"/>
                <w:lang w:eastAsia="en-NZ"/>
              </w:rPr>
            </w:pPr>
            <w:r>
              <w:rPr>
                <w:rFonts w:cs="Arial"/>
                <w:color w:val="000000"/>
                <w:szCs w:val="20"/>
                <w:lang w:eastAsia="en-NZ"/>
              </w:rPr>
              <w:t>Oak sp</w:t>
            </w:r>
            <w:r w:rsidR="00A64B73">
              <w:rPr>
                <w:rFonts w:cs="Arial"/>
                <w:color w:val="000000"/>
                <w:szCs w:val="20"/>
                <w:lang w:eastAsia="en-NZ"/>
              </w:rPr>
              <w:t>ecies</w:t>
            </w:r>
          </w:p>
        </w:tc>
        <w:tc>
          <w:tcPr>
            <w:tcW w:w="1701" w:type="dxa"/>
            <w:shd w:val="clear" w:color="auto" w:fill="auto"/>
            <w:vAlign w:val="center"/>
            <w:hideMark/>
          </w:tcPr>
          <w:p w14:paraId="3BC2B331" w14:textId="77777777" w:rsidR="00E71747" w:rsidRPr="00017D5D" w:rsidRDefault="00E71747" w:rsidP="006858F7">
            <w:pPr>
              <w:jc w:val="center"/>
              <w:rPr>
                <w:rFonts w:cs="Arial"/>
                <w:color w:val="000000"/>
                <w:szCs w:val="20"/>
                <w:lang w:eastAsia="en-NZ"/>
              </w:rPr>
            </w:pPr>
            <w:r w:rsidRPr="00017D5D">
              <w:rPr>
                <w:rFonts w:cs="Arial"/>
                <w:color w:val="000000"/>
                <w:szCs w:val="20"/>
                <w:lang w:eastAsia="en-NZ"/>
              </w:rPr>
              <w:t>0.06 (0.3%)</w:t>
            </w:r>
          </w:p>
        </w:tc>
        <w:tc>
          <w:tcPr>
            <w:tcW w:w="1985" w:type="dxa"/>
            <w:shd w:val="clear" w:color="auto" w:fill="auto"/>
            <w:vAlign w:val="center"/>
            <w:hideMark/>
          </w:tcPr>
          <w:p w14:paraId="376136B1" w14:textId="77777777" w:rsidR="00E71747" w:rsidRPr="00017D5D" w:rsidRDefault="00E71747" w:rsidP="006858F7">
            <w:pPr>
              <w:jc w:val="center"/>
              <w:rPr>
                <w:rFonts w:cs="Arial"/>
                <w:color w:val="000000"/>
                <w:szCs w:val="20"/>
                <w:lang w:eastAsia="en-NZ"/>
              </w:rPr>
            </w:pPr>
            <w:r w:rsidRPr="00017D5D">
              <w:rPr>
                <w:rFonts w:cs="Arial"/>
                <w:color w:val="000000"/>
                <w:szCs w:val="20"/>
                <w:lang w:eastAsia="en-NZ"/>
              </w:rPr>
              <w:t>0.06 (0.4%)</w:t>
            </w:r>
          </w:p>
        </w:tc>
      </w:tr>
      <w:tr w:rsidR="00E71747" w:rsidRPr="00D11F15" w14:paraId="5D8E6CD2" w14:textId="77777777" w:rsidTr="00A64B73">
        <w:trPr>
          <w:trHeight w:val="300"/>
        </w:trPr>
        <w:tc>
          <w:tcPr>
            <w:tcW w:w="2405" w:type="dxa"/>
            <w:noWrap/>
            <w:tcMar>
              <w:top w:w="0" w:type="dxa"/>
              <w:left w:w="108" w:type="dxa"/>
              <w:bottom w:w="0" w:type="dxa"/>
              <w:right w:w="108" w:type="dxa"/>
            </w:tcMar>
            <w:vAlign w:val="center"/>
            <w:hideMark/>
          </w:tcPr>
          <w:p w14:paraId="5B30587B" w14:textId="076DE46D" w:rsidR="00E71747" w:rsidRPr="00F634B2" w:rsidRDefault="00E71747" w:rsidP="006858F7">
            <w:pPr>
              <w:jc w:val="center"/>
              <w:rPr>
                <w:rFonts w:cs="Arial"/>
                <w:color w:val="000000"/>
                <w:szCs w:val="20"/>
                <w:lang w:eastAsia="en-NZ"/>
              </w:rPr>
            </w:pPr>
            <w:r>
              <w:rPr>
                <w:rFonts w:cs="Arial"/>
                <w:color w:val="000000"/>
                <w:szCs w:val="20"/>
                <w:lang w:eastAsia="en-NZ"/>
              </w:rPr>
              <w:t>Poplar sp</w:t>
            </w:r>
            <w:r w:rsidR="00A64B73">
              <w:rPr>
                <w:rFonts w:cs="Arial"/>
                <w:color w:val="000000"/>
                <w:szCs w:val="20"/>
                <w:lang w:eastAsia="en-NZ"/>
              </w:rPr>
              <w:t>ecies</w:t>
            </w:r>
          </w:p>
        </w:tc>
        <w:tc>
          <w:tcPr>
            <w:tcW w:w="1701" w:type="dxa"/>
            <w:shd w:val="clear" w:color="auto" w:fill="auto"/>
            <w:vAlign w:val="center"/>
            <w:hideMark/>
          </w:tcPr>
          <w:p w14:paraId="2F6F4C3F" w14:textId="77777777" w:rsidR="00E71747" w:rsidRPr="00017D5D" w:rsidRDefault="00E71747" w:rsidP="006858F7">
            <w:pPr>
              <w:jc w:val="center"/>
              <w:rPr>
                <w:rFonts w:cs="Arial"/>
                <w:color w:val="000000"/>
                <w:szCs w:val="20"/>
                <w:lang w:eastAsia="en-NZ"/>
              </w:rPr>
            </w:pPr>
            <w:r w:rsidRPr="00017D5D">
              <w:rPr>
                <w:rFonts w:cs="Arial"/>
                <w:color w:val="000000"/>
                <w:szCs w:val="20"/>
                <w:lang w:eastAsia="en-NZ"/>
              </w:rPr>
              <w:t>0.06 (0.3%)</w:t>
            </w:r>
          </w:p>
        </w:tc>
        <w:tc>
          <w:tcPr>
            <w:tcW w:w="1985" w:type="dxa"/>
            <w:shd w:val="clear" w:color="auto" w:fill="auto"/>
            <w:vAlign w:val="center"/>
            <w:hideMark/>
          </w:tcPr>
          <w:p w14:paraId="5BCCDEDB" w14:textId="77777777" w:rsidR="00E71747" w:rsidRPr="00017D5D" w:rsidRDefault="00E71747" w:rsidP="006858F7">
            <w:pPr>
              <w:jc w:val="center"/>
              <w:rPr>
                <w:rFonts w:cs="Arial"/>
                <w:color w:val="000000"/>
                <w:szCs w:val="20"/>
                <w:lang w:eastAsia="en-NZ"/>
              </w:rPr>
            </w:pPr>
            <w:r w:rsidRPr="00017D5D">
              <w:rPr>
                <w:rFonts w:cs="Arial"/>
                <w:color w:val="000000"/>
                <w:szCs w:val="20"/>
                <w:lang w:eastAsia="en-NZ"/>
              </w:rPr>
              <w:t>0.06 (0.4%)</w:t>
            </w:r>
          </w:p>
        </w:tc>
      </w:tr>
    </w:tbl>
    <w:p w14:paraId="3BF19865" w14:textId="77777777" w:rsidR="00496AE5" w:rsidRDefault="00496AE5" w:rsidP="00496AE5"/>
    <w:p w14:paraId="3E7027F1" w14:textId="77777777" w:rsidR="00496AE5" w:rsidRDefault="00496AE5" w:rsidP="00496AE5"/>
    <w:p w14:paraId="0634C4F5" w14:textId="77777777" w:rsidR="004A0DD8" w:rsidRDefault="004A0DD8" w:rsidP="009F3E7C">
      <w:pPr>
        <w:spacing w:line="276" w:lineRule="auto"/>
        <w:rPr>
          <w:lang w:eastAsia="en-NZ"/>
        </w:rPr>
      </w:pPr>
    </w:p>
    <w:p w14:paraId="34B0D804" w14:textId="77777777" w:rsidR="009E62E1" w:rsidRDefault="009E62E1" w:rsidP="009F3E7C">
      <w:pPr>
        <w:spacing w:line="276" w:lineRule="auto"/>
        <w:rPr>
          <w:lang w:eastAsia="en-NZ"/>
        </w:rPr>
      </w:pPr>
    </w:p>
    <w:p w14:paraId="005F1BF6" w14:textId="77777777" w:rsidR="009E62E1" w:rsidRDefault="009E62E1" w:rsidP="009F3E7C">
      <w:pPr>
        <w:spacing w:line="276" w:lineRule="auto"/>
        <w:rPr>
          <w:lang w:eastAsia="en-NZ"/>
        </w:rPr>
      </w:pPr>
    </w:p>
    <w:p w14:paraId="0536E59C" w14:textId="77777777" w:rsidR="009E62E1" w:rsidRDefault="009E62E1" w:rsidP="009F3E7C">
      <w:pPr>
        <w:spacing w:line="276" w:lineRule="auto"/>
        <w:rPr>
          <w:lang w:eastAsia="en-NZ"/>
        </w:rPr>
      </w:pPr>
    </w:p>
    <w:p w14:paraId="6D7A7247" w14:textId="77777777" w:rsidR="009E62E1" w:rsidRDefault="009E62E1" w:rsidP="009F3E7C">
      <w:pPr>
        <w:spacing w:line="276" w:lineRule="auto"/>
        <w:rPr>
          <w:lang w:eastAsia="en-NZ"/>
        </w:rPr>
      </w:pPr>
    </w:p>
    <w:p w14:paraId="2781C132" w14:textId="77777777" w:rsidR="009E62E1" w:rsidRDefault="009E62E1" w:rsidP="009F3E7C">
      <w:pPr>
        <w:spacing w:line="276" w:lineRule="auto"/>
        <w:rPr>
          <w:lang w:eastAsia="en-NZ"/>
        </w:rPr>
      </w:pPr>
    </w:p>
    <w:p w14:paraId="0A7CD8C0" w14:textId="77777777" w:rsidR="009E62E1" w:rsidRDefault="009E62E1" w:rsidP="009F3E7C">
      <w:pPr>
        <w:spacing w:line="276" w:lineRule="auto"/>
        <w:rPr>
          <w:lang w:eastAsia="en-NZ"/>
        </w:rPr>
      </w:pPr>
    </w:p>
    <w:p w14:paraId="42951D1E" w14:textId="77777777" w:rsidR="009E62E1" w:rsidRDefault="009E62E1" w:rsidP="009F3E7C">
      <w:pPr>
        <w:spacing w:line="276" w:lineRule="auto"/>
        <w:rPr>
          <w:lang w:eastAsia="en-NZ"/>
        </w:rPr>
      </w:pPr>
    </w:p>
    <w:p w14:paraId="44896360" w14:textId="77777777" w:rsidR="009E62E1" w:rsidRDefault="009E62E1" w:rsidP="009F3E7C">
      <w:pPr>
        <w:spacing w:line="276" w:lineRule="auto"/>
        <w:rPr>
          <w:lang w:eastAsia="en-NZ"/>
        </w:rPr>
      </w:pPr>
    </w:p>
    <w:p w14:paraId="0A9186EE" w14:textId="77777777" w:rsidR="009E62E1" w:rsidRDefault="009E62E1" w:rsidP="009F3E7C">
      <w:pPr>
        <w:spacing w:line="276" w:lineRule="auto"/>
        <w:rPr>
          <w:lang w:eastAsia="en-NZ"/>
        </w:rPr>
      </w:pPr>
    </w:p>
    <w:p w14:paraId="7CFD99E9" w14:textId="77777777" w:rsidR="009E62E1" w:rsidRDefault="009E62E1" w:rsidP="009F3E7C">
      <w:pPr>
        <w:spacing w:line="276" w:lineRule="auto"/>
        <w:rPr>
          <w:lang w:eastAsia="en-NZ"/>
        </w:rPr>
      </w:pPr>
    </w:p>
    <w:p w14:paraId="17D52CAC" w14:textId="77777777" w:rsidR="009E62E1" w:rsidRDefault="009E62E1" w:rsidP="009F3E7C">
      <w:pPr>
        <w:spacing w:line="276" w:lineRule="auto"/>
        <w:rPr>
          <w:lang w:eastAsia="en-NZ"/>
        </w:rPr>
      </w:pPr>
    </w:p>
    <w:p w14:paraId="4421F7B6" w14:textId="77777777" w:rsidR="009E62E1" w:rsidRDefault="009E62E1" w:rsidP="009F3E7C">
      <w:pPr>
        <w:spacing w:line="276" w:lineRule="auto"/>
        <w:rPr>
          <w:lang w:eastAsia="en-NZ"/>
        </w:rPr>
      </w:pPr>
    </w:p>
    <w:p w14:paraId="2D1F21E8" w14:textId="77777777" w:rsidR="009E62E1" w:rsidRDefault="009E62E1" w:rsidP="009F3E7C">
      <w:pPr>
        <w:spacing w:line="276" w:lineRule="auto"/>
        <w:rPr>
          <w:lang w:eastAsia="en-NZ"/>
        </w:rPr>
      </w:pPr>
    </w:p>
    <w:p w14:paraId="6FB09EF9" w14:textId="77777777" w:rsidR="009E62E1" w:rsidRDefault="009E62E1" w:rsidP="009F3E7C">
      <w:pPr>
        <w:spacing w:line="276" w:lineRule="auto"/>
        <w:rPr>
          <w:lang w:eastAsia="en-NZ"/>
        </w:rPr>
      </w:pPr>
    </w:p>
    <w:p w14:paraId="3CACC301" w14:textId="77777777" w:rsidR="009B4BE9" w:rsidRDefault="009B4BE9" w:rsidP="00C74E64">
      <w:pPr>
        <w:rPr>
          <w:rStyle w:val="Strong"/>
          <w:rFonts w:cs="Arial"/>
          <w:b w:val="0"/>
          <w:bCs w:val="0"/>
          <w:i/>
          <w:iCs/>
        </w:rPr>
      </w:pPr>
    </w:p>
    <w:p w14:paraId="4A424EB7" w14:textId="2A208576" w:rsidR="00C74E64" w:rsidRPr="006947CB" w:rsidRDefault="00C74E64" w:rsidP="00C74E64">
      <w:pPr>
        <w:rPr>
          <w:rStyle w:val="Strong"/>
          <w:rFonts w:cs="Arial"/>
          <w:b w:val="0"/>
          <w:bCs w:val="0"/>
          <w:i/>
          <w:iCs/>
        </w:rPr>
      </w:pPr>
      <w:r w:rsidRPr="006947CB">
        <w:rPr>
          <w:rStyle w:val="Strong"/>
          <w:rFonts w:cs="Arial"/>
          <w:b w:val="0"/>
          <w:bCs w:val="0"/>
          <w:i/>
          <w:iCs/>
        </w:rPr>
        <w:t>Accounting treatment summary</w:t>
      </w:r>
    </w:p>
    <w:p w14:paraId="6CD2A4C9" w14:textId="77777777" w:rsidR="00C74E64" w:rsidRDefault="00C74E64" w:rsidP="00C74E64">
      <w:pPr>
        <w:rPr>
          <w:rStyle w:val="Strong"/>
          <w:rFonts w:cs="Arial"/>
          <w:b w:val="0"/>
          <w:bCs w:val="0"/>
        </w:rPr>
      </w:pPr>
    </w:p>
    <w:p w14:paraId="44A9A17F" w14:textId="08B824A2" w:rsidR="00961941" w:rsidRDefault="007D52AA" w:rsidP="00C74E64">
      <w:pPr>
        <w:rPr>
          <w:rStyle w:val="Strong"/>
          <w:rFonts w:cs="Arial"/>
          <w:b w:val="0"/>
          <w:bCs w:val="0"/>
        </w:rPr>
      </w:pPr>
      <w:r>
        <w:rPr>
          <w:rStyle w:val="Strong"/>
          <w:rFonts w:cs="Arial"/>
          <w:b w:val="0"/>
          <w:bCs w:val="0"/>
        </w:rPr>
        <w:t xml:space="preserve">Productivity and silviculture for rotational post-1989 planted forests are defined by </w:t>
      </w:r>
      <w:r w:rsidR="00D81D2A">
        <w:rPr>
          <w:rStyle w:val="Strong"/>
          <w:rFonts w:cs="Arial"/>
          <w:b w:val="0"/>
          <w:bCs w:val="0"/>
        </w:rPr>
        <w:t>yield tables derived from the post-1989 planted forest inventory plots.</w:t>
      </w:r>
      <w:r w:rsidR="00A45359">
        <w:rPr>
          <w:rStyle w:val="Strong"/>
          <w:rFonts w:cs="Arial"/>
          <w:b w:val="0"/>
          <w:bCs w:val="0"/>
        </w:rPr>
        <w:t xml:space="preserve"> </w:t>
      </w:r>
      <w:r w:rsidR="00C71A3D">
        <w:rPr>
          <w:rStyle w:val="Strong"/>
          <w:rFonts w:cs="Arial"/>
          <w:b w:val="0"/>
          <w:bCs w:val="0"/>
        </w:rPr>
        <w:t xml:space="preserve">Rotation age </w:t>
      </w:r>
      <w:r w:rsidR="001E1517">
        <w:rPr>
          <w:rStyle w:val="Strong"/>
          <w:rFonts w:cs="Arial"/>
          <w:b w:val="0"/>
          <w:bCs w:val="0"/>
        </w:rPr>
        <w:t>by species group wa</w:t>
      </w:r>
      <w:r w:rsidR="00C71A3D">
        <w:rPr>
          <w:rStyle w:val="Strong"/>
          <w:rFonts w:cs="Arial"/>
          <w:b w:val="0"/>
          <w:bCs w:val="0"/>
        </w:rPr>
        <w:t xml:space="preserve">s also required </w:t>
      </w:r>
      <w:r w:rsidR="001E1517">
        <w:rPr>
          <w:rStyle w:val="Strong"/>
          <w:rFonts w:cs="Arial"/>
          <w:b w:val="0"/>
          <w:bCs w:val="0"/>
        </w:rPr>
        <w:t xml:space="preserve">to calculate the LTA stock, </w:t>
      </w:r>
      <w:r w:rsidR="003B067C">
        <w:rPr>
          <w:rStyle w:val="Strong"/>
          <w:rFonts w:cs="Arial"/>
          <w:b w:val="0"/>
          <w:bCs w:val="0"/>
        </w:rPr>
        <w:t>and wh</w:t>
      </w:r>
      <w:r w:rsidR="0033519F">
        <w:rPr>
          <w:rStyle w:val="Strong"/>
          <w:rFonts w:cs="Arial"/>
          <w:b w:val="0"/>
          <w:bCs w:val="0"/>
        </w:rPr>
        <w:t xml:space="preserve">ile information </w:t>
      </w:r>
      <w:r w:rsidR="00816532">
        <w:rPr>
          <w:rStyle w:val="Strong"/>
          <w:rFonts w:cs="Arial"/>
          <w:b w:val="0"/>
          <w:bCs w:val="0"/>
        </w:rPr>
        <w:t xml:space="preserve">on average rotation length </w:t>
      </w:r>
      <w:r w:rsidR="0033519F">
        <w:rPr>
          <w:rStyle w:val="Strong"/>
          <w:rFonts w:cs="Arial"/>
          <w:b w:val="0"/>
          <w:bCs w:val="0"/>
        </w:rPr>
        <w:t xml:space="preserve">is </w:t>
      </w:r>
      <w:r w:rsidR="00816532">
        <w:rPr>
          <w:rStyle w:val="Strong"/>
          <w:rFonts w:cs="Arial"/>
          <w:b w:val="0"/>
          <w:bCs w:val="0"/>
        </w:rPr>
        <w:t>scarce</w:t>
      </w:r>
      <w:r w:rsidR="0033519F">
        <w:rPr>
          <w:rStyle w:val="Strong"/>
          <w:rFonts w:cs="Arial"/>
          <w:b w:val="0"/>
          <w:bCs w:val="0"/>
        </w:rPr>
        <w:t xml:space="preserve"> for minor species, </w:t>
      </w:r>
      <w:r w:rsidR="005D50E4">
        <w:rPr>
          <w:rStyle w:val="Strong"/>
          <w:rFonts w:cs="Arial"/>
          <w:b w:val="0"/>
          <w:bCs w:val="0"/>
        </w:rPr>
        <w:t xml:space="preserve">the impact of this assumption on the overall result is </w:t>
      </w:r>
      <w:r w:rsidR="00816532">
        <w:rPr>
          <w:rStyle w:val="Strong"/>
          <w:rFonts w:cs="Arial"/>
          <w:b w:val="0"/>
          <w:bCs w:val="0"/>
        </w:rPr>
        <w:t>limited by the dominance of radiata pine.</w:t>
      </w:r>
      <w:r w:rsidR="00D9443F">
        <w:rPr>
          <w:rStyle w:val="Strong"/>
          <w:rFonts w:cs="Arial"/>
          <w:b w:val="0"/>
          <w:bCs w:val="0"/>
        </w:rPr>
        <w:t xml:space="preserve"> </w:t>
      </w:r>
      <w:r w:rsidR="00B50D9F">
        <w:rPr>
          <w:rStyle w:val="Strong"/>
          <w:rFonts w:cs="Arial"/>
          <w:b w:val="0"/>
          <w:bCs w:val="0"/>
        </w:rPr>
        <w:t xml:space="preserve">The impact of the harvested wood products carbon pool on long term stocks is </w:t>
      </w:r>
      <w:r w:rsidR="00961941">
        <w:rPr>
          <w:rStyle w:val="Strong"/>
          <w:rFonts w:cs="Arial"/>
          <w:b w:val="0"/>
          <w:bCs w:val="0"/>
        </w:rPr>
        <w:t xml:space="preserve">also </w:t>
      </w:r>
      <w:r w:rsidR="00B50D9F">
        <w:rPr>
          <w:rStyle w:val="Strong"/>
          <w:rFonts w:cs="Arial"/>
          <w:b w:val="0"/>
          <w:bCs w:val="0"/>
        </w:rPr>
        <w:t xml:space="preserve">significant and is discussed in a later section. </w:t>
      </w:r>
    </w:p>
    <w:p w14:paraId="762AE3A0" w14:textId="77777777" w:rsidR="00961941" w:rsidRDefault="00961941" w:rsidP="00C74E64">
      <w:pPr>
        <w:rPr>
          <w:rStyle w:val="Strong"/>
          <w:rFonts w:cs="Arial"/>
          <w:b w:val="0"/>
          <w:bCs w:val="0"/>
        </w:rPr>
      </w:pPr>
    </w:p>
    <w:p w14:paraId="73B0663A" w14:textId="3AA56545" w:rsidR="00C74E64" w:rsidRDefault="002018FD" w:rsidP="00C74E64">
      <w:pPr>
        <w:rPr>
          <w:rStyle w:val="Strong"/>
          <w:rFonts w:cs="Arial"/>
          <w:b w:val="0"/>
          <w:bCs w:val="0"/>
        </w:rPr>
      </w:pPr>
      <w:r>
        <w:rPr>
          <w:rStyle w:val="Strong"/>
          <w:rFonts w:cs="Arial"/>
          <w:b w:val="0"/>
          <w:bCs w:val="0"/>
        </w:rPr>
        <w:t xml:space="preserve">Accounting for post-1989 rotational planted forests </w:t>
      </w:r>
      <w:r w:rsidR="00731205">
        <w:rPr>
          <w:rStyle w:val="Strong"/>
          <w:rFonts w:cs="Arial"/>
          <w:b w:val="0"/>
          <w:bCs w:val="0"/>
        </w:rPr>
        <w:t xml:space="preserve">will be under stock change accounting according to the </w:t>
      </w:r>
      <w:r w:rsidR="00A1333D">
        <w:rPr>
          <w:rStyle w:val="Strong"/>
          <w:rFonts w:cs="Arial"/>
          <w:b w:val="0"/>
          <w:bCs w:val="0"/>
        </w:rPr>
        <w:t xml:space="preserve">carbon values by age in the combined species post-1989 planted forest carbon yield table until the </w:t>
      </w:r>
      <w:r w:rsidR="00731205">
        <w:rPr>
          <w:rStyle w:val="Strong"/>
          <w:rFonts w:cs="Arial"/>
          <w:b w:val="0"/>
          <w:bCs w:val="0"/>
        </w:rPr>
        <w:t xml:space="preserve">species-weighted </w:t>
      </w:r>
      <w:r w:rsidR="00A1333D">
        <w:rPr>
          <w:rStyle w:val="Strong"/>
          <w:rFonts w:cs="Arial"/>
          <w:b w:val="0"/>
          <w:bCs w:val="0"/>
        </w:rPr>
        <w:t>LTA age is reached.</w:t>
      </w:r>
      <w:r w:rsidR="00731205">
        <w:rPr>
          <w:rStyle w:val="Strong"/>
          <w:rFonts w:cs="Arial"/>
          <w:b w:val="0"/>
          <w:bCs w:val="0"/>
        </w:rPr>
        <w:t xml:space="preserve"> </w:t>
      </w:r>
    </w:p>
    <w:p w14:paraId="6A0214BC" w14:textId="77777777" w:rsidR="0016780B" w:rsidRDefault="0016780B" w:rsidP="009F3E7C">
      <w:pPr>
        <w:spacing w:line="276" w:lineRule="auto"/>
        <w:rPr>
          <w:lang w:eastAsia="en-NZ"/>
        </w:rPr>
      </w:pPr>
    </w:p>
    <w:p w14:paraId="1378180F" w14:textId="3ACCEF8B" w:rsidR="009423C1" w:rsidRDefault="009423C1" w:rsidP="009423C1">
      <w:pPr>
        <w:rPr>
          <w:rStyle w:val="Strong"/>
          <w:rFonts w:cs="Arial"/>
          <w:b w:val="0"/>
          <w:bCs w:val="0"/>
        </w:rPr>
      </w:pPr>
      <w:r>
        <w:rPr>
          <w:rStyle w:val="Strong"/>
          <w:rFonts w:cs="Arial"/>
          <w:b w:val="0"/>
          <w:bCs w:val="0"/>
        </w:rPr>
        <w:t>Forests harvested in the compliance period before the LTA age is reached should still receive full credit to the LTA age, since the LTA age takes into account both longer and shorter rotations. The additional accounting quantity w</w:t>
      </w:r>
      <w:r w:rsidR="007D57CE">
        <w:rPr>
          <w:rStyle w:val="Strong"/>
          <w:rFonts w:cs="Arial"/>
          <w:b w:val="0"/>
          <w:bCs w:val="0"/>
        </w:rPr>
        <w:t>ill</w:t>
      </w:r>
      <w:r>
        <w:rPr>
          <w:rStyle w:val="Strong"/>
          <w:rFonts w:cs="Arial"/>
          <w:b w:val="0"/>
          <w:bCs w:val="0"/>
        </w:rPr>
        <w:t xml:space="preserve"> have to be calculated externally to the CRA.</w:t>
      </w:r>
    </w:p>
    <w:p w14:paraId="013FC3F5" w14:textId="77777777" w:rsidR="009423C1" w:rsidRDefault="009423C1" w:rsidP="009423C1">
      <w:pPr>
        <w:rPr>
          <w:rStyle w:val="Strong"/>
          <w:rFonts w:cs="Arial"/>
          <w:b w:val="0"/>
          <w:bCs w:val="0"/>
        </w:rPr>
      </w:pPr>
    </w:p>
    <w:p w14:paraId="1EEEFE5D" w14:textId="3E41F758" w:rsidR="00E470B5" w:rsidRPr="007D57CE" w:rsidRDefault="009423C1" w:rsidP="007D57CE">
      <w:pPr>
        <w:rPr>
          <w:rFonts w:cs="Arial"/>
        </w:rPr>
      </w:pPr>
      <w:r>
        <w:rPr>
          <w:rStyle w:val="Strong"/>
          <w:rFonts w:cs="Arial"/>
          <w:b w:val="0"/>
          <w:bCs w:val="0"/>
        </w:rPr>
        <w:t>Forests already beyond the LTA age in 2021 would receive not further credits.</w:t>
      </w:r>
    </w:p>
    <w:p w14:paraId="4DE0CDAF" w14:textId="77777777" w:rsidR="00E470B5" w:rsidRDefault="00E470B5" w:rsidP="009F3E7C">
      <w:pPr>
        <w:spacing w:line="276" w:lineRule="auto"/>
        <w:rPr>
          <w:lang w:eastAsia="en-NZ"/>
        </w:rPr>
      </w:pPr>
    </w:p>
    <w:p w14:paraId="1E83AB64" w14:textId="4B5F3F1D" w:rsidR="0016780B" w:rsidRPr="0016780B" w:rsidRDefault="0016780B" w:rsidP="00D86C71">
      <w:pPr>
        <w:pStyle w:val="Heading3"/>
        <w:rPr>
          <w:lang w:eastAsia="en-NZ"/>
        </w:rPr>
      </w:pPr>
      <w:r w:rsidRPr="0016780B">
        <w:rPr>
          <w:lang w:eastAsia="en-NZ"/>
        </w:rPr>
        <w:t xml:space="preserve">Permanent Planted </w:t>
      </w:r>
      <w:r>
        <w:rPr>
          <w:lang w:eastAsia="en-NZ"/>
        </w:rPr>
        <w:t>F</w:t>
      </w:r>
      <w:r w:rsidRPr="0016780B">
        <w:rPr>
          <w:lang w:eastAsia="en-NZ"/>
        </w:rPr>
        <w:t>orests</w:t>
      </w:r>
    </w:p>
    <w:p w14:paraId="71055A0A" w14:textId="77777777" w:rsidR="00284613" w:rsidRDefault="00284613" w:rsidP="001B60C7">
      <w:pPr>
        <w:rPr>
          <w:rStyle w:val="Strong"/>
          <w:rFonts w:cs="Arial"/>
          <w:b w:val="0"/>
          <w:bCs w:val="0"/>
        </w:rPr>
      </w:pPr>
    </w:p>
    <w:p w14:paraId="692EFB3E" w14:textId="54F965A9" w:rsidR="003E09C8" w:rsidRDefault="003E09C8" w:rsidP="001B60C7">
      <w:pPr>
        <w:rPr>
          <w:rStyle w:val="Strong"/>
          <w:rFonts w:cs="Arial"/>
          <w:b w:val="0"/>
          <w:bCs w:val="0"/>
        </w:rPr>
      </w:pPr>
      <w:r>
        <w:rPr>
          <w:rStyle w:val="Strong"/>
          <w:rFonts w:cs="Arial"/>
          <w:b w:val="0"/>
          <w:bCs w:val="0"/>
        </w:rPr>
        <w:t xml:space="preserve">While most post-1989 planted forests </w:t>
      </w:r>
      <w:r w:rsidR="0034676F">
        <w:rPr>
          <w:rStyle w:val="Strong"/>
          <w:rFonts w:cs="Arial"/>
          <w:b w:val="0"/>
          <w:bCs w:val="0"/>
        </w:rPr>
        <w:t xml:space="preserve">are established </w:t>
      </w:r>
      <w:r w:rsidR="002D0E58">
        <w:rPr>
          <w:rStyle w:val="Strong"/>
          <w:rFonts w:cs="Arial"/>
          <w:b w:val="0"/>
          <w:bCs w:val="0"/>
        </w:rPr>
        <w:t xml:space="preserve">with the intention of eventual clearfell harvesting, </w:t>
      </w:r>
      <w:r w:rsidR="00890E56">
        <w:rPr>
          <w:rStyle w:val="Strong"/>
          <w:rFonts w:cs="Arial"/>
          <w:b w:val="0"/>
          <w:bCs w:val="0"/>
        </w:rPr>
        <w:t xml:space="preserve">management can change </w:t>
      </w:r>
      <w:r w:rsidR="00E94A43">
        <w:rPr>
          <w:rStyle w:val="Strong"/>
          <w:rFonts w:cs="Arial"/>
          <w:b w:val="0"/>
          <w:bCs w:val="0"/>
        </w:rPr>
        <w:t>due to changes in circumstances or owner objectives</w:t>
      </w:r>
      <w:r w:rsidR="008E2D35" w:rsidRPr="007E0FA9">
        <w:rPr>
          <w:rStyle w:val="Strong"/>
          <w:rFonts w:cs="Arial"/>
          <w:b w:val="0"/>
          <w:bCs w:val="0"/>
        </w:rPr>
        <w:t>.</w:t>
      </w:r>
      <w:r w:rsidR="008E2D35">
        <w:rPr>
          <w:rStyle w:val="Strong"/>
          <w:rFonts w:cs="Arial"/>
          <w:b w:val="0"/>
          <w:bCs w:val="0"/>
        </w:rPr>
        <w:t xml:space="preserve"> Examples of post-1989 </w:t>
      </w:r>
      <w:r w:rsidR="009312C8">
        <w:rPr>
          <w:rStyle w:val="Strong"/>
          <w:rFonts w:cs="Arial"/>
          <w:b w:val="0"/>
          <w:bCs w:val="0"/>
        </w:rPr>
        <w:t>planted forests that may not be clearfelled include</w:t>
      </w:r>
      <w:r w:rsidR="003307AB">
        <w:rPr>
          <w:rStyle w:val="Strong"/>
          <w:rFonts w:cs="Arial"/>
          <w:b w:val="0"/>
          <w:bCs w:val="0"/>
        </w:rPr>
        <w:t>:</w:t>
      </w:r>
    </w:p>
    <w:p w14:paraId="0FB71A7C" w14:textId="2397AFEC" w:rsidR="00462672" w:rsidRDefault="00462672" w:rsidP="002815E0">
      <w:pPr>
        <w:pStyle w:val="ListParagraph"/>
        <w:numPr>
          <w:ilvl w:val="0"/>
          <w:numId w:val="10"/>
        </w:numPr>
        <w:rPr>
          <w:rStyle w:val="Strong"/>
          <w:rFonts w:cs="Arial"/>
          <w:b w:val="0"/>
          <w:bCs w:val="0"/>
        </w:rPr>
      </w:pPr>
      <w:r>
        <w:rPr>
          <w:rStyle w:val="Strong"/>
          <w:rFonts w:cs="Arial"/>
          <w:b w:val="0"/>
          <w:bCs w:val="0"/>
        </w:rPr>
        <w:t>Forests established with the intention of management under a continuous cover forestry model</w:t>
      </w:r>
      <w:r w:rsidR="00131191" w:rsidRPr="00595871">
        <w:rPr>
          <w:rStyle w:val="Strong"/>
          <w:rFonts w:cs="Arial"/>
          <w:b w:val="0"/>
          <w:bCs w:val="0"/>
        </w:rPr>
        <w:t xml:space="preserve">, including those </w:t>
      </w:r>
      <w:r w:rsidR="005D73FC">
        <w:rPr>
          <w:rStyle w:val="Strong"/>
          <w:rFonts w:cs="Arial"/>
          <w:b w:val="0"/>
          <w:bCs w:val="0"/>
        </w:rPr>
        <w:t xml:space="preserve">initially </w:t>
      </w:r>
      <w:r w:rsidR="00131191" w:rsidRPr="00595871">
        <w:rPr>
          <w:rStyle w:val="Strong"/>
          <w:rFonts w:cs="Arial"/>
          <w:b w:val="0"/>
          <w:bCs w:val="0"/>
        </w:rPr>
        <w:t xml:space="preserve">registered within the Permanent Forest Sinks </w:t>
      </w:r>
      <w:r w:rsidR="00045A33" w:rsidRPr="00595871">
        <w:rPr>
          <w:rStyle w:val="Strong"/>
          <w:rFonts w:cs="Arial"/>
          <w:b w:val="0"/>
          <w:bCs w:val="0"/>
        </w:rPr>
        <w:t>Initiative</w:t>
      </w:r>
      <w:r w:rsidR="00295CFB">
        <w:rPr>
          <w:rStyle w:val="Strong"/>
          <w:rFonts w:cs="Arial"/>
          <w:b w:val="0"/>
          <w:bCs w:val="0"/>
        </w:rPr>
        <w:t xml:space="preserve"> (PFSI)</w:t>
      </w:r>
      <w:r w:rsidR="00131191" w:rsidRPr="00595871">
        <w:rPr>
          <w:rStyle w:val="Strong"/>
          <w:rFonts w:cs="Arial"/>
          <w:b w:val="0"/>
          <w:bCs w:val="0"/>
        </w:rPr>
        <w:t>.</w:t>
      </w:r>
    </w:p>
    <w:p w14:paraId="783622E4" w14:textId="339CB6EC" w:rsidR="00DA4A51" w:rsidRDefault="00DA4A51" w:rsidP="002815E0">
      <w:pPr>
        <w:pStyle w:val="ListParagraph"/>
        <w:numPr>
          <w:ilvl w:val="0"/>
          <w:numId w:val="10"/>
        </w:numPr>
        <w:rPr>
          <w:rStyle w:val="Strong"/>
          <w:rFonts w:cs="Arial"/>
          <w:b w:val="0"/>
          <w:bCs w:val="0"/>
        </w:rPr>
      </w:pPr>
      <w:r>
        <w:rPr>
          <w:rStyle w:val="Strong"/>
          <w:rFonts w:cs="Arial"/>
          <w:b w:val="0"/>
          <w:bCs w:val="0"/>
        </w:rPr>
        <w:t xml:space="preserve">Forests registered within the </w:t>
      </w:r>
      <w:r w:rsidR="004E6287">
        <w:rPr>
          <w:rStyle w:val="Strong"/>
          <w:rFonts w:cs="Arial"/>
          <w:b w:val="0"/>
          <w:bCs w:val="0"/>
        </w:rPr>
        <w:t xml:space="preserve">NZ </w:t>
      </w:r>
      <w:r>
        <w:rPr>
          <w:rStyle w:val="Strong"/>
          <w:rFonts w:cs="Arial"/>
          <w:b w:val="0"/>
          <w:bCs w:val="0"/>
        </w:rPr>
        <w:t xml:space="preserve">ETS under stock change accounting, which allows </w:t>
      </w:r>
      <w:r w:rsidR="008E00E1">
        <w:rPr>
          <w:rStyle w:val="Strong"/>
          <w:rFonts w:cs="Arial"/>
          <w:b w:val="0"/>
          <w:bCs w:val="0"/>
        </w:rPr>
        <w:t>an income to be earned from carbon.</w:t>
      </w:r>
    </w:p>
    <w:p w14:paraId="5F1DD8F8" w14:textId="1CA1C81F" w:rsidR="008E00E1" w:rsidRDefault="00FD7547" w:rsidP="002815E0">
      <w:pPr>
        <w:pStyle w:val="ListParagraph"/>
        <w:numPr>
          <w:ilvl w:val="0"/>
          <w:numId w:val="10"/>
        </w:numPr>
        <w:rPr>
          <w:rStyle w:val="Strong"/>
          <w:rFonts w:cs="Arial"/>
          <w:b w:val="0"/>
          <w:bCs w:val="0"/>
        </w:rPr>
      </w:pPr>
      <w:r>
        <w:rPr>
          <w:rStyle w:val="Strong"/>
          <w:rFonts w:cs="Arial"/>
          <w:b w:val="0"/>
          <w:bCs w:val="0"/>
        </w:rPr>
        <w:lastRenderedPageBreak/>
        <w:t xml:space="preserve">Forests established for non-timber values, such as </w:t>
      </w:r>
      <w:r w:rsidR="008E00E1">
        <w:rPr>
          <w:rStyle w:val="Strong"/>
          <w:rFonts w:cs="Arial"/>
          <w:b w:val="0"/>
          <w:bCs w:val="0"/>
        </w:rPr>
        <w:t>a multi</w:t>
      </w:r>
      <w:r w:rsidR="005C69E6">
        <w:rPr>
          <w:rStyle w:val="Strong"/>
          <w:rFonts w:cs="Arial"/>
          <w:b w:val="0"/>
          <w:bCs w:val="0"/>
        </w:rPr>
        <w:t>ple</w:t>
      </w:r>
      <w:r w:rsidR="008E00E1">
        <w:rPr>
          <w:rStyle w:val="Strong"/>
          <w:rFonts w:cs="Arial"/>
          <w:b w:val="0"/>
          <w:bCs w:val="0"/>
        </w:rPr>
        <w:t>-species arboretum.</w:t>
      </w:r>
    </w:p>
    <w:p w14:paraId="1EAC0B6D" w14:textId="77777777" w:rsidR="00224ADA" w:rsidRDefault="008E00E1" w:rsidP="002815E0">
      <w:pPr>
        <w:pStyle w:val="ListParagraph"/>
        <w:numPr>
          <w:ilvl w:val="0"/>
          <w:numId w:val="10"/>
        </w:numPr>
        <w:rPr>
          <w:rStyle w:val="Strong"/>
          <w:rFonts w:cs="Arial"/>
          <w:b w:val="0"/>
          <w:bCs w:val="0"/>
        </w:rPr>
      </w:pPr>
      <w:r>
        <w:rPr>
          <w:rStyle w:val="Strong"/>
          <w:rFonts w:cs="Arial"/>
          <w:b w:val="0"/>
          <w:bCs w:val="0"/>
        </w:rPr>
        <w:t>Exotic forests established as a nurse crop for</w:t>
      </w:r>
      <w:r w:rsidR="00224ADA">
        <w:rPr>
          <w:rStyle w:val="Strong"/>
          <w:rFonts w:cs="Arial"/>
          <w:b w:val="0"/>
          <w:bCs w:val="0"/>
        </w:rPr>
        <w:t xml:space="preserve"> native forest restoration.</w:t>
      </w:r>
    </w:p>
    <w:p w14:paraId="09F55E14" w14:textId="7374F8B3" w:rsidR="008E00E1" w:rsidRPr="00595871" w:rsidRDefault="00224ADA" w:rsidP="002815E0">
      <w:pPr>
        <w:pStyle w:val="ListParagraph"/>
        <w:numPr>
          <w:ilvl w:val="0"/>
          <w:numId w:val="10"/>
        </w:numPr>
        <w:rPr>
          <w:rStyle w:val="Strong"/>
          <w:rFonts w:cs="Arial"/>
          <w:b w:val="0"/>
          <w:bCs w:val="0"/>
        </w:rPr>
      </w:pPr>
      <w:r>
        <w:rPr>
          <w:rStyle w:val="Strong"/>
          <w:rFonts w:cs="Arial"/>
          <w:b w:val="0"/>
          <w:bCs w:val="0"/>
        </w:rPr>
        <w:t>Planted forests</w:t>
      </w:r>
      <w:r w:rsidR="0074290E">
        <w:rPr>
          <w:rStyle w:val="Strong"/>
          <w:rFonts w:cs="Arial"/>
          <w:b w:val="0"/>
          <w:bCs w:val="0"/>
        </w:rPr>
        <w:t xml:space="preserve"> that are not considered economic to harvest, because of the low</w:t>
      </w:r>
      <w:r w:rsidR="00550B42">
        <w:rPr>
          <w:rStyle w:val="Strong"/>
          <w:rFonts w:cs="Arial"/>
          <w:b w:val="0"/>
          <w:bCs w:val="0"/>
        </w:rPr>
        <w:t xml:space="preserve"> potential revenue (e.g. stands with poor stocking, malformed trees, </w:t>
      </w:r>
      <w:r w:rsidR="00371F84">
        <w:rPr>
          <w:rStyle w:val="Strong"/>
          <w:rFonts w:cs="Arial"/>
          <w:b w:val="0"/>
          <w:bCs w:val="0"/>
        </w:rPr>
        <w:t>or unmarketable species)</w:t>
      </w:r>
      <w:r w:rsidR="008E00E1">
        <w:rPr>
          <w:rStyle w:val="Strong"/>
          <w:rFonts w:cs="Arial"/>
          <w:b w:val="0"/>
          <w:bCs w:val="0"/>
        </w:rPr>
        <w:t xml:space="preserve"> </w:t>
      </w:r>
      <w:r w:rsidR="00371F84">
        <w:rPr>
          <w:rStyle w:val="Strong"/>
          <w:rFonts w:cs="Arial"/>
          <w:b w:val="0"/>
          <w:bCs w:val="0"/>
        </w:rPr>
        <w:t xml:space="preserve">or high cost of </w:t>
      </w:r>
      <w:r w:rsidR="0080293B">
        <w:rPr>
          <w:rStyle w:val="Strong"/>
          <w:rFonts w:cs="Arial"/>
          <w:b w:val="0"/>
          <w:bCs w:val="0"/>
        </w:rPr>
        <w:t>extraction (e.g. steep</w:t>
      </w:r>
      <w:r w:rsidR="00045A33">
        <w:rPr>
          <w:rStyle w:val="Strong"/>
          <w:rFonts w:cs="Arial"/>
          <w:b w:val="0"/>
          <w:bCs w:val="0"/>
        </w:rPr>
        <w:t xml:space="preserve"> and/or</w:t>
      </w:r>
      <w:r w:rsidR="0080293B">
        <w:rPr>
          <w:rStyle w:val="Strong"/>
          <w:rFonts w:cs="Arial"/>
          <w:b w:val="0"/>
          <w:bCs w:val="0"/>
        </w:rPr>
        <w:t xml:space="preserve"> remote sites, </w:t>
      </w:r>
      <w:r w:rsidR="0067487B">
        <w:rPr>
          <w:rStyle w:val="Strong"/>
          <w:rFonts w:cs="Arial"/>
          <w:b w:val="0"/>
          <w:bCs w:val="0"/>
        </w:rPr>
        <w:t xml:space="preserve">or forests on </w:t>
      </w:r>
      <w:r w:rsidR="0080293B">
        <w:rPr>
          <w:rStyle w:val="Strong"/>
          <w:rFonts w:cs="Arial"/>
          <w:b w:val="0"/>
          <w:bCs w:val="0"/>
        </w:rPr>
        <w:t>fragile soils</w:t>
      </w:r>
      <w:r w:rsidR="00225E7E">
        <w:rPr>
          <w:rStyle w:val="Strong"/>
          <w:rFonts w:cs="Arial"/>
          <w:b w:val="0"/>
          <w:bCs w:val="0"/>
        </w:rPr>
        <w:t xml:space="preserve"> where the risks of environmental damage are too high).</w:t>
      </w:r>
    </w:p>
    <w:p w14:paraId="4F58D1E9" w14:textId="77777777" w:rsidR="003307AB" w:rsidRDefault="003307AB" w:rsidP="001B60C7">
      <w:pPr>
        <w:rPr>
          <w:rStyle w:val="Strong"/>
          <w:rFonts w:cs="Arial"/>
          <w:b w:val="0"/>
          <w:bCs w:val="0"/>
        </w:rPr>
      </w:pPr>
    </w:p>
    <w:p w14:paraId="5BDF9746" w14:textId="6C90E1C6" w:rsidR="001B60C7" w:rsidRPr="00455A18" w:rsidRDefault="003307AB" w:rsidP="001B60C7">
      <w:pPr>
        <w:rPr>
          <w:rStyle w:val="Strong"/>
          <w:rFonts w:cs="Arial"/>
          <w:b w:val="0"/>
          <w:bCs w:val="0"/>
        </w:rPr>
      </w:pPr>
      <w:r>
        <w:rPr>
          <w:rStyle w:val="Strong"/>
          <w:rFonts w:cs="Arial"/>
          <w:b w:val="0"/>
          <w:bCs w:val="0"/>
        </w:rPr>
        <w:t xml:space="preserve">Collectively these may be referred to as </w:t>
      </w:r>
      <w:r w:rsidRPr="002277E5">
        <w:rPr>
          <w:rStyle w:val="Strong"/>
          <w:rFonts w:cs="Arial"/>
          <w:b w:val="0"/>
          <w:bCs w:val="0"/>
          <w:i/>
          <w:iCs/>
        </w:rPr>
        <w:t>permanent forests</w:t>
      </w:r>
      <w:r w:rsidR="00C65764">
        <w:rPr>
          <w:rStyle w:val="Strong"/>
          <w:rFonts w:cs="Arial"/>
          <w:b w:val="0"/>
          <w:bCs w:val="0"/>
        </w:rPr>
        <w:t>, and calculation of their LTA stock requires a different approach</w:t>
      </w:r>
      <w:r>
        <w:rPr>
          <w:rStyle w:val="Strong"/>
          <w:rFonts w:cs="Arial"/>
          <w:b w:val="0"/>
          <w:bCs w:val="0"/>
        </w:rPr>
        <w:t>.</w:t>
      </w:r>
      <w:r w:rsidR="00462672">
        <w:rPr>
          <w:rStyle w:val="Strong"/>
          <w:rFonts w:cs="Arial"/>
          <w:b w:val="0"/>
          <w:bCs w:val="0"/>
        </w:rPr>
        <w:t xml:space="preserve"> </w:t>
      </w:r>
      <w:r w:rsidR="00C65764">
        <w:rPr>
          <w:rStyle w:val="Strong"/>
          <w:rFonts w:cs="Arial"/>
          <w:b w:val="0"/>
          <w:bCs w:val="0"/>
        </w:rPr>
        <w:t>“Permanent Forest”</w:t>
      </w:r>
      <w:r w:rsidR="001B60C7" w:rsidRPr="00455A18">
        <w:rPr>
          <w:rStyle w:val="Strong"/>
          <w:rFonts w:cs="Arial"/>
          <w:b w:val="0"/>
          <w:bCs w:val="0"/>
        </w:rPr>
        <w:t xml:space="preserve"> is not a standard forestry term and is not used by </w:t>
      </w:r>
      <w:r w:rsidR="001B60C7">
        <w:rPr>
          <w:rStyle w:val="Strong"/>
          <w:rFonts w:cs="Arial"/>
          <w:b w:val="0"/>
          <w:bCs w:val="0"/>
        </w:rPr>
        <w:t xml:space="preserve">the </w:t>
      </w:r>
      <w:r w:rsidR="001B60C7" w:rsidRPr="00455A18">
        <w:rPr>
          <w:rStyle w:val="Strong"/>
          <w:rFonts w:cs="Arial"/>
          <w:b w:val="0"/>
          <w:bCs w:val="0"/>
        </w:rPr>
        <w:t>IPCC</w:t>
      </w:r>
      <w:r w:rsidR="001B60C7">
        <w:rPr>
          <w:rStyle w:val="Strong"/>
          <w:rFonts w:cs="Arial"/>
          <w:b w:val="0"/>
          <w:bCs w:val="0"/>
        </w:rPr>
        <w:t xml:space="preserve"> – their methodologies recognise that forests cannot be guaranteed to be permanent</w:t>
      </w:r>
      <w:r w:rsidR="001B60C7" w:rsidRPr="00455A18">
        <w:rPr>
          <w:rStyle w:val="Strong"/>
          <w:rFonts w:cs="Arial"/>
          <w:b w:val="0"/>
          <w:bCs w:val="0"/>
        </w:rPr>
        <w:t xml:space="preserve">. It came into use in New Zealand forestry through the </w:t>
      </w:r>
      <w:r w:rsidR="001C3248">
        <w:rPr>
          <w:rStyle w:val="Strong"/>
          <w:rFonts w:cs="Arial"/>
          <w:b w:val="0"/>
          <w:bCs w:val="0"/>
        </w:rPr>
        <w:t>Permanent Forest Sink Initiative (P</w:t>
      </w:r>
      <w:r w:rsidR="001B60C7" w:rsidRPr="00F87F42">
        <w:rPr>
          <w:rStyle w:val="Strong"/>
          <w:rFonts w:cs="Arial"/>
          <w:b w:val="0"/>
          <w:bCs w:val="0"/>
        </w:rPr>
        <w:t>SFI</w:t>
      </w:r>
      <w:r w:rsidR="001C3248">
        <w:rPr>
          <w:rStyle w:val="Strong"/>
          <w:rFonts w:cs="Arial"/>
          <w:b w:val="0"/>
          <w:bCs w:val="0"/>
        </w:rPr>
        <w:t>)</w:t>
      </w:r>
      <w:r w:rsidR="001B60C7" w:rsidRPr="00455A18">
        <w:rPr>
          <w:rStyle w:val="Strong"/>
          <w:rFonts w:cs="Arial"/>
          <w:b w:val="0"/>
          <w:bCs w:val="0"/>
        </w:rPr>
        <w:t xml:space="preserve">, through which grants were available to establish new forests with covenants </w:t>
      </w:r>
      <w:r w:rsidR="001B60C7">
        <w:rPr>
          <w:rStyle w:val="Strong"/>
          <w:rFonts w:cs="Arial"/>
          <w:b w:val="0"/>
          <w:bCs w:val="0"/>
        </w:rPr>
        <w:t xml:space="preserve">placed on the land that </w:t>
      </w:r>
      <w:r w:rsidR="001B60C7" w:rsidRPr="00455A18">
        <w:rPr>
          <w:rStyle w:val="Strong"/>
          <w:rFonts w:cs="Arial"/>
          <w:b w:val="0"/>
          <w:bCs w:val="0"/>
        </w:rPr>
        <w:t xml:space="preserve">restrict </w:t>
      </w:r>
      <w:r w:rsidR="001B60C7">
        <w:rPr>
          <w:rStyle w:val="Strong"/>
          <w:rFonts w:cs="Arial"/>
          <w:b w:val="0"/>
          <w:bCs w:val="0"/>
        </w:rPr>
        <w:t xml:space="preserve">(but do not forbid) </w:t>
      </w:r>
      <w:r w:rsidR="001B60C7" w:rsidRPr="00455A18">
        <w:rPr>
          <w:rStyle w:val="Strong"/>
          <w:rFonts w:cs="Arial"/>
          <w:b w:val="0"/>
          <w:bCs w:val="0"/>
        </w:rPr>
        <w:t xml:space="preserve">harvesting. </w:t>
      </w:r>
    </w:p>
    <w:p w14:paraId="2BBB3771" w14:textId="77777777" w:rsidR="001B60C7" w:rsidRDefault="001B60C7" w:rsidP="001B60C7">
      <w:pPr>
        <w:rPr>
          <w:rStyle w:val="Strong"/>
          <w:rFonts w:cs="Arial"/>
          <w:b w:val="0"/>
          <w:bCs w:val="0"/>
        </w:rPr>
      </w:pPr>
    </w:p>
    <w:p w14:paraId="6484D5CA" w14:textId="5564E38E" w:rsidR="008572A3" w:rsidRPr="00284613" w:rsidRDefault="008572A3" w:rsidP="001B60C7">
      <w:pPr>
        <w:rPr>
          <w:rStyle w:val="Strong"/>
          <w:rFonts w:cs="Arial"/>
          <w:b w:val="0"/>
          <w:bCs w:val="0"/>
          <w:i/>
          <w:iCs/>
        </w:rPr>
      </w:pPr>
      <w:r w:rsidRPr="00284613">
        <w:rPr>
          <w:rStyle w:val="Strong"/>
          <w:rFonts w:cs="Arial"/>
          <w:b w:val="0"/>
          <w:bCs w:val="0"/>
          <w:i/>
          <w:iCs/>
        </w:rPr>
        <w:t>ETS Permanent Forests</w:t>
      </w:r>
    </w:p>
    <w:p w14:paraId="7FAF2453" w14:textId="77777777" w:rsidR="00532DA0" w:rsidRPr="00455A18" w:rsidRDefault="00532DA0" w:rsidP="00532DA0">
      <w:pPr>
        <w:rPr>
          <w:rStyle w:val="Strong"/>
          <w:rFonts w:cs="Arial"/>
          <w:b w:val="0"/>
          <w:bCs w:val="0"/>
        </w:rPr>
      </w:pPr>
      <w:r w:rsidRPr="00455A18">
        <w:rPr>
          <w:rStyle w:val="Strong"/>
          <w:rFonts w:cs="Arial"/>
          <w:b w:val="0"/>
          <w:bCs w:val="0"/>
        </w:rPr>
        <w:t xml:space="preserve">From 1 January 2023 a new “Permanent Forest” category was created in the ETS. Forests in this category </w:t>
      </w:r>
      <w:r w:rsidRPr="00F87F42">
        <w:rPr>
          <w:rStyle w:val="Strong"/>
          <w:rFonts w:cs="Arial"/>
          <w:b w:val="0"/>
          <w:bCs w:val="0"/>
        </w:rPr>
        <w:t>earn New Zealand Units (NZUs) under</w:t>
      </w:r>
      <w:r w:rsidRPr="00455A18">
        <w:rPr>
          <w:rStyle w:val="Strong"/>
          <w:rFonts w:cs="Arial"/>
          <w:b w:val="0"/>
          <w:bCs w:val="0"/>
        </w:rPr>
        <w:t xml:space="preserve"> stock change accounting and must not be clearfelled for 50 years. Limited harvesting within that period is still allowed, as long as </w:t>
      </w:r>
      <w:r>
        <w:rPr>
          <w:rStyle w:val="Strong"/>
          <w:rFonts w:cs="Arial"/>
          <w:b w:val="0"/>
          <w:bCs w:val="0"/>
        </w:rPr>
        <w:t xml:space="preserve">at least </w:t>
      </w:r>
      <w:r w:rsidRPr="00455A18">
        <w:rPr>
          <w:rStyle w:val="Strong"/>
          <w:rFonts w:cs="Arial"/>
          <w:b w:val="0"/>
          <w:bCs w:val="0"/>
        </w:rPr>
        <w:t>30% canopy cover remains in each hectare of forest.</w:t>
      </w:r>
    </w:p>
    <w:p w14:paraId="7D117B49" w14:textId="77777777" w:rsidR="00532DA0" w:rsidRPr="00455A18" w:rsidRDefault="00532DA0" w:rsidP="00532DA0">
      <w:pPr>
        <w:rPr>
          <w:rStyle w:val="Strong"/>
          <w:rFonts w:cs="Arial"/>
          <w:b w:val="0"/>
          <w:bCs w:val="0"/>
        </w:rPr>
      </w:pPr>
    </w:p>
    <w:p w14:paraId="22B39888" w14:textId="77777777" w:rsidR="00532DA0" w:rsidRPr="00455A18" w:rsidRDefault="00532DA0" w:rsidP="00532DA0">
      <w:pPr>
        <w:rPr>
          <w:rStyle w:val="Strong"/>
          <w:rFonts w:cs="Arial"/>
          <w:b w:val="0"/>
          <w:bCs w:val="0"/>
        </w:rPr>
      </w:pPr>
      <w:r w:rsidRPr="00455A18">
        <w:rPr>
          <w:rStyle w:val="Strong"/>
          <w:rFonts w:cs="Arial"/>
          <w:b w:val="0"/>
          <w:bCs w:val="0"/>
        </w:rPr>
        <w:t>After 50 years there are three options:</w:t>
      </w:r>
    </w:p>
    <w:p w14:paraId="5EEF5A5E" w14:textId="77777777" w:rsidR="00532DA0" w:rsidRPr="00455A18" w:rsidRDefault="00532DA0" w:rsidP="002815E0">
      <w:pPr>
        <w:pStyle w:val="ListParagraph"/>
        <w:numPr>
          <w:ilvl w:val="0"/>
          <w:numId w:val="2"/>
        </w:numPr>
        <w:contextualSpacing w:val="0"/>
        <w:rPr>
          <w:rStyle w:val="Strong"/>
          <w:rFonts w:cs="Arial"/>
          <w:b w:val="0"/>
          <w:bCs w:val="0"/>
        </w:rPr>
      </w:pPr>
      <w:r w:rsidRPr="00455A18">
        <w:rPr>
          <w:rStyle w:val="Strong"/>
          <w:rFonts w:cs="Arial"/>
          <w:b w:val="0"/>
          <w:bCs w:val="0"/>
        </w:rPr>
        <w:t>Remain under the Permanent Forest category for another 25 years, then choose between the three options again.</w:t>
      </w:r>
    </w:p>
    <w:p w14:paraId="1F6AB47F" w14:textId="77777777" w:rsidR="00532DA0" w:rsidRPr="00455A18" w:rsidRDefault="00532DA0" w:rsidP="002815E0">
      <w:pPr>
        <w:pStyle w:val="ListParagraph"/>
        <w:numPr>
          <w:ilvl w:val="0"/>
          <w:numId w:val="2"/>
        </w:numPr>
        <w:contextualSpacing w:val="0"/>
        <w:rPr>
          <w:rStyle w:val="Strong"/>
          <w:rFonts w:cs="Arial"/>
          <w:b w:val="0"/>
          <w:bCs w:val="0"/>
        </w:rPr>
      </w:pPr>
      <w:r w:rsidRPr="00455A18">
        <w:rPr>
          <w:rStyle w:val="Strong"/>
          <w:rFonts w:cs="Arial"/>
          <w:b w:val="0"/>
          <w:bCs w:val="0"/>
        </w:rPr>
        <w:t>Move the forest to the “Standard Forest” category, under averaging accounting. This would likely mean repaying NZUs previously earned above the long-term average stock under stock change accounting.</w:t>
      </w:r>
    </w:p>
    <w:p w14:paraId="5B9B38A3" w14:textId="77777777" w:rsidR="00532DA0" w:rsidRPr="00455A18" w:rsidRDefault="00532DA0" w:rsidP="002815E0">
      <w:pPr>
        <w:pStyle w:val="ListParagraph"/>
        <w:numPr>
          <w:ilvl w:val="0"/>
          <w:numId w:val="2"/>
        </w:numPr>
        <w:contextualSpacing w:val="0"/>
        <w:rPr>
          <w:rStyle w:val="Strong"/>
          <w:rFonts w:cs="Arial"/>
          <w:b w:val="0"/>
          <w:bCs w:val="0"/>
        </w:rPr>
      </w:pPr>
      <w:r w:rsidRPr="00455A18">
        <w:rPr>
          <w:rStyle w:val="Strong"/>
          <w:rFonts w:cs="Arial"/>
          <w:b w:val="0"/>
          <w:bCs w:val="0"/>
        </w:rPr>
        <w:t>Remove the land from the ETS, repaying the net balance of NZUs earned.</w:t>
      </w:r>
    </w:p>
    <w:p w14:paraId="6CD8B082" w14:textId="77777777" w:rsidR="00532DA0" w:rsidRPr="00455A18" w:rsidRDefault="00532DA0" w:rsidP="00532DA0">
      <w:pPr>
        <w:rPr>
          <w:rStyle w:val="Strong"/>
          <w:rFonts w:cs="Arial"/>
          <w:b w:val="0"/>
          <w:bCs w:val="0"/>
        </w:rPr>
      </w:pPr>
    </w:p>
    <w:p w14:paraId="4FF86FA0" w14:textId="77777777" w:rsidR="00532DA0" w:rsidRPr="00455A18" w:rsidRDefault="00532DA0" w:rsidP="00532DA0">
      <w:pPr>
        <w:rPr>
          <w:rStyle w:val="Strong"/>
          <w:rFonts w:cs="Arial"/>
          <w:b w:val="0"/>
          <w:bCs w:val="0"/>
        </w:rPr>
      </w:pPr>
      <w:r w:rsidRPr="00455A18">
        <w:rPr>
          <w:rStyle w:val="Strong"/>
          <w:rFonts w:cs="Arial"/>
          <w:b w:val="0"/>
          <w:bCs w:val="0"/>
        </w:rPr>
        <w:t>Land established earlier under the PFSI can be:</w:t>
      </w:r>
    </w:p>
    <w:p w14:paraId="08DF2578" w14:textId="77777777" w:rsidR="00532DA0" w:rsidRPr="00455A18" w:rsidRDefault="00532DA0" w:rsidP="002815E0">
      <w:pPr>
        <w:pStyle w:val="ListParagraph"/>
        <w:numPr>
          <w:ilvl w:val="0"/>
          <w:numId w:val="3"/>
        </w:numPr>
        <w:contextualSpacing w:val="0"/>
        <w:rPr>
          <w:rStyle w:val="Strong"/>
          <w:rFonts w:cs="Arial"/>
          <w:b w:val="0"/>
          <w:bCs w:val="0"/>
        </w:rPr>
      </w:pPr>
      <w:r w:rsidRPr="00455A18">
        <w:rPr>
          <w:rStyle w:val="Strong"/>
          <w:rFonts w:cs="Arial"/>
          <w:b w:val="0"/>
          <w:bCs w:val="0"/>
        </w:rPr>
        <w:t>Moved into the ETS Permanent Forest category.</w:t>
      </w:r>
    </w:p>
    <w:p w14:paraId="73AD25FC" w14:textId="77777777" w:rsidR="00532DA0" w:rsidRPr="00455A18" w:rsidRDefault="00532DA0" w:rsidP="002815E0">
      <w:pPr>
        <w:pStyle w:val="ListParagraph"/>
        <w:numPr>
          <w:ilvl w:val="0"/>
          <w:numId w:val="3"/>
        </w:numPr>
        <w:contextualSpacing w:val="0"/>
        <w:rPr>
          <w:rStyle w:val="Strong"/>
          <w:rFonts w:cs="Arial"/>
          <w:b w:val="0"/>
          <w:bCs w:val="0"/>
        </w:rPr>
      </w:pPr>
      <w:r w:rsidRPr="00455A18">
        <w:rPr>
          <w:rStyle w:val="Strong"/>
          <w:rFonts w:cs="Arial"/>
          <w:b w:val="0"/>
          <w:bCs w:val="0"/>
        </w:rPr>
        <w:t>Moved into the ETS Standard Forest category</w:t>
      </w:r>
    </w:p>
    <w:p w14:paraId="549739FE" w14:textId="77777777" w:rsidR="00532DA0" w:rsidRPr="00455A18" w:rsidRDefault="00532DA0" w:rsidP="002815E0">
      <w:pPr>
        <w:pStyle w:val="ListParagraph"/>
        <w:numPr>
          <w:ilvl w:val="0"/>
          <w:numId w:val="3"/>
        </w:numPr>
        <w:contextualSpacing w:val="0"/>
        <w:rPr>
          <w:rStyle w:val="Strong"/>
          <w:rFonts w:cs="Arial"/>
          <w:b w:val="0"/>
          <w:bCs w:val="0"/>
        </w:rPr>
      </w:pPr>
      <w:r w:rsidRPr="00455A18">
        <w:rPr>
          <w:rStyle w:val="Strong"/>
          <w:rFonts w:cs="Arial"/>
          <w:b w:val="0"/>
          <w:bCs w:val="0"/>
        </w:rPr>
        <w:t>Withdrawn from the PFSI, surrendering NZUs earned.</w:t>
      </w:r>
    </w:p>
    <w:p w14:paraId="4898B272" w14:textId="77777777" w:rsidR="00532DA0" w:rsidRPr="00455A18" w:rsidRDefault="00532DA0" w:rsidP="00532DA0">
      <w:pPr>
        <w:rPr>
          <w:rStyle w:val="Strong"/>
          <w:rFonts w:cs="Arial"/>
          <w:b w:val="0"/>
          <w:bCs w:val="0"/>
        </w:rPr>
      </w:pPr>
    </w:p>
    <w:p w14:paraId="25028BD8" w14:textId="655AE7D2" w:rsidR="00532DA0" w:rsidRPr="00455A18" w:rsidRDefault="00532DA0" w:rsidP="00532DA0">
      <w:pPr>
        <w:rPr>
          <w:rStyle w:val="Strong"/>
          <w:rFonts w:cs="Arial"/>
          <w:b w:val="0"/>
          <w:bCs w:val="0"/>
        </w:rPr>
      </w:pPr>
      <w:r w:rsidRPr="00455A18">
        <w:rPr>
          <w:rStyle w:val="Strong"/>
          <w:rFonts w:cs="Arial"/>
          <w:b w:val="0"/>
          <w:bCs w:val="0"/>
        </w:rPr>
        <w:t xml:space="preserve">Land originally registered as standard forest in the ETS can later be transferred to </w:t>
      </w:r>
      <w:r>
        <w:rPr>
          <w:rStyle w:val="Strong"/>
          <w:rFonts w:cs="Arial"/>
          <w:b w:val="0"/>
          <w:bCs w:val="0"/>
        </w:rPr>
        <w:t>P</w:t>
      </w:r>
      <w:r w:rsidRPr="00455A18">
        <w:rPr>
          <w:rStyle w:val="Strong"/>
          <w:rFonts w:cs="Arial"/>
          <w:b w:val="0"/>
          <w:bCs w:val="0"/>
        </w:rPr>
        <w:t xml:space="preserve">ermanent </w:t>
      </w:r>
      <w:r>
        <w:rPr>
          <w:rStyle w:val="Strong"/>
          <w:rFonts w:cs="Arial"/>
          <w:b w:val="0"/>
          <w:bCs w:val="0"/>
        </w:rPr>
        <w:t>f</w:t>
      </w:r>
      <w:r w:rsidRPr="00455A18">
        <w:rPr>
          <w:rStyle w:val="Strong"/>
          <w:rFonts w:cs="Arial"/>
          <w:b w:val="0"/>
          <w:bCs w:val="0"/>
        </w:rPr>
        <w:t xml:space="preserve">orest. </w:t>
      </w:r>
      <w:r>
        <w:rPr>
          <w:rStyle w:val="Strong"/>
          <w:rFonts w:cs="Arial"/>
          <w:b w:val="0"/>
          <w:bCs w:val="0"/>
        </w:rPr>
        <w:t>However, forests registered in the ETS before 2023 can remain as standard forests under stock change accounting</w:t>
      </w:r>
      <w:r w:rsidRPr="007E0FA9">
        <w:rPr>
          <w:rStyle w:val="Strong"/>
          <w:rFonts w:cs="Arial"/>
          <w:b w:val="0"/>
          <w:bCs w:val="0"/>
        </w:rPr>
        <w:t>.</w:t>
      </w:r>
    </w:p>
    <w:p w14:paraId="6DBB9B6F" w14:textId="77777777" w:rsidR="00532DA0" w:rsidRPr="00455A18" w:rsidRDefault="00532DA0" w:rsidP="00532DA0">
      <w:pPr>
        <w:rPr>
          <w:rStyle w:val="Strong"/>
          <w:rFonts w:cs="Arial"/>
          <w:b w:val="0"/>
          <w:bCs w:val="0"/>
        </w:rPr>
      </w:pPr>
    </w:p>
    <w:p w14:paraId="37871518" w14:textId="75E25FBF" w:rsidR="001B60C7" w:rsidRDefault="003F581B" w:rsidP="001B60C7">
      <w:pPr>
        <w:rPr>
          <w:lang w:val="en-NZ"/>
        </w:rPr>
      </w:pPr>
      <w:r>
        <w:rPr>
          <w:lang w:val="en-NZ"/>
        </w:rPr>
        <w:t xml:space="preserve">The current area in the ETS Permanent forest category has not yet been published. </w:t>
      </w:r>
      <w:r w:rsidR="00532DA0" w:rsidRPr="2744EF10">
        <w:rPr>
          <w:lang w:val="en-NZ"/>
        </w:rPr>
        <w:t>Forests registered as ETS Permanent Forests can be assumed to be managed on at least a fifty-year rotation, but forests outside th</w:t>
      </w:r>
      <w:r w:rsidR="00C16B48">
        <w:rPr>
          <w:lang w:val="en-NZ"/>
        </w:rPr>
        <w:t>is</w:t>
      </w:r>
      <w:r w:rsidR="00532DA0" w:rsidRPr="2744EF10">
        <w:rPr>
          <w:lang w:val="en-NZ"/>
        </w:rPr>
        <w:t xml:space="preserve"> ETS </w:t>
      </w:r>
      <w:r w:rsidR="00C16B48">
        <w:rPr>
          <w:lang w:val="en-NZ"/>
        </w:rPr>
        <w:t xml:space="preserve">class </w:t>
      </w:r>
      <w:r w:rsidR="00532DA0" w:rsidRPr="2744EF10">
        <w:rPr>
          <w:lang w:val="en-NZ"/>
        </w:rPr>
        <w:t xml:space="preserve">could </w:t>
      </w:r>
      <w:r w:rsidR="00284613">
        <w:rPr>
          <w:lang w:val="en-NZ"/>
        </w:rPr>
        <w:t xml:space="preserve">also </w:t>
      </w:r>
      <w:r w:rsidR="00532DA0" w:rsidRPr="2744EF10">
        <w:rPr>
          <w:lang w:val="en-NZ"/>
        </w:rPr>
        <w:t xml:space="preserve">be managed </w:t>
      </w:r>
      <w:r w:rsidR="00532DA0">
        <w:rPr>
          <w:lang w:val="en-NZ"/>
        </w:rPr>
        <w:t>with</w:t>
      </w:r>
      <w:r w:rsidR="00532DA0" w:rsidRPr="2744EF10">
        <w:rPr>
          <w:lang w:val="en-NZ"/>
        </w:rPr>
        <w:t xml:space="preserve"> clearfell</w:t>
      </w:r>
      <w:r w:rsidR="00532DA0">
        <w:rPr>
          <w:lang w:val="en-NZ"/>
        </w:rPr>
        <w:t>ing and</w:t>
      </w:r>
      <w:r w:rsidR="00532DA0" w:rsidRPr="2744EF10">
        <w:rPr>
          <w:lang w:val="en-NZ"/>
        </w:rPr>
        <w:t xml:space="preserve"> </w:t>
      </w:r>
      <w:r w:rsidR="00532DA0">
        <w:rPr>
          <w:lang w:val="en-NZ"/>
        </w:rPr>
        <w:t xml:space="preserve">similarly </w:t>
      </w:r>
      <w:r w:rsidR="00532DA0" w:rsidRPr="2744EF10">
        <w:rPr>
          <w:lang w:val="en-NZ"/>
        </w:rPr>
        <w:t xml:space="preserve">long rotations or </w:t>
      </w:r>
      <w:r w:rsidR="00532DA0">
        <w:rPr>
          <w:lang w:val="en-NZ"/>
        </w:rPr>
        <w:t xml:space="preserve">under </w:t>
      </w:r>
      <w:r w:rsidR="00532DA0" w:rsidRPr="2744EF10">
        <w:rPr>
          <w:lang w:val="en-NZ"/>
        </w:rPr>
        <w:t xml:space="preserve">various types of continuous cover forestry, including a managed transition to native forest. The timing and intensity of thinning operations will affect the long-term average carbon stock, but the impact on carbon stocks is not well understood </w:t>
      </w:r>
      <w:r w:rsidR="00532DA0">
        <w:rPr>
          <w:lang w:val="en-NZ"/>
        </w:rPr>
        <w:t>in</w:t>
      </w:r>
      <w:r w:rsidR="00532DA0" w:rsidRPr="2744EF10">
        <w:rPr>
          <w:lang w:val="en-NZ"/>
        </w:rPr>
        <w:t xml:space="preserve"> New Zealand </w:t>
      </w:r>
      <w:r w:rsidR="00532DA0">
        <w:rPr>
          <w:lang w:val="en-NZ"/>
        </w:rPr>
        <w:t xml:space="preserve">for </w:t>
      </w:r>
      <w:r w:rsidR="00532DA0" w:rsidRPr="2744EF10">
        <w:rPr>
          <w:lang w:val="en-NZ"/>
        </w:rPr>
        <w:t xml:space="preserve">these new types of management. </w:t>
      </w:r>
    </w:p>
    <w:p w14:paraId="641DFF6F" w14:textId="77777777" w:rsidR="00C930B9" w:rsidRDefault="00C930B9" w:rsidP="001B60C7">
      <w:pPr>
        <w:rPr>
          <w:rStyle w:val="Strong"/>
          <w:rFonts w:cs="Arial"/>
          <w:b w:val="0"/>
          <w:bCs w:val="0"/>
        </w:rPr>
      </w:pPr>
    </w:p>
    <w:p w14:paraId="3B6284C8" w14:textId="40064D52" w:rsidR="004457A3" w:rsidRDefault="004457A3" w:rsidP="001B60C7">
      <w:pPr>
        <w:rPr>
          <w:rStyle w:val="Strong"/>
          <w:rFonts w:cs="Arial"/>
          <w:b w:val="0"/>
          <w:bCs w:val="0"/>
          <w:i/>
          <w:iCs/>
        </w:rPr>
      </w:pPr>
      <w:r w:rsidRPr="001C4564">
        <w:rPr>
          <w:rStyle w:val="Strong"/>
          <w:rFonts w:cs="Arial"/>
          <w:b w:val="0"/>
          <w:bCs w:val="0"/>
          <w:i/>
          <w:iCs/>
        </w:rPr>
        <w:t>Exotic forest to native forest</w:t>
      </w:r>
      <w:r w:rsidR="001C4564" w:rsidRPr="001C4564">
        <w:rPr>
          <w:rStyle w:val="Strong"/>
          <w:rFonts w:cs="Arial"/>
          <w:b w:val="0"/>
          <w:bCs w:val="0"/>
          <w:i/>
          <w:iCs/>
        </w:rPr>
        <w:t xml:space="preserve"> transitions</w:t>
      </w:r>
    </w:p>
    <w:p w14:paraId="0A1982A2" w14:textId="5318234F" w:rsidR="001C4564" w:rsidRDefault="001C4564" w:rsidP="001B60C7">
      <w:pPr>
        <w:rPr>
          <w:rStyle w:val="Strong"/>
          <w:rFonts w:cs="Arial"/>
          <w:b w:val="0"/>
          <w:bCs w:val="0"/>
        </w:rPr>
      </w:pPr>
      <w:r>
        <w:rPr>
          <w:rStyle w:val="Strong"/>
          <w:rFonts w:cs="Arial"/>
          <w:b w:val="0"/>
          <w:bCs w:val="0"/>
        </w:rPr>
        <w:t>Some exotic forests have been planted to act as the nurse crop that</w:t>
      </w:r>
      <w:r w:rsidR="00B03CF1">
        <w:rPr>
          <w:rStyle w:val="Strong"/>
          <w:rFonts w:cs="Arial"/>
          <w:b w:val="0"/>
          <w:bCs w:val="0"/>
        </w:rPr>
        <w:t xml:space="preserve"> </w:t>
      </w:r>
      <w:r>
        <w:rPr>
          <w:rStyle w:val="Strong"/>
          <w:rFonts w:cs="Arial"/>
          <w:b w:val="0"/>
          <w:bCs w:val="0"/>
        </w:rPr>
        <w:t xml:space="preserve">allows the gradual establishment of a </w:t>
      </w:r>
      <w:r w:rsidR="00B03CF1">
        <w:rPr>
          <w:rStyle w:val="Strong"/>
          <w:rFonts w:cs="Arial"/>
          <w:b w:val="0"/>
          <w:bCs w:val="0"/>
        </w:rPr>
        <w:t xml:space="preserve">natural indigenous forest. This makes use of the cheaper and easier establishment of the nurse crop, faster sequestration rates allowing more </w:t>
      </w:r>
      <w:r w:rsidR="00997778">
        <w:rPr>
          <w:rStyle w:val="Strong"/>
          <w:rFonts w:cs="Arial"/>
          <w:b w:val="0"/>
          <w:bCs w:val="0"/>
        </w:rPr>
        <w:t>revenue from carbon, and potentially ongoing sequestration revenue from the replacement indigenous forest.</w:t>
      </w:r>
      <w:r w:rsidR="00125185">
        <w:rPr>
          <w:rStyle w:val="Strong"/>
          <w:rFonts w:cs="Arial"/>
          <w:b w:val="0"/>
          <w:bCs w:val="0"/>
        </w:rPr>
        <w:t xml:space="preserve"> One carbon forestry company has established over 60,000 ha</w:t>
      </w:r>
      <w:r w:rsidR="000B392B">
        <w:rPr>
          <w:rStyle w:val="Strong"/>
          <w:rFonts w:cs="Arial"/>
          <w:b w:val="0"/>
          <w:bCs w:val="0"/>
        </w:rPr>
        <w:t xml:space="preserve"> with a stated intention of actively managing the transition to indigenous forest.</w:t>
      </w:r>
    </w:p>
    <w:p w14:paraId="4BC781F5" w14:textId="77777777" w:rsidR="00FF3A11" w:rsidRDefault="00FF3A11" w:rsidP="001B60C7">
      <w:pPr>
        <w:rPr>
          <w:rStyle w:val="Strong"/>
          <w:rFonts w:cs="Arial"/>
          <w:b w:val="0"/>
          <w:bCs w:val="0"/>
        </w:rPr>
      </w:pPr>
    </w:p>
    <w:p w14:paraId="5EBADCCC" w14:textId="5875CA18" w:rsidR="00FF3A11" w:rsidRPr="001C4564" w:rsidRDefault="008A4179" w:rsidP="001B60C7">
      <w:pPr>
        <w:rPr>
          <w:rStyle w:val="Strong"/>
          <w:rFonts w:cs="Arial"/>
          <w:b w:val="0"/>
          <w:bCs w:val="0"/>
        </w:rPr>
      </w:pPr>
      <w:r>
        <w:rPr>
          <w:rStyle w:val="Strong"/>
          <w:rFonts w:cs="Arial"/>
          <w:b w:val="0"/>
          <w:bCs w:val="0"/>
        </w:rPr>
        <w:t xml:space="preserve">The impact on carbon stocks of this type of management is still uncertain. </w:t>
      </w:r>
      <w:r w:rsidR="0059145E">
        <w:rPr>
          <w:rStyle w:val="Strong"/>
          <w:rFonts w:cs="Arial"/>
          <w:b w:val="0"/>
          <w:bCs w:val="0"/>
        </w:rPr>
        <w:t>Creation of canopy gaps for native tree ingrowth, availability of seed source and control of browsing pests</w:t>
      </w:r>
      <w:r w:rsidR="00217DF7">
        <w:rPr>
          <w:rStyle w:val="Strong"/>
          <w:rFonts w:cs="Arial"/>
          <w:b w:val="0"/>
          <w:bCs w:val="0"/>
        </w:rPr>
        <w:t xml:space="preserve"> will be required.</w:t>
      </w:r>
      <w:r w:rsidR="00BF4271">
        <w:rPr>
          <w:rStyle w:val="Strong"/>
          <w:rFonts w:cs="Arial"/>
          <w:b w:val="0"/>
          <w:bCs w:val="0"/>
        </w:rPr>
        <w:t xml:space="preserve"> </w:t>
      </w:r>
    </w:p>
    <w:p w14:paraId="37433991" w14:textId="77777777" w:rsidR="001C4564" w:rsidRDefault="001C4564" w:rsidP="001B60C7">
      <w:pPr>
        <w:rPr>
          <w:rStyle w:val="Strong"/>
          <w:rFonts w:cs="Arial"/>
          <w:b w:val="0"/>
          <w:bCs w:val="0"/>
          <w:i/>
          <w:iCs/>
        </w:rPr>
      </w:pPr>
    </w:p>
    <w:p w14:paraId="5C5D6AFA" w14:textId="33FF42BE" w:rsidR="00871D37" w:rsidRPr="004C374A" w:rsidRDefault="004C374A" w:rsidP="001B60C7">
      <w:pPr>
        <w:rPr>
          <w:rStyle w:val="Strong"/>
          <w:rFonts w:cs="Arial"/>
          <w:b w:val="0"/>
          <w:bCs w:val="0"/>
          <w:i/>
          <w:iCs/>
        </w:rPr>
      </w:pPr>
      <w:r w:rsidRPr="004C374A">
        <w:rPr>
          <w:rStyle w:val="Strong"/>
          <w:rFonts w:cs="Arial"/>
          <w:b w:val="0"/>
          <w:bCs w:val="0"/>
          <w:i/>
          <w:iCs/>
        </w:rPr>
        <w:t>Continuous cover forestry</w:t>
      </w:r>
    </w:p>
    <w:p w14:paraId="1D6DEF65" w14:textId="3810B072" w:rsidR="004C374A" w:rsidRDefault="004C374A" w:rsidP="001B60C7">
      <w:pPr>
        <w:rPr>
          <w:rStyle w:val="Strong"/>
          <w:rFonts w:cs="Arial"/>
          <w:b w:val="0"/>
          <w:bCs w:val="0"/>
        </w:rPr>
      </w:pPr>
      <w:r>
        <w:rPr>
          <w:rStyle w:val="Strong"/>
          <w:rFonts w:cs="Arial"/>
          <w:b w:val="0"/>
          <w:bCs w:val="0"/>
        </w:rPr>
        <w:t xml:space="preserve">There is very limited experience with </w:t>
      </w:r>
      <w:r w:rsidR="00197283">
        <w:rPr>
          <w:rStyle w:val="Strong"/>
          <w:rFonts w:cs="Arial"/>
          <w:b w:val="0"/>
          <w:bCs w:val="0"/>
        </w:rPr>
        <w:t>management</w:t>
      </w:r>
      <w:r>
        <w:rPr>
          <w:rStyle w:val="Strong"/>
          <w:rFonts w:cs="Arial"/>
          <w:b w:val="0"/>
          <w:bCs w:val="0"/>
        </w:rPr>
        <w:t xml:space="preserve"> of planted forests under </w:t>
      </w:r>
      <w:r w:rsidR="00197283">
        <w:rPr>
          <w:rStyle w:val="Strong"/>
          <w:rFonts w:cs="Arial"/>
          <w:b w:val="0"/>
          <w:bCs w:val="0"/>
        </w:rPr>
        <w:t xml:space="preserve">continuous cover forestry silviculture, and therefore </w:t>
      </w:r>
      <w:r w:rsidR="004A5B47">
        <w:rPr>
          <w:rStyle w:val="Strong"/>
          <w:rFonts w:cs="Arial"/>
          <w:b w:val="0"/>
          <w:bCs w:val="0"/>
        </w:rPr>
        <w:t>little understanding of potential carbon stock development in the longer term.</w:t>
      </w:r>
    </w:p>
    <w:p w14:paraId="10A11540" w14:textId="77777777" w:rsidR="004A17A6" w:rsidRDefault="004A17A6" w:rsidP="001B60C7">
      <w:pPr>
        <w:rPr>
          <w:rStyle w:val="Strong"/>
          <w:rFonts w:cs="Arial"/>
          <w:b w:val="0"/>
          <w:bCs w:val="0"/>
        </w:rPr>
      </w:pPr>
    </w:p>
    <w:p w14:paraId="6612DD6E" w14:textId="078BC476" w:rsidR="004A17A6" w:rsidRDefault="004A17A6" w:rsidP="001B60C7">
      <w:pPr>
        <w:rPr>
          <w:rStyle w:val="Strong"/>
          <w:rFonts w:cs="Arial"/>
          <w:b w:val="0"/>
          <w:bCs w:val="0"/>
        </w:rPr>
      </w:pPr>
      <w:r w:rsidRPr="004A17A6">
        <w:rPr>
          <w:rStyle w:val="Strong"/>
          <w:rFonts w:cs="Arial"/>
          <w:b w:val="0"/>
          <w:bCs w:val="0"/>
          <w:i/>
          <w:iCs/>
        </w:rPr>
        <w:lastRenderedPageBreak/>
        <w:t>Rotational planted forests that are uneconomic to harvest</w:t>
      </w:r>
      <w:r>
        <w:rPr>
          <w:rStyle w:val="Strong"/>
          <w:rFonts w:cs="Arial"/>
          <w:b w:val="0"/>
          <w:bCs w:val="0"/>
        </w:rPr>
        <w:t xml:space="preserve">. </w:t>
      </w:r>
    </w:p>
    <w:p w14:paraId="0AD2A1EF" w14:textId="30046FC4" w:rsidR="00871D37" w:rsidRDefault="00324D74" w:rsidP="001B60C7">
      <w:pPr>
        <w:rPr>
          <w:rStyle w:val="Strong"/>
          <w:rFonts w:cs="Arial"/>
          <w:b w:val="0"/>
          <w:bCs w:val="0"/>
        </w:rPr>
      </w:pPr>
      <w:r>
        <w:rPr>
          <w:rStyle w:val="Strong"/>
          <w:rFonts w:cs="Arial"/>
          <w:b w:val="0"/>
          <w:bCs w:val="0"/>
        </w:rPr>
        <w:t xml:space="preserve">Some forests that were planted </w:t>
      </w:r>
      <w:r w:rsidR="00C930B9">
        <w:rPr>
          <w:rStyle w:val="Strong"/>
          <w:rFonts w:cs="Arial"/>
          <w:b w:val="0"/>
          <w:bCs w:val="0"/>
        </w:rPr>
        <w:t>with the intention of a later harvest have been left unharvested</w:t>
      </w:r>
      <w:r w:rsidR="00CD2FD0">
        <w:rPr>
          <w:rStyle w:val="Strong"/>
          <w:rFonts w:cs="Arial"/>
          <w:b w:val="0"/>
          <w:bCs w:val="0"/>
        </w:rPr>
        <w:t xml:space="preserve">, either because </w:t>
      </w:r>
      <w:r w:rsidR="00BA5897">
        <w:rPr>
          <w:rStyle w:val="Strong"/>
          <w:rFonts w:cs="Arial"/>
          <w:b w:val="0"/>
          <w:bCs w:val="0"/>
        </w:rPr>
        <w:t>the</w:t>
      </w:r>
      <w:r w:rsidR="00A836AD">
        <w:rPr>
          <w:rStyle w:val="Strong"/>
          <w:rFonts w:cs="Arial"/>
          <w:b w:val="0"/>
          <w:bCs w:val="0"/>
        </w:rPr>
        <w:t xml:space="preserve"> </w:t>
      </w:r>
      <w:r w:rsidR="00BA5897">
        <w:rPr>
          <w:rStyle w:val="Strong"/>
          <w:rFonts w:cs="Arial"/>
          <w:b w:val="0"/>
          <w:bCs w:val="0"/>
        </w:rPr>
        <w:t>returns from harvesting are too low</w:t>
      </w:r>
      <w:r w:rsidR="00A836AD">
        <w:rPr>
          <w:rStyle w:val="Strong"/>
          <w:rFonts w:cs="Arial"/>
          <w:b w:val="0"/>
          <w:bCs w:val="0"/>
        </w:rPr>
        <w:t>, the ongoing carbon</w:t>
      </w:r>
      <w:r w:rsidR="00BA5897">
        <w:rPr>
          <w:rStyle w:val="Strong"/>
          <w:rFonts w:cs="Arial"/>
          <w:b w:val="0"/>
          <w:bCs w:val="0"/>
        </w:rPr>
        <w:t xml:space="preserve"> </w:t>
      </w:r>
      <w:r w:rsidR="00A836AD">
        <w:rPr>
          <w:rStyle w:val="Strong"/>
          <w:rFonts w:cs="Arial"/>
          <w:b w:val="0"/>
          <w:bCs w:val="0"/>
        </w:rPr>
        <w:t>revenues are more attractive o</w:t>
      </w:r>
      <w:r w:rsidR="00BA5897">
        <w:rPr>
          <w:rStyle w:val="Strong"/>
          <w:rFonts w:cs="Arial"/>
          <w:b w:val="0"/>
          <w:bCs w:val="0"/>
        </w:rPr>
        <w:t>r the environmental risks are too high</w:t>
      </w:r>
      <w:r w:rsidR="00BA5897" w:rsidRPr="00AB35BA">
        <w:rPr>
          <w:rStyle w:val="Strong"/>
          <w:rFonts w:cs="Arial"/>
          <w:b w:val="0"/>
          <w:bCs w:val="0"/>
        </w:rPr>
        <w:t>.</w:t>
      </w:r>
      <w:r w:rsidR="006448F8">
        <w:rPr>
          <w:rStyle w:val="Strong"/>
          <w:rFonts w:cs="Arial"/>
          <w:b w:val="0"/>
          <w:bCs w:val="0"/>
        </w:rPr>
        <w:t xml:space="preserve"> This changes</w:t>
      </w:r>
      <w:r w:rsidR="00761B57">
        <w:rPr>
          <w:rStyle w:val="Strong"/>
          <w:rFonts w:cs="Arial"/>
          <w:b w:val="0"/>
          <w:bCs w:val="0"/>
        </w:rPr>
        <w:t xml:space="preserve"> with changes in </w:t>
      </w:r>
      <w:r w:rsidR="00FE6597">
        <w:rPr>
          <w:rStyle w:val="Strong"/>
          <w:rFonts w:cs="Arial"/>
          <w:b w:val="0"/>
          <w:bCs w:val="0"/>
        </w:rPr>
        <w:t xml:space="preserve">extraction </w:t>
      </w:r>
      <w:r w:rsidR="00761B57">
        <w:rPr>
          <w:rStyle w:val="Strong"/>
          <w:rFonts w:cs="Arial"/>
          <w:b w:val="0"/>
          <w:bCs w:val="0"/>
        </w:rPr>
        <w:t>costs, timber prices and carbon price</w:t>
      </w:r>
      <w:r w:rsidR="00FE6597">
        <w:rPr>
          <w:rStyle w:val="Strong"/>
          <w:rFonts w:cs="Arial"/>
          <w:b w:val="0"/>
          <w:bCs w:val="0"/>
        </w:rPr>
        <w:t xml:space="preserve">, as well as </w:t>
      </w:r>
      <w:r w:rsidR="00C262B5">
        <w:rPr>
          <w:rStyle w:val="Strong"/>
          <w:rFonts w:cs="Arial"/>
          <w:b w:val="0"/>
          <w:bCs w:val="0"/>
        </w:rPr>
        <w:t xml:space="preserve">changes in </w:t>
      </w:r>
      <w:r w:rsidR="00FE6597">
        <w:rPr>
          <w:rStyle w:val="Strong"/>
          <w:rFonts w:cs="Arial"/>
          <w:b w:val="0"/>
          <w:bCs w:val="0"/>
        </w:rPr>
        <w:t>the regulatory environment</w:t>
      </w:r>
      <w:r w:rsidR="00761B57">
        <w:rPr>
          <w:rStyle w:val="Strong"/>
          <w:rFonts w:cs="Arial"/>
          <w:b w:val="0"/>
          <w:bCs w:val="0"/>
        </w:rPr>
        <w:t>.</w:t>
      </w:r>
    </w:p>
    <w:p w14:paraId="513FF2B5" w14:textId="77777777" w:rsidR="004A17A6" w:rsidRDefault="004A17A6" w:rsidP="001B60C7">
      <w:pPr>
        <w:rPr>
          <w:rStyle w:val="Strong"/>
          <w:rFonts w:cs="Arial"/>
          <w:b w:val="0"/>
          <w:bCs w:val="0"/>
        </w:rPr>
      </w:pPr>
    </w:p>
    <w:p w14:paraId="5FB2F75E" w14:textId="48630A89" w:rsidR="006448F8" w:rsidRDefault="003A5284" w:rsidP="001B60C7">
      <w:pPr>
        <w:rPr>
          <w:rStyle w:val="Strong"/>
          <w:rFonts w:cs="Arial"/>
          <w:b w:val="0"/>
          <w:bCs w:val="0"/>
        </w:rPr>
      </w:pPr>
      <w:r>
        <w:rPr>
          <w:rStyle w:val="Strong"/>
          <w:rFonts w:cs="Arial"/>
          <w:b w:val="0"/>
          <w:bCs w:val="0"/>
        </w:rPr>
        <w:t>Where harvest returns are marginal, the retur</w:t>
      </w:r>
      <w:r w:rsidR="00431826">
        <w:rPr>
          <w:rStyle w:val="Strong"/>
          <w:rFonts w:cs="Arial"/>
          <w:b w:val="0"/>
          <w:bCs w:val="0"/>
        </w:rPr>
        <w:t>n</w:t>
      </w:r>
      <w:r>
        <w:rPr>
          <w:rStyle w:val="Strong"/>
          <w:rFonts w:cs="Arial"/>
          <w:b w:val="0"/>
          <w:bCs w:val="0"/>
        </w:rPr>
        <w:t xml:space="preserve"> from replanting </w:t>
      </w:r>
      <w:r w:rsidR="00FD358D">
        <w:rPr>
          <w:rStyle w:val="Strong"/>
          <w:rFonts w:cs="Arial"/>
          <w:b w:val="0"/>
          <w:bCs w:val="0"/>
        </w:rPr>
        <w:t xml:space="preserve">may be such that deforestation is likely to occur after harvesting, unless natural regeneration into native forest </w:t>
      </w:r>
      <w:r w:rsidR="00431826">
        <w:rPr>
          <w:rStyle w:val="Strong"/>
          <w:rFonts w:cs="Arial"/>
          <w:b w:val="0"/>
          <w:bCs w:val="0"/>
        </w:rPr>
        <w:t>takes place</w:t>
      </w:r>
      <w:r w:rsidR="00431826" w:rsidRPr="007E0FA9">
        <w:rPr>
          <w:rStyle w:val="Strong"/>
          <w:rFonts w:cs="Arial"/>
          <w:b w:val="0"/>
          <w:bCs w:val="0"/>
        </w:rPr>
        <w:t>.</w:t>
      </w:r>
      <w:r w:rsidR="00431826">
        <w:rPr>
          <w:rStyle w:val="Strong"/>
          <w:rFonts w:cs="Arial"/>
          <w:b w:val="0"/>
          <w:bCs w:val="0"/>
        </w:rPr>
        <w:t xml:space="preserve"> </w:t>
      </w:r>
      <w:r w:rsidR="00905892">
        <w:rPr>
          <w:rStyle w:val="Strong"/>
          <w:rFonts w:cs="Arial"/>
          <w:b w:val="0"/>
          <w:bCs w:val="0"/>
        </w:rPr>
        <w:t xml:space="preserve">A survey </w:t>
      </w:r>
      <w:r w:rsidR="002237D2">
        <w:rPr>
          <w:rStyle w:val="Strong"/>
          <w:rFonts w:cs="Arial"/>
          <w:b w:val="0"/>
          <w:bCs w:val="0"/>
        </w:rPr>
        <w:t xml:space="preserve">of forest owners </w:t>
      </w:r>
      <w:r w:rsidR="00905892">
        <w:rPr>
          <w:rStyle w:val="Strong"/>
          <w:rFonts w:cs="Arial"/>
          <w:b w:val="0"/>
          <w:bCs w:val="0"/>
        </w:rPr>
        <w:t xml:space="preserve">found that about 6.1 % of post-1989 planted forest </w:t>
      </w:r>
      <w:r w:rsidR="002237D2">
        <w:rPr>
          <w:rStyle w:val="Strong"/>
          <w:rFonts w:cs="Arial"/>
          <w:b w:val="0"/>
          <w:bCs w:val="0"/>
        </w:rPr>
        <w:t>was unlikely to be harvested (Manley</w:t>
      </w:r>
      <w:r w:rsidR="002F292C">
        <w:rPr>
          <w:rStyle w:val="Strong"/>
          <w:rFonts w:cs="Arial"/>
          <w:b w:val="0"/>
          <w:bCs w:val="0"/>
        </w:rPr>
        <w:t>,</w:t>
      </w:r>
      <w:r w:rsidR="002237D2">
        <w:rPr>
          <w:rStyle w:val="Strong"/>
          <w:rFonts w:cs="Arial"/>
          <w:b w:val="0"/>
          <w:bCs w:val="0"/>
        </w:rPr>
        <w:t xml:space="preserve"> 2018).</w:t>
      </w:r>
    </w:p>
    <w:p w14:paraId="605DE731" w14:textId="77777777" w:rsidR="004A17A6" w:rsidRPr="00455A18" w:rsidRDefault="004A17A6" w:rsidP="001B60C7">
      <w:pPr>
        <w:rPr>
          <w:rStyle w:val="Strong"/>
          <w:rFonts w:cs="Arial"/>
          <w:b w:val="0"/>
          <w:bCs w:val="0"/>
        </w:rPr>
      </w:pPr>
    </w:p>
    <w:p w14:paraId="5440F91B" w14:textId="028B3947" w:rsidR="001B60C7" w:rsidRPr="00BF4271" w:rsidRDefault="001B60C7" w:rsidP="001B60C7">
      <w:pPr>
        <w:rPr>
          <w:rStyle w:val="Strong"/>
          <w:rFonts w:cs="Arial"/>
          <w:b w:val="0"/>
          <w:bCs w:val="0"/>
        </w:rPr>
      </w:pPr>
      <w:r w:rsidRPr="2744EF10">
        <w:rPr>
          <w:rStyle w:val="Strong"/>
          <w:rFonts w:cs="Arial"/>
          <w:b w:val="0"/>
          <w:bCs w:val="0"/>
        </w:rPr>
        <w:t>In summary, it is unclear how “</w:t>
      </w:r>
      <w:r w:rsidRPr="00BF4271">
        <w:rPr>
          <w:rStyle w:val="Strong"/>
          <w:rFonts w:cs="Arial"/>
          <w:b w:val="0"/>
          <w:bCs w:val="0"/>
        </w:rPr>
        <w:t xml:space="preserve">Permanent forests” will be managed and how the carbon stock will respond, as illustrated for some examples in Table </w:t>
      </w:r>
      <w:r w:rsidR="00BF4271" w:rsidRPr="00BF4271">
        <w:rPr>
          <w:rStyle w:val="Strong"/>
          <w:rFonts w:cs="Arial"/>
          <w:b w:val="0"/>
          <w:bCs w:val="0"/>
        </w:rPr>
        <w:t>4</w:t>
      </w:r>
      <w:r w:rsidRPr="00BF4271">
        <w:rPr>
          <w:rStyle w:val="Strong"/>
          <w:rFonts w:cs="Arial"/>
          <w:b w:val="0"/>
          <w:bCs w:val="0"/>
        </w:rPr>
        <w:t>.</w:t>
      </w:r>
    </w:p>
    <w:p w14:paraId="5BF677BF" w14:textId="77777777" w:rsidR="001B60C7" w:rsidRPr="00BF4271" w:rsidRDefault="001B60C7" w:rsidP="001B60C7">
      <w:pPr>
        <w:rPr>
          <w:rStyle w:val="Strong"/>
          <w:rFonts w:cs="Arial"/>
        </w:rPr>
      </w:pPr>
    </w:p>
    <w:p w14:paraId="195CBDD2" w14:textId="3B252A9E" w:rsidR="001B60C7" w:rsidRDefault="001B60C7" w:rsidP="001B60C7">
      <w:pPr>
        <w:rPr>
          <w:rStyle w:val="Strong"/>
          <w:rFonts w:cs="Arial"/>
          <w:b w:val="0"/>
          <w:bCs w:val="0"/>
        </w:rPr>
      </w:pPr>
      <w:r w:rsidRPr="00BF4271">
        <w:rPr>
          <w:rStyle w:val="Strong"/>
          <w:rFonts w:cs="Arial"/>
        </w:rPr>
        <w:t xml:space="preserve">Table </w:t>
      </w:r>
      <w:r w:rsidR="00BF4271" w:rsidRPr="00BF4271">
        <w:rPr>
          <w:rStyle w:val="Strong"/>
          <w:rFonts w:cs="Arial"/>
        </w:rPr>
        <w:t>4</w:t>
      </w:r>
      <w:r w:rsidRPr="00BF4271">
        <w:rPr>
          <w:rStyle w:val="Strong"/>
          <w:rFonts w:cs="Arial"/>
          <w:b w:val="0"/>
          <w:bCs w:val="0"/>
        </w:rPr>
        <w:t>: Examples of “Permanent forest</w:t>
      </w:r>
      <w:r w:rsidRPr="2744EF10">
        <w:rPr>
          <w:rStyle w:val="Strong"/>
          <w:rFonts w:cs="Arial"/>
          <w:b w:val="0"/>
          <w:bCs w:val="0"/>
        </w:rPr>
        <w:t>” management regimes and likely carbon stock response</w:t>
      </w:r>
    </w:p>
    <w:p w14:paraId="6335484D" w14:textId="77777777" w:rsidR="00BF4271" w:rsidRPr="00455A18" w:rsidRDefault="00BF4271" w:rsidP="001B60C7">
      <w:pPr>
        <w:rPr>
          <w:rStyle w:val="Strong"/>
          <w:rFonts w:cs="Arial"/>
          <w:b w:val="0"/>
          <w:bCs w:val="0"/>
        </w:rPr>
      </w:pPr>
    </w:p>
    <w:tbl>
      <w:tblPr>
        <w:tblStyle w:val="TableGrid"/>
        <w:tblW w:w="8890" w:type="dxa"/>
        <w:tblLook w:val="04A0" w:firstRow="1" w:lastRow="0" w:firstColumn="1" w:lastColumn="0" w:noHBand="0" w:noVBand="1"/>
      </w:tblPr>
      <w:tblGrid>
        <w:gridCol w:w="421"/>
        <w:gridCol w:w="6662"/>
        <w:gridCol w:w="1807"/>
      </w:tblGrid>
      <w:tr w:rsidR="001B60C7" w:rsidRPr="00455A18" w14:paraId="06327749" w14:textId="77777777" w:rsidTr="002D6DFE">
        <w:tc>
          <w:tcPr>
            <w:tcW w:w="421" w:type="dxa"/>
          </w:tcPr>
          <w:p w14:paraId="15EAD631" w14:textId="77777777" w:rsidR="001B60C7" w:rsidRPr="00455A18" w:rsidRDefault="001B60C7" w:rsidP="002D6DFE">
            <w:pPr>
              <w:rPr>
                <w:rStyle w:val="Strong"/>
                <w:rFonts w:cs="Arial"/>
                <w:b w:val="0"/>
                <w:bCs w:val="0"/>
              </w:rPr>
            </w:pPr>
          </w:p>
        </w:tc>
        <w:tc>
          <w:tcPr>
            <w:tcW w:w="6662" w:type="dxa"/>
          </w:tcPr>
          <w:p w14:paraId="6D27D26A" w14:textId="77777777" w:rsidR="001B60C7" w:rsidRPr="00C9580D" w:rsidRDefault="001B60C7" w:rsidP="002D6DFE">
            <w:pPr>
              <w:rPr>
                <w:rStyle w:val="Strong"/>
                <w:rFonts w:cs="Arial"/>
              </w:rPr>
            </w:pPr>
            <w:r w:rsidRPr="00C9580D">
              <w:rPr>
                <w:rStyle w:val="Strong"/>
                <w:rFonts w:cs="Arial"/>
              </w:rPr>
              <w:t>Management</w:t>
            </w:r>
          </w:p>
        </w:tc>
        <w:tc>
          <w:tcPr>
            <w:tcW w:w="1807" w:type="dxa"/>
          </w:tcPr>
          <w:p w14:paraId="2BC02AB0" w14:textId="77777777" w:rsidR="001B60C7" w:rsidRPr="00C9580D" w:rsidRDefault="001B60C7" w:rsidP="007340FE">
            <w:pPr>
              <w:jc w:val="center"/>
              <w:rPr>
                <w:rStyle w:val="Strong"/>
                <w:rFonts w:cs="Arial"/>
              </w:rPr>
            </w:pPr>
            <w:r w:rsidRPr="00C9580D">
              <w:rPr>
                <w:rStyle w:val="Strong"/>
                <w:rFonts w:cs="Arial"/>
              </w:rPr>
              <w:t>Likely LTA stock</w:t>
            </w:r>
            <w:r>
              <w:rPr>
                <w:rStyle w:val="Strong"/>
                <w:rFonts w:cs="Arial"/>
              </w:rPr>
              <w:t xml:space="preserve"> level</w:t>
            </w:r>
          </w:p>
        </w:tc>
      </w:tr>
      <w:tr w:rsidR="001B60C7" w:rsidRPr="00455A18" w14:paraId="467927E4" w14:textId="77777777" w:rsidTr="002D6DFE">
        <w:tc>
          <w:tcPr>
            <w:tcW w:w="421" w:type="dxa"/>
          </w:tcPr>
          <w:p w14:paraId="5916DAB9" w14:textId="77777777" w:rsidR="001B60C7" w:rsidRPr="00455A18" w:rsidRDefault="001B60C7" w:rsidP="002D6DFE">
            <w:pPr>
              <w:rPr>
                <w:rStyle w:val="Strong"/>
                <w:rFonts w:cs="Arial"/>
                <w:b w:val="0"/>
                <w:bCs w:val="0"/>
              </w:rPr>
            </w:pPr>
            <w:r w:rsidRPr="00455A18">
              <w:rPr>
                <w:rStyle w:val="Strong"/>
                <w:rFonts w:cs="Arial"/>
                <w:b w:val="0"/>
                <w:bCs w:val="0"/>
              </w:rPr>
              <w:t>1</w:t>
            </w:r>
          </w:p>
        </w:tc>
        <w:tc>
          <w:tcPr>
            <w:tcW w:w="6662" w:type="dxa"/>
          </w:tcPr>
          <w:p w14:paraId="5CD1D5AE" w14:textId="77777777" w:rsidR="001B60C7" w:rsidRPr="00455A18" w:rsidRDefault="001B60C7" w:rsidP="002D6DFE">
            <w:pPr>
              <w:rPr>
                <w:rStyle w:val="Strong"/>
                <w:rFonts w:cs="Arial"/>
                <w:b w:val="0"/>
                <w:bCs w:val="0"/>
              </w:rPr>
            </w:pPr>
            <w:r w:rsidRPr="00455A18">
              <w:rPr>
                <w:rStyle w:val="Strong"/>
                <w:rFonts w:cs="Arial"/>
                <w:b w:val="0"/>
                <w:bCs w:val="0"/>
              </w:rPr>
              <w:t>Production thin twice to 30% canopy cover each time, clearfell at age 50</w:t>
            </w:r>
            <w:r>
              <w:rPr>
                <w:rStyle w:val="Strong"/>
                <w:rFonts w:cs="Arial"/>
                <w:b w:val="0"/>
                <w:bCs w:val="0"/>
              </w:rPr>
              <w:t xml:space="preserve"> </w:t>
            </w:r>
            <w:r w:rsidRPr="00005C38">
              <w:rPr>
                <w:rStyle w:val="Strong"/>
                <w:rFonts w:cs="Arial"/>
                <w:b w:val="0"/>
                <w:bCs w:val="0"/>
              </w:rPr>
              <w:t>years</w:t>
            </w:r>
          </w:p>
        </w:tc>
        <w:tc>
          <w:tcPr>
            <w:tcW w:w="1807" w:type="dxa"/>
            <w:vMerge w:val="restart"/>
          </w:tcPr>
          <w:p w14:paraId="78FF5251" w14:textId="5724552B" w:rsidR="001B60C7" w:rsidRPr="00455A18" w:rsidRDefault="001B60C7" w:rsidP="002D6DFE">
            <w:pPr>
              <w:jc w:val="center"/>
              <w:rPr>
                <w:rStyle w:val="Strong"/>
                <w:rFonts w:cs="Arial"/>
                <w:b w:val="0"/>
                <w:bCs w:val="0"/>
                <w:color w:val="FF0000"/>
              </w:rPr>
            </w:pPr>
            <w:r w:rsidRPr="00455A18">
              <w:rPr>
                <w:rStyle w:val="Strong"/>
                <w:rFonts w:cs="Arial"/>
                <w:b w:val="0"/>
                <w:bCs w:val="0"/>
                <w:color w:val="FF0000"/>
              </w:rPr>
              <w:t>Lowe</w:t>
            </w:r>
            <w:r w:rsidR="0038500A">
              <w:rPr>
                <w:rStyle w:val="Strong"/>
                <w:rFonts w:cs="Arial"/>
                <w:b w:val="0"/>
                <w:bCs w:val="0"/>
                <w:color w:val="FF0000"/>
              </w:rPr>
              <w:t>r</w:t>
            </w:r>
          </w:p>
          <w:p w14:paraId="7605F305" w14:textId="77777777" w:rsidR="001B60C7" w:rsidRPr="00455A18" w:rsidRDefault="001B60C7" w:rsidP="002D6DFE">
            <w:pPr>
              <w:jc w:val="center"/>
              <w:rPr>
                <w:rStyle w:val="Strong"/>
                <w:rFonts w:cs="Arial"/>
                <w:b w:val="0"/>
                <w:bCs w:val="0"/>
              </w:rPr>
            </w:pPr>
          </w:p>
          <w:p w14:paraId="5D4901EC" w14:textId="77777777" w:rsidR="001B60C7" w:rsidRPr="00455A18" w:rsidRDefault="001B60C7" w:rsidP="002D6DFE">
            <w:pPr>
              <w:jc w:val="center"/>
              <w:rPr>
                <w:rStyle w:val="Strong"/>
                <w:rFonts w:cs="Arial"/>
                <w:b w:val="0"/>
                <w:bCs w:val="0"/>
              </w:rPr>
            </w:pPr>
            <w:r w:rsidRPr="00455A18">
              <w:rPr>
                <w:rStyle w:val="Strong"/>
                <w:rFonts w:cs="Arial"/>
                <w:b w:val="0"/>
                <w:bCs w:val="0"/>
              </w:rPr>
              <w:t>↓</w:t>
            </w:r>
          </w:p>
          <w:p w14:paraId="54DBA55B" w14:textId="77777777" w:rsidR="001B60C7" w:rsidRDefault="001B60C7" w:rsidP="002D6DFE">
            <w:pPr>
              <w:jc w:val="center"/>
              <w:rPr>
                <w:rStyle w:val="Strong"/>
                <w:rFonts w:cs="Arial"/>
                <w:b w:val="0"/>
                <w:bCs w:val="0"/>
              </w:rPr>
            </w:pPr>
          </w:p>
          <w:p w14:paraId="0963801C" w14:textId="77777777" w:rsidR="001B60C7" w:rsidRPr="00455A18" w:rsidRDefault="001B60C7" w:rsidP="002D6DFE">
            <w:pPr>
              <w:jc w:val="center"/>
              <w:rPr>
                <w:rStyle w:val="Strong"/>
                <w:rFonts w:cs="Arial"/>
                <w:b w:val="0"/>
                <w:bCs w:val="0"/>
              </w:rPr>
            </w:pPr>
          </w:p>
          <w:p w14:paraId="493662CD" w14:textId="4E2A213E" w:rsidR="001B60C7" w:rsidRPr="00455A18" w:rsidRDefault="001B60C7" w:rsidP="002D6DFE">
            <w:pPr>
              <w:jc w:val="center"/>
              <w:rPr>
                <w:rStyle w:val="Strong"/>
                <w:rFonts w:cs="Arial"/>
                <w:b w:val="0"/>
                <w:bCs w:val="0"/>
              </w:rPr>
            </w:pPr>
            <w:r w:rsidRPr="00455A18">
              <w:rPr>
                <w:rStyle w:val="Strong"/>
                <w:rFonts w:cs="Arial"/>
                <w:b w:val="0"/>
                <w:bCs w:val="0"/>
                <w:color w:val="76923C" w:themeColor="accent3" w:themeShade="BF"/>
              </w:rPr>
              <w:t>Highe</w:t>
            </w:r>
            <w:r w:rsidR="0038500A">
              <w:rPr>
                <w:rStyle w:val="Strong"/>
                <w:rFonts w:cs="Arial"/>
                <w:b w:val="0"/>
                <w:bCs w:val="0"/>
                <w:color w:val="76923C" w:themeColor="accent3" w:themeShade="BF"/>
              </w:rPr>
              <w:t>r</w:t>
            </w:r>
          </w:p>
        </w:tc>
      </w:tr>
      <w:tr w:rsidR="001B60C7" w:rsidRPr="00455A18" w14:paraId="1504093E" w14:textId="77777777" w:rsidTr="002D6DFE">
        <w:tc>
          <w:tcPr>
            <w:tcW w:w="421" w:type="dxa"/>
          </w:tcPr>
          <w:p w14:paraId="30FC325E" w14:textId="77777777" w:rsidR="001B60C7" w:rsidRPr="00455A18" w:rsidRDefault="001B60C7" w:rsidP="002D6DFE">
            <w:pPr>
              <w:rPr>
                <w:rStyle w:val="Strong"/>
                <w:rFonts w:cs="Arial"/>
                <w:b w:val="0"/>
                <w:bCs w:val="0"/>
              </w:rPr>
            </w:pPr>
            <w:r w:rsidRPr="00455A18">
              <w:rPr>
                <w:rStyle w:val="Strong"/>
                <w:rFonts w:cs="Arial"/>
                <w:b w:val="0"/>
                <w:bCs w:val="0"/>
              </w:rPr>
              <w:t>2</w:t>
            </w:r>
          </w:p>
        </w:tc>
        <w:tc>
          <w:tcPr>
            <w:tcW w:w="6662" w:type="dxa"/>
          </w:tcPr>
          <w:p w14:paraId="56250023" w14:textId="371A39B2" w:rsidR="001B60C7" w:rsidRPr="00455A18" w:rsidRDefault="00F45D47" w:rsidP="002D6DFE">
            <w:pPr>
              <w:rPr>
                <w:rStyle w:val="Strong"/>
                <w:rFonts w:cs="Arial"/>
                <w:b w:val="0"/>
                <w:bCs w:val="0"/>
              </w:rPr>
            </w:pPr>
            <w:r>
              <w:rPr>
                <w:rStyle w:val="Strong"/>
                <w:rFonts w:cs="Arial"/>
                <w:b w:val="0"/>
                <w:bCs w:val="0"/>
              </w:rPr>
              <w:t>Pre-commercial thinning only</w:t>
            </w:r>
            <w:r w:rsidR="001B60C7" w:rsidRPr="00455A18">
              <w:rPr>
                <w:rStyle w:val="Strong"/>
                <w:rFonts w:cs="Arial"/>
                <w:b w:val="0"/>
                <w:bCs w:val="0"/>
              </w:rPr>
              <w:t xml:space="preserve">, </w:t>
            </w:r>
            <w:r w:rsidR="00282F11">
              <w:rPr>
                <w:rStyle w:val="Strong"/>
                <w:rFonts w:cs="Arial"/>
                <w:b w:val="0"/>
                <w:bCs w:val="0"/>
              </w:rPr>
              <w:t xml:space="preserve">with </w:t>
            </w:r>
            <w:r w:rsidR="001B60C7" w:rsidRPr="00455A18">
              <w:rPr>
                <w:rStyle w:val="Strong"/>
                <w:rFonts w:cs="Arial"/>
                <w:b w:val="0"/>
                <w:bCs w:val="0"/>
              </w:rPr>
              <w:t>clearfell at age 50</w:t>
            </w:r>
            <w:r w:rsidR="001B60C7">
              <w:rPr>
                <w:rStyle w:val="Strong"/>
                <w:rFonts w:cs="Arial"/>
                <w:b w:val="0"/>
                <w:bCs w:val="0"/>
              </w:rPr>
              <w:t xml:space="preserve"> </w:t>
            </w:r>
            <w:r w:rsidR="001B60C7" w:rsidRPr="00A947D8">
              <w:rPr>
                <w:rStyle w:val="Strong"/>
                <w:rFonts w:cs="Arial"/>
                <w:b w:val="0"/>
                <w:bCs w:val="0"/>
              </w:rPr>
              <w:t>years</w:t>
            </w:r>
            <w:r w:rsidR="001B60C7" w:rsidRPr="00455A18">
              <w:rPr>
                <w:rStyle w:val="Strong"/>
                <w:rFonts w:cs="Arial"/>
                <w:b w:val="0"/>
                <w:bCs w:val="0"/>
              </w:rPr>
              <w:t>.</w:t>
            </w:r>
          </w:p>
        </w:tc>
        <w:tc>
          <w:tcPr>
            <w:tcW w:w="1807" w:type="dxa"/>
            <w:vMerge/>
          </w:tcPr>
          <w:p w14:paraId="64831D33" w14:textId="77777777" w:rsidR="001B60C7" w:rsidRPr="00455A18" w:rsidRDefault="001B60C7" w:rsidP="002D6DFE">
            <w:pPr>
              <w:jc w:val="center"/>
              <w:rPr>
                <w:rStyle w:val="Strong"/>
                <w:rFonts w:cs="Arial"/>
                <w:b w:val="0"/>
                <w:bCs w:val="0"/>
              </w:rPr>
            </w:pPr>
          </w:p>
        </w:tc>
      </w:tr>
      <w:tr w:rsidR="001B60C7" w:rsidRPr="00455A18" w14:paraId="780A2CA9" w14:textId="77777777" w:rsidTr="002D6DFE">
        <w:tc>
          <w:tcPr>
            <w:tcW w:w="421" w:type="dxa"/>
          </w:tcPr>
          <w:p w14:paraId="56E34F96" w14:textId="77777777" w:rsidR="001B60C7" w:rsidRPr="00455A18" w:rsidRDefault="001B60C7" w:rsidP="002D6DFE">
            <w:pPr>
              <w:rPr>
                <w:rStyle w:val="Strong"/>
                <w:rFonts w:cs="Arial"/>
                <w:b w:val="0"/>
                <w:bCs w:val="0"/>
              </w:rPr>
            </w:pPr>
            <w:r w:rsidRPr="00455A18">
              <w:rPr>
                <w:rStyle w:val="Strong"/>
                <w:rFonts w:cs="Arial"/>
                <w:b w:val="0"/>
                <w:bCs w:val="0"/>
              </w:rPr>
              <w:t>3</w:t>
            </w:r>
          </w:p>
        </w:tc>
        <w:tc>
          <w:tcPr>
            <w:tcW w:w="6662" w:type="dxa"/>
          </w:tcPr>
          <w:p w14:paraId="697112F1" w14:textId="77777777" w:rsidR="001B60C7" w:rsidRPr="00455A18" w:rsidRDefault="001B60C7" w:rsidP="002D6DFE">
            <w:pPr>
              <w:rPr>
                <w:rStyle w:val="Strong"/>
                <w:rFonts w:cs="Arial"/>
                <w:b w:val="0"/>
                <w:bCs w:val="0"/>
              </w:rPr>
            </w:pPr>
            <w:r w:rsidRPr="00455A18">
              <w:rPr>
                <w:rStyle w:val="Strong"/>
                <w:rFonts w:cs="Arial"/>
                <w:b w:val="0"/>
                <w:bCs w:val="0"/>
              </w:rPr>
              <w:t>Limited selection harvest indefinitely, targeting ~30-year-old trees</w:t>
            </w:r>
          </w:p>
        </w:tc>
        <w:tc>
          <w:tcPr>
            <w:tcW w:w="1807" w:type="dxa"/>
            <w:vMerge/>
          </w:tcPr>
          <w:p w14:paraId="31F0A582" w14:textId="77777777" w:rsidR="001B60C7" w:rsidRPr="00455A18" w:rsidRDefault="001B60C7" w:rsidP="002D6DFE">
            <w:pPr>
              <w:jc w:val="center"/>
              <w:rPr>
                <w:rStyle w:val="Strong"/>
                <w:rFonts w:cs="Arial"/>
                <w:b w:val="0"/>
                <w:bCs w:val="0"/>
              </w:rPr>
            </w:pPr>
          </w:p>
        </w:tc>
      </w:tr>
      <w:tr w:rsidR="001B60C7" w:rsidRPr="00455A18" w14:paraId="4CD19161" w14:textId="77777777" w:rsidTr="002D6DFE">
        <w:tc>
          <w:tcPr>
            <w:tcW w:w="421" w:type="dxa"/>
          </w:tcPr>
          <w:p w14:paraId="396057B1" w14:textId="77777777" w:rsidR="001B60C7" w:rsidRPr="00455A18" w:rsidRDefault="001B60C7" w:rsidP="002D6DFE">
            <w:pPr>
              <w:rPr>
                <w:rStyle w:val="Strong"/>
                <w:rFonts w:cs="Arial"/>
                <w:b w:val="0"/>
                <w:bCs w:val="0"/>
              </w:rPr>
            </w:pPr>
            <w:r w:rsidRPr="00455A18">
              <w:rPr>
                <w:rStyle w:val="Strong"/>
                <w:rFonts w:cs="Arial"/>
                <w:b w:val="0"/>
                <w:bCs w:val="0"/>
              </w:rPr>
              <w:t>4</w:t>
            </w:r>
          </w:p>
        </w:tc>
        <w:tc>
          <w:tcPr>
            <w:tcW w:w="6662" w:type="dxa"/>
          </w:tcPr>
          <w:p w14:paraId="4010E45D" w14:textId="77777777" w:rsidR="001B60C7" w:rsidRPr="00455A18" w:rsidRDefault="001B60C7" w:rsidP="002D6DFE">
            <w:pPr>
              <w:rPr>
                <w:rStyle w:val="Strong"/>
                <w:rFonts w:cs="Arial"/>
                <w:b w:val="0"/>
                <w:bCs w:val="0"/>
              </w:rPr>
            </w:pPr>
            <w:r w:rsidRPr="00455A18">
              <w:rPr>
                <w:rStyle w:val="Strong"/>
                <w:rFonts w:cs="Arial"/>
                <w:b w:val="0"/>
                <w:bCs w:val="0"/>
              </w:rPr>
              <w:t>Limited selection harvest indefinitely, targeting ~60-year-old trees</w:t>
            </w:r>
          </w:p>
        </w:tc>
        <w:tc>
          <w:tcPr>
            <w:tcW w:w="1807" w:type="dxa"/>
            <w:vMerge/>
          </w:tcPr>
          <w:p w14:paraId="63158D10" w14:textId="77777777" w:rsidR="001B60C7" w:rsidRPr="00455A18" w:rsidRDefault="001B60C7" w:rsidP="002D6DFE">
            <w:pPr>
              <w:jc w:val="center"/>
              <w:rPr>
                <w:rStyle w:val="Strong"/>
                <w:rFonts w:cs="Arial"/>
                <w:b w:val="0"/>
                <w:bCs w:val="0"/>
              </w:rPr>
            </w:pPr>
          </w:p>
        </w:tc>
      </w:tr>
      <w:tr w:rsidR="001B60C7" w:rsidRPr="00455A18" w14:paraId="3A989FCF" w14:textId="77777777" w:rsidTr="002D6DFE">
        <w:tc>
          <w:tcPr>
            <w:tcW w:w="421" w:type="dxa"/>
          </w:tcPr>
          <w:p w14:paraId="1EC305AA" w14:textId="77777777" w:rsidR="001B60C7" w:rsidRPr="00455A18" w:rsidRDefault="001B60C7" w:rsidP="002D6DFE">
            <w:pPr>
              <w:rPr>
                <w:rStyle w:val="Strong"/>
                <w:rFonts w:cs="Arial"/>
                <w:b w:val="0"/>
                <w:bCs w:val="0"/>
              </w:rPr>
            </w:pPr>
            <w:r w:rsidRPr="00455A18">
              <w:rPr>
                <w:rStyle w:val="Strong"/>
                <w:rFonts w:cs="Arial"/>
                <w:b w:val="0"/>
                <w:bCs w:val="0"/>
              </w:rPr>
              <w:t>5</w:t>
            </w:r>
          </w:p>
        </w:tc>
        <w:tc>
          <w:tcPr>
            <w:tcW w:w="6662" w:type="dxa"/>
          </w:tcPr>
          <w:p w14:paraId="3ABD12EA" w14:textId="77777777" w:rsidR="001B60C7" w:rsidRPr="00455A18" w:rsidRDefault="001B60C7" w:rsidP="002D6DFE">
            <w:pPr>
              <w:rPr>
                <w:rStyle w:val="Strong"/>
                <w:rFonts w:cs="Arial"/>
                <w:b w:val="0"/>
                <w:bCs w:val="0"/>
              </w:rPr>
            </w:pPr>
            <w:r w:rsidRPr="00455A18">
              <w:rPr>
                <w:rStyle w:val="Strong"/>
                <w:rFonts w:cs="Arial"/>
                <w:b w:val="0"/>
                <w:bCs w:val="0"/>
              </w:rPr>
              <w:t>Transition to native forest (e.g. with gap creation, natural regeneration, supplementary planting)</w:t>
            </w:r>
          </w:p>
        </w:tc>
        <w:tc>
          <w:tcPr>
            <w:tcW w:w="1807" w:type="dxa"/>
            <w:vMerge/>
          </w:tcPr>
          <w:p w14:paraId="028B71C7" w14:textId="77777777" w:rsidR="001B60C7" w:rsidRPr="00455A18" w:rsidRDefault="001B60C7" w:rsidP="002D6DFE">
            <w:pPr>
              <w:jc w:val="center"/>
              <w:rPr>
                <w:rStyle w:val="Strong"/>
                <w:rFonts w:cs="Arial"/>
                <w:b w:val="0"/>
                <w:bCs w:val="0"/>
              </w:rPr>
            </w:pPr>
          </w:p>
        </w:tc>
      </w:tr>
    </w:tbl>
    <w:p w14:paraId="0C378ABE" w14:textId="77777777" w:rsidR="001B60C7" w:rsidRPr="00455A18" w:rsidRDefault="001B60C7" w:rsidP="001B60C7">
      <w:pPr>
        <w:rPr>
          <w:rStyle w:val="Strong"/>
          <w:rFonts w:cs="Arial"/>
          <w:b w:val="0"/>
          <w:bCs w:val="0"/>
        </w:rPr>
      </w:pPr>
    </w:p>
    <w:p w14:paraId="49D24A87" w14:textId="5976900C" w:rsidR="001B60C7" w:rsidRPr="00455A18" w:rsidRDefault="001B60C7" w:rsidP="001B60C7">
      <w:pPr>
        <w:rPr>
          <w:rStyle w:val="Strong"/>
          <w:rFonts w:cs="Arial"/>
          <w:b w:val="0"/>
          <w:bCs w:val="0"/>
        </w:rPr>
      </w:pPr>
      <w:r w:rsidRPr="00455A18">
        <w:rPr>
          <w:rStyle w:val="Strong"/>
          <w:rFonts w:cs="Arial"/>
          <w:b w:val="0"/>
          <w:bCs w:val="0"/>
        </w:rPr>
        <w:t>For a</w:t>
      </w:r>
      <w:r w:rsidR="004F472C">
        <w:rPr>
          <w:rStyle w:val="Strong"/>
          <w:rFonts w:cs="Arial"/>
          <w:b w:val="0"/>
          <w:bCs w:val="0"/>
        </w:rPr>
        <w:t>n “ETS Permanent forest”</w:t>
      </w:r>
      <w:r w:rsidRPr="00455A18">
        <w:rPr>
          <w:rStyle w:val="Strong"/>
          <w:rFonts w:cs="Arial"/>
          <w:b w:val="0"/>
          <w:bCs w:val="0"/>
        </w:rPr>
        <w:t xml:space="preserve"> that is managed at the bare minimum 30% canopy cover for 50 years and then converted to repeated rotations of 15 years, both the actual carbon stock at any point in time and the long-term average stock would be relatively low. In contrast, </w:t>
      </w:r>
      <w:r>
        <w:rPr>
          <w:rStyle w:val="Strong"/>
          <w:rFonts w:cs="Arial"/>
          <w:b w:val="0"/>
          <w:bCs w:val="0"/>
        </w:rPr>
        <w:t xml:space="preserve">stands of </w:t>
      </w:r>
      <w:r w:rsidRPr="00455A18">
        <w:rPr>
          <w:rStyle w:val="Strong"/>
          <w:rFonts w:cs="Arial"/>
          <w:b w:val="0"/>
          <w:bCs w:val="0"/>
        </w:rPr>
        <w:t xml:space="preserve">species such as kauri or redwood that receive only limited thinning and are never clearfelled could maintain a very high </w:t>
      </w:r>
      <w:r>
        <w:rPr>
          <w:rStyle w:val="Strong"/>
          <w:rFonts w:cs="Arial"/>
          <w:b w:val="0"/>
          <w:bCs w:val="0"/>
        </w:rPr>
        <w:t xml:space="preserve">average </w:t>
      </w:r>
      <w:r w:rsidRPr="00455A18">
        <w:rPr>
          <w:rStyle w:val="Strong"/>
          <w:rFonts w:cs="Arial"/>
          <w:b w:val="0"/>
          <w:bCs w:val="0"/>
        </w:rPr>
        <w:t>stock in the long term</w:t>
      </w:r>
      <w:r>
        <w:rPr>
          <w:rStyle w:val="Strong"/>
          <w:rFonts w:cs="Arial"/>
          <w:b w:val="0"/>
          <w:bCs w:val="0"/>
        </w:rPr>
        <w:t xml:space="preserve"> (over 100 years)</w:t>
      </w:r>
      <w:r w:rsidRPr="00455A18">
        <w:rPr>
          <w:rStyle w:val="Strong"/>
          <w:rFonts w:cs="Arial"/>
          <w:b w:val="0"/>
          <w:bCs w:val="0"/>
        </w:rPr>
        <w:t>.</w:t>
      </w:r>
    </w:p>
    <w:p w14:paraId="2381FD07" w14:textId="77777777" w:rsidR="001B60C7" w:rsidRPr="00455A18" w:rsidRDefault="001B60C7" w:rsidP="001B60C7">
      <w:pPr>
        <w:rPr>
          <w:rStyle w:val="Strong"/>
          <w:rFonts w:cs="Arial"/>
          <w:b w:val="0"/>
          <w:bCs w:val="0"/>
        </w:rPr>
      </w:pPr>
    </w:p>
    <w:p w14:paraId="18254DDA" w14:textId="22A19109" w:rsidR="00A63BA8" w:rsidRDefault="00A63BA8" w:rsidP="00A63BA8">
      <w:pPr>
        <w:rPr>
          <w:rStyle w:val="Strong"/>
          <w:rFonts w:cs="Arial"/>
          <w:b w:val="0"/>
          <w:bCs w:val="0"/>
        </w:rPr>
      </w:pPr>
      <w:r>
        <w:rPr>
          <w:rStyle w:val="Strong"/>
          <w:rFonts w:cs="Arial"/>
          <w:b w:val="0"/>
          <w:bCs w:val="0"/>
        </w:rPr>
        <w:t>Currently the ETS Standard Carbon tables that must be applied by ETS-registered owners with less than 100 ha do not continue past age 50, so there is no carbon revenue incentive to extend rotations further but still an incentive to avoid the harvest liability</w:t>
      </w:r>
      <w:r w:rsidRPr="007E0FA9">
        <w:rPr>
          <w:rStyle w:val="Strong"/>
          <w:rFonts w:cs="Arial"/>
          <w:b w:val="0"/>
          <w:bCs w:val="0"/>
        </w:rPr>
        <w:t>.</w:t>
      </w:r>
      <w:r>
        <w:rPr>
          <w:rStyle w:val="Strong"/>
          <w:rFonts w:cs="Arial"/>
          <w:b w:val="0"/>
          <w:bCs w:val="0"/>
        </w:rPr>
        <w:t xml:space="preserve"> Owners with more than 100 ha are rewarded with NZUs based on plot data using the ETS Field Measurement Approach, which means that the carbon income stream can continue.</w:t>
      </w:r>
      <w:r w:rsidR="00442A5C">
        <w:rPr>
          <w:rStyle w:val="Strong"/>
          <w:rFonts w:cs="Arial"/>
          <w:b w:val="0"/>
          <w:bCs w:val="0"/>
        </w:rPr>
        <w:t xml:space="preserve"> </w:t>
      </w:r>
      <w:r w:rsidR="00500EC4">
        <w:rPr>
          <w:rStyle w:val="Strong"/>
          <w:rFonts w:cs="Arial"/>
          <w:b w:val="0"/>
          <w:bCs w:val="0"/>
        </w:rPr>
        <w:t xml:space="preserve">This ability to earn income </w:t>
      </w:r>
      <w:r w:rsidR="00E14B38">
        <w:rPr>
          <w:rStyle w:val="Strong"/>
          <w:rFonts w:cs="Arial"/>
          <w:b w:val="0"/>
          <w:bCs w:val="0"/>
        </w:rPr>
        <w:t xml:space="preserve">from selling NZUs affects </w:t>
      </w:r>
      <w:r w:rsidR="00F46E78">
        <w:rPr>
          <w:rStyle w:val="Strong"/>
          <w:rFonts w:cs="Arial"/>
          <w:b w:val="0"/>
          <w:bCs w:val="0"/>
        </w:rPr>
        <w:t>harvest decisions</w:t>
      </w:r>
      <w:r w:rsidR="004C45CA">
        <w:rPr>
          <w:rStyle w:val="Strong"/>
          <w:rFonts w:cs="Arial"/>
          <w:b w:val="0"/>
          <w:bCs w:val="0"/>
        </w:rPr>
        <w:t xml:space="preserve">, as does the </w:t>
      </w:r>
      <w:r w:rsidR="00D57913">
        <w:rPr>
          <w:rStyle w:val="Strong"/>
          <w:rFonts w:cs="Arial"/>
          <w:b w:val="0"/>
          <w:bCs w:val="0"/>
        </w:rPr>
        <w:t>potential economic return from harvesting</w:t>
      </w:r>
      <w:r w:rsidR="00F46E78">
        <w:rPr>
          <w:rStyle w:val="Strong"/>
          <w:rFonts w:cs="Arial"/>
          <w:b w:val="0"/>
          <w:bCs w:val="0"/>
        </w:rPr>
        <w:t>.</w:t>
      </w:r>
    </w:p>
    <w:p w14:paraId="4A9A11E4" w14:textId="77777777" w:rsidR="00A63BA8" w:rsidRDefault="00A63BA8" w:rsidP="00A63BA8">
      <w:pPr>
        <w:rPr>
          <w:rStyle w:val="Strong"/>
          <w:rFonts w:cs="Arial"/>
          <w:b w:val="0"/>
          <w:bCs w:val="0"/>
        </w:rPr>
      </w:pPr>
    </w:p>
    <w:p w14:paraId="5C826ABE" w14:textId="77777777" w:rsidR="001B32CA" w:rsidRDefault="001B32CA" w:rsidP="00A63BA8">
      <w:pPr>
        <w:rPr>
          <w:rStyle w:val="Strong"/>
          <w:rFonts w:cs="Arial"/>
          <w:b w:val="0"/>
          <w:bCs w:val="0"/>
        </w:rPr>
      </w:pPr>
    </w:p>
    <w:p w14:paraId="0EF6A52B" w14:textId="0F8CD548" w:rsidR="001C3248" w:rsidRPr="0007373D" w:rsidRDefault="0007373D" w:rsidP="00A63BA8">
      <w:pPr>
        <w:rPr>
          <w:rStyle w:val="Strong"/>
          <w:rFonts w:cs="Arial"/>
          <w:b w:val="0"/>
          <w:bCs w:val="0"/>
          <w:i/>
          <w:iCs/>
        </w:rPr>
      </w:pPr>
      <w:r>
        <w:rPr>
          <w:rStyle w:val="Strong"/>
          <w:rFonts w:cs="Arial"/>
          <w:b w:val="0"/>
          <w:bCs w:val="0"/>
          <w:i/>
          <w:iCs/>
        </w:rPr>
        <w:t xml:space="preserve">Permanent </w:t>
      </w:r>
      <w:r w:rsidR="0042748C">
        <w:rPr>
          <w:rStyle w:val="Strong"/>
          <w:rFonts w:cs="Arial"/>
          <w:b w:val="0"/>
          <w:bCs w:val="0"/>
          <w:i/>
          <w:iCs/>
        </w:rPr>
        <w:t xml:space="preserve">planted </w:t>
      </w:r>
      <w:r>
        <w:rPr>
          <w:rStyle w:val="Strong"/>
          <w:rFonts w:cs="Arial"/>
          <w:b w:val="0"/>
          <w:bCs w:val="0"/>
          <w:i/>
          <w:iCs/>
        </w:rPr>
        <w:t>forest y</w:t>
      </w:r>
      <w:r w:rsidR="00C930B9" w:rsidRPr="0007373D">
        <w:rPr>
          <w:rStyle w:val="Strong"/>
          <w:rFonts w:cs="Arial"/>
          <w:b w:val="0"/>
          <w:bCs w:val="0"/>
          <w:i/>
          <w:iCs/>
        </w:rPr>
        <w:t xml:space="preserve">ield tables and </w:t>
      </w:r>
      <w:r w:rsidRPr="0007373D">
        <w:rPr>
          <w:rStyle w:val="Strong"/>
          <w:rFonts w:cs="Arial"/>
          <w:b w:val="0"/>
          <w:bCs w:val="0"/>
          <w:i/>
          <w:iCs/>
        </w:rPr>
        <w:t>long</w:t>
      </w:r>
      <w:r w:rsidR="006C2B23">
        <w:rPr>
          <w:rStyle w:val="Strong"/>
          <w:rFonts w:cs="Arial"/>
          <w:b w:val="0"/>
          <w:bCs w:val="0"/>
          <w:i/>
          <w:iCs/>
        </w:rPr>
        <w:t>-</w:t>
      </w:r>
      <w:r w:rsidRPr="0007373D">
        <w:rPr>
          <w:rStyle w:val="Strong"/>
          <w:rFonts w:cs="Arial"/>
          <w:b w:val="0"/>
          <w:bCs w:val="0"/>
          <w:i/>
          <w:iCs/>
        </w:rPr>
        <w:t>term average stocks</w:t>
      </w:r>
    </w:p>
    <w:p w14:paraId="12475664" w14:textId="77777777" w:rsidR="0007373D" w:rsidRDefault="0007373D" w:rsidP="00A63BA8">
      <w:pPr>
        <w:rPr>
          <w:lang w:val="en-NZ"/>
        </w:rPr>
      </w:pPr>
    </w:p>
    <w:p w14:paraId="2AA2D5FE" w14:textId="7D14179E" w:rsidR="00063CD7" w:rsidRDefault="004F5C81" w:rsidP="00A63BA8">
      <w:pPr>
        <w:rPr>
          <w:lang w:val="en-NZ"/>
        </w:rPr>
      </w:pPr>
      <w:r>
        <w:rPr>
          <w:rStyle w:val="Strong"/>
          <w:rFonts w:cs="Arial"/>
          <w:b w:val="0"/>
          <w:bCs w:val="0"/>
        </w:rPr>
        <w:t xml:space="preserve">The yield tables and rotation ages assumed for permanent forests need to reflect the forest area assigned to the permanent class. However, these forests are not clearly identifiable and vary greatly in terms of the impact of </w:t>
      </w:r>
      <w:r w:rsidR="00461664">
        <w:rPr>
          <w:rStyle w:val="Strong"/>
          <w:rFonts w:cs="Arial"/>
          <w:b w:val="0"/>
          <w:bCs w:val="0"/>
        </w:rPr>
        <w:t>management</w:t>
      </w:r>
      <w:r>
        <w:rPr>
          <w:rStyle w:val="Strong"/>
          <w:rFonts w:cs="Arial"/>
          <w:b w:val="0"/>
          <w:bCs w:val="0"/>
        </w:rPr>
        <w:t xml:space="preserve"> on carbon stocks. </w:t>
      </w:r>
      <w:r w:rsidR="00C930B9" w:rsidRPr="2744EF10">
        <w:rPr>
          <w:lang w:val="en-NZ"/>
        </w:rPr>
        <w:t xml:space="preserve">The </w:t>
      </w:r>
      <w:r w:rsidR="00461664">
        <w:rPr>
          <w:lang w:val="en-NZ"/>
        </w:rPr>
        <w:t>influence</w:t>
      </w:r>
      <w:r w:rsidR="00C930B9" w:rsidRPr="2744EF10">
        <w:rPr>
          <w:lang w:val="en-NZ"/>
        </w:rPr>
        <w:t xml:space="preserve"> of natural disturbance in these forests on their long-term stocks is also uncertain</w:t>
      </w:r>
      <w:r w:rsidR="00461664">
        <w:rPr>
          <w:lang w:val="en-NZ"/>
        </w:rPr>
        <w:t xml:space="preserve"> but likely to be much greater on average than for rotational forests on relatively short rotations.</w:t>
      </w:r>
      <w:r w:rsidR="0065127D">
        <w:rPr>
          <w:lang w:val="en-NZ"/>
        </w:rPr>
        <w:t xml:space="preserve"> </w:t>
      </w:r>
    </w:p>
    <w:p w14:paraId="2591DE4A" w14:textId="77777777" w:rsidR="00063CD7" w:rsidRDefault="00063CD7" w:rsidP="00A63BA8">
      <w:pPr>
        <w:rPr>
          <w:lang w:val="en-NZ"/>
        </w:rPr>
      </w:pPr>
    </w:p>
    <w:p w14:paraId="3704062B" w14:textId="46B6911C" w:rsidR="001C3248" w:rsidRDefault="001F64AB" w:rsidP="00A63BA8">
      <w:pPr>
        <w:rPr>
          <w:rStyle w:val="Strong"/>
          <w:rFonts w:cs="Arial"/>
          <w:b w:val="0"/>
          <w:bCs w:val="0"/>
        </w:rPr>
      </w:pPr>
      <w:r>
        <w:rPr>
          <w:rStyle w:val="Strong"/>
          <w:rFonts w:cs="Arial"/>
          <w:b w:val="0"/>
          <w:bCs w:val="0"/>
        </w:rPr>
        <w:t>The post-1989 planted forest combined species yield table is appropriate to use for the early growth of permanent forest in the absence of a separate assessment of these forests. However, it</w:t>
      </w:r>
      <w:r w:rsidR="0065127D">
        <w:rPr>
          <w:lang w:val="en-NZ"/>
        </w:rPr>
        <w:t xml:space="preserve"> has been projected </w:t>
      </w:r>
      <w:r w:rsidR="00D92D72">
        <w:rPr>
          <w:lang w:val="en-NZ"/>
        </w:rPr>
        <w:t xml:space="preserve">well beyond the maximum age of the measured plots, and includes only the competition-induced mortality and </w:t>
      </w:r>
      <w:r w:rsidR="002B3244">
        <w:rPr>
          <w:lang w:val="en-NZ"/>
        </w:rPr>
        <w:t xml:space="preserve">minor attritional damage captured in the growth model applied. </w:t>
      </w:r>
      <w:r w:rsidR="00F30A2A">
        <w:rPr>
          <w:lang w:val="en-NZ"/>
        </w:rPr>
        <w:t xml:space="preserve">It is not </w:t>
      </w:r>
      <w:r w:rsidR="00200B9B">
        <w:rPr>
          <w:lang w:val="en-NZ"/>
        </w:rPr>
        <w:t xml:space="preserve">yet </w:t>
      </w:r>
      <w:r w:rsidR="00F30A2A">
        <w:rPr>
          <w:lang w:val="en-NZ"/>
        </w:rPr>
        <w:t>clear whether it is representative of the species, sites</w:t>
      </w:r>
      <w:r w:rsidR="00200B9B">
        <w:rPr>
          <w:lang w:val="en-NZ"/>
        </w:rPr>
        <w:t>, or management applied to permanent forests.</w:t>
      </w:r>
    </w:p>
    <w:p w14:paraId="1E5B753D" w14:textId="77777777" w:rsidR="001C3248" w:rsidRDefault="001C3248" w:rsidP="00A63BA8">
      <w:pPr>
        <w:rPr>
          <w:rStyle w:val="Strong"/>
          <w:rFonts w:cs="Arial"/>
          <w:b w:val="0"/>
          <w:bCs w:val="0"/>
        </w:rPr>
      </w:pPr>
    </w:p>
    <w:p w14:paraId="334F4EA4" w14:textId="4AC5B032" w:rsidR="001B60C7" w:rsidRDefault="007B4B57" w:rsidP="001B60C7">
      <w:pPr>
        <w:rPr>
          <w:rStyle w:val="Strong"/>
          <w:rFonts w:cs="Arial"/>
          <w:b w:val="0"/>
          <w:bCs w:val="0"/>
        </w:rPr>
      </w:pPr>
      <w:r>
        <w:rPr>
          <w:rStyle w:val="Strong"/>
          <w:rFonts w:cs="Arial"/>
          <w:b w:val="0"/>
          <w:bCs w:val="0"/>
        </w:rPr>
        <w:t xml:space="preserve">Given </w:t>
      </w:r>
      <w:r w:rsidRPr="000D649D">
        <w:rPr>
          <w:rStyle w:val="Strong"/>
          <w:rFonts w:cs="Arial"/>
          <w:b w:val="0"/>
          <w:bCs w:val="0"/>
        </w:rPr>
        <w:t>that t</w:t>
      </w:r>
      <w:r w:rsidR="001B60C7" w:rsidRPr="000D649D">
        <w:rPr>
          <w:rStyle w:val="Strong"/>
          <w:rFonts w:cs="Arial"/>
          <w:b w:val="0"/>
          <w:bCs w:val="0"/>
        </w:rPr>
        <w:t>he oldest</w:t>
      </w:r>
      <w:r w:rsidR="001B60C7" w:rsidRPr="18E0496C">
        <w:rPr>
          <w:rStyle w:val="Strong"/>
          <w:rFonts w:cs="Arial"/>
          <w:b w:val="0"/>
          <w:bCs w:val="0"/>
        </w:rPr>
        <w:t xml:space="preserve"> </w:t>
      </w:r>
      <w:r w:rsidR="00E636C0">
        <w:rPr>
          <w:rStyle w:val="Strong"/>
          <w:rFonts w:cs="Arial"/>
          <w:b w:val="0"/>
          <w:bCs w:val="0"/>
        </w:rPr>
        <w:t xml:space="preserve">permanent </w:t>
      </w:r>
      <w:r w:rsidR="001B60C7" w:rsidRPr="18E0496C">
        <w:rPr>
          <w:rStyle w:val="Strong"/>
          <w:rFonts w:cs="Arial"/>
          <w:b w:val="0"/>
          <w:bCs w:val="0"/>
        </w:rPr>
        <w:t xml:space="preserve">post-1989 stands will be </w:t>
      </w:r>
      <w:r w:rsidR="001B60C7" w:rsidRPr="000D649D">
        <w:rPr>
          <w:rStyle w:val="Strong"/>
          <w:rFonts w:cs="Arial"/>
          <w:b w:val="0"/>
          <w:bCs w:val="0"/>
        </w:rPr>
        <w:t xml:space="preserve">40 years </w:t>
      </w:r>
      <w:r w:rsidR="00D06CD0" w:rsidRPr="000D649D">
        <w:rPr>
          <w:rStyle w:val="Strong"/>
          <w:rFonts w:cs="Arial"/>
          <w:b w:val="0"/>
          <w:bCs w:val="0"/>
        </w:rPr>
        <w:t xml:space="preserve">old </w:t>
      </w:r>
      <w:r w:rsidR="001B60C7" w:rsidRPr="000D649D">
        <w:rPr>
          <w:rStyle w:val="Strong"/>
          <w:rFonts w:cs="Arial"/>
          <w:b w:val="0"/>
          <w:bCs w:val="0"/>
        </w:rPr>
        <w:t>in 2030</w:t>
      </w:r>
      <w:r w:rsidR="00031A33" w:rsidRPr="000D649D">
        <w:rPr>
          <w:rStyle w:val="Strong"/>
          <w:rFonts w:cs="Arial"/>
          <w:b w:val="0"/>
          <w:bCs w:val="0"/>
        </w:rPr>
        <w:t xml:space="preserve">, </w:t>
      </w:r>
      <w:r w:rsidR="001B60C7" w:rsidRPr="000D649D">
        <w:rPr>
          <w:rStyle w:val="Strong"/>
          <w:rFonts w:cs="Arial"/>
          <w:b w:val="0"/>
          <w:bCs w:val="0"/>
        </w:rPr>
        <w:t>they will remain under stock change accounting during the Paris Agreement compliance period</w:t>
      </w:r>
      <w:r w:rsidR="00525FF9">
        <w:rPr>
          <w:rStyle w:val="Strong"/>
          <w:rFonts w:cs="Arial"/>
          <w:b w:val="0"/>
          <w:bCs w:val="0"/>
        </w:rPr>
        <w:t xml:space="preserve"> </w:t>
      </w:r>
      <w:r w:rsidR="00525FF9" w:rsidRPr="000D649D">
        <w:rPr>
          <w:rStyle w:val="Strong"/>
          <w:rFonts w:cs="Arial"/>
          <w:b w:val="0"/>
          <w:bCs w:val="0"/>
        </w:rPr>
        <w:t xml:space="preserve">as long as the LTA age </w:t>
      </w:r>
      <w:r w:rsidR="004013A6">
        <w:rPr>
          <w:rStyle w:val="Strong"/>
          <w:rFonts w:cs="Arial"/>
          <w:b w:val="0"/>
          <w:bCs w:val="0"/>
        </w:rPr>
        <w:t xml:space="preserve">for permanent forests </w:t>
      </w:r>
      <w:r w:rsidR="00525FF9" w:rsidRPr="000D649D">
        <w:rPr>
          <w:rStyle w:val="Strong"/>
          <w:rFonts w:cs="Arial"/>
          <w:b w:val="0"/>
          <w:bCs w:val="0"/>
        </w:rPr>
        <w:t>is over 40 years</w:t>
      </w:r>
      <w:r w:rsidR="001B60C7" w:rsidRPr="000D649D">
        <w:rPr>
          <w:rStyle w:val="Strong"/>
          <w:rFonts w:cs="Arial"/>
          <w:b w:val="0"/>
          <w:bCs w:val="0"/>
        </w:rPr>
        <w:t>. If the LTA was under 33 there may already be permanent post-1989 forest past their LTA. This could apply to pine stands intended to transition to native forest. If these stands were assigned a long-term average stock equivalent to the mean stock in pre-1990 natural forests (</w:t>
      </w:r>
      <w:r w:rsidR="00CD2662">
        <w:rPr>
          <w:rStyle w:val="Strong"/>
          <w:rFonts w:cs="Arial"/>
          <w:b w:val="0"/>
          <w:bCs w:val="0"/>
        </w:rPr>
        <w:t>812.5</w:t>
      </w:r>
      <w:r w:rsidR="001B60C7" w:rsidRPr="000D649D">
        <w:rPr>
          <w:rStyle w:val="Strong"/>
          <w:rFonts w:cs="Arial"/>
          <w:b w:val="0"/>
          <w:bCs w:val="0"/>
        </w:rPr>
        <w:t xml:space="preserve"> t CO</w:t>
      </w:r>
      <w:r w:rsidR="001B60C7" w:rsidRPr="000D649D">
        <w:rPr>
          <w:rStyle w:val="Strong"/>
          <w:rFonts w:cs="Arial"/>
          <w:b w:val="0"/>
          <w:bCs w:val="0"/>
          <w:vertAlign w:val="subscript"/>
        </w:rPr>
        <w:t>2</w:t>
      </w:r>
      <w:r w:rsidR="00550819">
        <w:rPr>
          <w:rStyle w:val="Strong"/>
          <w:rFonts w:cs="Arial"/>
          <w:b w:val="0"/>
          <w:bCs w:val="0"/>
        </w:rPr>
        <w:t xml:space="preserve"> </w:t>
      </w:r>
      <w:r w:rsidR="001B60C7" w:rsidRPr="000D649D">
        <w:rPr>
          <w:rStyle w:val="Strong"/>
          <w:rFonts w:cs="Arial"/>
          <w:b w:val="0"/>
          <w:bCs w:val="0"/>
        </w:rPr>
        <w:t>ha</w:t>
      </w:r>
      <w:r w:rsidR="00550819" w:rsidRPr="00550819">
        <w:rPr>
          <w:rStyle w:val="Strong"/>
          <w:rFonts w:cs="Arial"/>
          <w:b w:val="0"/>
          <w:bCs w:val="0"/>
          <w:vertAlign w:val="superscript"/>
        </w:rPr>
        <w:t>-1</w:t>
      </w:r>
      <w:r w:rsidR="001B60C7" w:rsidRPr="000D649D">
        <w:rPr>
          <w:rStyle w:val="Strong"/>
          <w:rFonts w:cs="Arial"/>
          <w:b w:val="0"/>
          <w:bCs w:val="0"/>
        </w:rPr>
        <w:t xml:space="preserve">), this would be achieved by post-1989 planted </w:t>
      </w:r>
      <w:r w:rsidR="001B60C7" w:rsidRPr="000D649D">
        <w:rPr>
          <w:rStyle w:val="Strong"/>
          <w:rFonts w:cs="Arial"/>
          <w:b w:val="0"/>
          <w:bCs w:val="0"/>
        </w:rPr>
        <w:lastRenderedPageBreak/>
        <w:t xml:space="preserve">forests after only </w:t>
      </w:r>
      <w:r w:rsidR="00EC5989">
        <w:rPr>
          <w:rStyle w:val="Strong"/>
          <w:rFonts w:cs="Arial"/>
          <w:b w:val="0"/>
          <w:bCs w:val="0"/>
        </w:rPr>
        <w:t>24</w:t>
      </w:r>
      <w:r w:rsidR="001B60C7" w:rsidRPr="000D649D">
        <w:rPr>
          <w:rStyle w:val="Strong"/>
          <w:rFonts w:cs="Arial"/>
          <w:b w:val="0"/>
          <w:bCs w:val="0"/>
        </w:rPr>
        <w:t xml:space="preserve"> years</w:t>
      </w:r>
      <w:r w:rsidR="004E2806">
        <w:rPr>
          <w:rStyle w:val="Strong"/>
          <w:rFonts w:cs="Arial"/>
          <w:b w:val="0"/>
          <w:bCs w:val="0"/>
        </w:rPr>
        <w:t xml:space="preserve"> (Figure 3)</w:t>
      </w:r>
      <w:r w:rsidR="001B60C7" w:rsidRPr="000D649D">
        <w:rPr>
          <w:rStyle w:val="Strong"/>
          <w:rFonts w:cs="Arial"/>
          <w:b w:val="0"/>
          <w:bCs w:val="0"/>
        </w:rPr>
        <w:t>.</w:t>
      </w:r>
      <w:r w:rsidR="003D4FA8" w:rsidRPr="000D649D">
        <w:rPr>
          <w:rStyle w:val="FootnoteReference"/>
          <w:rFonts w:cs="Arial"/>
        </w:rPr>
        <w:footnoteReference w:id="5"/>
      </w:r>
      <w:r w:rsidR="001B60C7" w:rsidRPr="18E0496C">
        <w:rPr>
          <w:rStyle w:val="Strong"/>
          <w:rFonts w:cs="Arial"/>
          <w:b w:val="0"/>
          <w:bCs w:val="0"/>
        </w:rPr>
        <w:t xml:space="preserve"> However</w:t>
      </w:r>
      <w:r w:rsidR="001B60C7">
        <w:rPr>
          <w:rStyle w:val="Strong"/>
          <w:rFonts w:cs="Arial"/>
          <w:b w:val="0"/>
          <w:bCs w:val="0"/>
        </w:rPr>
        <w:t>,</w:t>
      </w:r>
      <w:r w:rsidR="001B60C7" w:rsidRPr="18E0496C">
        <w:rPr>
          <w:rStyle w:val="Strong"/>
          <w:rFonts w:cs="Arial"/>
          <w:b w:val="0"/>
          <w:bCs w:val="0"/>
        </w:rPr>
        <w:t xml:space="preserve"> </w:t>
      </w:r>
      <w:r w:rsidR="001B60C7">
        <w:rPr>
          <w:rStyle w:val="Strong"/>
          <w:rFonts w:cs="Arial"/>
          <w:b w:val="0"/>
          <w:bCs w:val="0"/>
        </w:rPr>
        <w:t xml:space="preserve">in practice </w:t>
      </w:r>
      <w:r w:rsidR="001B60C7" w:rsidRPr="18E0496C">
        <w:rPr>
          <w:rStyle w:val="Strong"/>
          <w:rFonts w:cs="Arial"/>
          <w:b w:val="0"/>
          <w:bCs w:val="0"/>
        </w:rPr>
        <w:t>the transition is likely to result in a long period in which the stock falls below th</w:t>
      </w:r>
      <w:r w:rsidR="000E56FF">
        <w:rPr>
          <w:rStyle w:val="Strong"/>
          <w:rFonts w:cs="Arial"/>
          <w:b w:val="0"/>
          <w:bCs w:val="0"/>
        </w:rPr>
        <w:t>is</w:t>
      </w:r>
      <w:r w:rsidR="001B60C7" w:rsidRPr="18E0496C">
        <w:rPr>
          <w:rStyle w:val="Strong"/>
          <w:rFonts w:cs="Arial"/>
          <w:b w:val="0"/>
          <w:bCs w:val="0"/>
        </w:rPr>
        <w:t xml:space="preserve"> LTA, which may not be reached for centuries.</w:t>
      </w:r>
      <w:r w:rsidR="00393831">
        <w:rPr>
          <w:rStyle w:val="Strong"/>
          <w:rFonts w:cs="Arial"/>
          <w:b w:val="0"/>
          <w:bCs w:val="0"/>
        </w:rPr>
        <w:t xml:space="preserve"> </w:t>
      </w:r>
      <w:r w:rsidR="00EB557C">
        <w:rPr>
          <w:rStyle w:val="Strong"/>
          <w:rFonts w:cs="Arial"/>
          <w:b w:val="0"/>
          <w:bCs w:val="0"/>
        </w:rPr>
        <w:t>Repeated 50</w:t>
      </w:r>
      <w:r w:rsidR="0002232D">
        <w:rPr>
          <w:rStyle w:val="Strong"/>
          <w:rFonts w:cs="Arial"/>
          <w:b w:val="0"/>
          <w:bCs w:val="0"/>
        </w:rPr>
        <w:t>-</w:t>
      </w:r>
      <w:r w:rsidR="00EB557C">
        <w:rPr>
          <w:rStyle w:val="Strong"/>
          <w:rFonts w:cs="Arial"/>
          <w:b w:val="0"/>
          <w:bCs w:val="0"/>
        </w:rPr>
        <w:t>year rotations would also result in a LTA age well below 40 years.</w:t>
      </w:r>
    </w:p>
    <w:p w14:paraId="25F047C1" w14:textId="77777777" w:rsidR="0016780B" w:rsidRDefault="0016780B" w:rsidP="00A35F7A">
      <w:pPr>
        <w:spacing w:line="276" w:lineRule="auto"/>
        <w:rPr>
          <w:lang w:eastAsia="en-NZ"/>
        </w:rPr>
      </w:pPr>
    </w:p>
    <w:p w14:paraId="0D518153" w14:textId="76E702EE" w:rsidR="00734742" w:rsidRDefault="008853C4" w:rsidP="00A35F7A">
      <w:pPr>
        <w:spacing w:line="276" w:lineRule="auto"/>
        <w:rPr>
          <w:lang w:eastAsia="en-NZ"/>
        </w:rPr>
      </w:pPr>
      <w:r>
        <w:rPr>
          <w:noProof/>
          <w:lang w:eastAsia="en-NZ"/>
        </w:rPr>
        <w:drawing>
          <wp:inline distT="0" distB="0" distL="0" distR="0" wp14:anchorId="22C09D18" wp14:editId="304C63CA">
            <wp:extent cx="5542915" cy="3382740"/>
            <wp:effectExtent l="0" t="0" r="635" b="8255"/>
            <wp:docPr id="1662193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8352" cy="3386058"/>
                    </a:xfrm>
                    <a:prstGeom prst="rect">
                      <a:avLst/>
                    </a:prstGeom>
                    <a:noFill/>
                  </pic:spPr>
                </pic:pic>
              </a:graphicData>
            </a:graphic>
          </wp:inline>
        </w:drawing>
      </w:r>
    </w:p>
    <w:p w14:paraId="10B95AE2" w14:textId="77777777" w:rsidR="00734742" w:rsidRDefault="00734742" w:rsidP="00A35F7A">
      <w:pPr>
        <w:spacing w:line="276" w:lineRule="auto"/>
        <w:rPr>
          <w:lang w:eastAsia="en-NZ"/>
        </w:rPr>
      </w:pPr>
    </w:p>
    <w:p w14:paraId="6E4D7F6D" w14:textId="0887323A" w:rsidR="004E2806" w:rsidRPr="0042748C" w:rsidRDefault="004E2806" w:rsidP="00A35F7A">
      <w:pPr>
        <w:spacing w:line="276" w:lineRule="auto"/>
        <w:rPr>
          <w:b/>
          <w:bCs/>
          <w:lang w:eastAsia="en-NZ"/>
        </w:rPr>
      </w:pPr>
      <w:r w:rsidRPr="0042748C">
        <w:rPr>
          <w:b/>
          <w:bCs/>
          <w:lang w:eastAsia="en-NZ"/>
        </w:rPr>
        <w:t>Figure 3.</w:t>
      </w:r>
      <w:r w:rsidR="009878AC" w:rsidRPr="0042748C">
        <w:rPr>
          <w:b/>
          <w:bCs/>
          <w:lang w:eastAsia="en-NZ"/>
        </w:rPr>
        <w:t xml:space="preserve"> </w:t>
      </w:r>
      <w:r w:rsidR="009878AC" w:rsidRPr="003E54AB">
        <w:rPr>
          <w:rStyle w:val="Strong"/>
          <w:rFonts w:cs="Arial"/>
        </w:rPr>
        <w:t>Post</w:t>
      </w:r>
      <w:r w:rsidR="009878AC" w:rsidRPr="00F67A67">
        <w:rPr>
          <w:rStyle w:val="Strong"/>
          <w:rFonts w:cs="Arial"/>
        </w:rPr>
        <w:t xml:space="preserve">-1989 </w:t>
      </w:r>
      <w:r w:rsidR="009878AC">
        <w:rPr>
          <w:rStyle w:val="Strong"/>
          <w:rFonts w:cs="Arial"/>
        </w:rPr>
        <w:t xml:space="preserve">combined species planted forest </w:t>
      </w:r>
      <w:r w:rsidR="009878AC" w:rsidRPr="00F67A67">
        <w:rPr>
          <w:rStyle w:val="Strong"/>
          <w:rFonts w:cs="Arial"/>
        </w:rPr>
        <w:t>carbon yield table</w:t>
      </w:r>
      <w:r w:rsidR="009878AC">
        <w:rPr>
          <w:rStyle w:val="Strong"/>
          <w:rFonts w:cs="Arial"/>
        </w:rPr>
        <w:t xml:space="preserve"> (</w:t>
      </w:r>
      <w:r w:rsidR="009878AC" w:rsidRPr="0093594D">
        <w:rPr>
          <w:rStyle w:val="Strong"/>
          <w:rFonts w:cs="Arial"/>
          <w:i/>
          <w:iCs/>
        </w:rPr>
        <w:t>Po</w:t>
      </w:r>
      <w:r w:rsidR="0093594D" w:rsidRPr="0093594D">
        <w:rPr>
          <w:rStyle w:val="Strong"/>
          <w:rFonts w:cs="Arial"/>
          <w:i/>
          <w:iCs/>
        </w:rPr>
        <w:t>st89 PF</w:t>
      </w:r>
      <w:r w:rsidR="0093594D">
        <w:rPr>
          <w:rStyle w:val="Strong"/>
          <w:rFonts w:cs="Arial"/>
        </w:rPr>
        <w:t>)</w:t>
      </w:r>
      <w:r w:rsidR="009878AC" w:rsidRPr="00F67A67">
        <w:rPr>
          <w:rStyle w:val="Strong"/>
          <w:rFonts w:cs="Arial"/>
        </w:rPr>
        <w:t xml:space="preserve">, </w:t>
      </w:r>
      <w:r w:rsidR="0093594D">
        <w:rPr>
          <w:rStyle w:val="Strong"/>
          <w:rFonts w:cs="Arial"/>
        </w:rPr>
        <w:t xml:space="preserve">shown with </w:t>
      </w:r>
      <w:r w:rsidR="006C609B">
        <w:rPr>
          <w:rStyle w:val="Strong"/>
          <w:rFonts w:cs="Arial"/>
        </w:rPr>
        <w:t>post-1989 natural forest carbon yield tables and LTA stock from Figure 1</w:t>
      </w:r>
      <w:r w:rsidR="006C609B" w:rsidRPr="007E0FA9">
        <w:rPr>
          <w:rStyle w:val="Strong"/>
          <w:rFonts w:cs="Arial"/>
          <w:b w:val="0"/>
          <w:bCs w:val="0"/>
        </w:rPr>
        <w:t>.</w:t>
      </w:r>
      <w:r w:rsidR="00173A18" w:rsidRPr="0042748C">
        <w:rPr>
          <w:rStyle w:val="Strong"/>
          <w:rFonts w:cs="Arial"/>
          <w:b w:val="0"/>
          <w:bCs w:val="0"/>
        </w:rPr>
        <w:t xml:space="preserve"> </w:t>
      </w:r>
      <w:r w:rsidR="009878AC" w:rsidRPr="0042748C">
        <w:rPr>
          <w:rStyle w:val="Strong"/>
          <w:rFonts w:cs="Arial"/>
          <w:b w:val="0"/>
          <w:bCs w:val="0"/>
        </w:rPr>
        <w:t xml:space="preserve">Also shown: </w:t>
      </w:r>
      <w:r w:rsidR="00330C13" w:rsidRPr="0042748C">
        <w:rPr>
          <w:rStyle w:val="Strong"/>
          <w:rFonts w:cs="Arial"/>
          <w:b w:val="0"/>
          <w:bCs w:val="0"/>
        </w:rPr>
        <w:t>m</w:t>
      </w:r>
      <w:r w:rsidR="009878AC" w:rsidRPr="0042748C">
        <w:rPr>
          <w:rStyle w:val="Strong"/>
          <w:rFonts w:cs="Arial"/>
          <w:b w:val="0"/>
          <w:bCs w:val="0"/>
        </w:rPr>
        <w:t>aximum possible age during Paris Agreement compliance period (age 40)</w:t>
      </w:r>
      <w:r w:rsidR="00330C13" w:rsidRPr="0042748C">
        <w:rPr>
          <w:rStyle w:val="Strong"/>
          <w:rFonts w:cs="Arial"/>
          <w:b w:val="0"/>
          <w:bCs w:val="0"/>
        </w:rPr>
        <w:t xml:space="preserve"> and corresponding carbon stock</w:t>
      </w:r>
      <w:r w:rsidR="00463146" w:rsidRPr="0042748C">
        <w:rPr>
          <w:rStyle w:val="Strong"/>
          <w:rFonts w:cs="Arial"/>
          <w:b w:val="0"/>
          <w:bCs w:val="0"/>
        </w:rPr>
        <w:t xml:space="preserve">, and achievement </w:t>
      </w:r>
      <w:r w:rsidR="008E1FDC" w:rsidRPr="0042748C">
        <w:rPr>
          <w:rStyle w:val="Strong"/>
          <w:rFonts w:cs="Arial"/>
          <w:b w:val="0"/>
          <w:bCs w:val="0"/>
        </w:rPr>
        <w:t xml:space="preserve">by planted forests </w:t>
      </w:r>
      <w:r w:rsidR="00463146" w:rsidRPr="0042748C">
        <w:rPr>
          <w:rStyle w:val="Strong"/>
          <w:rFonts w:cs="Arial"/>
          <w:b w:val="0"/>
          <w:bCs w:val="0"/>
        </w:rPr>
        <w:t>of the p</w:t>
      </w:r>
      <w:r w:rsidR="00B126D5" w:rsidRPr="0042748C">
        <w:rPr>
          <w:rStyle w:val="Strong"/>
          <w:rFonts w:cs="Arial"/>
          <w:b w:val="0"/>
          <w:bCs w:val="0"/>
        </w:rPr>
        <w:t xml:space="preserve">re-1990 </w:t>
      </w:r>
      <w:r w:rsidR="00463146" w:rsidRPr="0042748C">
        <w:rPr>
          <w:rStyle w:val="Strong"/>
          <w:rFonts w:cs="Arial"/>
          <w:b w:val="0"/>
          <w:bCs w:val="0"/>
        </w:rPr>
        <w:t xml:space="preserve">average </w:t>
      </w:r>
      <w:r w:rsidR="00B126D5" w:rsidRPr="0042748C">
        <w:rPr>
          <w:rStyle w:val="Strong"/>
          <w:rFonts w:cs="Arial"/>
          <w:b w:val="0"/>
          <w:bCs w:val="0"/>
        </w:rPr>
        <w:t xml:space="preserve">natural forest </w:t>
      </w:r>
      <w:r w:rsidR="00463146" w:rsidRPr="0042748C">
        <w:rPr>
          <w:rStyle w:val="Strong"/>
          <w:rFonts w:cs="Arial"/>
          <w:b w:val="0"/>
          <w:bCs w:val="0"/>
        </w:rPr>
        <w:t>stock of 81</w:t>
      </w:r>
      <w:r w:rsidR="00806895" w:rsidRPr="0042748C">
        <w:rPr>
          <w:rStyle w:val="Strong"/>
          <w:rFonts w:cs="Arial"/>
          <w:b w:val="0"/>
          <w:bCs w:val="0"/>
        </w:rPr>
        <w:t>2</w:t>
      </w:r>
      <w:r w:rsidR="00463146" w:rsidRPr="0042748C">
        <w:rPr>
          <w:rStyle w:val="Strong"/>
          <w:rFonts w:cs="Arial"/>
          <w:b w:val="0"/>
          <w:bCs w:val="0"/>
        </w:rPr>
        <w:t>.5 t CO</w:t>
      </w:r>
      <w:r w:rsidR="00463146" w:rsidRPr="0042748C">
        <w:rPr>
          <w:rStyle w:val="Strong"/>
          <w:rFonts w:cs="Arial"/>
          <w:b w:val="0"/>
          <w:bCs w:val="0"/>
          <w:vertAlign w:val="subscript"/>
        </w:rPr>
        <w:t>2</w:t>
      </w:r>
      <w:r w:rsidR="00463146" w:rsidRPr="0042748C">
        <w:rPr>
          <w:rStyle w:val="Strong"/>
          <w:rFonts w:cs="Arial"/>
          <w:b w:val="0"/>
          <w:bCs w:val="0"/>
        </w:rPr>
        <w:t xml:space="preserve">/ha </w:t>
      </w:r>
      <w:r w:rsidR="008C2F62">
        <w:rPr>
          <w:rStyle w:val="Strong"/>
          <w:rFonts w:cs="Arial"/>
          <w:b w:val="0"/>
          <w:bCs w:val="0"/>
        </w:rPr>
        <w:t>(</w:t>
      </w:r>
      <w:r w:rsidR="008C2F62" w:rsidRPr="0042428F">
        <w:rPr>
          <w:rStyle w:val="Strong"/>
          <w:rFonts w:cs="Arial"/>
          <w:b w:val="0"/>
          <w:bCs w:val="0"/>
          <w:i/>
          <w:iCs/>
        </w:rPr>
        <w:t>LTA weighted Pre90 NF</w:t>
      </w:r>
      <w:r w:rsidR="0042428F" w:rsidRPr="0042428F">
        <w:rPr>
          <w:rStyle w:val="Strong"/>
          <w:rFonts w:cs="Arial"/>
          <w:b w:val="0"/>
          <w:bCs w:val="0"/>
          <w:i/>
          <w:iCs/>
        </w:rPr>
        <w:t>)</w:t>
      </w:r>
      <w:r w:rsidR="0042428F">
        <w:rPr>
          <w:rStyle w:val="Strong"/>
          <w:rFonts w:cs="Arial"/>
          <w:b w:val="0"/>
          <w:bCs w:val="0"/>
        </w:rPr>
        <w:t xml:space="preserve"> </w:t>
      </w:r>
      <w:r w:rsidR="00B126D5" w:rsidRPr="0042748C">
        <w:rPr>
          <w:rStyle w:val="Strong"/>
          <w:rFonts w:cs="Arial"/>
          <w:b w:val="0"/>
          <w:bCs w:val="0"/>
        </w:rPr>
        <w:t xml:space="preserve">by </w:t>
      </w:r>
      <w:r w:rsidR="00E14DCC" w:rsidRPr="0042748C">
        <w:rPr>
          <w:rStyle w:val="Strong"/>
          <w:rFonts w:cs="Arial"/>
          <w:b w:val="0"/>
          <w:bCs w:val="0"/>
        </w:rPr>
        <w:t>age 2</w:t>
      </w:r>
      <w:r w:rsidR="00806895" w:rsidRPr="0042748C">
        <w:rPr>
          <w:rStyle w:val="Strong"/>
          <w:rFonts w:cs="Arial"/>
          <w:b w:val="0"/>
          <w:bCs w:val="0"/>
        </w:rPr>
        <w:t>4</w:t>
      </w:r>
      <w:r w:rsidR="00E14DCC" w:rsidRPr="0042748C">
        <w:rPr>
          <w:rStyle w:val="Strong"/>
          <w:rFonts w:cs="Arial"/>
          <w:b w:val="0"/>
          <w:bCs w:val="0"/>
        </w:rPr>
        <w:t>.</w:t>
      </w:r>
    </w:p>
    <w:p w14:paraId="074D6B3F" w14:textId="77777777" w:rsidR="00734742" w:rsidRDefault="00734742" w:rsidP="00A35F7A">
      <w:pPr>
        <w:spacing w:line="276" w:lineRule="auto"/>
        <w:rPr>
          <w:lang w:eastAsia="en-NZ"/>
        </w:rPr>
      </w:pPr>
    </w:p>
    <w:p w14:paraId="3FD9A1D0" w14:textId="77777777" w:rsidR="0074159D" w:rsidRPr="006947CB" w:rsidRDefault="0074159D" w:rsidP="0074159D">
      <w:pPr>
        <w:rPr>
          <w:rStyle w:val="Strong"/>
          <w:rFonts w:cs="Arial"/>
          <w:b w:val="0"/>
          <w:bCs w:val="0"/>
          <w:i/>
          <w:iCs/>
        </w:rPr>
      </w:pPr>
      <w:r w:rsidRPr="006947CB">
        <w:rPr>
          <w:rStyle w:val="Strong"/>
          <w:rFonts w:cs="Arial"/>
          <w:b w:val="0"/>
          <w:bCs w:val="0"/>
          <w:i/>
          <w:iCs/>
        </w:rPr>
        <w:t>Accounting treatment summary</w:t>
      </w:r>
    </w:p>
    <w:p w14:paraId="1B218DB8" w14:textId="77777777" w:rsidR="0074159D" w:rsidRDefault="0074159D" w:rsidP="0074159D">
      <w:pPr>
        <w:rPr>
          <w:rStyle w:val="Strong"/>
          <w:rFonts w:cs="Arial"/>
          <w:b w:val="0"/>
          <w:bCs w:val="0"/>
        </w:rPr>
      </w:pPr>
    </w:p>
    <w:p w14:paraId="0A8BBDA9" w14:textId="1F2811E1" w:rsidR="001C3F66" w:rsidRDefault="001C3F66" w:rsidP="001C3F66">
      <w:pPr>
        <w:rPr>
          <w:rStyle w:val="Strong"/>
          <w:rFonts w:cs="Arial"/>
          <w:b w:val="0"/>
          <w:bCs w:val="0"/>
        </w:rPr>
      </w:pPr>
      <w:r>
        <w:rPr>
          <w:rStyle w:val="Strong"/>
          <w:rFonts w:cs="Arial"/>
          <w:b w:val="0"/>
          <w:bCs w:val="0"/>
        </w:rPr>
        <w:t xml:space="preserve">Similar uncertainty surrounds future carbon stocks for </w:t>
      </w:r>
      <w:r w:rsidR="00A32294">
        <w:rPr>
          <w:rStyle w:val="Strong"/>
          <w:rFonts w:cs="Arial"/>
          <w:b w:val="0"/>
          <w:bCs w:val="0"/>
        </w:rPr>
        <w:t xml:space="preserve">post-1989 </w:t>
      </w:r>
      <w:r>
        <w:rPr>
          <w:rStyle w:val="Strong"/>
          <w:rFonts w:cs="Arial"/>
          <w:b w:val="0"/>
          <w:bCs w:val="0"/>
        </w:rPr>
        <w:t xml:space="preserve">permanent planted forests as for post-1989 natural forests, particularly as the </w:t>
      </w:r>
      <w:r w:rsidR="00A32294">
        <w:rPr>
          <w:rStyle w:val="Strong"/>
          <w:rFonts w:cs="Arial"/>
          <w:b w:val="0"/>
          <w:bCs w:val="0"/>
        </w:rPr>
        <w:t xml:space="preserve">intention for some of these planted forests is </w:t>
      </w:r>
      <w:r w:rsidR="008F02D5">
        <w:rPr>
          <w:rStyle w:val="Strong"/>
          <w:rFonts w:cs="Arial"/>
          <w:b w:val="0"/>
          <w:bCs w:val="0"/>
        </w:rPr>
        <w:t>a</w:t>
      </w:r>
      <w:r w:rsidR="00A32294">
        <w:rPr>
          <w:rStyle w:val="Strong"/>
          <w:rFonts w:cs="Arial"/>
          <w:b w:val="0"/>
          <w:bCs w:val="0"/>
        </w:rPr>
        <w:t xml:space="preserve"> </w:t>
      </w:r>
      <w:r w:rsidR="008F02D5">
        <w:rPr>
          <w:rStyle w:val="Strong"/>
          <w:rFonts w:cs="Arial"/>
          <w:b w:val="0"/>
          <w:bCs w:val="0"/>
        </w:rPr>
        <w:t xml:space="preserve">transition to indigenous forest. </w:t>
      </w:r>
      <w:r w:rsidR="00922234">
        <w:rPr>
          <w:rStyle w:val="Strong"/>
          <w:rFonts w:cs="Arial"/>
          <w:b w:val="0"/>
          <w:bCs w:val="0"/>
        </w:rPr>
        <w:t xml:space="preserve">The </w:t>
      </w:r>
      <w:r w:rsidR="00791498">
        <w:rPr>
          <w:rStyle w:val="Strong"/>
          <w:rFonts w:cs="Arial"/>
          <w:b w:val="0"/>
          <w:bCs w:val="0"/>
        </w:rPr>
        <w:t xml:space="preserve">carbon </w:t>
      </w:r>
      <w:r w:rsidR="00922234">
        <w:rPr>
          <w:rStyle w:val="Strong"/>
          <w:rFonts w:cs="Arial"/>
          <w:b w:val="0"/>
          <w:bCs w:val="0"/>
        </w:rPr>
        <w:t>sequestration rate</w:t>
      </w:r>
      <w:r w:rsidR="00D57F8E">
        <w:rPr>
          <w:rStyle w:val="Strong"/>
          <w:rFonts w:cs="Arial"/>
          <w:b w:val="0"/>
          <w:bCs w:val="0"/>
        </w:rPr>
        <w:t xml:space="preserve"> for </w:t>
      </w:r>
      <w:r w:rsidR="000C50C2">
        <w:rPr>
          <w:rStyle w:val="Strong"/>
          <w:rFonts w:cs="Arial"/>
          <w:b w:val="0"/>
          <w:bCs w:val="0"/>
        </w:rPr>
        <w:t xml:space="preserve">planted </w:t>
      </w:r>
      <w:r w:rsidR="005958E3">
        <w:rPr>
          <w:rStyle w:val="Strong"/>
          <w:rFonts w:cs="Arial"/>
          <w:b w:val="0"/>
          <w:bCs w:val="0"/>
        </w:rPr>
        <w:t>for</w:t>
      </w:r>
      <w:r w:rsidR="00D253A5">
        <w:rPr>
          <w:rStyle w:val="Strong"/>
          <w:rFonts w:cs="Arial"/>
          <w:b w:val="0"/>
          <w:bCs w:val="0"/>
        </w:rPr>
        <w:t>e</w:t>
      </w:r>
      <w:r w:rsidR="005958E3">
        <w:rPr>
          <w:rStyle w:val="Strong"/>
          <w:rFonts w:cs="Arial"/>
          <w:b w:val="0"/>
          <w:bCs w:val="0"/>
        </w:rPr>
        <w:t xml:space="preserve">st is much higher than for natural forests, so it </w:t>
      </w:r>
      <w:r w:rsidR="00375BA9">
        <w:rPr>
          <w:rStyle w:val="Strong"/>
          <w:rFonts w:cs="Arial"/>
          <w:b w:val="0"/>
          <w:bCs w:val="0"/>
        </w:rPr>
        <w:t>is more likely that a LTA stock will be</w:t>
      </w:r>
      <w:r w:rsidR="007C6EAC">
        <w:rPr>
          <w:rStyle w:val="Strong"/>
          <w:rFonts w:cs="Arial"/>
          <w:b w:val="0"/>
          <w:bCs w:val="0"/>
        </w:rPr>
        <w:t xml:space="preserve"> exceeded during the compliance period. </w:t>
      </w:r>
    </w:p>
    <w:p w14:paraId="68B1B2B2" w14:textId="77777777" w:rsidR="00C12159" w:rsidRDefault="00C12159" w:rsidP="001C3F66">
      <w:pPr>
        <w:rPr>
          <w:rStyle w:val="Strong"/>
          <w:rFonts w:cs="Arial"/>
          <w:b w:val="0"/>
          <w:bCs w:val="0"/>
        </w:rPr>
      </w:pPr>
    </w:p>
    <w:p w14:paraId="52765DBA" w14:textId="38EF149C" w:rsidR="00267E5E" w:rsidRDefault="00267E5E" w:rsidP="00267E5E">
      <w:pPr>
        <w:rPr>
          <w:rStyle w:val="Strong"/>
          <w:rFonts w:cs="Arial"/>
          <w:b w:val="0"/>
          <w:bCs w:val="0"/>
        </w:rPr>
      </w:pPr>
      <w:r>
        <w:rPr>
          <w:rStyle w:val="Strong"/>
          <w:rFonts w:cs="Arial"/>
          <w:b w:val="0"/>
          <w:bCs w:val="0"/>
        </w:rPr>
        <w:t>It would be preferable for these forests to remain under stock change accounting indefinitely</w:t>
      </w:r>
      <w:r w:rsidR="007B73DF">
        <w:rPr>
          <w:rStyle w:val="Strong"/>
          <w:rFonts w:cs="Arial"/>
          <w:b w:val="0"/>
          <w:bCs w:val="0"/>
        </w:rPr>
        <w:t>, or at least until they can be categorised</w:t>
      </w:r>
      <w:r w:rsidR="00924374">
        <w:rPr>
          <w:rStyle w:val="Strong"/>
          <w:rFonts w:cs="Arial"/>
          <w:b w:val="0"/>
          <w:bCs w:val="0"/>
        </w:rPr>
        <w:t xml:space="preserve"> and modelled. If </w:t>
      </w:r>
      <w:r w:rsidR="009E1783">
        <w:rPr>
          <w:rStyle w:val="Strong"/>
          <w:rFonts w:cs="Arial"/>
          <w:b w:val="0"/>
          <w:bCs w:val="0"/>
        </w:rPr>
        <w:t xml:space="preserve">“averaging accounting” is to be applied, </w:t>
      </w:r>
      <w:r w:rsidR="00120D78">
        <w:rPr>
          <w:rStyle w:val="Strong"/>
          <w:rFonts w:cs="Arial"/>
          <w:b w:val="0"/>
          <w:bCs w:val="0"/>
        </w:rPr>
        <w:t xml:space="preserve">the LTA </w:t>
      </w:r>
      <w:r w:rsidR="0018691C">
        <w:rPr>
          <w:rStyle w:val="Strong"/>
          <w:rFonts w:cs="Arial"/>
          <w:b w:val="0"/>
          <w:bCs w:val="0"/>
        </w:rPr>
        <w:t xml:space="preserve">stock </w:t>
      </w:r>
      <w:r w:rsidR="00120D78">
        <w:rPr>
          <w:rStyle w:val="Strong"/>
          <w:rFonts w:cs="Arial"/>
          <w:b w:val="0"/>
          <w:bCs w:val="0"/>
        </w:rPr>
        <w:t>w</w:t>
      </w:r>
      <w:r w:rsidR="005307CA">
        <w:rPr>
          <w:rStyle w:val="Strong"/>
          <w:rFonts w:cs="Arial"/>
          <w:b w:val="0"/>
          <w:bCs w:val="0"/>
        </w:rPr>
        <w:t>ould</w:t>
      </w:r>
      <w:r w:rsidR="00120D78">
        <w:rPr>
          <w:rStyle w:val="Strong"/>
          <w:rFonts w:cs="Arial"/>
          <w:b w:val="0"/>
          <w:bCs w:val="0"/>
        </w:rPr>
        <w:t xml:space="preserve"> need to be at least 1397 </w:t>
      </w:r>
      <w:r w:rsidR="00550819" w:rsidRPr="000D649D">
        <w:rPr>
          <w:rStyle w:val="Strong"/>
          <w:rFonts w:cs="Arial"/>
          <w:b w:val="0"/>
          <w:bCs w:val="0"/>
        </w:rPr>
        <w:t>t CO</w:t>
      </w:r>
      <w:r w:rsidR="00550819" w:rsidRPr="000D649D">
        <w:rPr>
          <w:rStyle w:val="Strong"/>
          <w:rFonts w:cs="Arial"/>
          <w:b w:val="0"/>
          <w:bCs w:val="0"/>
          <w:vertAlign w:val="subscript"/>
        </w:rPr>
        <w:t>2</w:t>
      </w:r>
      <w:r w:rsidR="00550819">
        <w:rPr>
          <w:rStyle w:val="Strong"/>
          <w:rFonts w:cs="Arial"/>
          <w:b w:val="0"/>
          <w:bCs w:val="0"/>
        </w:rPr>
        <w:t xml:space="preserve"> </w:t>
      </w:r>
      <w:r w:rsidR="00550819" w:rsidRPr="000D649D">
        <w:rPr>
          <w:rStyle w:val="Strong"/>
          <w:rFonts w:cs="Arial"/>
          <w:b w:val="0"/>
          <w:bCs w:val="0"/>
        </w:rPr>
        <w:t>ha</w:t>
      </w:r>
      <w:r w:rsidR="00550819" w:rsidRPr="00550819">
        <w:rPr>
          <w:rStyle w:val="Strong"/>
          <w:rFonts w:cs="Arial"/>
          <w:b w:val="0"/>
          <w:bCs w:val="0"/>
          <w:vertAlign w:val="superscript"/>
        </w:rPr>
        <w:t>-1</w:t>
      </w:r>
      <w:r w:rsidR="00550819">
        <w:rPr>
          <w:rStyle w:val="Strong"/>
          <w:rFonts w:cs="Arial"/>
          <w:b w:val="0"/>
          <w:bCs w:val="0"/>
          <w:vertAlign w:val="superscript"/>
        </w:rPr>
        <w:t xml:space="preserve"> </w:t>
      </w:r>
      <w:r w:rsidR="000E6BB3">
        <w:rPr>
          <w:rStyle w:val="Strong"/>
          <w:rFonts w:cs="Arial"/>
          <w:b w:val="0"/>
          <w:bCs w:val="0"/>
        </w:rPr>
        <w:t xml:space="preserve">if all area is to </w:t>
      </w:r>
      <w:r w:rsidR="0042428F">
        <w:rPr>
          <w:rStyle w:val="Strong"/>
          <w:rFonts w:cs="Arial"/>
          <w:b w:val="0"/>
          <w:bCs w:val="0"/>
        </w:rPr>
        <w:t>remain</w:t>
      </w:r>
      <w:r w:rsidR="000E6BB3">
        <w:rPr>
          <w:rStyle w:val="Strong"/>
          <w:rFonts w:cs="Arial"/>
          <w:b w:val="0"/>
          <w:bCs w:val="0"/>
        </w:rPr>
        <w:t xml:space="preserve"> under stock change accounting during the </w:t>
      </w:r>
      <w:r w:rsidR="0018691C">
        <w:rPr>
          <w:rStyle w:val="Strong"/>
          <w:rFonts w:cs="Arial"/>
          <w:b w:val="0"/>
          <w:bCs w:val="0"/>
        </w:rPr>
        <w:t xml:space="preserve">2021-2030 </w:t>
      </w:r>
      <w:r w:rsidR="000E6BB3">
        <w:rPr>
          <w:rStyle w:val="Strong"/>
          <w:rFonts w:cs="Arial"/>
          <w:b w:val="0"/>
          <w:bCs w:val="0"/>
        </w:rPr>
        <w:t>compliance period.</w:t>
      </w:r>
      <w:r w:rsidR="005307CA">
        <w:rPr>
          <w:rStyle w:val="Strong"/>
          <w:rFonts w:cs="Arial"/>
          <w:b w:val="0"/>
          <w:bCs w:val="0"/>
        </w:rPr>
        <w:t xml:space="preserve"> </w:t>
      </w:r>
      <w:r w:rsidR="00B04BBB">
        <w:rPr>
          <w:rStyle w:val="Strong"/>
          <w:rFonts w:cs="Arial"/>
          <w:b w:val="0"/>
          <w:bCs w:val="0"/>
        </w:rPr>
        <w:t xml:space="preserve">Whether this </w:t>
      </w:r>
      <w:r w:rsidR="0018691C">
        <w:rPr>
          <w:rStyle w:val="Strong"/>
          <w:rFonts w:cs="Arial"/>
          <w:b w:val="0"/>
          <w:bCs w:val="0"/>
        </w:rPr>
        <w:t>is appropriate for</w:t>
      </w:r>
      <w:r w:rsidR="00761D1C">
        <w:rPr>
          <w:rStyle w:val="Strong"/>
          <w:rFonts w:cs="Arial"/>
          <w:b w:val="0"/>
          <w:bCs w:val="0"/>
        </w:rPr>
        <w:t xml:space="preserve"> the average permanent forest will depend on how these forests are </w:t>
      </w:r>
      <w:r w:rsidR="00816798">
        <w:rPr>
          <w:rStyle w:val="Strong"/>
          <w:rFonts w:cs="Arial"/>
          <w:b w:val="0"/>
          <w:bCs w:val="0"/>
        </w:rPr>
        <w:t>identified</w:t>
      </w:r>
      <w:r w:rsidR="00F63D97">
        <w:rPr>
          <w:rStyle w:val="Strong"/>
          <w:rFonts w:cs="Arial"/>
          <w:b w:val="0"/>
          <w:bCs w:val="0"/>
        </w:rPr>
        <w:t xml:space="preserve"> and managed</w:t>
      </w:r>
      <w:r w:rsidR="00562A72">
        <w:rPr>
          <w:rStyle w:val="Strong"/>
          <w:rFonts w:cs="Arial"/>
          <w:b w:val="0"/>
          <w:bCs w:val="0"/>
        </w:rPr>
        <w:t xml:space="preserve">, </w:t>
      </w:r>
      <w:r w:rsidR="00337C2B">
        <w:rPr>
          <w:rStyle w:val="Strong"/>
          <w:rFonts w:cs="Arial"/>
          <w:b w:val="0"/>
          <w:bCs w:val="0"/>
        </w:rPr>
        <w:t>and the yield table is likely to need to be revised as more information becomes available</w:t>
      </w:r>
      <w:r w:rsidR="00DD010D">
        <w:rPr>
          <w:rStyle w:val="Strong"/>
          <w:rFonts w:cs="Arial"/>
          <w:b w:val="0"/>
          <w:bCs w:val="0"/>
        </w:rPr>
        <w:t>.</w:t>
      </w:r>
    </w:p>
    <w:p w14:paraId="33CFACB9" w14:textId="77777777" w:rsidR="00110AC0" w:rsidRDefault="00110AC0" w:rsidP="00110AC0">
      <w:pPr>
        <w:rPr>
          <w:rStyle w:val="Strong"/>
          <w:rFonts w:cs="Arial"/>
          <w:b w:val="0"/>
          <w:bCs w:val="0"/>
        </w:rPr>
      </w:pPr>
    </w:p>
    <w:p w14:paraId="1A872C89" w14:textId="28B055BE" w:rsidR="009878AC" w:rsidRDefault="00816798" w:rsidP="00A35F7A">
      <w:pPr>
        <w:spacing w:line="276" w:lineRule="auto"/>
        <w:rPr>
          <w:lang w:eastAsia="en-NZ"/>
        </w:rPr>
      </w:pPr>
      <w:r>
        <w:rPr>
          <w:lang w:eastAsia="en-NZ"/>
        </w:rPr>
        <w:t xml:space="preserve">A more conservative approach would be to apply the </w:t>
      </w:r>
      <w:r w:rsidR="00CB5F09">
        <w:rPr>
          <w:lang w:eastAsia="en-NZ"/>
        </w:rPr>
        <w:t>rotational forest LTA, which should allow adjustments to be made via reference level accounting</w:t>
      </w:r>
      <w:r w:rsidR="009561A6">
        <w:rPr>
          <w:lang w:eastAsia="en-NZ"/>
        </w:rPr>
        <w:t xml:space="preserve"> and/or calculation of the LTA</w:t>
      </w:r>
      <w:r w:rsidR="00CB5F09">
        <w:rPr>
          <w:lang w:eastAsia="en-NZ"/>
        </w:rPr>
        <w:t>.</w:t>
      </w:r>
    </w:p>
    <w:p w14:paraId="7D8F533A" w14:textId="77777777" w:rsidR="009878AC" w:rsidRDefault="009878AC" w:rsidP="009878AC">
      <w:pPr>
        <w:rPr>
          <w:rStyle w:val="Strong"/>
          <w:rFonts w:cs="Arial"/>
          <w:b w:val="0"/>
          <w:bCs w:val="0"/>
        </w:rPr>
      </w:pPr>
    </w:p>
    <w:p w14:paraId="456DB8EA" w14:textId="77777777" w:rsidR="00B44A5B" w:rsidRDefault="00B44A5B" w:rsidP="00B44A5B">
      <w:pPr>
        <w:spacing w:line="276" w:lineRule="auto"/>
        <w:rPr>
          <w:lang w:eastAsia="en-NZ"/>
        </w:rPr>
      </w:pPr>
    </w:p>
    <w:p w14:paraId="1D5BB74F" w14:textId="212EE2CC" w:rsidR="00B44A5B" w:rsidRPr="0016780B" w:rsidRDefault="00B44A5B" w:rsidP="00D86C71">
      <w:pPr>
        <w:pStyle w:val="Heading3"/>
        <w:rPr>
          <w:lang w:eastAsia="en-NZ"/>
        </w:rPr>
      </w:pPr>
      <w:r>
        <w:rPr>
          <w:lang w:eastAsia="en-NZ"/>
        </w:rPr>
        <w:lastRenderedPageBreak/>
        <w:t>Harvested wood products for post-1989 forest types</w:t>
      </w:r>
    </w:p>
    <w:p w14:paraId="641D9197" w14:textId="02DAB049" w:rsidR="00B154C0" w:rsidRDefault="00791C72" w:rsidP="00791C72">
      <w:pPr>
        <w:spacing w:line="276" w:lineRule="auto"/>
        <w:rPr>
          <w:rStyle w:val="Strong"/>
          <w:b w:val="0"/>
        </w:rPr>
      </w:pPr>
      <w:r w:rsidRPr="6260A404">
        <w:rPr>
          <w:rStyle w:val="Strong"/>
          <w:b w:val="0"/>
        </w:rPr>
        <w:t>HWP</w:t>
      </w:r>
      <w:r>
        <w:rPr>
          <w:rStyle w:val="Strong"/>
          <w:b w:val="0"/>
        </w:rPr>
        <w:t>s</w:t>
      </w:r>
      <w:r w:rsidRPr="6260A404">
        <w:rPr>
          <w:rStyle w:val="Strong"/>
          <w:b w:val="0"/>
        </w:rPr>
        <w:t xml:space="preserve"> consist of above-ground biomass that is harvested</w:t>
      </w:r>
      <w:r>
        <w:rPr>
          <w:rStyle w:val="Strong"/>
          <w:b w:val="0"/>
        </w:rPr>
        <w:t xml:space="preserve">, converted into one of the three semi-finished wood product categories recognised by the IPCC </w:t>
      </w:r>
      <w:r>
        <w:rPr>
          <w:rFonts w:eastAsia="Arial" w:cs="Arial"/>
          <w:szCs w:val="20"/>
        </w:rPr>
        <w:t>(sawn wood, wood-based panels and paper and paperboard)</w:t>
      </w:r>
      <w:r>
        <w:rPr>
          <w:rStyle w:val="Strong"/>
          <w:b w:val="0"/>
        </w:rPr>
        <w:t>,</w:t>
      </w:r>
      <w:r w:rsidRPr="6260A404">
        <w:rPr>
          <w:rStyle w:val="Strong"/>
          <w:b w:val="0"/>
        </w:rPr>
        <w:t xml:space="preserve"> and enters the domestic and export </w:t>
      </w:r>
      <w:r>
        <w:rPr>
          <w:rStyle w:val="Strong"/>
          <w:b w:val="0"/>
        </w:rPr>
        <w:t xml:space="preserve">wood product </w:t>
      </w:r>
      <w:r w:rsidRPr="6260A404">
        <w:rPr>
          <w:rStyle w:val="Strong"/>
          <w:b w:val="0"/>
        </w:rPr>
        <w:t xml:space="preserve">markets. </w:t>
      </w:r>
    </w:p>
    <w:p w14:paraId="5DB1D810" w14:textId="77777777" w:rsidR="00B154C0" w:rsidRDefault="00B154C0" w:rsidP="00791C72">
      <w:pPr>
        <w:spacing w:line="276" w:lineRule="auto"/>
        <w:rPr>
          <w:rStyle w:val="Strong"/>
          <w:b w:val="0"/>
        </w:rPr>
      </w:pPr>
    </w:p>
    <w:p w14:paraId="74943C61" w14:textId="2803761B" w:rsidR="00216EA8" w:rsidRDefault="00B154C0" w:rsidP="00791C72">
      <w:pPr>
        <w:spacing w:line="276" w:lineRule="auto"/>
        <w:rPr>
          <w:rStyle w:val="Strong"/>
          <w:b w:val="0"/>
        </w:rPr>
      </w:pPr>
      <w:r>
        <w:rPr>
          <w:rStyle w:val="Strong"/>
          <w:b w:val="0"/>
        </w:rPr>
        <w:t xml:space="preserve">The LTA </w:t>
      </w:r>
      <w:r w:rsidR="00114359">
        <w:rPr>
          <w:rStyle w:val="Strong"/>
          <w:b w:val="0"/>
          <w:bCs w:val="0"/>
        </w:rPr>
        <w:t>Calculator</w:t>
      </w:r>
      <w:r w:rsidR="00114359" w:rsidDel="00114359">
        <w:rPr>
          <w:rStyle w:val="Strong"/>
          <w:b w:val="0"/>
        </w:rPr>
        <w:t xml:space="preserve"> </w:t>
      </w:r>
      <w:r w:rsidR="00443923">
        <w:rPr>
          <w:rStyle w:val="Strong"/>
          <w:b w:val="0"/>
        </w:rPr>
        <w:t xml:space="preserve">for rotational planted forests </w:t>
      </w:r>
      <w:r>
        <w:rPr>
          <w:rStyle w:val="Strong"/>
          <w:b w:val="0"/>
        </w:rPr>
        <w:t>includes the HWP pool</w:t>
      </w:r>
      <w:r w:rsidR="00EE7750">
        <w:rPr>
          <w:rStyle w:val="Strong"/>
          <w:b w:val="0"/>
        </w:rPr>
        <w:t xml:space="preserve"> when calculating the LTA stock. In accordance with </w:t>
      </w:r>
      <w:r w:rsidR="00E33715">
        <w:rPr>
          <w:rStyle w:val="Strong"/>
          <w:b w:val="0"/>
        </w:rPr>
        <w:t xml:space="preserve">the accounting approach used in the Kyoto Protocol (IPCC 2014), </w:t>
      </w:r>
      <w:r w:rsidR="00707282">
        <w:rPr>
          <w:rStyle w:val="Strong"/>
          <w:b w:val="0"/>
        </w:rPr>
        <w:t xml:space="preserve">HWPs are included only while they are in-service – </w:t>
      </w:r>
      <w:r w:rsidR="00EB1A90">
        <w:rPr>
          <w:rStyle w:val="Strong"/>
          <w:b w:val="0"/>
        </w:rPr>
        <w:t xml:space="preserve">any </w:t>
      </w:r>
      <w:r w:rsidR="00707282">
        <w:rPr>
          <w:rStyle w:val="Strong"/>
          <w:b w:val="0"/>
        </w:rPr>
        <w:t xml:space="preserve">long-term </w:t>
      </w:r>
      <w:r w:rsidR="00EB1A90">
        <w:rPr>
          <w:rStyle w:val="Strong"/>
          <w:b w:val="0"/>
        </w:rPr>
        <w:t xml:space="preserve">or indefinite storage in landfills is ignored. </w:t>
      </w:r>
      <w:r w:rsidR="000657A2">
        <w:rPr>
          <w:rStyle w:val="Strong"/>
          <w:b w:val="0"/>
        </w:rPr>
        <w:t>This</w:t>
      </w:r>
      <w:r w:rsidR="00013E4C">
        <w:rPr>
          <w:rStyle w:val="Strong"/>
          <w:b w:val="0"/>
        </w:rPr>
        <w:t xml:space="preserve"> means that</w:t>
      </w:r>
      <w:r w:rsidR="00312D11">
        <w:rPr>
          <w:rStyle w:val="Strong"/>
          <w:b w:val="0"/>
        </w:rPr>
        <w:t xml:space="preserve"> all HWPs produced will have a finite lifespan, and under a constant production rate </w:t>
      </w:r>
      <w:r w:rsidR="0060119B">
        <w:rPr>
          <w:rStyle w:val="Strong"/>
          <w:b w:val="0"/>
        </w:rPr>
        <w:t>the HWP pool would reach a maximum stable level.</w:t>
      </w:r>
      <w:r w:rsidR="00BE1AD5">
        <w:rPr>
          <w:rStyle w:val="Strong"/>
          <w:b w:val="0"/>
        </w:rPr>
        <w:t xml:space="preserve"> </w:t>
      </w:r>
      <w:r w:rsidR="00BE1AD5">
        <w:rPr>
          <w:rFonts w:eastAsia="Arial" w:cs="Arial"/>
          <w:szCs w:val="20"/>
        </w:rPr>
        <w:t>Modelling across multiple rotations is required to determine the balance between new additions of wood products to the HWP pool with each harvest and the on-going annual discard of existing products.</w:t>
      </w:r>
    </w:p>
    <w:p w14:paraId="4D5245CF" w14:textId="70A8DACD" w:rsidR="00C40D72" w:rsidRDefault="00C40D72" w:rsidP="00791C72">
      <w:pPr>
        <w:spacing w:line="276" w:lineRule="auto"/>
        <w:rPr>
          <w:rStyle w:val="Strong"/>
          <w:b w:val="0"/>
        </w:rPr>
      </w:pPr>
    </w:p>
    <w:p w14:paraId="3F1EE0D4" w14:textId="114FDAA8" w:rsidR="000F01E3" w:rsidRDefault="00791C72" w:rsidP="00791C72">
      <w:pPr>
        <w:pStyle w:val="ListParagraph"/>
        <w:spacing w:line="276" w:lineRule="auto"/>
        <w:ind w:left="0"/>
        <w:rPr>
          <w:rStyle w:val="Strong"/>
          <w:b w:val="0"/>
        </w:rPr>
      </w:pPr>
      <w:r w:rsidRPr="6260A404">
        <w:rPr>
          <w:rStyle w:val="Strong"/>
          <w:b w:val="0"/>
        </w:rPr>
        <w:t xml:space="preserve">The HWP inputs </w:t>
      </w:r>
      <w:r>
        <w:rPr>
          <w:rStyle w:val="Strong"/>
          <w:b w:val="0"/>
        </w:rPr>
        <w:t xml:space="preserve">to the LTA </w:t>
      </w:r>
      <w:r w:rsidR="00114359">
        <w:rPr>
          <w:rStyle w:val="Strong"/>
          <w:b w:val="0"/>
          <w:bCs w:val="0"/>
        </w:rPr>
        <w:t>Calculator</w:t>
      </w:r>
      <w:r w:rsidR="00114359" w:rsidDel="00114359">
        <w:rPr>
          <w:rStyle w:val="Strong"/>
          <w:b w:val="0"/>
        </w:rPr>
        <w:t xml:space="preserve"> </w:t>
      </w:r>
      <w:r w:rsidRPr="6260A404">
        <w:rPr>
          <w:rStyle w:val="Strong"/>
          <w:b w:val="0"/>
        </w:rPr>
        <w:t>include</w:t>
      </w:r>
      <w:r w:rsidR="000F01E3">
        <w:rPr>
          <w:rStyle w:val="Strong"/>
          <w:b w:val="0"/>
        </w:rPr>
        <w:t>:</w:t>
      </w:r>
    </w:p>
    <w:p w14:paraId="1DF23E74" w14:textId="5EFC2BAD" w:rsidR="000F01E3" w:rsidRDefault="000F01E3" w:rsidP="002815E0">
      <w:pPr>
        <w:pStyle w:val="ListParagraph"/>
        <w:numPr>
          <w:ilvl w:val="0"/>
          <w:numId w:val="14"/>
        </w:numPr>
        <w:spacing w:line="276" w:lineRule="auto"/>
        <w:rPr>
          <w:rStyle w:val="Strong"/>
          <w:b w:val="0"/>
        </w:rPr>
      </w:pPr>
      <w:r w:rsidRPr="6260A404">
        <w:rPr>
          <w:rStyle w:val="Strong"/>
          <w:b w:val="0"/>
        </w:rPr>
        <w:t xml:space="preserve">the recoverable </w:t>
      </w:r>
      <w:r w:rsidR="006D45C6">
        <w:rPr>
          <w:rStyle w:val="Strong"/>
          <w:b w:val="0"/>
        </w:rPr>
        <w:t>a</w:t>
      </w:r>
      <w:r w:rsidR="00BB4C07">
        <w:rPr>
          <w:rStyle w:val="Strong"/>
          <w:b w:val="0"/>
        </w:rPr>
        <w:t>bove-ground biomass proportion</w:t>
      </w:r>
      <w:r w:rsidRPr="6260A404">
        <w:rPr>
          <w:rStyle w:val="Strong"/>
          <w:b w:val="0"/>
        </w:rPr>
        <w:t xml:space="preserve"> removed during harvest</w:t>
      </w:r>
      <w:r w:rsidR="00F23901">
        <w:rPr>
          <w:rStyle w:val="Strong"/>
          <w:b w:val="0"/>
        </w:rPr>
        <w:t>,</w:t>
      </w:r>
      <w:r w:rsidRPr="6260A404">
        <w:rPr>
          <w:rStyle w:val="Strong"/>
          <w:b w:val="0"/>
        </w:rPr>
        <w:t xml:space="preserve"> </w:t>
      </w:r>
    </w:p>
    <w:p w14:paraId="0A3FA187" w14:textId="090C4EA4" w:rsidR="000F01E3" w:rsidRDefault="00791C72" w:rsidP="002815E0">
      <w:pPr>
        <w:pStyle w:val="ListParagraph"/>
        <w:numPr>
          <w:ilvl w:val="0"/>
          <w:numId w:val="14"/>
        </w:numPr>
        <w:spacing w:line="276" w:lineRule="auto"/>
        <w:rPr>
          <w:rStyle w:val="Strong"/>
          <w:b w:val="0"/>
        </w:rPr>
      </w:pPr>
      <w:r w:rsidRPr="6260A404">
        <w:rPr>
          <w:rStyle w:val="Strong"/>
          <w:b w:val="0"/>
        </w:rPr>
        <w:t>the proportion of domestically processed and exported roundwood</w:t>
      </w:r>
      <w:r w:rsidR="00F23901">
        <w:rPr>
          <w:rStyle w:val="Strong"/>
          <w:b w:val="0"/>
        </w:rPr>
        <w:t>,</w:t>
      </w:r>
    </w:p>
    <w:p w14:paraId="63582FE0" w14:textId="4271C47E" w:rsidR="00407125" w:rsidRDefault="00791C72" w:rsidP="002815E0">
      <w:pPr>
        <w:pStyle w:val="ListParagraph"/>
        <w:numPr>
          <w:ilvl w:val="0"/>
          <w:numId w:val="14"/>
        </w:numPr>
        <w:spacing w:line="276" w:lineRule="auto"/>
        <w:rPr>
          <w:rStyle w:val="Strong"/>
          <w:b w:val="0"/>
        </w:rPr>
      </w:pPr>
      <w:r w:rsidRPr="6260A404">
        <w:rPr>
          <w:rStyle w:val="Strong"/>
          <w:b w:val="0"/>
        </w:rPr>
        <w:t xml:space="preserve">the allocation of </w:t>
      </w:r>
      <w:r w:rsidR="00945251">
        <w:rPr>
          <w:rStyle w:val="Strong"/>
          <w:b w:val="0"/>
        </w:rPr>
        <w:t xml:space="preserve">exported </w:t>
      </w:r>
      <w:r w:rsidRPr="6260A404">
        <w:rPr>
          <w:rStyle w:val="Strong"/>
          <w:b w:val="0"/>
        </w:rPr>
        <w:t>roundwood to different export markets</w:t>
      </w:r>
      <w:r w:rsidR="00F23901">
        <w:rPr>
          <w:rStyle w:val="Strong"/>
          <w:b w:val="0"/>
        </w:rPr>
        <w:t>,</w:t>
      </w:r>
    </w:p>
    <w:p w14:paraId="15A64275" w14:textId="47F80D68" w:rsidR="00791C72" w:rsidRDefault="00791C72" w:rsidP="002815E0">
      <w:pPr>
        <w:pStyle w:val="ListParagraph"/>
        <w:numPr>
          <w:ilvl w:val="0"/>
          <w:numId w:val="14"/>
        </w:numPr>
        <w:spacing w:line="276" w:lineRule="auto"/>
        <w:rPr>
          <w:rStyle w:val="Strong"/>
          <w:b w:val="0"/>
        </w:rPr>
      </w:pPr>
      <w:r w:rsidRPr="6260A404">
        <w:rPr>
          <w:rStyle w:val="Strong"/>
          <w:b w:val="0"/>
        </w:rPr>
        <w:t xml:space="preserve">specific discard </w:t>
      </w:r>
      <w:r w:rsidR="00407125">
        <w:rPr>
          <w:rStyle w:val="Strong"/>
          <w:b w:val="0"/>
        </w:rPr>
        <w:t>table</w:t>
      </w:r>
      <w:r w:rsidRPr="6260A404">
        <w:rPr>
          <w:rStyle w:val="Strong"/>
          <w:b w:val="0"/>
        </w:rPr>
        <w:t>s for domestically processed logs</w:t>
      </w:r>
      <w:r w:rsidR="0033199D">
        <w:rPr>
          <w:rStyle w:val="Strong"/>
          <w:b w:val="0"/>
        </w:rPr>
        <w:t xml:space="preserve"> and for </w:t>
      </w:r>
      <w:r w:rsidRPr="6260A404">
        <w:rPr>
          <w:rStyle w:val="Strong"/>
          <w:b w:val="0"/>
        </w:rPr>
        <w:t>individual export markets</w:t>
      </w:r>
      <w:r w:rsidR="00F23901">
        <w:rPr>
          <w:rStyle w:val="Strong"/>
          <w:b w:val="0"/>
        </w:rPr>
        <w:t>,</w:t>
      </w:r>
      <w:r w:rsidRPr="6260A404">
        <w:rPr>
          <w:rStyle w:val="Strong"/>
          <w:b w:val="0"/>
        </w:rPr>
        <w:t xml:space="preserve"> </w:t>
      </w:r>
    </w:p>
    <w:p w14:paraId="41FA5645" w14:textId="5034FA0F" w:rsidR="00F1661B" w:rsidRDefault="00A014B2" w:rsidP="002815E0">
      <w:pPr>
        <w:pStyle w:val="ListParagraph"/>
        <w:numPr>
          <w:ilvl w:val="0"/>
          <w:numId w:val="14"/>
        </w:numPr>
        <w:spacing w:line="276" w:lineRule="auto"/>
        <w:rPr>
          <w:rStyle w:val="Strong"/>
          <w:b w:val="0"/>
        </w:rPr>
      </w:pPr>
      <w:r>
        <w:rPr>
          <w:rStyle w:val="Strong"/>
          <w:b w:val="0"/>
        </w:rPr>
        <w:t>p</w:t>
      </w:r>
      <w:r w:rsidR="00915432">
        <w:rPr>
          <w:rStyle w:val="Strong"/>
          <w:b w:val="0"/>
        </w:rPr>
        <w:t>eriod range to create an average table</w:t>
      </w:r>
      <w:r>
        <w:rPr>
          <w:rStyle w:val="Strong"/>
          <w:b w:val="0"/>
        </w:rPr>
        <w:t>, and</w:t>
      </w:r>
    </w:p>
    <w:p w14:paraId="012871A2" w14:textId="45B93ECC" w:rsidR="00C172FC" w:rsidRDefault="00A014B2" w:rsidP="002815E0">
      <w:pPr>
        <w:pStyle w:val="ListParagraph"/>
        <w:numPr>
          <w:ilvl w:val="0"/>
          <w:numId w:val="14"/>
        </w:numPr>
        <w:spacing w:line="276" w:lineRule="auto"/>
        <w:rPr>
          <w:rStyle w:val="Strong"/>
          <w:b w:val="0"/>
        </w:rPr>
      </w:pPr>
      <w:r>
        <w:rPr>
          <w:rStyle w:val="Strong"/>
          <w:b w:val="0"/>
        </w:rPr>
        <w:t>d</w:t>
      </w:r>
      <w:r w:rsidR="00AE0707">
        <w:rPr>
          <w:rStyle w:val="Strong"/>
          <w:b w:val="0"/>
        </w:rPr>
        <w:t>iscard table length (truncation)</w:t>
      </w:r>
      <w:r w:rsidR="003A3AE3">
        <w:rPr>
          <w:rStyle w:val="Strong"/>
          <w:b w:val="0"/>
        </w:rPr>
        <w:t>.</w:t>
      </w:r>
    </w:p>
    <w:p w14:paraId="2650384E" w14:textId="77777777" w:rsidR="00791C72" w:rsidRDefault="00791C72" w:rsidP="00791C72">
      <w:pPr>
        <w:pStyle w:val="ListParagraph"/>
        <w:spacing w:line="276" w:lineRule="auto"/>
        <w:ind w:left="0"/>
        <w:rPr>
          <w:rStyle w:val="Strong"/>
          <w:b w:val="0"/>
        </w:rPr>
      </w:pPr>
    </w:p>
    <w:p w14:paraId="6E8CCBD8" w14:textId="2E343B8F" w:rsidR="00791C72" w:rsidRPr="000C0F3E" w:rsidRDefault="00BB4C07" w:rsidP="00791C72">
      <w:pPr>
        <w:pStyle w:val="ListParagraph"/>
        <w:spacing w:line="276" w:lineRule="auto"/>
        <w:ind w:left="0"/>
        <w:rPr>
          <w:rStyle w:val="Strong"/>
          <w:b w:val="0"/>
          <w:i/>
          <w:iCs/>
        </w:rPr>
      </w:pPr>
      <w:r>
        <w:rPr>
          <w:rStyle w:val="Strong"/>
          <w:b w:val="0"/>
          <w:i/>
          <w:iCs/>
        </w:rPr>
        <w:t>Biomass removed</w:t>
      </w:r>
      <w:r w:rsidR="00791C72" w:rsidRPr="000C0F3E">
        <w:rPr>
          <w:rStyle w:val="Strong"/>
          <w:b w:val="0"/>
          <w:i/>
          <w:iCs/>
        </w:rPr>
        <w:t xml:space="preserve"> at harvest</w:t>
      </w:r>
    </w:p>
    <w:p w14:paraId="6D3E5C79" w14:textId="6FA63B6E" w:rsidR="00791C72" w:rsidRDefault="00791C72" w:rsidP="00A77F53">
      <w:pPr>
        <w:pStyle w:val="ListParagraph"/>
        <w:spacing w:line="276" w:lineRule="auto"/>
        <w:ind w:left="0"/>
        <w:rPr>
          <w:rStyle w:val="Strong"/>
          <w:b w:val="0"/>
          <w:bCs w:val="0"/>
        </w:rPr>
      </w:pPr>
      <w:r w:rsidRPr="57DC5332">
        <w:rPr>
          <w:rStyle w:val="Strong"/>
          <w:b w:val="0"/>
          <w:bCs w:val="0"/>
        </w:rPr>
        <w:t xml:space="preserve">Initialising the stock of HWP derived from harvesting </w:t>
      </w:r>
      <w:r w:rsidRPr="57DC5332">
        <w:rPr>
          <w:rStyle w:val="Strong"/>
          <w:b w:val="0"/>
        </w:rPr>
        <w:t xml:space="preserve">is based on the </w:t>
      </w:r>
      <w:r>
        <w:rPr>
          <w:rStyle w:val="Strong"/>
          <w:b w:val="0"/>
        </w:rPr>
        <w:t>assumption that the quantity of stem carbon removed at harvest represents about</w:t>
      </w:r>
      <w:r w:rsidRPr="57DC5332">
        <w:rPr>
          <w:rStyle w:val="Strong"/>
          <w:b w:val="0"/>
        </w:rPr>
        <w:t xml:space="preserve"> 70% of above-ground biomass</w:t>
      </w:r>
      <w:r>
        <w:rPr>
          <w:rStyle w:val="Strong"/>
          <w:b w:val="0"/>
        </w:rPr>
        <w:t xml:space="preserve"> </w:t>
      </w:r>
      <w:r w:rsidRPr="57DC5332">
        <w:rPr>
          <w:rStyle w:val="Strong"/>
          <w:b w:val="0"/>
        </w:rPr>
        <w:fldChar w:fldCharType="begin"/>
      </w:r>
      <w:r w:rsidRPr="57DC5332">
        <w:rPr>
          <w:rStyle w:val="Strong"/>
          <w:b w:val="0"/>
        </w:rPr>
        <w:instrText xml:space="preserve"> ADDIN EN.CITE &lt;EndNote&gt;&lt;Cite&gt;&lt;Author&gt;Wakelin&lt;/Author&gt;&lt;Year&gt;2010&lt;/Year&gt;&lt;RecNum&gt;22793&lt;/RecNum&gt;&lt;DisplayText&gt;(Wakelin &amp;amp; Garrett, 2010)&lt;/DisplayText&gt;&lt;record&gt;&lt;rec-number&gt;22793&lt;/rec-number&gt;&lt;foreign-keys&gt;&lt;key app="EN" db-id="tvwxw9e9usfasueetdnx2xs1x5eex0fppxpp" timestamp="1687900131"&gt;22793&lt;/key&gt;&lt;/foreign-keys&gt;&lt;ref-type name="Unpublished Work"&gt;34&lt;/ref-type&gt;&lt;contributors&gt;&lt;authors&gt;&lt;author&gt;Wakelin, S J&lt;/author&gt;&lt;author&gt;Garrett, L G&lt;/author&gt;&lt;/authors&gt;&lt;/contributors&gt;&lt;titles&gt;&lt;title&gt;Biomass carbon loss from forest harvesting&lt;/title&gt;&lt;/titles&gt;&lt;number&gt;Output 46031&lt;/number&gt;&lt;keywords&gt;&lt;keyword&gt;carbon inventory&lt;/keyword&gt;&lt;keyword&gt;decomposition&lt;/keyword&gt;&lt;keyword&gt;harvesting losses&lt;/keyword&gt;&lt;/keywords&gt;&lt;dates&gt;&lt;year&gt;2010&lt;/year&gt;&lt;/dates&gt;&lt;publisher&gt;Scion&lt;/publisher&gt;&lt;work-type&gt;Confidential Ministry for the Environment, Internal Contract Report&lt;/work-type&gt;&lt;urls&gt;&lt;/urls&gt;&lt;remote-database-name&gt;SIDNEY&lt;/remote-database-name&gt;&lt;/record&gt;&lt;/Cite&gt;&lt;/EndNote&gt;</w:instrText>
      </w:r>
      <w:r w:rsidRPr="57DC5332">
        <w:rPr>
          <w:rStyle w:val="Strong"/>
          <w:b w:val="0"/>
        </w:rPr>
        <w:fldChar w:fldCharType="separate"/>
      </w:r>
      <w:r w:rsidRPr="57DC5332">
        <w:rPr>
          <w:rStyle w:val="Strong"/>
          <w:b w:val="0"/>
        </w:rPr>
        <w:t>(Wakelin &amp; Garrett, 2010)</w:t>
      </w:r>
      <w:r w:rsidRPr="57DC5332">
        <w:rPr>
          <w:rStyle w:val="Strong"/>
          <w:b w:val="0"/>
        </w:rPr>
        <w:fldChar w:fldCharType="end"/>
      </w:r>
      <w:r>
        <w:rPr>
          <w:rStyle w:val="Strong"/>
          <w:b w:val="0"/>
        </w:rPr>
        <w:t>.</w:t>
      </w:r>
      <w:r w:rsidR="00A77F53">
        <w:rPr>
          <w:rStyle w:val="Strong"/>
          <w:b w:val="0"/>
        </w:rPr>
        <w:t xml:space="preserve"> This assumption is also used in the </w:t>
      </w:r>
      <w:r w:rsidR="006D45C6">
        <w:rPr>
          <w:rStyle w:val="Strong"/>
          <w:b w:val="0"/>
        </w:rPr>
        <w:t xml:space="preserve">LUCAS </w:t>
      </w:r>
      <w:r w:rsidR="00A77F53">
        <w:rPr>
          <w:rStyle w:val="Strong"/>
          <w:b w:val="0"/>
        </w:rPr>
        <w:t>CRA</w:t>
      </w:r>
      <w:r w:rsidR="006B55E6">
        <w:rPr>
          <w:rStyle w:val="Strong"/>
          <w:b w:val="0"/>
        </w:rPr>
        <w:t>.</w:t>
      </w:r>
    </w:p>
    <w:p w14:paraId="0C6E828D" w14:textId="77777777" w:rsidR="00791C72" w:rsidRDefault="00791C72" w:rsidP="00791C72">
      <w:pPr>
        <w:spacing w:line="276" w:lineRule="auto"/>
        <w:rPr>
          <w:rStyle w:val="Strong"/>
          <w:b w:val="0"/>
          <w:bCs w:val="0"/>
          <w:szCs w:val="20"/>
        </w:rPr>
      </w:pPr>
    </w:p>
    <w:p w14:paraId="00DD65E3" w14:textId="665BDE39" w:rsidR="0054665E" w:rsidRDefault="00D96826" w:rsidP="00791C72">
      <w:pPr>
        <w:spacing w:line="276" w:lineRule="auto"/>
        <w:rPr>
          <w:rStyle w:val="Strong"/>
          <w:b w:val="0"/>
          <w:bCs w:val="0"/>
          <w:i/>
          <w:iCs/>
          <w:szCs w:val="20"/>
        </w:rPr>
      </w:pPr>
      <w:r>
        <w:rPr>
          <w:rStyle w:val="Strong"/>
          <w:b w:val="0"/>
          <w:bCs w:val="0"/>
          <w:i/>
          <w:iCs/>
          <w:szCs w:val="20"/>
        </w:rPr>
        <w:t>Proportion</w:t>
      </w:r>
      <w:r w:rsidR="0054665E">
        <w:rPr>
          <w:rStyle w:val="Strong"/>
          <w:b w:val="0"/>
          <w:bCs w:val="0"/>
          <w:i/>
          <w:iCs/>
          <w:szCs w:val="20"/>
        </w:rPr>
        <w:t>al share of domestic processing and log exports and proportional share of each export log market</w:t>
      </w:r>
    </w:p>
    <w:p w14:paraId="67FAA8BD" w14:textId="6FCC5D17" w:rsidR="0054665E" w:rsidRPr="00AE2928" w:rsidRDefault="00AE2928" w:rsidP="00791C72">
      <w:pPr>
        <w:spacing w:line="276" w:lineRule="auto"/>
        <w:rPr>
          <w:rStyle w:val="Strong"/>
          <w:b w:val="0"/>
          <w:bCs w:val="0"/>
          <w:szCs w:val="20"/>
        </w:rPr>
      </w:pPr>
      <w:r w:rsidRPr="00AE2928">
        <w:rPr>
          <w:rStyle w:val="Strong"/>
          <w:b w:val="0"/>
          <w:bCs w:val="0"/>
          <w:szCs w:val="20"/>
        </w:rPr>
        <w:t>These proportions vary over time</w:t>
      </w:r>
      <w:r w:rsidR="00897451">
        <w:rPr>
          <w:rStyle w:val="Strong"/>
          <w:b w:val="0"/>
          <w:bCs w:val="0"/>
          <w:szCs w:val="20"/>
        </w:rPr>
        <w:t xml:space="preserve"> and were derived from data in the HWP Model</w:t>
      </w:r>
      <w:r w:rsidR="00360057">
        <w:rPr>
          <w:rStyle w:val="Strong"/>
          <w:b w:val="0"/>
          <w:bCs w:val="0"/>
          <w:szCs w:val="20"/>
        </w:rPr>
        <w:t xml:space="preserve"> used for greenhouse gas inventory reporting (MFE 2024</w:t>
      </w:r>
      <w:r w:rsidR="00C37314">
        <w:rPr>
          <w:rStyle w:val="Strong"/>
          <w:b w:val="0"/>
          <w:bCs w:val="0"/>
          <w:szCs w:val="20"/>
        </w:rPr>
        <w:t>a</w:t>
      </w:r>
      <w:r w:rsidR="00360057">
        <w:rPr>
          <w:rStyle w:val="Strong"/>
          <w:b w:val="0"/>
          <w:bCs w:val="0"/>
          <w:szCs w:val="20"/>
        </w:rPr>
        <w:t>)</w:t>
      </w:r>
      <w:r w:rsidR="006D45C6">
        <w:rPr>
          <w:rStyle w:val="Strong"/>
          <w:b w:val="0"/>
          <w:bCs w:val="0"/>
          <w:szCs w:val="20"/>
        </w:rPr>
        <w:t>. These data are</w:t>
      </w:r>
      <w:r w:rsidR="00360057">
        <w:rPr>
          <w:rStyle w:val="Strong"/>
          <w:b w:val="0"/>
          <w:bCs w:val="0"/>
          <w:szCs w:val="20"/>
        </w:rPr>
        <w:t xml:space="preserve"> </w:t>
      </w:r>
      <w:r w:rsidR="0085455E">
        <w:rPr>
          <w:rStyle w:val="Strong"/>
          <w:b w:val="0"/>
          <w:bCs w:val="0"/>
          <w:szCs w:val="20"/>
        </w:rPr>
        <w:t xml:space="preserve">sourced </w:t>
      </w:r>
      <w:r w:rsidR="006D45C6">
        <w:rPr>
          <w:rStyle w:val="Strong"/>
          <w:b w:val="0"/>
          <w:bCs w:val="0"/>
          <w:szCs w:val="20"/>
        </w:rPr>
        <w:t xml:space="preserve">annually </w:t>
      </w:r>
      <w:r w:rsidR="0085455E">
        <w:rPr>
          <w:rStyle w:val="Strong"/>
          <w:b w:val="0"/>
          <w:bCs w:val="0"/>
          <w:szCs w:val="20"/>
        </w:rPr>
        <w:t>from FAOStat and MPI.</w:t>
      </w:r>
    </w:p>
    <w:p w14:paraId="0DF19803" w14:textId="77777777" w:rsidR="00945251" w:rsidRDefault="00945251" w:rsidP="00791C72">
      <w:pPr>
        <w:spacing w:line="276" w:lineRule="auto"/>
        <w:rPr>
          <w:rStyle w:val="Strong"/>
          <w:b w:val="0"/>
          <w:bCs w:val="0"/>
          <w:i/>
          <w:iCs/>
          <w:szCs w:val="20"/>
        </w:rPr>
      </w:pPr>
    </w:p>
    <w:p w14:paraId="742AB2FB" w14:textId="214938E1" w:rsidR="0054665E" w:rsidRDefault="00945251" w:rsidP="00791C72">
      <w:pPr>
        <w:spacing w:line="276" w:lineRule="auto"/>
        <w:rPr>
          <w:rStyle w:val="Strong"/>
          <w:b w:val="0"/>
          <w:bCs w:val="0"/>
          <w:i/>
          <w:iCs/>
          <w:szCs w:val="20"/>
        </w:rPr>
      </w:pPr>
      <w:r>
        <w:rPr>
          <w:rStyle w:val="Strong"/>
          <w:b w:val="0"/>
          <w:bCs w:val="0"/>
          <w:i/>
          <w:iCs/>
          <w:szCs w:val="20"/>
        </w:rPr>
        <w:t>Discard tables for each log market</w:t>
      </w:r>
    </w:p>
    <w:p w14:paraId="1865AE61" w14:textId="01A7C1E4" w:rsidR="00F90154" w:rsidRDefault="00765C0A" w:rsidP="00F90154">
      <w:pPr>
        <w:spacing w:line="276" w:lineRule="auto"/>
        <w:rPr>
          <w:rStyle w:val="Strong"/>
          <w:b w:val="0"/>
          <w:bCs w:val="0"/>
          <w:szCs w:val="20"/>
        </w:rPr>
      </w:pPr>
      <w:r>
        <w:rPr>
          <w:rStyle w:val="Strong"/>
          <w:b w:val="0"/>
          <w:bCs w:val="0"/>
          <w:szCs w:val="20"/>
        </w:rPr>
        <w:t>D</w:t>
      </w:r>
      <w:r w:rsidR="0085455E">
        <w:rPr>
          <w:rStyle w:val="Strong"/>
          <w:b w:val="0"/>
          <w:bCs w:val="0"/>
          <w:szCs w:val="20"/>
        </w:rPr>
        <w:t xml:space="preserve">iscard </w:t>
      </w:r>
      <w:r w:rsidR="00126BCA">
        <w:rPr>
          <w:rStyle w:val="Strong"/>
          <w:b w:val="0"/>
          <w:bCs w:val="0"/>
          <w:szCs w:val="20"/>
        </w:rPr>
        <w:t xml:space="preserve">tables </w:t>
      </w:r>
      <w:r w:rsidR="0085455E">
        <w:rPr>
          <w:rStyle w:val="Strong"/>
          <w:b w:val="0"/>
          <w:bCs w:val="0"/>
          <w:szCs w:val="20"/>
        </w:rPr>
        <w:t xml:space="preserve">for each </w:t>
      </w:r>
      <w:r w:rsidR="00126BCA">
        <w:rPr>
          <w:rStyle w:val="Strong"/>
          <w:b w:val="0"/>
          <w:bCs w:val="0"/>
          <w:szCs w:val="20"/>
        </w:rPr>
        <w:t xml:space="preserve">log market including the domestic market are calculated in the HWP </w:t>
      </w:r>
      <w:r w:rsidR="006D45C6">
        <w:rPr>
          <w:rStyle w:val="Strong"/>
          <w:b w:val="0"/>
          <w:bCs w:val="0"/>
          <w:szCs w:val="20"/>
        </w:rPr>
        <w:t>Model</w:t>
      </w:r>
      <w:r w:rsidR="00126BCA">
        <w:rPr>
          <w:rStyle w:val="Strong"/>
          <w:b w:val="0"/>
          <w:bCs w:val="0"/>
          <w:szCs w:val="20"/>
        </w:rPr>
        <w:t xml:space="preserve"> based on </w:t>
      </w:r>
      <w:r w:rsidR="008C0A58">
        <w:rPr>
          <w:rStyle w:val="Strong"/>
          <w:b w:val="0"/>
          <w:bCs w:val="0"/>
          <w:szCs w:val="20"/>
        </w:rPr>
        <w:t xml:space="preserve">first order decay, with </w:t>
      </w:r>
      <w:r w:rsidR="00C71991">
        <w:rPr>
          <w:rStyle w:val="Strong"/>
          <w:b w:val="0"/>
          <w:bCs w:val="0"/>
          <w:szCs w:val="20"/>
        </w:rPr>
        <w:t>half-lives assumed for combinations of market, HWP and end use</w:t>
      </w:r>
      <w:r w:rsidR="008C0A58">
        <w:rPr>
          <w:rStyle w:val="Strong"/>
          <w:b w:val="0"/>
          <w:bCs w:val="0"/>
          <w:szCs w:val="20"/>
        </w:rPr>
        <w:t xml:space="preserve"> (Wakelin</w:t>
      </w:r>
      <w:r w:rsidR="002E4E47">
        <w:rPr>
          <w:rStyle w:val="Strong"/>
          <w:b w:val="0"/>
          <w:bCs w:val="0"/>
          <w:szCs w:val="20"/>
        </w:rPr>
        <w:t>,</w:t>
      </w:r>
      <w:r w:rsidR="008C0A58">
        <w:rPr>
          <w:rStyle w:val="Strong"/>
          <w:b w:val="0"/>
          <w:bCs w:val="0"/>
          <w:szCs w:val="20"/>
        </w:rPr>
        <w:t xml:space="preserve"> 2023).</w:t>
      </w:r>
      <w:r w:rsidR="008F4AC7">
        <w:rPr>
          <w:rStyle w:val="Strong"/>
          <w:b w:val="0"/>
          <w:bCs w:val="0"/>
          <w:szCs w:val="20"/>
        </w:rPr>
        <w:t xml:space="preserve"> </w:t>
      </w:r>
      <w:r w:rsidR="004D42D9">
        <w:rPr>
          <w:rStyle w:val="Strong"/>
          <w:b w:val="0"/>
          <w:bCs w:val="0"/>
          <w:szCs w:val="20"/>
        </w:rPr>
        <w:t xml:space="preserve">The tables used were calculated based on weighted half lives, rather than by summing the individual end use discard tables. </w:t>
      </w:r>
      <w:r w:rsidR="008F4AC7">
        <w:rPr>
          <w:rStyle w:val="Strong"/>
          <w:b w:val="0"/>
          <w:bCs w:val="0"/>
          <w:szCs w:val="20"/>
        </w:rPr>
        <w:t xml:space="preserve">These tables take into account carbon in processing residues that are not incorporated into HWPs such as paper or panels, </w:t>
      </w:r>
      <w:r w:rsidR="00D86004">
        <w:rPr>
          <w:rStyle w:val="Strong"/>
          <w:b w:val="0"/>
          <w:bCs w:val="0"/>
          <w:szCs w:val="20"/>
        </w:rPr>
        <w:t>which are</w:t>
      </w:r>
      <w:r w:rsidR="008F4AC7">
        <w:rPr>
          <w:rStyle w:val="Strong"/>
          <w:b w:val="0"/>
          <w:bCs w:val="0"/>
          <w:szCs w:val="20"/>
        </w:rPr>
        <w:t xml:space="preserve"> instead assumed to be instantly emitted.</w:t>
      </w:r>
      <w:r w:rsidR="008C0A58">
        <w:rPr>
          <w:rStyle w:val="Strong"/>
          <w:b w:val="0"/>
          <w:bCs w:val="0"/>
          <w:szCs w:val="20"/>
        </w:rPr>
        <w:t xml:space="preserve"> </w:t>
      </w:r>
      <w:r w:rsidR="00F90154">
        <w:rPr>
          <w:rStyle w:val="Strong"/>
          <w:b w:val="0"/>
          <w:bCs w:val="0"/>
          <w:szCs w:val="20"/>
        </w:rPr>
        <w:t>Domestic log discards also take into account the loss at the time of harvest of carbon in products that are not included in New Zealand’s greenhouse gas inventory reporting: export pulp, export chips and posts and poles.</w:t>
      </w:r>
    </w:p>
    <w:p w14:paraId="4F402CD7" w14:textId="77777777" w:rsidR="008F4AC7" w:rsidRDefault="008F4AC7" w:rsidP="00791C72">
      <w:pPr>
        <w:spacing w:line="276" w:lineRule="auto"/>
        <w:rPr>
          <w:rStyle w:val="Strong"/>
          <w:b w:val="0"/>
          <w:bCs w:val="0"/>
          <w:szCs w:val="20"/>
        </w:rPr>
      </w:pPr>
    </w:p>
    <w:p w14:paraId="0693009E" w14:textId="6BE7FEA3" w:rsidR="00791C72" w:rsidRDefault="00F1661B" w:rsidP="00791C72">
      <w:pPr>
        <w:spacing w:line="276" w:lineRule="auto"/>
        <w:rPr>
          <w:rStyle w:val="Strong"/>
          <w:b w:val="0"/>
          <w:bCs w:val="0"/>
          <w:szCs w:val="20"/>
        </w:rPr>
      </w:pPr>
      <w:r>
        <w:rPr>
          <w:rStyle w:val="Strong"/>
          <w:b w:val="0"/>
          <w:bCs w:val="0"/>
        </w:rPr>
        <w:t>Aggregate discard rates for export logs</w:t>
      </w:r>
      <w:r w:rsidRPr="0C1ABD85">
        <w:rPr>
          <w:rStyle w:val="Strong"/>
          <w:b w:val="0"/>
          <w:bCs w:val="0"/>
        </w:rPr>
        <w:t xml:space="preserve"> are based on data </w:t>
      </w:r>
      <w:r w:rsidRPr="0008373D">
        <w:rPr>
          <w:rStyle w:val="Strong"/>
          <w:b w:val="0"/>
          <w:bCs w:val="0"/>
        </w:rPr>
        <w:t xml:space="preserve">provided by </w:t>
      </w:r>
      <w:r w:rsidRPr="0008373D">
        <w:rPr>
          <w:rStyle w:val="Strong"/>
          <w:b w:val="0"/>
          <w:bCs w:val="0"/>
        </w:rPr>
        <w:fldChar w:fldCharType="begin"/>
      </w:r>
      <w:r w:rsidRPr="0008373D">
        <w:rPr>
          <w:rStyle w:val="Strong"/>
          <w:b w:val="0"/>
          <w:bCs w:val="0"/>
        </w:rPr>
        <w:instrText xml:space="preserve"> ADDIN EN.CITE &lt;EndNote&gt;&lt;Cite AuthorYear="1"&gt;&lt;Author&gt;Manley&lt;/Author&gt;&lt;Year&gt;2016&lt;/Year&gt;&lt;RecNum&gt;32892&lt;/RecNum&gt;&lt;DisplayText&gt;Manley and Evison (2016)&lt;/DisplayText&gt;&lt;record&gt;&lt;rec-number&gt;32892&lt;/rec-number&gt;&lt;foreign-keys&gt;&lt;key app="EN" db-id="tvwxw9e9usfasueetdnx2xs1x5eex0fppxpp" timestamp="1688009747"&gt;32892&lt;/key&gt;&lt;/foreign-keys&gt;&lt;ref-type name="Book"&gt;6&lt;/ref-type&gt;&lt;contributors&gt;&lt;authors&gt;&lt;author&gt;Manley, Bruce&lt;/author&gt;&lt;author&gt;Evison, David&lt;/author&gt;&lt;/authors&gt;&lt;/contributors&gt;&lt;titles&gt;&lt;title&gt;Material flow and end-uses of harvested wood products produced from New Zealand log exports&lt;/title&gt;&lt;/titles&gt;&lt;dates&gt;&lt;year&gt;2016&lt;/year&gt;&lt;/dates&gt;&lt;urls&gt;&lt;/urls&gt;&lt;/record&gt;&lt;/Cite&gt;&lt;/EndNote&gt;</w:instrText>
      </w:r>
      <w:r w:rsidRPr="0008373D">
        <w:rPr>
          <w:rStyle w:val="Strong"/>
          <w:b w:val="0"/>
          <w:bCs w:val="0"/>
        </w:rPr>
        <w:fldChar w:fldCharType="separate"/>
      </w:r>
      <w:r w:rsidRPr="0008373D">
        <w:rPr>
          <w:rStyle w:val="Strong"/>
          <w:b w:val="0"/>
          <w:bCs w:val="0"/>
          <w:noProof/>
        </w:rPr>
        <w:t>Manley and Evison (201</w:t>
      </w:r>
      <w:r>
        <w:rPr>
          <w:rStyle w:val="Strong"/>
          <w:b w:val="0"/>
          <w:bCs w:val="0"/>
          <w:noProof/>
        </w:rPr>
        <w:t>7</w:t>
      </w:r>
      <w:r w:rsidRPr="0008373D">
        <w:rPr>
          <w:rStyle w:val="Strong"/>
          <w:b w:val="0"/>
          <w:bCs w:val="0"/>
          <w:noProof/>
        </w:rPr>
        <w:t>)</w:t>
      </w:r>
      <w:r w:rsidRPr="0008373D">
        <w:rPr>
          <w:rStyle w:val="Strong"/>
          <w:b w:val="0"/>
          <w:bCs w:val="0"/>
        </w:rPr>
        <w:fldChar w:fldCharType="end"/>
      </w:r>
      <w:r>
        <w:rPr>
          <w:rStyle w:val="Strong"/>
          <w:b w:val="0"/>
          <w:bCs w:val="0"/>
        </w:rPr>
        <w:t xml:space="preserve">. </w:t>
      </w:r>
      <w:r w:rsidRPr="0C1ABD85">
        <w:rPr>
          <w:rStyle w:val="Strong"/>
          <w:b w:val="0"/>
          <w:bCs w:val="0"/>
        </w:rPr>
        <w:t>Equivalent tables for HWP</w:t>
      </w:r>
      <w:r>
        <w:rPr>
          <w:rStyle w:val="Strong"/>
          <w:b w:val="0"/>
          <w:bCs w:val="0"/>
        </w:rPr>
        <w:t>s</w:t>
      </w:r>
      <w:r w:rsidRPr="0C1ABD85">
        <w:rPr>
          <w:rStyle w:val="Strong"/>
          <w:b w:val="0"/>
          <w:bCs w:val="0"/>
        </w:rPr>
        <w:t xml:space="preserve"> produced in New Zealand (for domestic use and exports) were produced by Scion (Wakelin</w:t>
      </w:r>
      <w:r w:rsidR="002E4E47">
        <w:rPr>
          <w:rStyle w:val="Strong"/>
          <w:b w:val="0"/>
          <w:bCs w:val="0"/>
        </w:rPr>
        <w:t>,</w:t>
      </w:r>
      <w:r w:rsidRPr="0C1ABD85">
        <w:rPr>
          <w:rStyle w:val="Strong"/>
          <w:b w:val="0"/>
          <w:bCs w:val="0"/>
        </w:rPr>
        <w:t xml:space="preserve"> 2023) based on end use mix and lifespan information provided by Wekesa et al</w:t>
      </w:r>
      <w:r w:rsidR="003C7BC9">
        <w:rPr>
          <w:rStyle w:val="Strong"/>
          <w:b w:val="0"/>
          <w:bCs w:val="0"/>
        </w:rPr>
        <w:t>.</w:t>
      </w:r>
      <w:r w:rsidRPr="0C1ABD85">
        <w:rPr>
          <w:rStyle w:val="Strong"/>
          <w:b w:val="0"/>
          <w:bCs w:val="0"/>
        </w:rPr>
        <w:t xml:space="preserve"> (2022).</w:t>
      </w:r>
      <w:r>
        <w:rPr>
          <w:rStyle w:val="Strong"/>
          <w:b w:val="0"/>
          <w:bCs w:val="0"/>
        </w:rPr>
        <w:t xml:space="preserve"> </w:t>
      </w:r>
    </w:p>
    <w:p w14:paraId="135E49CD" w14:textId="77777777" w:rsidR="00F90154" w:rsidRDefault="00F90154" w:rsidP="00791C72">
      <w:pPr>
        <w:spacing w:line="276" w:lineRule="auto"/>
        <w:rPr>
          <w:rStyle w:val="Strong"/>
          <w:b w:val="0"/>
          <w:bCs w:val="0"/>
          <w:szCs w:val="20"/>
        </w:rPr>
      </w:pPr>
    </w:p>
    <w:p w14:paraId="2119A463" w14:textId="77EE94A7" w:rsidR="00915432" w:rsidRPr="00915432" w:rsidRDefault="00915432" w:rsidP="00791C72">
      <w:pPr>
        <w:spacing w:line="276" w:lineRule="auto"/>
        <w:rPr>
          <w:rStyle w:val="Strong"/>
          <w:b w:val="0"/>
          <w:bCs w:val="0"/>
          <w:i/>
          <w:iCs/>
          <w:szCs w:val="20"/>
        </w:rPr>
      </w:pPr>
      <w:r w:rsidRPr="00915432">
        <w:rPr>
          <w:rStyle w:val="Strong"/>
          <w:b w:val="0"/>
          <w:bCs w:val="0"/>
          <w:i/>
          <w:iCs/>
          <w:szCs w:val="20"/>
        </w:rPr>
        <w:t>Period range</w:t>
      </w:r>
    </w:p>
    <w:p w14:paraId="37DCE262" w14:textId="6378C617" w:rsidR="00791C72" w:rsidRDefault="00F1661B" w:rsidP="00791C72">
      <w:pPr>
        <w:pStyle w:val="ListParagraph"/>
        <w:spacing w:line="276" w:lineRule="auto"/>
        <w:ind w:left="0"/>
        <w:rPr>
          <w:rStyle w:val="Strong"/>
          <w:b w:val="0"/>
          <w:bCs w:val="0"/>
        </w:rPr>
      </w:pPr>
      <w:r>
        <w:rPr>
          <w:rStyle w:val="Strong"/>
          <w:b w:val="0"/>
          <w:bCs w:val="0"/>
        </w:rPr>
        <w:t>Individual product lifespans are based on limited information collected at a point in time, so do not vary through time and have been applied to all species</w:t>
      </w:r>
      <w:r w:rsidR="0059563D">
        <w:rPr>
          <w:rStyle w:val="Strong"/>
          <w:b w:val="0"/>
          <w:bCs w:val="0"/>
        </w:rPr>
        <w:t xml:space="preserve"> and rotation lengths</w:t>
      </w:r>
      <w:r>
        <w:rPr>
          <w:rStyle w:val="Strong"/>
          <w:b w:val="0"/>
          <w:bCs w:val="0"/>
        </w:rPr>
        <w:t>. However, the aggregate discard rate is weighted by the mix of export to domestic logs and export market share, which has changed over time.</w:t>
      </w:r>
      <w:r w:rsidR="00791C72" w:rsidRPr="66CE9D02">
        <w:rPr>
          <w:rStyle w:val="Strong"/>
          <w:b w:val="0"/>
          <w:bCs w:val="0"/>
        </w:rPr>
        <w:t xml:space="preserve"> </w:t>
      </w:r>
      <w:r w:rsidR="00D86004">
        <w:rPr>
          <w:rStyle w:val="Strong"/>
          <w:b w:val="0"/>
          <w:bCs w:val="0"/>
        </w:rPr>
        <w:t>Aggregate</w:t>
      </w:r>
      <w:r w:rsidR="00791C72">
        <w:rPr>
          <w:rStyle w:val="Strong"/>
          <w:b w:val="0"/>
          <w:bCs w:val="0"/>
        </w:rPr>
        <w:t xml:space="preserve"> discard tables are therefore provided </w:t>
      </w:r>
      <w:r w:rsidR="001D2114">
        <w:rPr>
          <w:rStyle w:val="Strong"/>
          <w:b w:val="0"/>
          <w:bCs w:val="0"/>
        </w:rPr>
        <w:t xml:space="preserve">in the LTA </w:t>
      </w:r>
      <w:r w:rsidR="00114359">
        <w:rPr>
          <w:rStyle w:val="Strong"/>
          <w:b w:val="0"/>
          <w:bCs w:val="0"/>
        </w:rPr>
        <w:t>Calculator</w:t>
      </w:r>
      <w:r w:rsidR="00114359" w:rsidDel="00114359">
        <w:rPr>
          <w:rStyle w:val="Strong"/>
          <w:b w:val="0"/>
          <w:bCs w:val="0"/>
        </w:rPr>
        <w:t xml:space="preserve"> </w:t>
      </w:r>
      <w:r w:rsidR="00791C72">
        <w:rPr>
          <w:rStyle w:val="Strong"/>
          <w:b w:val="0"/>
          <w:bCs w:val="0"/>
        </w:rPr>
        <w:t xml:space="preserve">by year, and it is possible to select a time period over which to create an average </w:t>
      </w:r>
      <w:r w:rsidR="00791C72">
        <w:rPr>
          <w:rStyle w:val="Strong"/>
          <w:b w:val="0"/>
          <w:bCs w:val="0"/>
        </w:rPr>
        <w:lastRenderedPageBreak/>
        <w:t xml:space="preserve">discard table. </w:t>
      </w:r>
      <w:r w:rsidR="00B733B4">
        <w:rPr>
          <w:rStyle w:val="Strong"/>
          <w:b w:val="0"/>
          <w:bCs w:val="0"/>
        </w:rPr>
        <w:t xml:space="preserve">The period 2018-2022 was </w:t>
      </w:r>
      <w:r w:rsidR="00C172FC">
        <w:rPr>
          <w:rStyle w:val="Strong"/>
          <w:b w:val="0"/>
          <w:bCs w:val="0"/>
        </w:rPr>
        <w:t>selected</w:t>
      </w:r>
      <w:r w:rsidR="001D2114">
        <w:rPr>
          <w:rStyle w:val="Strong"/>
          <w:b w:val="0"/>
          <w:bCs w:val="0"/>
        </w:rPr>
        <w:t xml:space="preserve"> for calculating the LTA. </w:t>
      </w:r>
      <w:r w:rsidR="00A6478B">
        <w:rPr>
          <w:rStyle w:val="Strong"/>
          <w:b w:val="0"/>
          <w:bCs w:val="0"/>
        </w:rPr>
        <w:t xml:space="preserve">Because of the difficulty in comparing HWP pool reporting (from the HWP Model) with the HWP contribution to the FRL, </w:t>
      </w:r>
      <w:r w:rsidR="00347978">
        <w:rPr>
          <w:rStyle w:val="Strong"/>
          <w:b w:val="0"/>
          <w:bCs w:val="0"/>
        </w:rPr>
        <w:t>any changes in end uses and lifespans</w:t>
      </w:r>
      <w:r w:rsidR="004E766C">
        <w:rPr>
          <w:rStyle w:val="Strong"/>
          <w:b w:val="0"/>
          <w:bCs w:val="0"/>
        </w:rPr>
        <w:t xml:space="preserve"> may require recalculation of the LTA. </w:t>
      </w:r>
      <w:r w:rsidR="00810931">
        <w:rPr>
          <w:rStyle w:val="Strong"/>
          <w:b w:val="0"/>
          <w:bCs w:val="0"/>
        </w:rPr>
        <w:t xml:space="preserve">Stock change accounting to the LTA would then </w:t>
      </w:r>
      <w:r w:rsidR="000C6DC0" w:rsidRPr="00B176DD">
        <w:rPr>
          <w:rStyle w:val="Strong"/>
          <w:b w:val="0"/>
          <w:bCs w:val="0"/>
        </w:rPr>
        <w:t xml:space="preserve">capture </w:t>
      </w:r>
      <w:r w:rsidR="007E2111" w:rsidRPr="00B176DD">
        <w:rPr>
          <w:rStyle w:val="Strong"/>
          <w:b w:val="0"/>
          <w:bCs w:val="0"/>
        </w:rPr>
        <w:t>the contribution of the HWP pool in full, with no need for changes to be tracked against the reference level.</w:t>
      </w:r>
    </w:p>
    <w:p w14:paraId="7A68B5CE" w14:textId="77777777" w:rsidR="00810931" w:rsidRDefault="00810931" w:rsidP="00791C72">
      <w:pPr>
        <w:pStyle w:val="ListParagraph"/>
        <w:spacing w:line="276" w:lineRule="auto"/>
        <w:ind w:left="0"/>
        <w:rPr>
          <w:rStyle w:val="Strong"/>
          <w:b w:val="0"/>
          <w:bCs w:val="0"/>
          <w:szCs w:val="20"/>
        </w:rPr>
      </w:pPr>
    </w:p>
    <w:p w14:paraId="0859A900" w14:textId="77777777" w:rsidR="00AE0707" w:rsidRPr="00AE0707" w:rsidRDefault="00AE0707" w:rsidP="00AE0707">
      <w:pPr>
        <w:spacing w:line="276" w:lineRule="auto"/>
        <w:rPr>
          <w:rStyle w:val="Strong"/>
          <w:b w:val="0"/>
          <w:i/>
          <w:iCs/>
        </w:rPr>
      </w:pPr>
      <w:r w:rsidRPr="00AE0707">
        <w:rPr>
          <w:rStyle w:val="Strong"/>
          <w:b w:val="0"/>
          <w:i/>
          <w:iCs/>
        </w:rPr>
        <w:t xml:space="preserve">Discard table length (truncation) </w:t>
      </w:r>
    </w:p>
    <w:p w14:paraId="042130CC" w14:textId="2056B07F" w:rsidR="00AE0707" w:rsidRDefault="00AE0707" w:rsidP="00791C72">
      <w:pPr>
        <w:pStyle w:val="ListParagraph"/>
        <w:spacing w:line="276" w:lineRule="auto"/>
        <w:ind w:left="0"/>
        <w:rPr>
          <w:rStyle w:val="Strong"/>
          <w:b w:val="0"/>
          <w:bCs w:val="0"/>
          <w:szCs w:val="20"/>
        </w:rPr>
      </w:pPr>
      <w:r>
        <w:rPr>
          <w:rStyle w:val="Strong"/>
          <w:b w:val="0"/>
          <w:bCs w:val="0"/>
          <w:szCs w:val="20"/>
        </w:rPr>
        <w:t xml:space="preserve">The LTA </w:t>
      </w:r>
      <w:r w:rsidR="00114359">
        <w:rPr>
          <w:rStyle w:val="Strong"/>
          <w:b w:val="0"/>
          <w:bCs w:val="0"/>
        </w:rPr>
        <w:t>Calculator</w:t>
      </w:r>
      <w:r w:rsidR="00114359" w:rsidDel="00114359">
        <w:rPr>
          <w:rStyle w:val="Strong"/>
          <w:b w:val="0"/>
          <w:bCs w:val="0"/>
          <w:szCs w:val="20"/>
        </w:rPr>
        <w:t xml:space="preserve"> </w:t>
      </w:r>
      <w:r w:rsidR="0061134A">
        <w:rPr>
          <w:rStyle w:val="Strong"/>
          <w:b w:val="0"/>
          <w:bCs w:val="0"/>
          <w:szCs w:val="20"/>
        </w:rPr>
        <w:t xml:space="preserve">considers eight rotations and </w:t>
      </w:r>
      <w:r w:rsidR="009D023E">
        <w:rPr>
          <w:rStyle w:val="Strong"/>
          <w:b w:val="0"/>
          <w:bCs w:val="0"/>
          <w:szCs w:val="20"/>
        </w:rPr>
        <w:t xml:space="preserve">by default </w:t>
      </w:r>
      <w:r w:rsidR="0061134A">
        <w:rPr>
          <w:rStyle w:val="Strong"/>
          <w:b w:val="0"/>
          <w:bCs w:val="0"/>
        </w:rPr>
        <w:t xml:space="preserve">truncates the average </w:t>
      </w:r>
      <w:r w:rsidR="0061134A" w:rsidRPr="0C1ABD85">
        <w:rPr>
          <w:rStyle w:val="Strong"/>
          <w:b w:val="0"/>
          <w:bCs w:val="0"/>
        </w:rPr>
        <w:t xml:space="preserve">discard table at </w:t>
      </w:r>
      <w:r w:rsidR="0061134A">
        <w:rPr>
          <w:rStyle w:val="Strong"/>
          <w:b w:val="0"/>
          <w:bCs w:val="0"/>
        </w:rPr>
        <w:t>150</w:t>
      </w:r>
      <w:r w:rsidR="0061134A" w:rsidRPr="0C1ABD85">
        <w:rPr>
          <w:rStyle w:val="Strong"/>
          <w:b w:val="0"/>
          <w:bCs w:val="0"/>
        </w:rPr>
        <w:t xml:space="preserve"> years</w:t>
      </w:r>
      <w:r w:rsidR="0061134A">
        <w:rPr>
          <w:rStyle w:val="Strong"/>
          <w:b w:val="0"/>
          <w:bCs w:val="0"/>
        </w:rPr>
        <w:t xml:space="preserve">, at which time the remaining 0.8% of </w:t>
      </w:r>
      <w:r w:rsidR="00EE6190">
        <w:rPr>
          <w:rStyle w:val="Strong"/>
          <w:b w:val="0"/>
          <w:bCs w:val="0"/>
        </w:rPr>
        <w:t>HWP carbon is emitted.</w:t>
      </w:r>
      <w:r w:rsidR="00A00EAA">
        <w:rPr>
          <w:rStyle w:val="Strong"/>
          <w:b w:val="0"/>
          <w:bCs w:val="0"/>
        </w:rPr>
        <w:t xml:space="preserve"> </w:t>
      </w:r>
      <w:r w:rsidR="009431BC">
        <w:rPr>
          <w:rStyle w:val="Strong"/>
          <w:b w:val="0"/>
          <w:bCs w:val="0"/>
        </w:rPr>
        <w:t xml:space="preserve">If the discard table was allowed to run out further, a stable LTA stock may not be reached within </w:t>
      </w:r>
      <w:r w:rsidR="00545265">
        <w:rPr>
          <w:rStyle w:val="Strong"/>
          <w:b w:val="0"/>
          <w:bCs w:val="0"/>
        </w:rPr>
        <w:t xml:space="preserve">the </w:t>
      </w:r>
      <w:r w:rsidR="0059563D">
        <w:rPr>
          <w:rStyle w:val="Strong"/>
          <w:b w:val="0"/>
          <w:bCs w:val="0"/>
        </w:rPr>
        <w:t>eight rotations</w:t>
      </w:r>
      <w:r w:rsidR="00545265">
        <w:rPr>
          <w:rStyle w:val="Strong"/>
          <w:b w:val="0"/>
          <w:bCs w:val="0"/>
        </w:rPr>
        <w:t xml:space="preserve"> modelled </w:t>
      </w:r>
      <w:r w:rsidR="00FE1BC8">
        <w:rPr>
          <w:rStyle w:val="Strong"/>
          <w:b w:val="0"/>
          <w:bCs w:val="0"/>
        </w:rPr>
        <w:t xml:space="preserve">in the LTA </w:t>
      </w:r>
      <w:r w:rsidR="00114359">
        <w:rPr>
          <w:rStyle w:val="Strong"/>
          <w:b w:val="0"/>
          <w:bCs w:val="0"/>
        </w:rPr>
        <w:t>Calculator</w:t>
      </w:r>
      <w:r w:rsidR="0059563D">
        <w:rPr>
          <w:rStyle w:val="Strong"/>
          <w:b w:val="0"/>
          <w:bCs w:val="0"/>
        </w:rPr>
        <w:t xml:space="preserve">. </w:t>
      </w:r>
    </w:p>
    <w:p w14:paraId="17DB1515" w14:textId="77777777" w:rsidR="00CB5F09" w:rsidRDefault="00CB5F09" w:rsidP="00A35F7A">
      <w:pPr>
        <w:spacing w:line="276" w:lineRule="auto"/>
        <w:rPr>
          <w:lang w:eastAsia="en-NZ"/>
        </w:rPr>
      </w:pPr>
    </w:p>
    <w:p w14:paraId="7CE685C7" w14:textId="52B31027" w:rsidR="00443923" w:rsidRPr="0016780B" w:rsidRDefault="00443923" w:rsidP="00443923">
      <w:pPr>
        <w:pStyle w:val="Heading3"/>
        <w:rPr>
          <w:lang w:eastAsia="en-NZ"/>
        </w:rPr>
      </w:pPr>
      <w:r>
        <w:rPr>
          <w:lang w:eastAsia="en-NZ"/>
        </w:rPr>
        <w:t>Post-harvest residues</w:t>
      </w:r>
    </w:p>
    <w:p w14:paraId="702B1CDB" w14:textId="77777777" w:rsidR="00CB5F09" w:rsidRDefault="00CB5F09" w:rsidP="00A35F7A">
      <w:pPr>
        <w:spacing w:line="276" w:lineRule="auto"/>
        <w:rPr>
          <w:lang w:eastAsia="en-NZ"/>
        </w:rPr>
      </w:pPr>
    </w:p>
    <w:p w14:paraId="5CB24AF5" w14:textId="77777777" w:rsidR="008F4AC7" w:rsidRDefault="005326F1" w:rsidP="008F4AC7">
      <w:pPr>
        <w:pStyle w:val="ListParagraph"/>
        <w:spacing w:line="276" w:lineRule="auto"/>
        <w:ind w:left="0"/>
        <w:rPr>
          <w:lang w:eastAsia="en-NZ"/>
        </w:rPr>
      </w:pPr>
      <w:r>
        <w:rPr>
          <w:szCs w:val="20"/>
          <w:lang w:eastAsia="en-NZ"/>
        </w:rPr>
        <w:t xml:space="preserve">Post-harvest residues are derived from the total carbon stock in the forest at the time of harvest </w:t>
      </w:r>
      <w:r w:rsidR="008F4AC7">
        <w:rPr>
          <w:szCs w:val="20"/>
          <w:lang w:eastAsia="en-NZ"/>
        </w:rPr>
        <w:t>minus</w:t>
      </w:r>
      <w:r>
        <w:rPr>
          <w:szCs w:val="20"/>
          <w:lang w:eastAsia="en-NZ"/>
        </w:rPr>
        <w:t xml:space="preserve"> the </w:t>
      </w:r>
      <w:r w:rsidR="00722583">
        <w:rPr>
          <w:szCs w:val="20"/>
          <w:lang w:eastAsia="en-NZ"/>
        </w:rPr>
        <w:t xml:space="preserve">carbon in the roundwood assumed to be removed. </w:t>
      </w:r>
      <w:r w:rsidR="008F4AC7">
        <w:rPr>
          <w:lang w:eastAsia="en-NZ"/>
        </w:rPr>
        <w:t>Residues left on site at after harvest and therefore subject to decay include:</w:t>
      </w:r>
    </w:p>
    <w:p w14:paraId="3EF27BC3" w14:textId="3E323D05" w:rsidR="008F4AC7" w:rsidRPr="00A014B2" w:rsidRDefault="008F4AC7" w:rsidP="002815E0">
      <w:pPr>
        <w:pStyle w:val="ListParagraph"/>
        <w:numPr>
          <w:ilvl w:val="0"/>
          <w:numId w:val="4"/>
        </w:numPr>
        <w:spacing w:line="276" w:lineRule="auto"/>
        <w:rPr>
          <w:lang w:eastAsia="en-NZ"/>
        </w:rPr>
      </w:pPr>
      <w:r>
        <w:rPr>
          <w:lang w:eastAsia="en-NZ"/>
        </w:rPr>
        <w:t xml:space="preserve">Dead wood and litter generated throughout the rotation that has not completely </w:t>
      </w:r>
      <w:r w:rsidRPr="00A014B2">
        <w:rPr>
          <w:lang w:eastAsia="en-NZ"/>
        </w:rPr>
        <w:t>decay</w:t>
      </w:r>
      <w:r w:rsidR="00F979FD" w:rsidRPr="00A014B2">
        <w:rPr>
          <w:lang w:eastAsia="en-NZ"/>
        </w:rPr>
        <w:t>ed</w:t>
      </w:r>
      <w:r w:rsidRPr="00A014B2">
        <w:rPr>
          <w:lang w:eastAsia="en-NZ"/>
        </w:rPr>
        <w:t xml:space="preserve"> yet</w:t>
      </w:r>
    </w:p>
    <w:p w14:paraId="7782AABF" w14:textId="77777777" w:rsidR="008F4AC7" w:rsidRDefault="008F4AC7" w:rsidP="002815E0">
      <w:pPr>
        <w:pStyle w:val="ListParagraph"/>
        <w:numPr>
          <w:ilvl w:val="0"/>
          <w:numId w:val="4"/>
        </w:numPr>
        <w:spacing w:line="276" w:lineRule="auto"/>
        <w:rPr>
          <w:lang w:eastAsia="en-NZ"/>
        </w:rPr>
      </w:pPr>
      <w:r>
        <w:rPr>
          <w:lang w:eastAsia="en-NZ"/>
        </w:rPr>
        <w:t>AGB from the trees harvested that has not been removed as logs</w:t>
      </w:r>
    </w:p>
    <w:p w14:paraId="6ADD6974" w14:textId="77777777" w:rsidR="008F4AC7" w:rsidRDefault="008F4AC7" w:rsidP="002815E0">
      <w:pPr>
        <w:pStyle w:val="ListParagraph"/>
        <w:numPr>
          <w:ilvl w:val="0"/>
          <w:numId w:val="4"/>
        </w:numPr>
        <w:spacing w:line="276" w:lineRule="auto"/>
        <w:rPr>
          <w:lang w:eastAsia="en-NZ"/>
        </w:rPr>
      </w:pPr>
      <w:r>
        <w:rPr>
          <w:lang w:eastAsia="en-NZ"/>
        </w:rPr>
        <w:t>All remaining BGB.</w:t>
      </w:r>
    </w:p>
    <w:p w14:paraId="5EB59D10" w14:textId="77777777" w:rsidR="00722583" w:rsidRDefault="00722583" w:rsidP="00443923">
      <w:pPr>
        <w:spacing w:line="276" w:lineRule="auto"/>
        <w:rPr>
          <w:szCs w:val="20"/>
          <w:lang w:eastAsia="en-NZ"/>
        </w:rPr>
      </w:pPr>
    </w:p>
    <w:p w14:paraId="34B14802" w14:textId="4B28BEA0" w:rsidR="007422DF" w:rsidRPr="66CE9D02" w:rsidRDefault="009759FE" w:rsidP="007422DF">
      <w:pPr>
        <w:spacing w:line="276" w:lineRule="auto"/>
        <w:rPr>
          <w:lang w:eastAsia="en-NZ"/>
        </w:rPr>
      </w:pPr>
      <w:r>
        <w:rPr>
          <w:szCs w:val="20"/>
          <w:lang w:eastAsia="en-NZ"/>
        </w:rPr>
        <w:t xml:space="preserve">Within the LTA </w:t>
      </w:r>
      <w:r w:rsidR="00114359">
        <w:rPr>
          <w:rStyle w:val="Strong"/>
          <w:b w:val="0"/>
          <w:bCs w:val="0"/>
        </w:rPr>
        <w:t>Calculator</w:t>
      </w:r>
      <w:r>
        <w:rPr>
          <w:szCs w:val="20"/>
          <w:lang w:eastAsia="en-NZ"/>
        </w:rPr>
        <w:t>, t</w:t>
      </w:r>
      <w:r w:rsidR="00443923">
        <w:rPr>
          <w:szCs w:val="20"/>
          <w:lang w:eastAsia="en-NZ"/>
        </w:rPr>
        <w:t xml:space="preserve">he decay of biomass is captured in </w:t>
      </w:r>
      <w:r w:rsidR="007422DF">
        <w:rPr>
          <w:szCs w:val="20"/>
          <w:lang w:eastAsia="en-NZ"/>
        </w:rPr>
        <w:t xml:space="preserve">a decay </w:t>
      </w:r>
      <w:r w:rsidR="00443923">
        <w:rPr>
          <w:szCs w:val="20"/>
          <w:lang w:eastAsia="en-NZ"/>
        </w:rPr>
        <w:t>table</w:t>
      </w:r>
      <w:r w:rsidR="00FF09B1">
        <w:rPr>
          <w:szCs w:val="20"/>
          <w:lang w:eastAsia="en-NZ"/>
        </w:rPr>
        <w:t xml:space="preserve">, using the same decay function used in the CRA (Paul </w:t>
      </w:r>
      <w:r w:rsidR="004F4E92">
        <w:rPr>
          <w:szCs w:val="20"/>
          <w:lang w:eastAsia="en-NZ"/>
        </w:rPr>
        <w:t xml:space="preserve">&amp; </w:t>
      </w:r>
      <w:r w:rsidR="00FF09B1">
        <w:rPr>
          <w:szCs w:val="20"/>
          <w:lang w:eastAsia="en-NZ"/>
        </w:rPr>
        <w:t>Wakelin</w:t>
      </w:r>
      <w:r w:rsidR="004F4E92">
        <w:rPr>
          <w:szCs w:val="20"/>
          <w:lang w:eastAsia="en-NZ"/>
        </w:rPr>
        <w:t>,</w:t>
      </w:r>
      <w:r w:rsidR="00FF09B1">
        <w:rPr>
          <w:szCs w:val="20"/>
          <w:lang w:eastAsia="en-NZ"/>
        </w:rPr>
        <w:t xml:space="preserve"> 2011).</w:t>
      </w:r>
      <w:r>
        <w:rPr>
          <w:szCs w:val="20"/>
          <w:lang w:eastAsia="en-NZ"/>
        </w:rPr>
        <w:t xml:space="preserve"> The LTA</w:t>
      </w:r>
      <w:r w:rsidR="00445A64">
        <w:rPr>
          <w:szCs w:val="20"/>
          <w:lang w:eastAsia="en-NZ"/>
        </w:rPr>
        <w:t xml:space="preserve"> stock calculated therefore includes the pool of post-harvest residues.</w:t>
      </w:r>
    </w:p>
    <w:p w14:paraId="097039DA" w14:textId="77777777" w:rsidR="00443923" w:rsidRDefault="00443923" w:rsidP="00443923">
      <w:pPr>
        <w:pStyle w:val="ListParagraph"/>
        <w:spacing w:line="276" w:lineRule="auto"/>
        <w:ind w:left="0"/>
        <w:rPr>
          <w:szCs w:val="20"/>
          <w:lang w:eastAsia="en-NZ"/>
        </w:rPr>
      </w:pPr>
    </w:p>
    <w:p w14:paraId="0E96D367" w14:textId="163A752A" w:rsidR="00CB5F09" w:rsidRDefault="00443923" w:rsidP="003A1BFF">
      <w:pPr>
        <w:pStyle w:val="ListParagraph"/>
        <w:spacing w:line="276" w:lineRule="auto"/>
        <w:ind w:left="0"/>
        <w:rPr>
          <w:lang w:eastAsia="en-NZ"/>
        </w:rPr>
      </w:pPr>
      <w:r w:rsidRPr="51BBCFFC">
        <w:rPr>
          <w:lang w:eastAsia="en-NZ"/>
        </w:rPr>
        <w:t>By default</w:t>
      </w:r>
      <w:r>
        <w:rPr>
          <w:lang w:eastAsia="en-NZ"/>
        </w:rPr>
        <w:t>,</w:t>
      </w:r>
      <w:r w:rsidRPr="51BBCFFC">
        <w:rPr>
          <w:lang w:eastAsia="en-NZ"/>
        </w:rPr>
        <w:t xml:space="preserve"> the </w:t>
      </w:r>
      <w:r w:rsidRPr="23C3FFEF">
        <w:rPr>
          <w:lang w:eastAsia="en-NZ"/>
        </w:rPr>
        <w:t>decay</w:t>
      </w:r>
      <w:r w:rsidRPr="51BBCFFC">
        <w:rPr>
          <w:lang w:eastAsia="en-NZ"/>
        </w:rPr>
        <w:t xml:space="preserve"> of residues </w:t>
      </w:r>
      <w:r w:rsidR="009759FE">
        <w:rPr>
          <w:lang w:eastAsia="en-NZ"/>
        </w:rPr>
        <w:t xml:space="preserve">in the LTA </w:t>
      </w:r>
      <w:r w:rsidR="00114359">
        <w:rPr>
          <w:rStyle w:val="Strong"/>
          <w:b w:val="0"/>
          <w:bCs w:val="0"/>
        </w:rPr>
        <w:t>Calculator</w:t>
      </w:r>
      <w:r w:rsidR="00114359" w:rsidDel="00114359">
        <w:rPr>
          <w:lang w:eastAsia="en-NZ"/>
        </w:rPr>
        <w:t xml:space="preserve"> </w:t>
      </w:r>
      <w:r w:rsidRPr="51BBCFFC">
        <w:rPr>
          <w:lang w:eastAsia="en-NZ"/>
        </w:rPr>
        <w:t xml:space="preserve">is truncated to zero at </w:t>
      </w:r>
      <w:r w:rsidRPr="4D588CC9">
        <w:rPr>
          <w:lang w:eastAsia="en-NZ"/>
        </w:rPr>
        <w:t>100</w:t>
      </w:r>
      <w:r w:rsidRPr="51BBCFFC">
        <w:rPr>
          <w:lang w:eastAsia="en-NZ"/>
        </w:rPr>
        <w:t xml:space="preserve"> years, by which time </w:t>
      </w:r>
      <w:r w:rsidRPr="5939CCBC">
        <w:rPr>
          <w:lang w:eastAsia="en-NZ"/>
        </w:rPr>
        <w:t>only</w:t>
      </w:r>
      <w:r w:rsidRPr="51BBCFFC">
        <w:rPr>
          <w:lang w:eastAsia="en-NZ"/>
        </w:rPr>
        <w:t xml:space="preserve"> 0.0001% of the initial residues remain</w:t>
      </w:r>
      <w:r w:rsidRPr="7878787B">
        <w:rPr>
          <w:lang w:eastAsia="en-NZ"/>
        </w:rPr>
        <w:t>.</w:t>
      </w:r>
      <w:r>
        <w:rPr>
          <w:lang w:eastAsia="en-NZ"/>
        </w:rPr>
        <w:t xml:space="preserve"> This allows LTA stock to reach an asymptote within </w:t>
      </w:r>
      <w:r w:rsidR="003A1BFF">
        <w:rPr>
          <w:lang w:eastAsia="en-NZ"/>
        </w:rPr>
        <w:t>the eight rotations modelled</w:t>
      </w:r>
      <w:r>
        <w:rPr>
          <w:lang w:eastAsia="en-NZ"/>
        </w:rPr>
        <w:t xml:space="preserve">. </w:t>
      </w:r>
    </w:p>
    <w:p w14:paraId="6012E06B" w14:textId="77777777" w:rsidR="00CB5F09" w:rsidRDefault="00CB5F09" w:rsidP="00A35F7A">
      <w:pPr>
        <w:spacing w:line="276" w:lineRule="auto"/>
        <w:rPr>
          <w:lang w:eastAsia="en-NZ"/>
        </w:rPr>
      </w:pPr>
    </w:p>
    <w:p w14:paraId="3CA68741" w14:textId="30A5D0C7" w:rsidR="0095151A" w:rsidRDefault="0095151A" w:rsidP="00235D63">
      <w:pPr>
        <w:pStyle w:val="Heading3"/>
        <w:rPr>
          <w:lang w:eastAsia="en-NZ"/>
        </w:rPr>
      </w:pPr>
      <w:r>
        <w:rPr>
          <w:lang w:eastAsia="en-NZ"/>
        </w:rPr>
        <w:t xml:space="preserve">Soil </w:t>
      </w:r>
      <w:r w:rsidR="00210B32">
        <w:rPr>
          <w:lang w:eastAsia="en-NZ"/>
        </w:rPr>
        <w:t>c</w:t>
      </w:r>
      <w:r>
        <w:rPr>
          <w:lang w:eastAsia="en-NZ"/>
        </w:rPr>
        <w:t xml:space="preserve">arbon </w:t>
      </w:r>
      <w:r w:rsidR="003B591E">
        <w:rPr>
          <w:lang w:eastAsia="en-NZ"/>
        </w:rPr>
        <w:t>a</w:t>
      </w:r>
      <w:r>
        <w:rPr>
          <w:lang w:eastAsia="en-NZ"/>
        </w:rPr>
        <w:t>djustment</w:t>
      </w:r>
      <w:r w:rsidR="00210B32">
        <w:rPr>
          <w:lang w:eastAsia="en-NZ"/>
        </w:rPr>
        <w:t>s for post-1989 forest types</w:t>
      </w:r>
    </w:p>
    <w:p w14:paraId="4F56445C" w14:textId="77777777" w:rsidR="0016780B" w:rsidRPr="00235D63" w:rsidRDefault="0016780B" w:rsidP="00A35F7A">
      <w:pPr>
        <w:spacing w:line="276" w:lineRule="auto"/>
        <w:rPr>
          <w:i/>
          <w:iCs/>
          <w:lang w:eastAsia="en-NZ"/>
        </w:rPr>
      </w:pPr>
    </w:p>
    <w:p w14:paraId="1CAD3DAA" w14:textId="632477ED" w:rsidR="00583F87" w:rsidRDefault="007F69F5" w:rsidP="00A35F7A">
      <w:pPr>
        <w:spacing w:line="276" w:lineRule="auto"/>
      </w:pPr>
      <w:r>
        <w:t xml:space="preserve">The LTA </w:t>
      </w:r>
      <w:r w:rsidR="00114359">
        <w:rPr>
          <w:rStyle w:val="Strong"/>
          <w:b w:val="0"/>
          <w:bCs w:val="0"/>
        </w:rPr>
        <w:t>Calculator</w:t>
      </w:r>
      <w:r w:rsidR="00114359" w:rsidDel="00114359">
        <w:t xml:space="preserve"> </w:t>
      </w:r>
      <w:r>
        <w:t>allows two approaches</w:t>
      </w:r>
      <w:r w:rsidR="00B9792B">
        <w:t xml:space="preserve"> for dealing with the </w:t>
      </w:r>
      <w:r w:rsidR="00583F87">
        <w:t>soil carbon stock.</w:t>
      </w:r>
    </w:p>
    <w:p w14:paraId="6DC13CF8" w14:textId="45296616" w:rsidR="00CF5DA3" w:rsidRDefault="00583F87" w:rsidP="002815E0">
      <w:pPr>
        <w:pStyle w:val="ListParagraph"/>
        <w:numPr>
          <w:ilvl w:val="0"/>
          <w:numId w:val="15"/>
        </w:numPr>
        <w:spacing w:line="276" w:lineRule="auto"/>
        <w:rPr>
          <w:lang w:eastAsia="en-NZ"/>
        </w:rPr>
      </w:pPr>
      <w:r>
        <w:t xml:space="preserve">The LTA </w:t>
      </w:r>
      <w:r w:rsidR="00114359">
        <w:rPr>
          <w:rStyle w:val="Strong"/>
          <w:b w:val="0"/>
          <w:bCs w:val="0"/>
        </w:rPr>
        <w:t>Calculator</w:t>
      </w:r>
      <w:r w:rsidR="00114359" w:rsidDel="00114359">
        <w:t xml:space="preserve"> </w:t>
      </w:r>
      <w:r w:rsidR="00B9792B">
        <w:t xml:space="preserve">can </w:t>
      </w:r>
      <w:r w:rsidR="00E16322">
        <w:t xml:space="preserve">estimate the </w:t>
      </w:r>
      <w:r w:rsidR="00E16322" w:rsidRPr="00CF5DA3">
        <w:rPr>
          <w:i/>
          <w:iCs/>
        </w:rPr>
        <w:t>change</w:t>
      </w:r>
      <w:r w:rsidR="00E16322">
        <w:t xml:space="preserve"> in soil carbon resulting from land use change to post-1989 forests</w:t>
      </w:r>
      <w:r w:rsidR="00D76D35">
        <w:t>, then net this off the long</w:t>
      </w:r>
      <w:r w:rsidR="002F05EE">
        <w:t>-</w:t>
      </w:r>
      <w:r w:rsidR="00D76D35">
        <w:t xml:space="preserve">term average </w:t>
      </w:r>
      <w:r w:rsidR="008B1B52">
        <w:t>that excludes</w:t>
      </w:r>
      <w:r w:rsidR="00D76D35">
        <w:t xml:space="preserve"> the soil</w:t>
      </w:r>
      <w:r w:rsidR="00CF5DA3">
        <w:t xml:space="preserve"> carbon pool. The change in soil carbon depends on pre-afforestation land use mix, which varies over time, so </w:t>
      </w:r>
      <w:r w:rsidR="002E58A3">
        <w:t>a five-year average for 2018-2022 is used</w:t>
      </w:r>
      <w:r w:rsidR="001415A3">
        <w:t xml:space="preserve"> by default and this period can be adjusted</w:t>
      </w:r>
      <w:r w:rsidR="002E58A3">
        <w:t>.</w:t>
      </w:r>
      <w:r w:rsidR="002F05EE">
        <w:t xml:space="preserve"> </w:t>
      </w:r>
    </w:p>
    <w:p w14:paraId="157583AF" w14:textId="77777777" w:rsidR="002E58A3" w:rsidRDefault="002E58A3" w:rsidP="002E58A3">
      <w:pPr>
        <w:spacing w:line="276" w:lineRule="auto"/>
        <w:rPr>
          <w:lang w:eastAsia="en-NZ"/>
        </w:rPr>
      </w:pPr>
    </w:p>
    <w:p w14:paraId="3B8C47F1" w14:textId="737B6E5C" w:rsidR="002E58A3" w:rsidRDefault="001415A3" w:rsidP="002815E0">
      <w:pPr>
        <w:pStyle w:val="ListParagraph"/>
        <w:numPr>
          <w:ilvl w:val="0"/>
          <w:numId w:val="15"/>
        </w:numPr>
        <w:spacing w:line="276" w:lineRule="auto"/>
        <w:rPr>
          <w:lang w:eastAsia="en-NZ"/>
        </w:rPr>
      </w:pPr>
      <w:r>
        <w:rPr>
          <w:lang w:eastAsia="en-NZ"/>
        </w:rPr>
        <w:t>T</w:t>
      </w:r>
      <w:r w:rsidR="008C1C9B">
        <w:rPr>
          <w:lang w:eastAsia="en-NZ"/>
        </w:rPr>
        <w:t xml:space="preserve">he soil </w:t>
      </w:r>
      <w:r>
        <w:rPr>
          <w:lang w:eastAsia="en-NZ"/>
        </w:rPr>
        <w:t xml:space="preserve">carbon </w:t>
      </w:r>
      <w:r w:rsidR="00FF701B">
        <w:rPr>
          <w:lang w:eastAsia="en-NZ"/>
        </w:rPr>
        <w:t xml:space="preserve">change following afforestation </w:t>
      </w:r>
      <w:r>
        <w:rPr>
          <w:lang w:eastAsia="en-NZ"/>
        </w:rPr>
        <w:t xml:space="preserve">can be excluded from the LTA </w:t>
      </w:r>
      <w:r w:rsidR="0055536A">
        <w:rPr>
          <w:lang w:eastAsia="en-NZ"/>
        </w:rPr>
        <w:t>calculation. Instead</w:t>
      </w:r>
      <w:r w:rsidR="00FF701B">
        <w:rPr>
          <w:lang w:eastAsia="en-NZ"/>
        </w:rPr>
        <w:t>,</w:t>
      </w:r>
      <w:r w:rsidR="000A2784">
        <w:rPr>
          <w:lang w:eastAsia="en-NZ"/>
        </w:rPr>
        <w:t xml:space="preserve"> the loss of soil carbon from the pre-afforestation land use as a result of land use change</w:t>
      </w:r>
      <w:r w:rsidR="00EB09FD">
        <w:rPr>
          <w:lang w:eastAsia="en-NZ"/>
        </w:rPr>
        <w:t xml:space="preserve"> </w:t>
      </w:r>
      <w:r w:rsidR="00A014B2">
        <w:rPr>
          <w:lang w:eastAsia="en-NZ"/>
        </w:rPr>
        <w:t>should be</w:t>
      </w:r>
      <w:r w:rsidR="0055536A">
        <w:rPr>
          <w:lang w:eastAsia="en-NZ"/>
        </w:rPr>
        <w:t xml:space="preserve"> captured </w:t>
      </w:r>
      <w:r w:rsidR="00EB09FD">
        <w:rPr>
          <w:lang w:eastAsia="en-NZ"/>
        </w:rPr>
        <w:t>directly in the accounting quantity</w:t>
      </w:r>
      <w:r w:rsidR="0055536A">
        <w:rPr>
          <w:lang w:eastAsia="en-NZ"/>
        </w:rPr>
        <w:t xml:space="preserve"> through stock change accounting</w:t>
      </w:r>
      <w:r w:rsidR="00EB09FD">
        <w:rPr>
          <w:lang w:eastAsia="en-NZ"/>
        </w:rPr>
        <w:t>.</w:t>
      </w:r>
    </w:p>
    <w:p w14:paraId="06C6B31E" w14:textId="77777777" w:rsidR="00EB09FD" w:rsidRDefault="00EB09FD" w:rsidP="00EB09FD">
      <w:pPr>
        <w:pStyle w:val="ListParagraph"/>
        <w:rPr>
          <w:lang w:eastAsia="en-NZ"/>
        </w:rPr>
      </w:pPr>
    </w:p>
    <w:p w14:paraId="50E81528" w14:textId="3D9EE44B" w:rsidR="005B5DB3" w:rsidRDefault="00FF701B" w:rsidP="005B5DB3">
      <w:pPr>
        <w:pStyle w:val="ListParagraph"/>
        <w:spacing w:line="276" w:lineRule="auto"/>
        <w:ind w:left="0" w:right="-568"/>
        <w:rPr>
          <w:lang w:eastAsia="en-NZ"/>
        </w:rPr>
      </w:pPr>
      <w:r>
        <w:rPr>
          <w:lang w:eastAsia="en-NZ"/>
        </w:rPr>
        <w:t xml:space="preserve">LTA calculations made to support projections have previously taken the </w:t>
      </w:r>
      <w:r w:rsidR="00EB09FD">
        <w:rPr>
          <w:lang w:eastAsia="en-NZ"/>
        </w:rPr>
        <w:t xml:space="preserve">first approach, </w:t>
      </w:r>
      <w:r w:rsidR="005B5DB3">
        <w:rPr>
          <w:lang w:eastAsia="en-NZ"/>
        </w:rPr>
        <w:t xml:space="preserve">accounting for </w:t>
      </w:r>
      <w:r w:rsidR="00EC0781">
        <w:rPr>
          <w:lang w:eastAsia="en-NZ"/>
        </w:rPr>
        <w:t>the</w:t>
      </w:r>
      <w:r w:rsidR="005B5DB3">
        <w:rPr>
          <w:lang w:eastAsia="en-NZ"/>
        </w:rPr>
        <w:t xml:space="preserve"> one-off change </w:t>
      </w:r>
      <w:r w:rsidR="00EC0781">
        <w:rPr>
          <w:lang w:eastAsia="en-NZ"/>
        </w:rPr>
        <w:t xml:space="preserve">in soil carbon average stock </w:t>
      </w:r>
      <w:r w:rsidR="005B5DB3">
        <w:rPr>
          <w:lang w:eastAsia="en-NZ"/>
        </w:rPr>
        <w:t xml:space="preserve">due to afforestation. This </w:t>
      </w:r>
      <w:r w:rsidR="00EC0781">
        <w:rPr>
          <w:lang w:eastAsia="en-NZ"/>
        </w:rPr>
        <w:t>uses</w:t>
      </w:r>
      <w:r w:rsidR="005B5DB3">
        <w:rPr>
          <w:lang w:eastAsia="en-NZ"/>
        </w:rPr>
        <w:t xml:space="preserve"> </w:t>
      </w:r>
      <w:r w:rsidR="005B5DB3" w:rsidRPr="00A04FEC">
        <w:rPr>
          <w:lang w:eastAsia="en-NZ"/>
        </w:rPr>
        <w:t xml:space="preserve">estimates of </w:t>
      </w:r>
      <w:r w:rsidR="005B5DB3">
        <w:rPr>
          <w:lang w:eastAsia="en-NZ"/>
        </w:rPr>
        <w:t xml:space="preserve">steady-state </w:t>
      </w:r>
      <w:r w:rsidR="005B5DB3" w:rsidRPr="00A04FEC">
        <w:rPr>
          <w:lang w:eastAsia="en-NZ"/>
        </w:rPr>
        <w:t xml:space="preserve">soil organic carbon stocks derived for all land uses and </w:t>
      </w:r>
      <w:r w:rsidR="005B5DB3">
        <w:rPr>
          <w:lang w:eastAsia="en-NZ"/>
        </w:rPr>
        <w:t>the land use change matrix to post-1989 planted forests (MFE 202</w:t>
      </w:r>
      <w:r w:rsidR="00EC0781">
        <w:rPr>
          <w:lang w:eastAsia="en-NZ"/>
        </w:rPr>
        <w:t>4</w:t>
      </w:r>
      <w:r w:rsidR="00781650">
        <w:rPr>
          <w:lang w:eastAsia="en-NZ"/>
        </w:rPr>
        <w:t>b</w:t>
      </w:r>
      <w:r w:rsidR="005B5DB3">
        <w:rPr>
          <w:lang w:eastAsia="en-NZ"/>
        </w:rPr>
        <w:t>)</w:t>
      </w:r>
      <w:r w:rsidR="005B5DB3" w:rsidRPr="00A04FEC">
        <w:rPr>
          <w:lang w:eastAsia="en-NZ"/>
        </w:rPr>
        <w:t>.</w:t>
      </w:r>
      <w:r w:rsidR="005B5DB3">
        <w:rPr>
          <w:lang w:eastAsia="en-NZ"/>
        </w:rPr>
        <w:t xml:space="preserve"> The assumption made is that </w:t>
      </w:r>
      <w:r w:rsidR="005B5DB3" w:rsidRPr="446B7914">
        <w:rPr>
          <w:lang w:eastAsia="en-NZ"/>
        </w:rPr>
        <w:t xml:space="preserve">the difference between the long-term </w:t>
      </w:r>
      <w:r w:rsidR="005B5DB3">
        <w:rPr>
          <w:lang w:eastAsia="en-NZ"/>
        </w:rPr>
        <w:t xml:space="preserve">soil </w:t>
      </w:r>
      <w:r w:rsidR="005B5DB3" w:rsidRPr="446B7914">
        <w:rPr>
          <w:lang w:eastAsia="en-NZ"/>
        </w:rPr>
        <w:t xml:space="preserve">carbon stock under </w:t>
      </w:r>
      <w:r w:rsidR="005B5DB3">
        <w:rPr>
          <w:lang w:eastAsia="en-NZ"/>
        </w:rPr>
        <w:t>pre-afforestation land uses</w:t>
      </w:r>
      <w:r w:rsidR="005B5DB3" w:rsidRPr="446B7914">
        <w:rPr>
          <w:lang w:eastAsia="en-NZ"/>
        </w:rPr>
        <w:t xml:space="preserve"> and the long-term </w:t>
      </w:r>
      <w:r w:rsidR="005B5DB3">
        <w:rPr>
          <w:lang w:eastAsia="en-NZ"/>
        </w:rPr>
        <w:t xml:space="preserve">soil </w:t>
      </w:r>
      <w:r w:rsidR="005B5DB3" w:rsidRPr="446B7914">
        <w:rPr>
          <w:lang w:eastAsia="en-NZ"/>
        </w:rPr>
        <w:t xml:space="preserve">carbon stock under </w:t>
      </w:r>
      <w:r w:rsidR="005B5DB3">
        <w:rPr>
          <w:lang w:eastAsia="en-NZ"/>
        </w:rPr>
        <w:t xml:space="preserve">post-1989 planted </w:t>
      </w:r>
      <w:r w:rsidR="005B5DB3" w:rsidRPr="446B7914">
        <w:rPr>
          <w:lang w:eastAsia="en-NZ"/>
        </w:rPr>
        <w:t>forest represents a change in the long-term average</w:t>
      </w:r>
      <w:r w:rsidR="005B5DB3">
        <w:rPr>
          <w:lang w:eastAsia="en-NZ"/>
        </w:rPr>
        <w:t xml:space="preserve"> stock</w:t>
      </w:r>
      <w:r w:rsidR="005B5DB3" w:rsidRPr="446B7914">
        <w:rPr>
          <w:lang w:eastAsia="en-NZ"/>
        </w:rPr>
        <w:t xml:space="preserve">. </w:t>
      </w:r>
      <w:r w:rsidR="006B13F3">
        <w:rPr>
          <w:lang w:eastAsia="en-NZ"/>
        </w:rPr>
        <w:t>An average pre-</w:t>
      </w:r>
      <w:r w:rsidR="00471BFD">
        <w:rPr>
          <w:lang w:eastAsia="en-NZ"/>
        </w:rPr>
        <w:t>afforestation land use mix is assume</w:t>
      </w:r>
      <w:r w:rsidR="004F6502">
        <w:rPr>
          <w:lang w:eastAsia="en-NZ"/>
        </w:rPr>
        <w:t>d</w:t>
      </w:r>
      <w:r w:rsidR="00471BFD">
        <w:rPr>
          <w:lang w:eastAsia="en-NZ"/>
        </w:rPr>
        <w:t>, avoiding the need to explicitly project afforestation on each land use.</w:t>
      </w:r>
    </w:p>
    <w:p w14:paraId="214A5AA7" w14:textId="77777777" w:rsidR="00471BFD" w:rsidRDefault="00471BFD" w:rsidP="005B5DB3">
      <w:pPr>
        <w:pStyle w:val="ListParagraph"/>
        <w:spacing w:line="276" w:lineRule="auto"/>
        <w:ind w:left="0" w:right="-568"/>
        <w:rPr>
          <w:lang w:eastAsia="en-NZ"/>
        </w:rPr>
      </w:pPr>
    </w:p>
    <w:p w14:paraId="4371485C" w14:textId="1696FB97" w:rsidR="00471BFD" w:rsidRPr="00264894" w:rsidRDefault="00D63F4E" w:rsidP="005B5DB3">
      <w:pPr>
        <w:pStyle w:val="ListParagraph"/>
        <w:spacing w:line="276" w:lineRule="auto"/>
        <w:ind w:left="0" w:right="-568"/>
        <w:rPr>
          <w:lang w:eastAsia="en-NZ"/>
        </w:rPr>
      </w:pPr>
      <w:r>
        <w:rPr>
          <w:lang w:eastAsia="en-NZ"/>
        </w:rPr>
        <w:lastRenderedPageBreak/>
        <w:t xml:space="preserve">The </w:t>
      </w:r>
      <w:r w:rsidR="003D79CA">
        <w:rPr>
          <w:lang w:eastAsia="en-NZ"/>
        </w:rPr>
        <w:t xml:space="preserve">option taken was to </w:t>
      </w:r>
      <w:r>
        <w:rPr>
          <w:lang w:eastAsia="en-NZ"/>
        </w:rPr>
        <w:t xml:space="preserve">instead exclude the soil carbon stock change (along with the loss of pre-afforestation biomass) from the LTA calculation. </w:t>
      </w:r>
      <w:r w:rsidR="00200F55">
        <w:rPr>
          <w:lang w:eastAsia="en-NZ"/>
        </w:rPr>
        <w:t xml:space="preserve">For accounting, the CRA will capture actual soil carbon changes through the Land Use Change matrix modelled in the CRA. </w:t>
      </w:r>
      <w:r w:rsidR="00756398">
        <w:rPr>
          <w:lang w:eastAsia="en-NZ"/>
        </w:rPr>
        <w:t>Because this is a one</w:t>
      </w:r>
      <w:r w:rsidR="00B06C87">
        <w:rPr>
          <w:lang w:eastAsia="en-NZ"/>
        </w:rPr>
        <w:t>-</w:t>
      </w:r>
      <w:r w:rsidR="00756398">
        <w:rPr>
          <w:lang w:eastAsia="en-NZ"/>
        </w:rPr>
        <w:t xml:space="preserve">off change that occurs in the first rotation only, there is no cyclical recurrence and therefore no </w:t>
      </w:r>
      <w:r w:rsidR="00E11C6F">
        <w:rPr>
          <w:lang w:eastAsia="en-NZ"/>
        </w:rPr>
        <w:t>disadvantage in excluding soil carbon from the LTA calculation.</w:t>
      </w:r>
    </w:p>
    <w:p w14:paraId="1F42A8D5" w14:textId="77777777" w:rsidR="00AE7C1B" w:rsidRDefault="00AE7C1B" w:rsidP="00A35F7A">
      <w:pPr>
        <w:spacing w:line="276" w:lineRule="auto"/>
        <w:rPr>
          <w:lang w:eastAsia="en-NZ"/>
        </w:rPr>
      </w:pPr>
    </w:p>
    <w:p w14:paraId="7BE693EE" w14:textId="7B0AB002" w:rsidR="00B64CED" w:rsidRPr="00E95921" w:rsidRDefault="00B64CED" w:rsidP="00C43D65">
      <w:pPr>
        <w:pStyle w:val="Heading2"/>
      </w:pPr>
      <w:bookmarkStart w:id="10" w:name="_Toc178255283"/>
      <w:r w:rsidRPr="00E95921">
        <w:t>LTA Stock and Age</w:t>
      </w:r>
      <w:r w:rsidR="007C5768">
        <w:t xml:space="preserve"> calculation</w:t>
      </w:r>
      <w:bookmarkEnd w:id="10"/>
    </w:p>
    <w:p w14:paraId="57C6073F" w14:textId="5D30A18A" w:rsidR="00B64CED" w:rsidRPr="00E95921" w:rsidRDefault="00B64CED" w:rsidP="00B64CED">
      <w:r w:rsidRPr="00E95921">
        <w:t xml:space="preserve">The LTA </w:t>
      </w:r>
      <w:r w:rsidR="00114359">
        <w:rPr>
          <w:rStyle w:val="Strong"/>
          <w:b w:val="0"/>
          <w:bCs w:val="0"/>
        </w:rPr>
        <w:t>Calculator</w:t>
      </w:r>
      <w:r w:rsidR="00114359" w:rsidRPr="00E95921" w:rsidDel="00114359">
        <w:t xml:space="preserve"> </w:t>
      </w:r>
      <w:r w:rsidR="009A7364" w:rsidRPr="00E95921">
        <w:t xml:space="preserve">(Dovey </w:t>
      </w:r>
      <w:r w:rsidR="00AB1322">
        <w:t>&amp;</w:t>
      </w:r>
      <w:r w:rsidR="00AB1322" w:rsidRPr="00E95921">
        <w:t xml:space="preserve"> </w:t>
      </w:r>
      <w:r w:rsidR="009A7364" w:rsidRPr="00E95921">
        <w:t>Wakelin</w:t>
      </w:r>
      <w:r w:rsidR="004F4E92">
        <w:t>,</w:t>
      </w:r>
      <w:r w:rsidR="009A7364" w:rsidRPr="00E95921">
        <w:t xml:space="preserve"> 2024)</w:t>
      </w:r>
      <w:r w:rsidRPr="00E95921">
        <w:t xml:space="preserve"> calculates </w:t>
      </w:r>
      <w:r w:rsidR="00E95921" w:rsidRPr="00E95921">
        <w:t>both the</w:t>
      </w:r>
      <w:r w:rsidRPr="00E95921">
        <w:t xml:space="preserve"> </w:t>
      </w:r>
      <w:r w:rsidR="00E95921" w:rsidRPr="00E95921">
        <w:t xml:space="preserve">LTA </w:t>
      </w:r>
      <w:r w:rsidR="00A71E05" w:rsidRPr="003D667A">
        <w:t>carbon</w:t>
      </w:r>
      <w:r w:rsidR="00A71E05">
        <w:t xml:space="preserve"> </w:t>
      </w:r>
      <w:r w:rsidR="00E95921" w:rsidRPr="00E95921">
        <w:t>stock for rotational forests and the LTA age to one decimal point</w:t>
      </w:r>
      <w:r w:rsidRPr="00E95921">
        <w:t>.</w:t>
      </w:r>
      <w:r w:rsidR="009A7364" w:rsidRPr="00E95921">
        <w:t xml:space="preserve"> </w:t>
      </w:r>
    </w:p>
    <w:p w14:paraId="6310EA67" w14:textId="77777777" w:rsidR="00B64CED" w:rsidRPr="00E95921" w:rsidRDefault="00B64CED" w:rsidP="00B64CED"/>
    <w:p w14:paraId="5B0F3032" w14:textId="1FA2EC9C" w:rsidR="00B64CED" w:rsidRPr="00E95921" w:rsidRDefault="00B64CED" w:rsidP="00B64CED">
      <w:r w:rsidRPr="00E95921">
        <w:t>The LUCAS CRA module will capture carbon stock changes in post-1989 forests up to the national LTA age based on stock change accounting. There are three options for dealing with an LTA age that lies between whole number ages:</w:t>
      </w:r>
    </w:p>
    <w:p w14:paraId="70B8D364" w14:textId="77777777" w:rsidR="00B64CED" w:rsidRPr="00E95921" w:rsidRDefault="00B64CED" w:rsidP="002815E0">
      <w:pPr>
        <w:pStyle w:val="ListParagraph"/>
        <w:numPr>
          <w:ilvl w:val="0"/>
          <w:numId w:val="1"/>
        </w:numPr>
      </w:pPr>
      <w:r w:rsidRPr="00E95921">
        <w:t>Include the partial increment under stock change accounting in the CRA calculations.</w:t>
      </w:r>
    </w:p>
    <w:p w14:paraId="7D928C60" w14:textId="77777777" w:rsidR="00B64CED" w:rsidRPr="00E95921" w:rsidRDefault="00B64CED" w:rsidP="002815E0">
      <w:pPr>
        <w:pStyle w:val="ListParagraph"/>
        <w:numPr>
          <w:ilvl w:val="0"/>
          <w:numId w:val="1"/>
        </w:numPr>
      </w:pPr>
      <w:r w:rsidRPr="00E95921">
        <w:t>Round the LTA age down – e.g. 22.9 and 23.1 become 22 and 23.</w:t>
      </w:r>
    </w:p>
    <w:p w14:paraId="7A203230" w14:textId="77777777" w:rsidR="00B64CED" w:rsidRPr="00E95921" w:rsidRDefault="00B64CED" w:rsidP="002815E0">
      <w:pPr>
        <w:pStyle w:val="ListParagraph"/>
        <w:numPr>
          <w:ilvl w:val="0"/>
          <w:numId w:val="5"/>
        </w:numPr>
      </w:pPr>
      <w:r w:rsidRPr="00E95921">
        <w:t>Round the LTA age up and down as appropriate – e.g. 22.4 becomes 22; 22.6 becomes 23.</w:t>
      </w:r>
    </w:p>
    <w:p w14:paraId="40324A42" w14:textId="77777777" w:rsidR="00B64CED" w:rsidRPr="00B64CED" w:rsidRDefault="00B64CED" w:rsidP="00B64CED">
      <w:pPr>
        <w:rPr>
          <w:highlight w:val="yellow"/>
        </w:rPr>
      </w:pPr>
    </w:p>
    <w:p w14:paraId="64579254" w14:textId="74D55F97" w:rsidR="00B64CED" w:rsidRPr="00983A34" w:rsidRDefault="00B64CED" w:rsidP="00B64CED">
      <w:r w:rsidRPr="00983A34">
        <w:t>One issue is that relatively small difference</w:t>
      </w:r>
      <w:r w:rsidR="000C64D8" w:rsidRPr="001A17BF">
        <w:t>s</w:t>
      </w:r>
      <w:r w:rsidRPr="00983A34">
        <w:t xml:space="preserve"> in the LTA stock and LTA age can have large impacts given large national areas, stocks per hectare and carbon prices. Rounding can exacerbate this. For example, changes in data or assumptions that result in relatively small LTA age changes as in the examples above can have a large impact whether rounding down (option 2) or up and down (option 3). In both cases a difference in LTA age of 0.2 years </w:t>
      </w:r>
      <w:r w:rsidR="00983A34">
        <w:t xml:space="preserve">can </w:t>
      </w:r>
      <w:r w:rsidRPr="00983A34">
        <w:t>become a difference of 1 year after rounding.</w:t>
      </w:r>
    </w:p>
    <w:p w14:paraId="0E957DE1" w14:textId="77777777" w:rsidR="00B64CED" w:rsidRPr="00983A34" w:rsidRDefault="00B64CED" w:rsidP="00B64CED"/>
    <w:p w14:paraId="180AE0A8" w14:textId="77777777" w:rsidR="00B64CED" w:rsidRPr="00AD0419" w:rsidRDefault="00B64CED" w:rsidP="00B64CED">
      <w:pPr>
        <w:rPr>
          <w:rStyle w:val="FootnoteReference"/>
        </w:rPr>
      </w:pPr>
      <w:r w:rsidRPr="00AD0419">
        <w:t>The reverse is also true – that is, if there is a relatively large difference in calculated LTA age, either approach could minimise the impact of this. If rounding up and down, LTA ages of 23.6 and 24.4 both become 24.</w:t>
      </w:r>
      <w:r w:rsidRPr="00AD0419">
        <w:rPr>
          <w:rStyle w:val="FootnoteReference"/>
        </w:rPr>
        <w:footnoteReference w:id="6"/>
      </w:r>
      <w:r w:rsidRPr="00AD0419">
        <w:t xml:space="preserve"> If rounding down only, 23.1 and 23.9 both become 23.</w:t>
      </w:r>
    </w:p>
    <w:p w14:paraId="74593E2E" w14:textId="77777777" w:rsidR="00B64CED" w:rsidRPr="00B64CED" w:rsidRDefault="00B64CED" w:rsidP="00B64CED">
      <w:pPr>
        <w:rPr>
          <w:highlight w:val="yellow"/>
        </w:rPr>
      </w:pPr>
    </w:p>
    <w:p w14:paraId="1EB370E9" w14:textId="2372F844" w:rsidR="00B64CED" w:rsidRDefault="00B64CED" w:rsidP="00B64CED">
      <w:r w:rsidRPr="00AD0419">
        <w:t>These small differences in calculated LTA age are not likely to be ‘real’ given the uncertainty around the data and assumptions, and there is an opportunity to adjust the accounting quantity via post-1989 Reference Level accounting. A conservative approach of always rounding down could be justified on this basis, and this is what has been implemented. This avoids the need to make changes to the CRA module</w:t>
      </w:r>
      <w:r w:rsidR="00C10E39">
        <w:t xml:space="preserve">, which </w:t>
      </w:r>
      <w:r w:rsidR="00C5537C">
        <w:t>expects a whole number age</w:t>
      </w:r>
      <w:r w:rsidR="0013314D">
        <w:t xml:space="preserve"> as input</w:t>
      </w:r>
      <w:r w:rsidR="00C5537C">
        <w:t>.</w:t>
      </w:r>
    </w:p>
    <w:p w14:paraId="5613D153" w14:textId="77777777" w:rsidR="00AE7C1B" w:rsidRDefault="00AE7C1B" w:rsidP="00A35F7A">
      <w:pPr>
        <w:spacing w:line="276" w:lineRule="auto"/>
        <w:rPr>
          <w:lang w:eastAsia="en-NZ"/>
        </w:rPr>
      </w:pPr>
    </w:p>
    <w:p w14:paraId="6C6BA571" w14:textId="5F979C0C" w:rsidR="003B591E" w:rsidRPr="00077F8B" w:rsidRDefault="00177DA4" w:rsidP="00D86C71">
      <w:pPr>
        <w:pStyle w:val="Heading2"/>
      </w:pPr>
      <w:bookmarkStart w:id="11" w:name="_Toc178255284"/>
      <w:r>
        <w:t xml:space="preserve">Calculating the </w:t>
      </w:r>
      <w:r w:rsidR="003B591E">
        <w:t xml:space="preserve">Post-1989 </w:t>
      </w:r>
      <w:r w:rsidR="00EA2F99">
        <w:t>Forest Reference Level</w:t>
      </w:r>
      <w:bookmarkEnd w:id="11"/>
    </w:p>
    <w:p w14:paraId="78C92F89" w14:textId="74B3F060" w:rsidR="00F570CD" w:rsidRDefault="00972750" w:rsidP="00A35F7A">
      <w:pPr>
        <w:spacing w:line="276" w:lineRule="auto"/>
        <w:rPr>
          <w:lang w:eastAsia="en-NZ"/>
        </w:rPr>
      </w:pPr>
      <w:r w:rsidRPr="00972750">
        <w:rPr>
          <w:lang w:eastAsia="en-NZ"/>
        </w:rPr>
        <w:t xml:space="preserve">The reference level for post-1989 forest </w:t>
      </w:r>
      <w:r w:rsidRPr="00C82E51">
        <w:rPr>
          <w:lang w:eastAsia="en-NZ"/>
        </w:rPr>
        <w:t xml:space="preserve">accounting </w:t>
      </w:r>
      <w:r w:rsidR="00C82E51" w:rsidRPr="00C82E51">
        <w:rPr>
          <w:lang w:eastAsia="en-NZ"/>
        </w:rPr>
        <w:t xml:space="preserve">should be </w:t>
      </w:r>
      <w:r w:rsidRPr="00C82E51">
        <w:rPr>
          <w:lang w:eastAsia="en-NZ"/>
        </w:rPr>
        <w:t xml:space="preserve">generated </w:t>
      </w:r>
      <w:r>
        <w:rPr>
          <w:lang w:eastAsia="en-NZ"/>
        </w:rPr>
        <w:t xml:space="preserve">using the same data </w:t>
      </w:r>
      <w:r w:rsidR="00FB04BE">
        <w:rPr>
          <w:lang w:eastAsia="en-NZ"/>
        </w:rPr>
        <w:t>used in</w:t>
      </w:r>
      <w:r w:rsidRPr="00972750">
        <w:rPr>
          <w:lang w:eastAsia="en-NZ"/>
        </w:rPr>
        <w:t xml:space="preserve"> the LUCAS CRA module</w:t>
      </w:r>
      <w:r w:rsidR="00F570CD">
        <w:rPr>
          <w:lang w:eastAsia="en-NZ"/>
        </w:rPr>
        <w:t xml:space="preserve"> for reporting</w:t>
      </w:r>
      <w:r w:rsidRPr="00972750">
        <w:rPr>
          <w:lang w:eastAsia="en-NZ"/>
        </w:rPr>
        <w:t xml:space="preserve">. </w:t>
      </w:r>
      <w:r w:rsidR="00C03F47">
        <w:rPr>
          <w:lang w:eastAsia="en-NZ"/>
        </w:rPr>
        <w:t>This requires:</w:t>
      </w:r>
    </w:p>
    <w:p w14:paraId="4749EA37" w14:textId="77777777" w:rsidR="00C03F47" w:rsidRDefault="00C03F47" w:rsidP="00A35F7A">
      <w:pPr>
        <w:spacing w:line="276" w:lineRule="auto"/>
        <w:rPr>
          <w:lang w:eastAsia="en-NZ"/>
        </w:rPr>
      </w:pPr>
    </w:p>
    <w:p w14:paraId="332732F8" w14:textId="53B6140F" w:rsidR="00335F20" w:rsidRDefault="004A6C06" w:rsidP="002815E0">
      <w:pPr>
        <w:pStyle w:val="ListParagraph"/>
        <w:numPr>
          <w:ilvl w:val="0"/>
          <w:numId w:val="11"/>
        </w:numPr>
        <w:spacing w:line="276" w:lineRule="auto"/>
        <w:rPr>
          <w:lang w:eastAsia="en-NZ"/>
        </w:rPr>
      </w:pPr>
      <w:r>
        <w:rPr>
          <w:lang w:eastAsia="en-NZ"/>
        </w:rPr>
        <w:t xml:space="preserve">Annual </w:t>
      </w:r>
      <w:r w:rsidR="009D23B5">
        <w:rPr>
          <w:lang w:eastAsia="en-NZ"/>
        </w:rPr>
        <w:t xml:space="preserve">post-1989 </w:t>
      </w:r>
      <w:r>
        <w:rPr>
          <w:lang w:eastAsia="en-NZ"/>
        </w:rPr>
        <w:t xml:space="preserve">afforestation </w:t>
      </w:r>
      <w:r w:rsidR="009D23B5">
        <w:rPr>
          <w:lang w:eastAsia="en-NZ"/>
        </w:rPr>
        <w:t xml:space="preserve">and deforestation </w:t>
      </w:r>
      <w:r>
        <w:rPr>
          <w:lang w:eastAsia="en-NZ"/>
        </w:rPr>
        <w:t xml:space="preserve">area </w:t>
      </w:r>
      <w:r w:rsidR="00906730">
        <w:rPr>
          <w:lang w:eastAsia="en-NZ"/>
        </w:rPr>
        <w:t>from 1990</w:t>
      </w:r>
      <w:r w:rsidR="009D23B5">
        <w:rPr>
          <w:lang w:eastAsia="en-NZ"/>
        </w:rPr>
        <w:t>, as used for greenhouse gas inventory reporting</w:t>
      </w:r>
      <w:r w:rsidR="002C2CC5">
        <w:rPr>
          <w:lang w:eastAsia="en-NZ"/>
        </w:rPr>
        <w:t>.</w:t>
      </w:r>
      <w:r w:rsidR="006539AC">
        <w:rPr>
          <w:lang w:eastAsia="en-NZ"/>
        </w:rPr>
        <w:t xml:space="preserve"> </w:t>
      </w:r>
      <w:r w:rsidR="007E53D5">
        <w:rPr>
          <w:lang w:eastAsia="en-NZ"/>
        </w:rPr>
        <w:t>Projected deforestation and afforestation through the compliance period 2021-2030 are optional</w:t>
      </w:r>
      <w:r w:rsidR="006063A3">
        <w:rPr>
          <w:lang w:eastAsia="en-NZ"/>
        </w:rPr>
        <w:t>, as the are</w:t>
      </w:r>
      <w:r w:rsidR="00942FBB">
        <w:rPr>
          <w:lang w:eastAsia="en-NZ"/>
        </w:rPr>
        <w:t>as can be corrected when available in the same way that technical corrections are made to the pre-1990 planted forest FRL.</w:t>
      </w:r>
      <w:r w:rsidR="00AB3E9E">
        <w:rPr>
          <w:lang w:eastAsia="en-NZ"/>
        </w:rPr>
        <w:br/>
      </w:r>
      <w:r w:rsidR="00AB3E9E">
        <w:rPr>
          <w:lang w:eastAsia="en-NZ"/>
        </w:rPr>
        <w:br/>
        <w:t xml:space="preserve">Afforestation </w:t>
      </w:r>
      <w:r w:rsidR="00A31B96">
        <w:rPr>
          <w:lang w:eastAsia="en-NZ"/>
        </w:rPr>
        <w:t xml:space="preserve">and deforestation </w:t>
      </w:r>
      <w:r w:rsidR="00AB3E9E">
        <w:rPr>
          <w:lang w:eastAsia="en-NZ"/>
        </w:rPr>
        <w:t xml:space="preserve">needs to distinguish between </w:t>
      </w:r>
      <w:r w:rsidR="00177601">
        <w:rPr>
          <w:lang w:eastAsia="en-NZ"/>
        </w:rPr>
        <w:t>post-1989 natural forest, post-1989 rotational planted forest and post-1989 permanent planted forest.</w:t>
      </w:r>
    </w:p>
    <w:p w14:paraId="4A379631" w14:textId="77777777" w:rsidR="00AA1404" w:rsidRDefault="00AA1404" w:rsidP="00D54612">
      <w:pPr>
        <w:spacing w:line="276" w:lineRule="auto"/>
        <w:ind w:left="360"/>
        <w:rPr>
          <w:lang w:eastAsia="en-NZ"/>
        </w:rPr>
      </w:pPr>
    </w:p>
    <w:p w14:paraId="0FE8FAC1" w14:textId="66CAF3D4" w:rsidR="009D23B5" w:rsidRDefault="007E53D5" w:rsidP="002815E0">
      <w:pPr>
        <w:pStyle w:val="ListParagraph"/>
        <w:numPr>
          <w:ilvl w:val="0"/>
          <w:numId w:val="11"/>
        </w:numPr>
        <w:spacing w:line="276" w:lineRule="auto"/>
        <w:rPr>
          <w:lang w:eastAsia="en-NZ"/>
        </w:rPr>
      </w:pPr>
      <w:r>
        <w:rPr>
          <w:lang w:eastAsia="en-NZ"/>
        </w:rPr>
        <w:t xml:space="preserve">Annual harvesting and restocking </w:t>
      </w:r>
      <w:r w:rsidR="00177601">
        <w:rPr>
          <w:lang w:eastAsia="en-NZ"/>
        </w:rPr>
        <w:t xml:space="preserve">of </w:t>
      </w:r>
      <w:r w:rsidR="00A31B96">
        <w:rPr>
          <w:lang w:eastAsia="en-NZ"/>
        </w:rPr>
        <w:t xml:space="preserve">rotational post-1989 planted forest </w:t>
      </w:r>
      <w:r w:rsidR="00C62F60">
        <w:rPr>
          <w:lang w:eastAsia="en-NZ"/>
        </w:rPr>
        <w:t>from 1990</w:t>
      </w:r>
      <w:r w:rsidR="00BC251D">
        <w:rPr>
          <w:lang w:eastAsia="en-NZ"/>
        </w:rPr>
        <w:t xml:space="preserve"> onward</w:t>
      </w:r>
      <w:r w:rsidR="00C62F60">
        <w:rPr>
          <w:lang w:eastAsia="en-NZ"/>
        </w:rPr>
        <w:t xml:space="preserve">, including projections to </w:t>
      </w:r>
      <w:r w:rsidR="000253E4">
        <w:rPr>
          <w:lang w:eastAsia="en-NZ"/>
        </w:rPr>
        <w:t xml:space="preserve">2030 based on the </w:t>
      </w:r>
      <w:r w:rsidR="009F5228">
        <w:rPr>
          <w:lang w:eastAsia="en-NZ"/>
        </w:rPr>
        <w:t xml:space="preserve">weighted rotation age calculated in the LTA </w:t>
      </w:r>
      <w:r w:rsidR="00114359">
        <w:rPr>
          <w:rStyle w:val="Strong"/>
          <w:b w:val="0"/>
          <w:bCs w:val="0"/>
        </w:rPr>
        <w:lastRenderedPageBreak/>
        <w:t>Calculator</w:t>
      </w:r>
      <w:r w:rsidR="00AD6B6B">
        <w:rPr>
          <w:lang w:eastAsia="en-NZ"/>
        </w:rPr>
        <w:t>, or the destocking age profile used in the latest CRA simulation</w:t>
      </w:r>
      <w:r w:rsidR="00A76417">
        <w:rPr>
          <w:lang w:eastAsia="en-NZ"/>
        </w:rPr>
        <w:t xml:space="preserve">. This </w:t>
      </w:r>
      <w:r w:rsidR="00AD6B6B">
        <w:rPr>
          <w:lang w:eastAsia="en-NZ"/>
        </w:rPr>
        <w:t xml:space="preserve">should </w:t>
      </w:r>
      <w:r w:rsidR="00A76417">
        <w:rPr>
          <w:lang w:eastAsia="en-NZ"/>
        </w:rPr>
        <w:t xml:space="preserve">provide the FRL </w:t>
      </w:r>
      <w:r w:rsidR="00A238B1">
        <w:rPr>
          <w:lang w:eastAsia="en-NZ"/>
        </w:rPr>
        <w:t xml:space="preserve">schedule of annual net emissions </w:t>
      </w:r>
      <w:r w:rsidR="00A76417">
        <w:rPr>
          <w:lang w:eastAsia="en-NZ"/>
        </w:rPr>
        <w:t>that is consistent with the LTA age.</w:t>
      </w:r>
    </w:p>
    <w:p w14:paraId="13B8ADED" w14:textId="77777777" w:rsidR="00330CA2" w:rsidRDefault="00330CA2" w:rsidP="00AD21B4">
      <w:pPr>
        <w:pStyle w:val="ListParagraph"/>
        <w:rPr>
          <w:lang w:eastAsia="en-NZ"/>
        </w:rPr>
      </w:pPr>
    </w:p>
    <w:p w14:paraId="7F379E16" w14:textId="27BBB469" w:rsidR="00330CA2" w:rsidRDefault="00330CA2" w:rsidP="002815E0">
      <w:pPr>
        <w:pStyle w:val="ListParagraph"/>
        <w:numPr>
          <w:ilvl w:val="0"/>
          <w:numId w:val="11"/>
        </w:numPr>
        <w:spacing w:line="276" w:lineRule="auto"/>
        <w:rPr>
          <w:lang w:eastAsia="en-NZ"/>
        </w:rPr>
      </w:pPr>
      <w:r>
        <w:rPr>
          <w:lang w:eastAsia="en-NZ"/>
        </w:rPr>
        <w:t xml:space="preserve">Modelled </w:t>
      </w:r>
      <w:r w:rsidR="00281575">
        <w:rPr>
          <w:lang w:eastAsia="en-NZ"/>
        </w:rPr>
        <w:t xml:space="preserve">forest biomass carbon stock changes </w:t>
      </w:r>
      <w:r w:rsidR="00304739">
        <w:rPr>
          <w:lang w:eastAsia="en-NZ"/>
        </w:rPr>
        <w:t>associated</w:t>
      </w:r>
      <w:r w:rsidR="000C049A">
        <w:rPr>
          <w:lang w:eastAsia="en-NZ"/>
        </w:rPr>
        <w:t xml:space="preserve"> with afforestation, harvesting and </w:t>
      </w:r>
      <w:r w:rsidR="00304739">
        <w:rPr>
          <w:lang w:eastAsia="en-NZ"/>
        </w:rPr>
        <w:t>replanting of post-1989 forests</w:t>
      </w:r>
      <w:r w:rsidR="00AD6B6B">
        <w:rPr>
          <w:lang w:eastAsia="en-NZ"/>
        </w:rPr>
        <w:t xml:space="preserve"> as above</w:t>
      </w:r>
      <w:r w:rsidR="00304739">
        <w:rPr>
          <w:lang w:eastAsia="en-NZ"/>
        </w:rPr>
        <w:t xml:space="preserve">. </w:t>
      </w:r>
      <w:r w:rsidR="006E2892">
        <w:rPr>
          <w:lang w:eastAsia="en-NZ"/>
        </w:rPr>
        <w:t>These are calculated from the areas and the post-1989 planted forest and natural forest yield t</w:t>
      </w:r>
      <w:r w:rsidR="00A72F86">
        <w:rPr>
          <w:lang w:eastAsia="en-NZ"/>
        </w:rPr>
        <w:t>ab</w:t>
      </w:r>
      <w:r w:rsidR="006E2892">
        <w:rPr>
          <w:lang w:eastAsia="en-NZ"/>
        </w:rPr>
        <w:t>les</w:t>
      </w:r>
      <w:r w:rsidR="00A72F86">
        <w:rPr>
          <w:lang w:eastAsia="en-NZ"/>
        </w:rPr>
        <w:t>. Calculations can be made</w:t>
      </w:r>
      <w:r w:rsidR="00304739">
        <w:rPr>
          <w:lang w:eastAsia="en-NZ"/>
        </w:rPr>
        <w:t xml:space="preserve"> within the LUCAS CRA.</w:t>
      </w:r>
    </w:p>
    <w:p w14:paraId="0F7CAFF2" w14:textId="77777777" w:rsidR="00304739" w:rsidRDefault="00304739" w:rsidP="00AD21B4">
      <w:pPr>
        <w:pStyle w:val="ListParagraph"/>
        <w:rPr>
          <w:lang w:eastAsia="en-NZ"/>
        </w:rPr>
      </w:pPr>
    </w:p>
    <w:p w14:paraId="0787CE78" w14:textId="1CA2271C" w:rsidR="00116977" w:rsidRDefault="00AD6B6B" w:rsidP="00A35F7A">
      <w:pPr>
        <w:spacing w:line="276" w:lineRule="auto"/>
        <w:rPr>
          <w:lang w:eastAsia="en-NZ"/>
        </w:rPr>
      </w:pPr>
      <w:r>
        <w:rPr>
          <w:lang w:eastAsia="en-NZ"/>
        </w:rPr>
        <w:t>Soil</w:t>
      </w:r>
      <w:r w:rsidR="007E3EC4">
        <w:rPr>
          <w:lang w:eastAsia="en-NZ"/>
        </w:rPr>
        <w:t xml:space="preserve"> carbon </w:t>
      </w:r>
      <w:r w:rsidR="00F6107E">
        <w:rPr>
          <w:lang w:eastAsia="en-NZ"/>
        </w:rPr>
        <w:t xml:space="preserve">stock changes </w:t>
      </w:r>
      <w:r>
        <w:rPr>
          <w:lang w:eastAsia="en-NZ"/>
        </w:rPr>
        <w:t>can be excluded from</w:t>
      </w:r>
      <w:r w:rsidR="00F6107E">
        <w:rPr>
          <w:lang w:eastAsia="en-NZ"/>
        </w:rPr>
        <w:t xml:space="preserve"> the reference level</w:t>
      </w:r>
      <w:r w:rsidR="000713FC">
        <w:rPr>
          <w:lang w:eastAsia="en-NZ"/>
        </w:rPr>
        <w:t>, and instead accounted for</w:t>
      </w:r>
      <w:r>
        <w:rPr>
          <w:lang w:eastAsia="en-NZ"/>
        </w:rPr>
        <w:t xml:space="preserve"> under stock change accounting. </w:t>
      </w:r>
      <w:r w:rsidR="000727E0">
        <w:rPr>
          <w:lang w:eastAsia="en-NZ"/>
        </w:rPr>
        <w:t xml:space="preserve">Changes in the HWP pool could be </w:t>
      </w:r>
      <w:r w:rsidR="009A6D88">
        <w:rPr>
          <w:lang w:eastAsia="en-NZ"/>
        </w:rPr>
        <w:t>treated in the same way, or included in the LTA calculation and reference level</w:t>
      </w:r>
      <w:r w:rsidR="008E57C7">
        <w:rPr>
          <w:lang w:eastAsia="en-NZ"/>
        </w:rPr>
        <w:t xml:space="preserve">, with the impact </w:t>
      </w:r>
      <w:r w:rsidR="00F33B75">
        <w:rPr>
          <w:lang w:eastAsia="en-NZ"/>
        </w:rPr>
        <w:t>of a</w:t>
      </w:r>
      <w:r w:rsidR="00F6107E">
        <w:rPr>
          <w:lang w:eastAsia="en-NZ"/>
        </w:rPr>
        <w:t xml:space="preserve">ny </w:t>
      </w:r>
      <w:r w:rsidR="00B6115A">
        <w:rPr>
          <w:lang w:eastAsia="en-NZ"/>
        </w:rPr>
        <w:t xml:space="preserve">future </w:t>
      </w:r>
      <w:r w:rsidR="00F6107E">
        <w:rPr>
          <w:lang w:eastAsia="en-NZ"/>
        </w:rPr>
        <w:t xml:space="preserve">changes </w:t>
      </w:r>
      <w:r>
        <w:rPr>
          <w:lang w:eastAsia="en-NZ"/>
        </w:rPr>
        <w:t xml:space="preserve">in HWP assumptions </w:t>
      </w:r>
      <w:r w:rsidR="00DA0515">
        <w:rPr>
          <w:lang w:eastAsia="en-NZ"/>
        </w:rPr>
        <w:t>captured by recalculating the LTA age</w:t>
      </w:r>
      <w:r w:rsidR="00F33B75">
        <w:rPr>
          <w:lang w:eastAsia="en-NZ"/>
        </w:rPr>
        <w:t xml:space="preserve"> and </w:t>
      </w:r>
      <w:r w:rsidR="002D4189">
        <w:rPr>
          <w:lang w:eastAsia="en-NZ"/>
        </w:rPr>
        <w:t xml:space="preserve">correcting the </w:t>
      </w:r>
      <w:r w:rsidR="00F33B75">
        <w:rPr>
          <w:lang w:eastAsia="en-NZ"/>
        </w:rPr>
        <w:t>FRL (if</w:t>
      </w:r>
      <w:r w:rsidR="002D4189">
        <w:rPr>
          <w:lang w:eastAsia="en-NZ"/>
        </w:rPr>
        <w:t xml:space="preserve"> necessary)</w:t>
      </w:r>
      <w:r w:rsidR="00DA0515">
        <w:rPr>
          <w:lang w:eastAsia="en-NZ"/>
        </w:rPr>
        <w:t>.</w:t>
      </w:r>
    </w:p>
    <w:p w14:paraId="572832C5" w14:textId="77777777" w:rsidR="007E3EC4" w:rsidRDefault="007E3EC4" w:rsidP="00A35F7A">
      <w:pPr>
        <w:spacing w:line="276" w:lineRule="auto"/>
        <w:rPr>
          <w:lang w:eastAsia="en-NZ"/>
        </w:rPr>
      </w:pPr>
    </w:p>
    <w:p w14:paraId="5C2D5F6C" w14:textId="1FAA762C" w:rsidR="00222D49" w:rsidRDefault="00222D49" w:rsidP="00A35F7A">
      <w:pPr>
        <w:spacing w:line="276" w:lineRule="auto"/>
        <w:rPr>
          <w:lang w:eastAsia="en-NZ"/>
        </w:rPr>
      </w:pPr>
      <w:r>
        <w:rPr>
          <w:lang w:eastAsia="en-NZ"/>
        </w:rPr>
        <w:t>The above information is required</w:t>
      </w:r>
      <w:r w:rsidR="00702EE0">
        <w:rPr>
          <w:lang w:eastAsia="en-NZ"/>
        </w:rPr>
        <w:t xml:space="preserve"> for the </w:t>
      </w:r>
      <w:r w:rsidR="004C3202">
        <w:rPr>
          <w:lang w:eastAsia="en-NZ"/>
        </w:rPr>
        <w:t>five</w:t>
      </w:r>
      <w:r w:rsidR="00702EE0">
        <w:rPr>
          <w:lang w:eastAsia="en-NZ"/>
        </w:rPr>
        <w:t xml:space="preserve"> components of post-1989 forests:</w:t>
      </w:r>
      <w:r w:rsidR="002C19A2">
        <w:rPr>
          <w:lang w:eastAsia="en-NZ"/>
        </w:rPr>
        <w:br/>
      </w:r>
    </w:p>
    <w:p w14:paraId="68FDF637" w14:textId="40BB7F53" w:rsidR="00702EE0" w:rsidRDefault="004C3202" w:rsidP="002815E0">
      <w:pPr>
        <w:pStyle w:val="ListParagraph"/>
        <w:numPr>
          <w:ilvl w:val="0"/>
          <w:numId w:val="12"/>
        </w:numPr>
        <w:spacing w:line="276" w:lineRule="auto"/>
        <w:rPr>
          <w:lang w:eastAsia="en-NZ"/>
        </w:rPr>
      </w:pPr>
      <w:r>
        <w:rPr>
          <w:lang w:eastAsia="en-NZ"/>
        </w:rPr>
        <w:t>Post-1989 natural forest</w:t>
      </w:r>
      <w:r w:rsidR="00EA3050">
        <w:rPr>
          <w:lang w:eastAsia="en-NZ"/>
        </w:rPr>
        <w:t xml:space="preserve"> </w:t>
      </w:r>
      <w:r w:rsidR="00EA3050" w:rsidRPr="00AD21B4">
        <w:rPr>
          <w:b/>
          <w:bCs/>
          <w:lang w:eastAsia="en-NZ"/>
        </w:rPr>
        <w:t>below</w:t>
      </w:r>
      <w:r w:rsidR="00EA3050">
        <w:rPr>
          <w:lang w:eastAsia="en-NZ"/>
        </w:rPr>
        <w:t xml:space="preserve"> the LTA age as of 1 January 2021. Note</w:t>
      </w:r>
      <w:r w:rsidR="007D1180">
        <w:rPr>
          <w:lang w:eastAsia="en-NZ"/>
        </w:rPr>
        <w:t xml:space="preserve"> that:</w:t>
      </w:r>
      <w:r w:rsidR="007D1180">
        <w:rPr>
          <w:lang w:eastAsia="en-NZ"/>
        </w:rPr>
        <w:br/>
        <w:t>- it is assumed that no</w:t>
      </w:r>
      <w:r w:rsidR="009E47AF">
        <w:rPr>
          <w:lang w:eastAsia="en-NZ"/>
        </w:rPr>
        <w:t xml:space="preserve"> post-1989 natural forest area</w:t>
      </w:r>
      <w:r w:rsidR="007D1180">
        <w:rPr>
          <w:lang w:eastAsia="en-NZ"/>
        </w:rPr>
        <w:t xml:space="preserve"> will be </w:t>
      </w:r>
      <w:r w:rsidR="009E47AF">
        <w:rPr>
          <w:lang w:eastAsia="en-NZ"/>
        </w:rPr>
        <w:t>above</w:t>
      </w:r>
      <w:r w:rsidR="007D1180">
        <w:rPr>
          <w:lang w:eastAsia="en-NZ"/>
        </w:rPr>
        <w:t xml:space="preserve"> the </w:t>
      </w:r>
      <w:r w:rsidR="006C5CA2">
        <w:rPr>
          <w:lang w:eastAsia="en-NZ"/>
        </w:rPr>
        <w:t>LTA age until after 2030.</w:t>
      </w:r>
      <w:r w:rsidR="006C5CA2">
        <w:rPr>
          <w:lang w:eastAsia="en-NZ"/>
        </w:rPr>
        <w:br/>
        <w:t xml:space="preserve">- </w:t>
      </w:r>
      <w:r w:rsidR="0077238F">
        <w:rPr>
          <w:lang w:eastAsia="en-NZ"/>
        </w:rPr>
        <w:t>carbon stock changes are based on the LUCAS post-1989 natural forest yield table</w:t>
      </w:r>
      <w:r w:rsidR="0077238F">
        <w:rPr>
          <w:lang w:eastAsia="en-NZ"/>
        </w:rPr>
        <w:br/>
        <w:t>-</w:t>
      </w:r>
      <w:r w:rsidR="003E34AF">
        <w:rPr>
          <w:lang w:eastAsia="en-NZ"/>
        </w:rPr>
        <w:t xml:space="preserve"> </w:t>
      </w:r>
      <w:r w:rsidR="0010767F">
        <w:rPr>
          <w:lang w:eastAsia="en-NZ"/>
        </w:rPr>
        <w:t xml:space="preserve">HWPs are </w:t>
      </w:r>
      <w:r w:rsidR="003E34AF">
        <w:rPr>
          <w:lang w:eastAsia="en-NZ"/>
        </w:rPr>
        <w:t xml:space="preserve">not </w:t>
      </w:r>
      <w:r w:rsidR="0010767F">
        <w:rPr>
          <w:lang w:eastAsia="en-NZ"/>
        </w:rPr>
        <w:t xml:space="preserve">produced from these forests </w:t>
      </w:r>
      <w:r w:rsidR="003E34AF">
        <w:rPr>
          <w:lang w:eastAsia="en-NZ"/>
        </w:rPr>
        <w:t>until after 2030 (if at all).</w:t>
      </w:r>
    </w:p>
    <w:p w14:paraId="4FE0C1A2" w14:textId="77777777" w:rsidR="00EA3050" w:rsidRDefault="00EA3050" w:rsidP="003E34AF">
      <w:pPr>
        <w:spacing w:line="276" w:lineRule="auto"/>
        <w:rPr>
          <w:lang w:eastAsia="en-NZ"/>
        </w:rPr>
      </w:pPr>
    </w:p>
    <w:p w14:paraId="5424FEE7" w14:textId="783D0E9C" w:rsidR="0033333C" w:rsidRDefault="003E34AF" w:rsidP="002815E0">
      <w:pPr>
        <w:pStyle w:val="ListParagraph"/>
        <w:numPr>
          <w:ilvl w:val="0"/>
          <w:numId w:val="12"/>
        </w:numPr>
        <w:spacing w:line="276" w:lineRule="auto"/>
        <w:rPr>
          <w:lang w:eastAsia="en-NZ"/>
        </w:rPr>
      </w:pPr>
      <w:r>
        <w:rPr>
          <w:lang w:eastAsia="en-NZ"/>
        </w:rPr>
        <w:t>Post-1989</w:t>
      </w:r>
      <w:r w:rsidR="00A26794">
        <w:rPr>
          <w:lang w:eastAsia="en-NZ"/>
        </w:rPr>
        <w:t xml:space="preserve"> </w:t>
      </w:r>
      <w:r w:rsidR="00D12702">
        <w:rPr>
          <w:lang w:eastAsia="en-NZ"/>
        </w:rPr>
        <w:t xml:space="preserve">rotational </w:t>
      </w:r>
      <w:r w:rsidR="00A26794">
        <w:rPr>
          <w:lang w:eastAsia="en-NZ"/>
        </w:rPr>
        <w:t xml:space="preserve">planted forests </w:t>
      </w:r>
      <w:r w:rsidR="00876AE5">
        <w:rPr>
          <w:b/>
          <w:bCs/>
          <w:lang w:eastAsia="en-NZ"/>
        </w:rPr>
        <w:t>below</w:t>
      </w:r>
      <w:r w:rsidR="00A26794">
        <w:rPr>
          <w:lang w:eastAsia="en-NZ"/>
        </w:rPr>
        <w:t xml:space="preserve"> the LTA age</w:t>
      </w:r>
      <w:r w:rsidR="00B03D63" w:rsidRPr="00B03D63">
        <w:rPr>
          <w:lang w:eastAsia="en-NZ"/>
        </w:rPr>
        <w:t xml:space="preserve"> </w:t>
      </w:r>
      <w:r w:rsidR="00A86991">
        <w:rPr>
          <w:lang w:eastAsia="en-NZ"/>
        </w:rPr>
        <w:t xml:space="preserve">for </w:t>
      </w:r>
      <w:r w:rsidR="00AD3F39">
        <w:rPr>
          <w:lang w:eastAsia="en-NZ"/>
        </w:rPr>
        <w:t xml:space="preserve">rotational planted forest </w:t>
      </w:r>
      <w:r w:rsidR="00B03D63">
        <w:rPr>
          <w:lang w:eastAsia="en-NZ"/>
        </w:rPr>
        <w:t>as of 1 January 2021. Note that:</w:t>
      </w:r>
      <w:r w:rsidR="00B03D63">
        <w:rPr>
          <w:lang w:eastAsia="en-NZ"/>
        </w:rPr>
        <w:br/>
        <w:t>- this will include areas that were harvested and replanted between 1990 and 2020.</w:t>
      </w:r>
      <w:r w:rsidR="00B03D63">
        <w:rPr>
          <w:lang w:eastAsia="en-NZ"/>
        </w:rPr>
        <w:br/>
        <w:t xml:space="preserve">- </w:t>
      </w:r>
      <w:r w:rsidR="004E619B">
        <w:rPr>
          <w:lang w:eastAsia="en-NZ"/>
        </w:rPr>
        <w:t>93.</w:t>
      </w:r>
      <w:r w:rsidR="009E47AF">
        <w:rPr>
          <w:lang w:eastAsia="en-NZ"/>
        </w:rPr>
        <w:t xml:space="preserve">9% of total </w:t>
      </w:r>
      <w:r w:rsidR="007F60C2">
        <w:rPr>
          <w:lang w:eastAsia="en-NZ"/>
        </w:rPr>
        <w:t xml:space="preserve">annual afforestation into </w:t>
      </w:r>
      <w:r w:rsidR="00D12702">
        <w:rPr>
          <w:lang w:eastAsia="en-NZ"/>
        </w:rPr>
        <w:t xml:space="preserve">post-1989 </w:t>
      </w:r>
      <w:r w:rsidR="009E47AF">
        <w:rPr>
          <w:lang w:eastAsia="en-NZ"/>
        </w:rPr>
        <w:t xml:space="preserve">planted forest </w:t>
      </w:r>
      <w:r w:rsidR="00D12702">
        <w:rPr>
          <w:lang w:eastAsia="en-NZ"/>
        </w:rPr>
        <w:t>should be assigned to rotational forest</w:t>
      </w:r>
      <w:r w:rsidR="009156CB">
        <w:rPr>
          <w:lang w:eastAsia="en-NZ"/>
        </w:rPr>
        <w:t>, with adjustments to match area</w:t>
      </w:r>
      <w:r w:rsidR="00F05A99">
        <w:rPr>
          <w:lang w:eastAsia="en-NZ"/>
        </w:rPr>
        <w:t xml:space="preserve"> by age</w:t>
      </w:r>
      <w:r w:rsidR="009156CB">
        <w:rPr>
          <w:lang w:eastAsia="en-NZ"/>
        </w:rPr>
        <w:t xml:space="preserve"> requirements</w:t>
      </w:r>
      <w:r w:rsidR="00F05A99">
        <w:rPr>
          <w:lang w:eastAsia="en-NZ"/>
        </w:rPr>
        <w:t xml:space="preserve"> for harvesting and deforestation</w:t>
      </w:r>
      <w:r w:rsidR="00AD6B6B">
        <w:rPr>
          <w:lang w:eastAsia="en-NZ"/>
        </w:rPr>
        <w:t xml:space="preserve"> during the time series</w:t>
      </w:r>
      <w:r w:rsidR="003571AC">
        <w:rPr>
          <w:lang w:eastAsia="en-NZ"/>
        </w:rPr>
        <w:t>. The remainder is permanent forest.</w:t>
      </w:r>
      <w:r w:rsidR="003571AC">
        <w:rPr>
          <w:lang w:eastAsia="en-NZ"/>
        </w:rPr>
        <w:br/>
      </w:r>
    </w:p>
    <w:p w14:paraId="7C6DDA77" w14:textId="47A1533E" w:rsidR="00772CEF" w:rsidRDefault="00A26794" w:rsidP="002815E0">
      <w:pPr>
        <w:pStyle w:val="ListParagraph"/>
        <w:numPr>
          <w:ilvl w:val="0"/>
          <w:numId w:val="12"/>
        </w:numPr>
        <w:spacing w:line="276" w:lineRule="auto"/>
        <w:rPr>
          <w:lang w:eastAsia="en-NZ"/>
        </w:rPr>
      </w:pPr>
      <w:r>
        <w:rPr>
          <w:lang w:eastAsia="en-NZ"/>
        </w:rPr>
        <w:t xml:space="preserve">Post-1989 </w:t>
      </w:r>
      <w:r w:rsidR="004732DB">
        <w:rPr>
          <w:lang w:eastAsia="en-NZ"/>
        </w:rPr>
        <w:t xml:space="preserve">rotational </w:t>
      </w:r>
      <w:r>
        <w:rPr>
          <w:lang w:eastAsia="en-NZ"/>
        </w:rPr>
        <w:t xml:space="preserve">planted forests </w:t>
      </w:r>
      <w:r w:rsidR="00770436" w:rsidRPr="00AD6B6B">
        <w:rPr>
          <w:b/>
          <w:bCs/>
          <w:lang w:eastAsia="en-NZ"/>
        </w:rPr>
        <w:t>above</w:t>
      </w:r>
      <w:r>
        <w:rPr>
          <w:lang w:eastAsia="en-NZ"/>
        </w:rPr>
        <w:t xml:space="preserve"> the LTA age</w:t>
      </w:r>
      <w:r w:rsidR="00B03D63" w:rsidRPr="00B03D63">
        <w:rPr>
          <w:lang w:eastAsia="en-NZ"/>
        </w:rPr>
        <w:t xml:space="preserve"> </w:t>
      </w:r>
      <w:r w:rsidR="00B03D63">
        <w:rPr>
          <w:lang w:eastAsia="en-NZ"/>
        </w:rPr>
        <w:t>as of 1 January 2021.</w:t>
      </w:r>
      <w:r w:rsidR="003571AC">
        <w:rPr>
          <w:lang w:eastAsia="en-NZ"/>
        </w:rPr>
        <w:t xml:space="preserve"> Note that:</w:t>
      </w:r>
      <w:r w:rsidR="003571AC">
        <w:rPr>
          <w:lang w:eastAsia="en-NZ"/>
        </w:rPr>
        <w:br/>
        <w:t xml:space="preserve">- </w:t>
      </w:r>
      <w:r w:rsidR="00A91B17">
        <w:rPr>
          <w:lang w:eastAsia="en-NZ"/>
        </w:rPr>
        <w:t xml:space="preserve">this </w:t>
      </w:r>
      <w:r w:rsidR="00770436">
        <w:rPr>
          <w:lang w:eastAsia="en-NZ"/>
        </w:rPr>
        <w:t>could</w:t>
      </w:r>
      <w:r w:rsidR="00A91B17">
        <w:rPr>
          <w:lang w:eastAsia="en-NZ"/>
        </w:rPr>
        <w:t xml:space="preserve"> include areas that were harvested and replanted between 1990 and 2020.</w:t>
      </w:r>
      <w:r w:rsidR="00A91B17">
        <w:rPr>
          <w:lang w:eastAsia="en-NZ"/>
        </w:rPr>
        <w:br/>
        <w:t>-</w:t>
      </w:r>
      <w:r w:rsidR="00CA40E2">
        <w:rPr>
          <w:lang w:eastAsia="en-NZ"/>
        </w:rPr>
        <w:t xml:space="preserve"> split area between rotational and permanent planted forest as above</w:t>
      </w:r>
      <w:r w:rsidR="00A91B17">
        <w:rPr>
          <w:lang w:eastAsia="en-NZ"/>
        </w:rPr>
        <w:t>.</w:t>
      </w:r>
      <w:r w:rsidR="003571AC">
        <w:rPr>
          <w:lang w:eastAsia="en-NZ"/>
        </w:rPr>
        <w:br/>
      </w:r>
    </w:p>
    <w:p w14:paraId="03F60609" w14:textId="2582C9FD" w:rsidR="00A26794" w:rsidRDefault="00A91B17" w:rsidP="00AA78C0">
      <w:pPr>
        <w:pStyle w:val="ListParagraph"/>
        <w:numPr>
          <w:ilvl w:val="0"/>
          <w:numId w:val="12"/>
        </w:numPr>
        <w:spacing w:line="276" w:lineRule="auto"/>
        <w:rPr>
          <w:lang w:eastAsia="en-NZ"/>
        </w:rPr>
      </w:pPr>
      <w:r>
        <w:rPr>
          <w:lang w:eastAsia="en-NZ"/>
        </w:rPr>
        <w:t xml:space="preserve">Post-1989 </w:t>
      </w:r>
      <w:r w:rsidR="004732DB">
        <w:rPr>
          <w:lang w:eastAsia="en-NZ"/>
        </w:rPr>
        <w:t xml:space="preserve">permanent </w:t>
      </w:r>
      <w:r>
        <w:rPr>
          <w:lang w:eastAsia="en-NZ"/>
        </w:rPr>
        <w:t>planted forests</w:t>
      </w:r>
      <w:r w:rsidR="004732DB" w:rsidRPr="00C81DBF">
        <w:rPr>
          <w:b/>
          <w:bCs/>
          <w:lang w:eastAsia="en-NZ"/>
        </w:rPr>
        <w:t xml:space="preserve"> below</w:t>
      </w:r>
      <w:r w:rsidR="004732DB">
        <w:rPr>
          <w:lang w:eastAsia="en-NZ"/>
        </w:rPr>
        <w:t xml:space="preserve"> the LTA age</w:t>
      </w:r>
      <w:r w:rsidR="004732DB" w:rsidRPr="00B03D63">
        <w:rPr>
          <w:lang w:eastAsia="en-NZ"/>
        </w:rPr>
        <w:t xml:space="preserve"> </w:t>
      </w:r>
      <w:r w:rsidR="004732DB">
        <w:rPr>
          <w:lang w:eastAsia="en-NZ"/>
        </w:rPr>
        <w:t>as of 1 January 2021. Note that:</w:t>
      </w:r>
      <w:r w:rsidR="00EC4238">
        <w:rPr>
          <w:lang w:eastAsia="en-NZ"/>
        </w:rPr>
        <w:br/>
        <w:t xml:space="preserve">- </w:t>
      </w:r>
      <w:r w:rsidR="006D3771">
        <w:rPr>
          <w:lang w:eastAsia="en-NZ"/>
        </w:rPr>
        <w:t>split area between rotational and permanent planted forest as above.</w:t>
      </w:r>
      <w:r w:rsidR="00EC4238">
        <w:rPr>
          <w:lang w:eastAsia="en-NZ"/>
        </w:rPr>
        <w:br/>
        <w:t xml:space="preserve">- </w:t>
      </w:r>
      <w:r w:rsidR="00D83E2E">
        <w:rPr>
          <w:lang w:eastAsia="en-NZ"/>
        </w:rPr>
        <w:t>until more info</w:t>
      </w:r>
      <w:r w:rsidR="00242B1C">
        <w:rPr>
          <w:lang w:eastAsia="en-NZ"/>
        </w:rPr>
        <w:t xml:space="preserve">rmation on the expected management of permanent forests is available, </w:t>
      </w:r>
      <w:r w:rsidR="00A406BC">
        <w:rPr>
          <w:lang w:eastAsia="en-NZ"/>
        </w:rPr>
        <w:t>all permanent post-1989 planted forest can be assumed to be under the LTA age during 2021-2030.</w:t>
      </w:r>
      <w:r w:rsidR="00AF2D4D">
        <w:rPr>
          <w:lang w:eastAsia="en-NZ"/>
        </w:rPr>
        <w:br/>
      </w:r>
    </w:p>
    <w:p w14:paraId="5E76B512" w14:textId="4BEEA3B3" w:rsidR="00EC4238" w:rsidRDefault="00EC4238" w:rsidP="002815E0">
      <w:pPr>
        <w:pStyle w:val="ListParagraph"/>
        <w:numPr>
          <w:ilvl w:val="0"/>
          <w:numId w:val="12"/>
        </w:numPr>
        <w:spacing w:line="276" w:lineRule="auto"/>
        <w:rPr>
          <w:lang w:eastAsia="en-NZ"/>
        </w:rPr>
      </w:pPr>
      <w:r>
        <w:rPr>
          <w:lang w:eastAsia="en-NZ"/>
        </w:rPr>
        <w:t>Post-1989 permanent planted forests</w:t>
      </w:r>
      <w:r w:rsidRPr="004732DB">
        <w:rPr>
          <w:b/>
          <w:bCs/>
          <w:lang w:eastAsia="en-NZ"/>
        </w:rPr>
        <w:t xml:space="preserve"> </w:t>
      </w:r>
      <w:r>
        <w:rPr>
          <w:b/>
          <w:bCs/>
          <w:lang w:eastAsia="en-NZ"/>
        </w:rPr>
        <w:t>over</w:t>
      </w:r>
      <w:r>
        <w:rPr>
          <w:lang w:eastAsia="en-NZ"/>
        </w:rPr>
        <w:t xml:space="preserve"> the LTA age</w:t>
      </w:r>
      <w:r w:rsidRPr="00B03D63">
        <w:rPr>
          <w:lang w:eastAsia="en-NZ"/>
        </w:rPr>
        <w:t xml:space="preserve"> </w:t>
      </w:r>
      <w:r>
        <w:rPr>
          <w:lang w:eastAsia="en-NZ"/>
        </w:rPr>
        <w:t>as of 1 January 2021. Note that:</w:t>
      </w:r>
      <w:r>
        <w:rPr>
          <w:lang w:eastAsia="en-NZ"/>
        </w:rPr>
        <w:br/>
        <w:t xml:space="preserve">- </w:t>
      </w:r>
      <w:r w:rsidR="00F012C0">
        <w:rPr>
          <w:lang w:eastAsia="en-NZ"/>
        </w:rPr>
        <w:t>if it can be assumed that the LTA age is over 40, this component is not required</w:t>
      </w:r>
      <w:r w:rsidR="00CC7767">
        <w:rPr>
          <w:lang w:eastAsia="en-NZ"/>
        </w:rPr>
        <w:t xml:space="preserve"> in the 2021-2030 compliance period</w:t>
      </w:r>
      <w:r w:rsidR="00F012C0">
        <w:rPr>
          <w:lang w:eastAsia="en-NZ"/>
        </w:rPr>
        <w:t>.</w:t>
      </w:r>
      <w:r>
        <w:rPr>
          <w:lang w:eastAsia="en-NZ"/>
        </w:rPr>
        <w:br/>
      </w:r>
    </w:p>
    <w:p w14:paraId="23D8AA5E" w14:textId="77777777" w:rsidR="00DF4B18" w:rsidRDefault="00DF4B18" w:rsidP="004D675F">
      <w:pPr>
        <w:rPr>
          <w:rStyle w:val="Strong"/>
          <w:b w:val="0"/>
          <w:bCs w:val="0"/>
        </w:rPr>
      </w:pPr>
    </w:p>
    <w:p w14:paraId="6BC9374D" w14:textId="6D4F828E" w:rsidR="004D675F" w:rsidRDefault="004D675F" w:rsidP="004D675F">
      <w:pPr>
        <w:rPr>
          <w:rStyle w:val="Strong"/>
          <w:b w:val="0"/>
          <w:bCs w:val="0"/>
        </w:rPr>
      </w:pPr>
      <w:r>
        <w:rPr>
          <w:rStyle w:val="Strong"/>
          <w:b w:val="0"/>
          <w:bCs w:val="0"/>
        </w:rPr>
        <w:t xml:space="preserve">The reference level for post-1989 forest accounting </w:t>
      </w:r>
      <w:r w:rsidR="00C81DBF">
        <w:rPr>
          <w:rStyle w:val="Strong"/>
          <w:b w:val="0"/>
          <w:bCs w:val="0"/>
        </w:rPr>
        <w:t xml:space="preserve">should </w:t>
      </w:r>
      <w:r>
        <w:rPr>
          <w:rStyle w:val="Strong"/>
          <w:b w:val="0"/>
          <w:bCs w:val="0"/>
        </w:rPr>
        <w:t>be generated within the LUCAS CRA module</w:t>
      </w:r>
      <w:r w:rsidR="0049016E">
        <w:rPr>
          <w:rStyle w:val="Strong"/>
          <w:b w:val="0"/>
          <w:bCs w:val="0"/>
        </w:rPr>
        <w:t xml:space="preserve">, which </w:t>
      </w:r>
      <w:r w:rsidR="0049016E" w:rsidRPr="001254C5">
        <w:rPr>
          <w:rStyle w:val="Strong"/>
          <w:b w:val="0"/>
          <w:bCs w:val="0"/>
        </w:rPr>
        <w:t xml:space="preserve">provides the ability to model </w:t>
      </w:r>
      <w:r w:rsidR="0049016E">
        <w:rPr>
          <w:rStyle w:val="Strong"/>
          <w:b w:val="0"/>
          <w:bCs w:val="0"/>
        </w:rPr>
        <w:t xml:space="preserve">instances of </w:t>
      </w:r>
      <w:r w:rsidR="0049016E" w:rsidRPr="001254C5">
        <w:rPr>
          <w:rStyle w:val="Strong"/>
          <w:b w:val="0"/>
          <w:bCs w:val="0"/>
        </w:rPr>
        <w:t>multiple land use changes occurring since 1990</w:t>
      </w:r>
      <w:r w:rsidR="0049016E">
        <w:rPr>
          <w:rStyle w:val="Strong"/>
          <w:b w:val="0"/>
          <w:bCs w:val="0"/>
        </w:rPr>
        <w:t xml:space="preserve"> and special cases such as Carbon Equivalent Forests</w:t>
      </w:r>
      <w:r>
        <w:rPr>
          <w:rStyle w:val="Strong"/>
          <w:b w:val="0"/>
          <w:bCs w:val="0"/>
        </w:rPr>
        <w:t xml:space="preserve">. </w:t>
      </w:r>
    </w:p>
    <w:p w14:paraId="215B6AF4" w14:textId="77777777" w:rsidR="004D675F" w:rsidRDefault="004D675F" w:rsidP="004D675F">
      <w:pPr>
        <w:rPr>
          <w:rStyle w:val="Strong"/>
          <w:b w:val="0"/>
          <w:bCs w:val="0"/>
        </w:rPr>
      </w:pPr>
    </w:p>
    <w:p w14:paraId="747F4EE4" w14:textId="77777777" w:rsidR="00487539" w:rsidRDefault="00487539" w:rsidP="00487539">
      <w:pPr>
        <w:rPr>
          <w:rStyle w:val="Strong"/>
          <w:b w:val="0"/>
          <w:bCs w:val="0"/>
        </w:rPr>
      </w:pPr>
    </w:p>
    <w:p w14:paraId="18085D56" w14:textId="4EED40F1" w:rsidR="00246135" w:rsidRDefault="00246135" w:rsidP="00C43D65">
      <w:pPr>
        <w:pStyle w:val="Heading2"/>
      </w:pPr>
      <w:bookmarkStart w:id="12" w:name="_Toc178255285"/>
      <w:r w:rsidRPr="00246135">
        <w:t>Simplified demonstration of averaging accounting</w:t>
      </w:r>
      <w:bookmarkEnd w:id="12"/>
    </w:p>
    <w:p w14:paraId="1EE5449E" w14:textId="03F67FFF" w:rsidR="006D5E78" w:rsidRDefault="0023685D">
      <w:pPr>
        <w:rPr>
          <w:rStyle w:val="Strong"/>
          <w:b w:val="0"/>
          <w:bCs w:val="0"/>
        </w:rPr>
      </w:pPr>
      <w:r>
        <w:rPr>
          <w:rStyle w:val="Strong"/>
          <w:b w:val="0"/>
          <w:bCs w:val="0"/>
        </w:rPr>
        <w:t xml:space="preserve">A simplified </w:t>
      </w:r>
      <w:r w:rsidR="00BE4B6A">
        <w:rPr>
          <w:rStyle w:val="Strong"/>
          <w:b w:val="0"/>
          <w:bCs w:val="0"/>
        </w:rPr>
        <w:t xml:space="preserve">demonstration of averaging accounting was </w:t>
      </w:r>
      <w:r w:rsidR="003020C0">
        <w:rPr>
          <w:rStyle w:val="Strong"/>
          <w:b w:val="0"/>
          <w:bCs w:val="0"/>
        </w:rPr>
        <w:t>developed</w:t>
      </w:r>
      <w:r w:rsidR="00721360">
        <w:rPr>
          <w:rStyle w:val="Strong"/>
          <w:b w:val="0"/>
          <w:bCs w:val="0"/>
        </w:rPr>
        <w:t xml:space="preserve"> to examine how </w:t>
      </w:r>
      <w:r w:rsidR="00940566">
        <w:rPr>
          <w:rStyle w:val="Strong"/>
          <w:b w:val="0"/>
          <w:bCs w:val="0"/>
        </w:rPr>
        <w:t xml:space="preserve">the application of reference level accounting beyond the </w:t>
      </w:r>
      <w:r w:rsidR="006D5E78">
        <w:rPr>
          <w:rStyle w:val="Strong"/>
          <w:b w:val="0"/>
          <w:bCs w:val="0"/>
        </w:rPr>
        <w:t xml:space="preserve">LTA age is able to adjust the </w:t>
      </w:r>
      <w:r w:rsidR="00721360">
        <w:rPr>
          <w:rStyle w:val="Strong"/>
          <w:b w:val="0"/>
          <w:bCs w:val="0"/>
        </w:rPr>
        <w:t>accounting quantity</w:t>
      </w:r>
      <w:r w:rsidR="00CC5969">
        <w:rPr>
          <w:rStyle w:val="Strong"/>
          <w:b w:val="0"/>
          <w:bCs w:val="0"/>
        </w:rPr>
        <w:t xml:space="preserve"> as forest management deviates from the management assumed when calculating the LTA stock and age.</w:t>
      </w:r>
      <w:r w:rsidR="00371F48">
        <w:rPr>
          <w:rStyle w:val="Strong"/>
          <w:b w:val="0"/>
          <w:bCs w:val="0"/>
        </w:rPr>
        <w:t xml:space="preserve"> This demonstration does not use </w:t>
      </w:r>
      <w:r w:rsidR="00AC31A8">
        <w:rPr>
          <w:rStyle w:val="Strong"/>
          <w:b w:val="0"/>
          <w:bCs w:val="0"/>
        </w:rPr>
        <w:t>data from the LUCAS plot network o</w:t>
      </w:r>
      <w:r w:rsidR="00DC5B8F">
        <w:rPr>
          <w:rStyle w:val="Strong"/>
          <w:b w:val="0"/>
          <w:bCs w:val="0"/>
        </w:rPr>
        <w:t>r</w:t>
      </w:r>
      <w:r w:rsidR="00AC31A8">
        <w:rPr>
          <w:rStyle w:val="Strong"/>
          <w:b w:val="0"/>
          <w:bCs w:val="0"/>
        </w:rPr>
        <w:t xml:space="preserve"> GHG inventory reporting.</w:t>
      </w:r>
    </w:p>
    <w:p w14:paraId="062ADCF9" w14:textId="77777777" w:rsidR="006D5E78" w:rsidRDefault="006D5E78">
      <w:pPr>
        <w:rPr>
          <w:rStyle w:val="Strong"/>
          <w:b w:val="0"/>
          <w:bCs w:val="0"/>
        </w:rPr>
      </w:pPr>
    </w:p>
    <w:p w14:paraId="2DD5C880" w14:textId="3A797B7F" w:rsidR="0034792E" w:rsidRDefault="00553058">
      <w:pPr>
        <w:rPr>
          <w:rStyle w:val="Strong"/>
          <w:b w:val="0"/>
          <w:bCs w:val="0"/>
        </w:rPr>
      </w:pPr>
      <w:r>
        <w:rPr>
          <w:rStyle w:val="Strong"/>
          <w:b w:val="0"/>
          <w:bCs w:val="0"/>
        </w:rPr>
        <w:t xml:space="preserve">The base case assumed linear </w:t>
      </w:r>
      <w:r w:rsidR="00DE0147">
        <w:rPr>
          <w:rStyle w:val="Strong"/>
          <w:b w:val="0"/>
          <w:bCs w:val="0"/>
        </w:rPr>
        <w:t>carbon</w:t>
      </w:r>
      <w:r>
        <w:rPr>
          <w:rStyle w:val="Strong"/>
          <w:b w:val="0"/>
          <w:bCs w:val="0"/>
        </w:rPr>
        <w:t xml:space="preserve"> uptake of </w:t>
      </w:r>
      <w:r w:rsidR="00DE0147">
        <w:rPr>
          <w:rStyle w:val="Strong"/>
          <w:b w:val="0"/>
          <w:bCs w:val="0"/>
        </w:rPr>
        <w:t>5 t C ha</w:t>
      </w:r>
      <w:r w:rsidR="00DE0147" w:rsidRPr="00790027">
        <w:rPr>
          <w:rStyle w:val="Strong"/>
          <w:b w:val="0"/>
          <w:bCs w:val="0"/>
          <w:vertAlign w:val="superscript"/>
        </w:rPr>
        <w:t>-1</w:t>
      </w:r>
      <w:r w:rsidR="00DE0147">
        <w:rPr>
          <w:rStyle w:val="Strong"/>
          <w:b w:val="0"/>
          <w:bCs w:val="0"/>
        </w:rPr>
        <w:t xml:space="preserve"> yr</w:t>
      </w:r>
      <w:r w:rsidR="00DE0147" w:rsidRPr="00790027">
        <w:rPr>
          <w:rStyle w:val="Strong"/>
          <w:b w:val="0"/>
          <w:bCs w:val="0"/>
          <w:vertAlign w:val="superscript"/>
        </w:rPr>
        <w:t>-1</w:t>
      </w:r>
      <w:r w:rsidR="00346EBC">
        <w:rPr>
          <w:rStyle w:val="Strong"/>
          <w:b w:val="0"/>
          <w:bCs w:val="0"/>
        </w:rPr>
        <w:t>,</w:t>
      </w:r>
      <w:r w:rsidR="00790027">
        <w:rPr>
          <w:rStyle w:val="Strong"/>
          <w:b w:val="0"/>
          <w:bCs w:val="0"/>
        </w:rPr>
        <w:t xml:space="preserve"> a rotation of 30 years</w:t>
      </w:r>
      <w:r w:rsidR="00346EBC">
        <w:rPr>
          <w:rStyle w:val="Strong"/>
          <w:b w:val="0"/>
          <w:bCs w:val="0"/>
        </w:rPr>
        <w:t xml:space="preserve"> and a one</w:t>
      </w:r>
      <w:r w:rsidR="00CC5969">
        <w:rPr>
          <w:rStyle w:val="Strong"/>
          <w:b w:val="0"/>
          <w:bCs w:val="0"/>
        </w:rPr>
        <w:t>-</w:t>
      </w:r>
      <w:r w:rsidR="00346EBC">
        <w:rPr>
          <w:rStyle w:val="Strong"/>
          <w:b w:val="0"/>
          <w:bCs w:val="0"/>
        </w:rPr>
        <w:t>year delay between harvesting and replanting</w:t>
      </w:r>
      <w:r w:rsidR="00790027">
        <w:rPr>
          <w:rStyle w:val="Strong"/>
          <w:b w:val="0"/>
          <w:bCs w:val="0"/>
        </w:rPr>
        <w:t xml:space="preserve">. </w:t>
      </w:r>
      <w:r w:rsidR="001A3DC2">
        <w:rPr>
          <w:rStyle w:val="Strong"/>
          <w:b w:val="0"/>
          <w:bCs w:val="0"/>
        </w:rPr>
        <w:t>This resulted in a LTA stock of 81.1 t C ha</w:t>
      </w:r>
      <w:r w:rsidR="001A3DC2" w:rsidRPr="00790027">
        <w:rPr>
          <w:rStyle w:val="Strong"/>
          <w:b w:val="0"/>
          <w:bCs w:val="0"/>
          <w:vertAlign w:val="superscript"/>
        </w:rPr>
        <w:t>-1</w:t>
      </w:r>
      <w:r w:rsidR="001A3DC2">
        <w:rPr>
          <w:rStyle w:val="Strong"/>
          <w:b w:val="0"/>
          <w:bCs w:val="0"/>
        </w:rPr>
        <w:t xml:space="preserve"> and LTA age of </w:t>
      </w:r>
      <w:r w:rsidR="0034792E">
        <w:rPr>
          <w:rStyle w:val="Strong"/>
          <w:b w:val="0"/>
          <w:bCs w:val="0"/>
        </w:rPr>
        <w:t>16</w:t>
      </w:r>
      <w:r w:rsidR="00B449C4">
        <w:rPr>
          <w:rStyle w:val="Strong"/>
          <w:b w:val="0"/>
          <w:bCs w:val="0"/>
        </w:rPr>
        <w:t xml:space="preserve"> years</w:t>
      </w:r>
      <w:r w:rsidR="00961921">
        <w:rPr>
          <w:rStyle w:val="Strong"/>
          <w:b w:val="0"/>
          <w:bCs w:val="0"/>
        </w:rPr>
        <w:t xml:space="preserve"> (rounded down </w:t>
      </w:r>
      <w:r w:rsidR="00961921" w:rsidRPr="00527694">
        <w:rPr>
          <w:rStyle w:val="Strong"/>
          <w:b w:val="0"/>
          <w:bCs w:val="0"/>
        </w:rPr>
        <w:t>to the nearest year)</w:t>
      </w:r>
      <w:r w:rsidR="0034792E" w:rsidRPr="00527694">
        <w:rPr>
          <w:rStyle w:val="Strong"/>
          <w:b w:val="0"/>
          <w:bCs w:val="0"/>
        </w:rPr>
        <w:t>.</w:t>
      </w:r>
      <w:r w:rsidR="00540A0E">
        <w:rPr>
          <w:rStyle w:val="Strong"/>
          <w:b w:val="0"/>
          <w:bCs w:val="0"/>
        </w:rPr>
        <w:t xml:space="preserve"> The stock at the LTA age is 80 t C ha</w:t>
      </w:r>
      <w:r w:rsidR="00540A0E" w:rsidRPr="00790027">
        <w:rPr>
          <w:rStyle w:val="Strong"/>
          <w:b w:val="0"/>
          <w:bCs w:val="0"/>
          <w:vertAlign w:val="superscript"/>
        </w:rPr>
        <w:t>-1</w:t>
      </w:r>
      <w:r w:rsidR="00540A0E" w:rsidRPr="00D21581">
        <w:rPr>
          <w:rStyle w:val="Strong"/>
          <w:b w:val="0"/>
          <w:bCs w:val="0"/>
        </w:rPr>
        <w:t>.</w:t>
      </w:r>
    </w:p>
    <w:p w14:paraId="371BEFD0" w14:textId="77777777" w:rsidR="0034792E" w:rsidRDefault="0034792E">
      <w:pPr>
        <w:rPr>
          <w:rStyle w:val="Strong"/>
          <w:b w:val="0"/>
          <w:bCs w:val="0"/>
        </w:rPr>
      </w:pPr>
    </w:p>
    <w:p w14:paraId="212F3E8A" w14:textId="77777777" w:rsidR="00C75F0F" w:rsidRDefault="0034792E" w:rsidP="00C75F0F">
      <w:pPr>
        <w:pStyle w:val="ListParagraph"/>
        <w:spacing w:line="276" w:lineRule="auto"/>
        <w:ind w:left="0"/>
        <w:rPr>
          <w:lang w:eastAsia="en-NZ"/>
        </w:rPr>
      </w:pPr>
      <w:r>
        <w:rPr>
          <w:rStyle w:val="Strong"/>
          <w:b w:val="0"/>
          <w:bCs w:val="0"/>
        </w:rPr>
        <w:t xml:space="preserve">The two alternative scenarios assumed the same </w:t>
      </w:r>
      <w:r w:rsidR="008F40CB">
        <w:rPr>
          <w:rStyle w:val="Strong"/>
          <w:b w:val="0"/>
          <w:bCs w:val="0"/>
        </w:rPr>
        <w:t>carbon sequestration rate, but with</w:t>
      </w:r>
      <w:r w:rsidR="00C75F0F">
        <w:rPr>
          <w:rStyle w:val="Strong"/>
          <w:b w:val="0"/>
          <w:bCs w:val="0"/>
        </w:rPr>
        <w:t>:</w:t>
      </w:r>
    </w:p>
    <w:p w14:paraId="2C7F001D" w14:textId="300A5856" w:rsidR="00C75F0F" w:rsidRDefault="00C75F0F" w:rsidP="00C75F0F">
      <w:pPr>
        <w:pStyle w:val="ListParagraph"/>
        <w:numPr>
          <w:ilvl w:val="0"/>
          <w:numId w:val="4"/>
        </w:numPr>
        <w:spacing w:line="276" w:lineRule="auto"/>
        <w:rPr>
          <w:lang w:eastAsia="en-NZ"/>
        </w:rPr>
      </w:pPr>
      <w:r>
        <w:rPr>
          <w:lang w:eastAsia="en-NZ"/>
        </w:rPr>
        <w:t>Longer rotation (35 years</w:t>
      </w:r>
      <w:r w:rsidRPr="00C81DBF">
        <w:rPr>
          <w:lang w:eastAsia="en-NZ"/>
        </w:rPr>
        <w:t>)</w:t>
      </w:r>
      <w:r w:rsidR="00B61A7A" w:rsidRPr="00C81DBF">
        <w:rPr>
          <w:lang w:eastAsia="en-NZ"/>
        </w:rPr>
        <w:t>:</w:t>
      </w:r>
      <w:r>
        <w:rPr>
          <w:lang w:eastAsia="en-NZ"/>
        </w:rPr>
        <w:t xml:space="preserve"> LTA stock </w:t>
      </w:r>
      <w:r w:rsidR="00A865EB">
        <w:rPr>
          <w:lang w:eastAsia="en-NZ"/>
        </w:rPr>
        <w:t xml:space="preserve">= </w:t>
      </w:r>
      <w:r>
        <w:rPr>
          <w:lang w:eastAsia="en-NZ"/>
        </w:rPr>
        <w:t>93.6</w:t>
      </w:r>
      <w:r w:rsidR="00926921">
        <w:rPr>
          <w:lang w:eastAsia="en-NZ"/>
        </w:rPr>
        <w:t xml:space="preserve"> </w:t>
      </w:r>
      <w:r w:rsidR="00926921">
        <w:rPr>
          <w:rStyle w:val="Strong"/>
          <w:b w:val="0"/>
          <w:bCs w:val="0"/>
        </w:rPr>
        <w:t>t C ha</w:t>
      </w:r>
      <w:r w:rsidR="00926921" w:rsidRPr="00790027">
        <w:rPr>
          <w:rStyle w:val="Strong"/>
          <w:b w:val="0"/>
          <w:bCs w:val="0"/>
          <w:vertAlign w:val="superscript"/>
        </w:rPr>
        <w:t>-1</w:t>
      </w:r>
      <w:r>
        <w:rPr>
          <w:lang w:eastAsia="en-NZ"/>
        </w:rPr>
        <w:t xml:space="preserve">, LTA age </w:t>
      </w:r>
      <w:r w:rsidR="00A865EB">
        <w:rPr>
          <w:lang w:eastAsia="en-NZ"/>
        </w:rPr>
        <w:t xml:space="preserve">= </w:t>
      </w:r>
      <w:r w:rsidR="0046468C">
        <w:rPr>
          <w:lang w:eastAsia="en-NZ"/>
        </w:rPr>
        <w:t>18</w:t>
      </w:r>
      <w:r w:rsidR="00A865EB">
        <w:rPr>
          <w:lang w:eastAsia="en-NZ"/>
        </w:rPr>
        <w:t xml:space="preserve"> years</w:t>
      </w:r>
      <w:r w:rsidR="0077153F">
        <w:rPr>
          <w:lang w:eastAsia="en-NZ"/>
        </w:rPr>
        <w:t>, stock at</w:t>
      </w:r>
      <w:r w:rsidR="00A865EB">
        <w:rPr>
          <w:lang w:eastAsia="en-NZ"/>
        </w:rPr>
        <w:t xml:space="preserve"> LTA age = </w:t>
      </w:r>
      <w:r w:rsidR="00C424DE">
        <w:rPr>
          <w:lang w:eastAsia="en-NZ"/>
        </w:rPr>
        <w:t xml:space="preserve">90 </w:t>
      </w:r>
      <w:r w:rsidR="00D21581">
        <w:rPr>
          <w:rStyle w:val="Strong"/>
          <w:b w:val="0"/>
          <w:bCs w:val="0"/>
        </w:rPr>
        <w:t>t C ha</w:t>
      </w:r>
      <w:r w:rsidR="00D21581" w:rsidRPr="00790027">
        <w:rPr>
          <w:rStyle w:val="Strong"/>
          <w:b w:val="0"/>
          <w:bCs w:val="0"/>
          <w:vertAlign w:val="superscript"/>
        </w:rPr>
        <w:t>-1</w:t>
      </w:r>
      <w:r w:rsidR="00C424DE">
        <w:rPr>
          <w:lang w:eastAsia="en-NZ"/>
        </w:rPr>
        <w:t>.</w:t>
      </w:r>
      <w:r w:rsidR="00A865EB">
        <w:rPr>
          <w:lang w:eastAsia="en-NZ"/>
        </w:rPr>
        <w:t xml:space="preserve"> </w:t>
      </w:r>
    </w:p>
    <w:p w14:paraId="635E6D09" w14:textId="6C587923" w:rsidR="00926921" w:rsidRDefault="0046468C" w:rsidP="00C75F0F">
      <w:pPr>
        <w:pStyle w:val="ListParagraph"/>
        <w:numPr>
          <w:ilvl w:val="0"/>
          <w:numId w:val="4"/>
        </w:numPr>
        <w:spacing w:line="276" w:lineRule="auto"/>
        <w:rPr>
          <w:rStyle w:val="Strong"/>
          <w:b w:val="0"/>
          <w:bCs w:val="0"/>
          <w:lang w:eastAsia="en-NZ"/>
        </w:rPr>
      </w:pPr>
      <w:r>
        <w:rPr>
          <w:lang w:eastAsia="en-NZ"/>
        </w:rPr>
        <w:t>Shorter rotation (20 years</w:t>
      </w:r>
      <w:r w:rsidRPr="00C81DBF">
        <w:rPr>
          <w:lang w:eastAsia="en-NZ"/>
        </w:rPr>
        <w:t>)</w:t>
      </w:r>
      <w:r w:rsidR="00B61A7A" w:rsidRPr="00C81DBF">
        <w:rPr>
          <w:lang w:eastAsia="en-NZ"/>
        </w:rPr>
        <w:t>:</w:t>
      </w:r>
      <w:r w:rsidRPr="00C81DBF">
        <w:rPr>
          <w:lang w:eastAsia="en-NZ"/>
        </w:rPr>
        <w:t xml:space="preserve"> L</w:t>
      </w:r>
      <w:r>
        <w:rPr>
          <w:lang w:eastAsia="en-NZ"/>
        </w:rPr>
        <w:t xml:space="preserve">TA stock </w:t>
      </w:r>
      <w:r w:rsidR="00C424DE">
        <w:rPr>
          <w:lang w:eastAsia="en-NZ"/>
        </w:rPr>
        <w:t xml:space="preserve">= </w:t>
      </w:r>
      <w:r w:rsidR="00926921">
        <w:rPr>
          <w:lang w:eastAsia="en-NZ"/>
        </w:rPr>
        <w:t xml:space="preserve">56.0 </w:t>
      </w:r>
      <w:r w:rsidR="00926921">
        <w:rPr>
          <w:rStyle w:val="Strong"/>
          <w:b w:val="0"/>
          <w:bCs w:val="0"/>
        </w:rPr>
        <w:t>t C ha</w:t>
      </w:r>
      <w:r w:rsidR="00926921" w:rsidRPr="00790027">
        <w:rPr>
          <w:rStyle w:val="Strong"/>
          <w:b w:val="0"/>
          <w:bCs w:val="0"/>
          <w:vertAlign w:val="superscript"/>
        </w:rPr>
        <w:t>-1</w:t>
      </w:r>
      <w:r w:rsidR="00926921">
        <w:rPr>
          <w:rStyle w:val="Strong"/>
          <w:b w:val="0"/>
          <w:bCs w:val="0"/>
        </w:rPr>
        <w:t xml:space="preserve">, LTA age </w:t>
      </w:r>
      <w:r w:rsidR="00C424DE">
        <w:rPr>
          <w:rStyle w:val="Strong"/>
          <w:b w:val="0"/>
          <w:bCs w:val="0"/>
        </w:rPr>
        <w:t xml:space="preserve">= </w:t>
      </w:r>
      <w:r w:rsidR="00926921">
        <w:rPr>
          <w:rStyle w:val="Strong"/>
          <w:b w:val="0"/>
          <w:bCs w:val="0"/>
        </w:rPr>
        <w:t>11</w:t>
      </w:r>
      <w:r w:rsidR="00C424DE">
        <w:rPr>
          <w:rStyle w:val="Strong"/>
          <w:b w:val="0"/>
          <w:bCs w:val="0"/>
        </w:rPr>
        <w:t>, stock at LTA age = 55</w:t>
      </w:r>
      <w:r w:rsidR="00D21581">
        <w:rPr>
          <w:rStyle w:val="Strong"/>
          <w:b w:val="0"/>
          <w:bCs w:val="0"/>
        </w:rPr>
        <w:t xml:space="preserve"> t C ha</w:t>
      </w:r>
      <w:r w:rsidR="00D21581" w:rsidRPr="00790027">
        <w:rPr>
          <w:rStyle w:val="Strong"/>
          <w:b w:val="0"/>
          <w:bCs w:val="0"/>
          <w:vertAlign w:val="superscript"/>
        </w:rPr>
        <w:t>-1</w:t>
      </w:r>
      <w:r w:rsidR="00D21581" w:rsidRPr="00D21581">
        <w:rPr>
          <w:rStyle w:val="Strong"/>
          <w:b w:val="0"/>
          <w:bCs w:val="0"/>
        </w:rPr>
        <w:t>.</w:t>
      </w:r>
    </w:p>
    <w:p w14:paraId="1F34130E" w14:textId="3574F817" w:rsidR="00C75F0F" w:rsidRDefault="00926921" w:rsidP="00926921">
      <w:pPr>
        <w:pStyle w:val="ListParagraph"/>
        <w:spacing w:line="276" w:lineRule="auto"/>
        <w:rPr>
          <w:lang w:eastAsia="en-NZ"/>
        </w:rPr>
      </w:pPr>
      <w:r>
        <w:rPr>
          <w:lang w:eastAsia="en-NZ"/>
        </w:rPr>
        <w:t xml:space="preserve"> </w:t>
      </w:r>
    </w:p>
    <w:p w14:paraId="60A3BF0C" w14:textId="45918E8E" w:rsidR="00C75F0F" w:rsidRDefault="00F62784" w:rsidP="00C75F0F">
      <w:pPr>
        <w:rPr>
          <w:rStyle w:val="Strong"/>
          <w:b w:val="0"/>
          <w:bCs w:val="0"/>
        </w:rPr>
      </w:pPr>
      <w:r>
        <w:rPr>
          <w:rStyle w:val="Strong"/>
          <w:b w:val="0"/>
          <w:bCs w:val="0"/>
        </w:rPr>
        <w:t xml:space="preserve">The </w:t>
      </w:r>
      <w:r w:rsidR="001466B1">
        <w:rPr>
          <w:rStyle w:val="Strong"/>
          <w:b w:val="0"/>
          <w:bCs w:val="0"/>
        </w:rPr>
        <w:t>accounting quantity was calculated in two parts:</w:t>
      </w:r>
    </w:p>
    <w:p w14:paraId="02318EFC" w14:textId="4DB4286E" w:rsidR="001466B1" w:rsidRDefault="001466B1" w:rsidP="00346EBC">
      <w:pPr>
        <w:pStyle w:val="ListParagraph"/>
        <w:numPr>
          <w:ilvl w:val="0"/>
          <w:numId w:val="36"/>
        </w:numPr>
        <w:rPr>
          <w:rStyle w:val="Strong"/>
          <w:b w:val="0"/>
          <w:bCs w:val="0"/>
        </w:rPr>
      </w:pPr>
      <w:r>
        <w:rPr>
          <w:rStyle w:val="Strong"/>
          <w:b w:val="0"/>
          <w:bCs w:val="0"/>
        </w:rPr>
        <w:t>Stock change up to the LTA age (</w:t>
      </w:r>
      <w:r w:rsidR="00B449C4">
        <w:rPr>
          <w:rStyle w:val="Strong"/>
          <w:b w:val="0"/>
          <w:bCs w:val="0"/>
        </w:rPr>
        <w:t>16 years)</w:t>
      </w:r>
      <w:r w:rsidR="005A0FF9">
        <w:rPr>
          <w:rStyle w:val="Strong"/>
          <w:b w:val="0"/>
          <w:bCs w:val="0"/>
        </w:rPr>
        <w:t xml:space="preserve"> – 80 t C ha</w:t>
      </w:r>
      <w:r w:rsidR="005A0FF9" w:rsidRPr="00790027">
        <w:rPr>
          <w:rStyle w:val="Strong"/>
          <w:b w:val="0"/>
          <w:bCs w:val="0"/>
          <w:vertAlign w:val="superscript"/>
        </w:rPr>
        <w:t>-1</w:t>
      </w:r>
      <w:r w:rsidR="005A0FF9" w:rsidRPr="005A0FF9">
        <w:rPr>
          <w:rStyle w:val="Strong"/>
          <w:b w:val="0"/>
          <w:bCs w:val="0"/>
        </w:rPr>
        <w:t>.</w:t>
      </w:r>
    </w:p>
    <w:p w14:paraId="19D3837D" w14:textId="16D628F4" w:rsidR="004C49DB" w:rsidRPr="001466B1" w:rsidRDefault="004C49DB" w:rsidP="00346EBC">
      <w:pPr>
        <w:pStyle w:val="ListParagraph"/>
        <w:numPr>
          <w:ilvl w:val="0"/>
          <w:numId w:val="36"/>
        </w:numPr>
        <w:rPr>
          <w:rStyle w:val="Strong"/>
          <w:b w:val="0"/>
          <w:bCs w:val="0"/>
        </w:rPr>
      </w:pPr>
      <w:r>
        <w:rPr>
          <w:rStyle w:val="Strong"/>
          <w:b w:val="0"/>
          <w:bCs w:val="0"/>
        </w:rPr>
        <w:t xml:space="preserve">Reference level accounting beyond the </w:t>
      </w:r>
      <w:r w:rsidR="007057E7">
        <w:rPr>
          <w:rStyle w:val="Strong"/>
          <w:b w:val="0"/>
          <w:bCs w:val="0"/>
        </w:rPr>
        <w:t xml:space="preserve">LTA age, with the FRL taken as </w:t>
      </w:r>
      <w:r w:rsidR="00086053">
        <w:rPr>
          <w:rStyle w:val="Strong"/>
          <w:b w:val="0"/>
          <w:bCs w:val="0"/>
        </w:rPr>
        <w:t xml:space="preserve">the </w:t>
      </w:r>
      <w:r w:rsidR="007057E7">
        <w:rPr>
          <w:rStyle w:val="Strong"/>
          <w:b w:val="0"/>
          <w:bCs w:val="0"/>
        </w:rPr>
        <w:t xml:space="preserve">annual </w:t>
      </w:r>
      <w:r w:rsidR="00A04FF9">
        <w:rPr>
          <w:rStyle w:val="Strong"/>
          <w:b w:val="0"/>
          <w:bCs w:val="0"/>
        </w:rPr>
        <w:t xml:space="preserve">net </w:t>
      </w:r>
      <w:r w:rsidR="007057E7">
        <w:rPr>
          <w:rStyle w:val="Strong"/>
          <w:b w:val="0"/>
          <w:bCs w:val="0"/>
        </w:rPr>
        <w:t>stock changes</w:t>
      </w:r>
      <w:r w:rsidR="00194A12">
        <w:rPr>
          <w:rStyle w:val="Strong"/>
          <w:b w:val="0"/>
          <w:bCs w:val="0"/>
        </w:rPr>
        <w:t xml:space="preserve"> expected from age 16 onward for multiple 30</w:t>
      </w:r>
      <w:r w:rsidR="00042F7B">
        <w:rPr>
          <w:rStyle w:val="Strong"/>
          <w:b w:val="0"/>
          <w:bCs w:val="0"/>
        </w:rPr>
        <w:t>-</w:t>
      </w:r>
      <w:r w:rsidR="00194A12">
        <w:rPr>
          <w:rStyle w:val="Strong"/>
          <w:b w:val="0"/>
          <w:bCs w:val="0"/>
        </w:rPr>
        <w:t>year rotations.</w:t>
      </w:r>
      <w:r w:rsidR="00042F7B">
        <w:rPr>
          <w:rStyle w:val="Strong"/>
          <w:b w:val="0"/>
          <w:bCs w:val="0"/>
        </w:rPr>
        <w:t xml:space="preserve"> </w:t>
      </w:r>
      <w:r w:rsidR="0018231C">
        <w:rPr>
          <w:rStyle w:val="Strong"/>
          <w:b w:val="0"/>
          <w:bCs w:val="0"/>
        </w:rPr>
        <w:t>‘</w:t>
      </w:r>
      <w:r w:rsidR="00350963">
        <w:rPr>
          <w:rStyle w:val="Strong"/>
          <w:b w:val="0"/>
          <w:bCs w:val="0"/>
        </w:rPr>
        <w:t>Actual</w:t>
      </w:r>
      <w:r w:rsidR="0018231C">
        <w:rPr>
          <w:rStyle w:val="Strong"/>
          <w:b w:val="0"/>
          <w:bCs w:val="0"/>
        </w:rPr>
        <w:t>’</w:t>
      </w:r>
      <w:r w:rsidR="00350963">
        <w:rPr>
          <w:rStyle w:val="Strong"/>
          <w:b w:val="0"/>
          <w:bCs w:val="0"/>
        </w:rPr>
        <w:t xml:space="preserve"> net stock changes were calculated </w:t>
      </w:r>
      <w:r w:rsidR="0018231C">
        <w:rPr>
          <w:rStyle w:val="Strong"/>
          <w:b w:val="0"/>
          <w:bCs w:val="0"/>
        </w:rPr>
        <w:t xml:space="preserve">after age 16 </w:t>
      </w:r>
      <w:r w:rsidR="00A04FF9">
        <w:rPr>
          <w:rStyle w:val="Strong"/>
          <w:b w:val="0"/>
          <w:bCs w:val="0"/>
        </w:rPr>
        <w:t>for</w:t>
      </w:r>
      <w:r w:rsidR="00350963">
        <w:rPr>
          <w:rStyle w:val="Strong"/>
          <w:b w:val="0"/>
          <w:bCs w:val="0"/>
        </w:rPr>
        <w:t xml:space="preserve"> the longer and shorter rotation scenarios</w:t>
      </w:r>
      <w:r w:rsidR="0013157E">
        <w:rPr>
          <w:rStyle w:val="Strong"/>
          <w:b w:val="0"/>
          <w:bCs w:val="0"/>
        </w:rPr>
        <w:t>.</w:t>
      </w:r>
      <w:r w:rsidR="0013157E">
        <w:rPr>
          <w:rStyle w:val="Strong"/>
          <w:b w:val="0"/>
          <w:bCs w:val="0"/>
        </w:rPr>
        <w:br/>
      </w:r>
      <w:r w:rsidR="0013157E">
        <w:rPr>
          <w:rStyle w:val="Strong"/>
          <w:b w:val="0"/>
          <w:bCs w:val="0"/>
        </w:rPr>
        <w:br/>
        <w:t xml:space="preserve">The difference </w:t>
      </w:r>
      <w:r w:rsidR="001B4777">
        <w:rPr>
          <w:rStyle w:val="Strong"/>
          <w:b w:val="0"/>
          <w:bCs w:val="0"/>
        </w:rPr>
        <w:t xml:space="preserve">between the FRL and actual net emissions was calculated over two </w:t>
      </w:r>
      <w:r w:rsidR="00881E5C">
        <w:rPr>
          <w:rStyle w:val="Strong"/>
          <w:b w:val="0"/>
          <w:bCs w:val="0"/>
        </w:rPr>
        <w:t>time periods</w:t>
      </w:r>
      <w:r w:rsidR="00701829">
        <w:rPr>
          <w:rStyle w:val="Strong"/>
          <w:b w:val="0"/>
          <w:bCs w:val="0"/>
        </w:rPr>
        <w:t xml:space="preserve">: </w:t>
      </w:r>
      <w:r w:rsidR="00902251">
        <w:rPr>
          <w:rStyle w:val="Strong"/>
          <w:b w:val="0"/>
          <w:bCs w:val="0"/>
        </w:rPr>
        <w:br/>
      </w:r>
      <w:r w:rsidR="009D37EC">
        <w:rPr>
          <w:rStyle w:val="Strong"/>
          <w:b w:val="0"/>
          <w:bCs w:val="0"/>
        </w:rPr>
        <w:t>(</w:t>
      </w:r>
      <w:r w:rsidR="00902251">
        <w:rPr>
          <w:rStyle w:val="Strong"/>
          <w:b w:val="0"/>
          <w:bCs w:val="0"/>
        </w:rPr>
        <w:t>i</w:t>
      </w:r>
      <w:r w:rsidR="00701829">
        <w:rPr>
          <w:rStyle w:val="Strong"/>
          <w:b w:val="0"/>
          <w:bCs w:val="0"/>
        </w:rPr>
        <w:t>)</w:t>
      </w:r>
      <w:r w:rsidR="00881E5C">
        <w:rPr>
          <w:rStyle w:val="Strong"/>
          <w:b w:val="0"/>
          <w:bCs w:val="0"/>
        </w:rPr>
        <w:t xml:space="preserve"> 310 years (i.e. ten full rotations with harvesting at age 30 years</w:t>
      </w:r>
      <w:r w:rsidR="00310D6C">
        <w:rPr>
          <w:rStyle w:val="Strong"/>
          <w:b w:val="0"/>
          <w:bCs w:val="0"/>
        </w:rPr>
        <w:t xml:space="preserve">, ~8.5 rotations for the age 35 rotation scenario and </w:t>
      </w:r>
      <w:r w:rsidR="00701829">
        <w:rPr>
          <w:rStyle w:val="Strong"/>
          <w:b w:val="0"/>
          <w:bCs w:val="0"/>
        </w:rPr>
        <w:t>~14.5 rotations for the short rotation scenario</w:t>
      </w:r>
      <w:r w:rsidR="00881E5C">
        <w:rPr>
          <w:rStyle w:val="Strong"/>
          <w:b w:val="0"/>
          <w:bCs w:val="0"/>
        </w:rPr>
        <w:t>), or</w:t>
      </w:r>
      <w:r w:rsidR="00902251">
        <w:rPr>
          <w:rStyle w:val="Strong"/>
          <w:b w:val="0"/>
          <w:bCs w:val="0"/>
        </w:rPr>
        <w:br/>
      </w:r>
      <w:r w:rsidR="009D37EC">
        <w:rPr>
          <w:rStyle w:val="Strong"/>
          <w:b w:val="0"/>
          <w:bCs w:val="0"/>
        </w:rPr>
        <w:t>(</w:t>
      </w:r>
      <w:r w:rsidR="00902251">
        <w:rPr>
          <w:rStyle w:val="Strong"/>
          <w:b w:val="0"/>
          <w:bCs w:val="0"/>
        </w:rPr>
        <w:t>ii</w:t>
      </w:r>
      <w:r w:rsidR="009D37EC">
        <w:rPr>
          <w:rStyle w:val="Strong"/>
          <w:b w:val="0"/>
          <w:bCs w:val="0"/>
        </w:rPr>
        <w:t xml:space="preserve">) </w:t>
      </w:r>
      <w:r w:rsidR="00426541">
        <w:rPr>
          <w:rStyle w:val="Strong"/>
          <w:b w:val="0"/>
          <w:bCs w:val="0"/>
        </w:rPr>
        <w:t xml:space="preserve">over a variable time period equating to ten full rotations </w:t>
      </w:r>
      <w:r w:rsidR="00A04FF9">
        <w:rPr>
          <w:rStyle w:val="Strong"/>
          <w:b w:val="0"/>
          <w:bCs w:val="0"/>
        </w:rPr>
        <w:t>for</w:t>
      </w:r>
      <w:r w:rsidR="00426541">
        <w:rPr>
          <w:rStyle w:val="Strong"/>
          <w:b w:val="0"/>
          <w:bCs w:val="0"/>
        </w:rPr>
        <w:t xml:space="preserve"> each scenario.</w:t>
      </w:r>
    </w:p>
    <w:p w14:paraId="0C9E13AA" w14:textId="77777777" w:rsidR="007A3E31" w:rsidRDefault="007A3E31" w:rsidP="00C75F0F">
      <w:pPr>
        <w:rPr>
          <w:rStyle w:val="Strong"/>
          <w:b w:val="0"/>
          <w:bCs w:val="0"/>
        </w:rPr>
      </w:pPr>
    </w:p>
    <w:p w14:paraId="569C43B7" w14:textId="77777777" w:rsidR="00BE41B4" w:rsidRDefault="00EC0F29" w:rsidP="00C75F0F">
      <w:pPr>
        <w:rPr>
          <w:rStyle w:val="Strong"/>
          <w:b w:val="0"/>
          <w:bCs w:val="0"/>
        </w:rPr>
      </w:pPr>
      <w:r>
        <w:rPr>
          <w:rStyle w:val="Strong"/>
          <w:b w:val="0"/>
          <w:bCs w:val="0"/>
        </w:rPr>
        <w:t>Cumulat</w:t>
      </w:r>
      <w:r w:rsidR="00EE74B3">
        <w:rPr>
          <w:rStyle w:val="Strong"/>
          <w:b w:val="0"/>
          <w:bCs w:val="0"/>
        </w:rPr>
        <w:t>i</w:t>
      </w:r>
      <w:r>
        <w:rPr>
          <w:rStyle w:val="Strong"/>
          <w:b w:val="0"/>
          <w:bCs w:val="0"/>
        </w:rPr>
        <w:t>ve p</w:t>
      </w:r>
      <w:r w:rsidR="006702EF">
        <w:rPr>
          <w:rStyle w:val="Strong"/>
          <w:b w:val="0"/>
          <w:bCs w:val="0"/>
        </w:rPr>
        <w:t xml:space="preserve">rogress against the FRL </w:t>
      </w:r>
      <w:r w:rsidR="001F4A60">
        <w:rPr>
          <w:rStyle w:val="Strong"/>
          <w:b w:val="0"/>
          <w:bCs w:val="0"/>
        </w:rPr>
        <w:t xml:space="preserve">was tracked </w:t>
      </w:r>
      <w:r>
        <w:rPr>
          <w:rStyle w:val="Strong"/>
          <w:b w:val="0"/>
          <w:bCs w:val="0"/>
        </w:rPr>
        <w:t xml:space="preserve">annually </w:t>
      </w:r>
      <w:r w:rsidR="00EE74B3">
        <w:rPr>
          <w:rStyle w:val="Strong"/>
          <w:b w:val="0"/>
          <w:bCs w:val="0"/>
        </w:rPr>
        <w:t xml:space="preserve">by comparing the </w:t>
      </w:r>
      <w:r w:rsidR="009A00C5">
        <w:rPr>
          <w:rStyle w:val="Strong"/>
          <w:b w:val="0"/>
          <w:bCs w:val="0"/>
        </w:rPr>
        <w:t xml:space="preserve">cumulative </w:t>
      </w:r>
      <w:r w:rsidR="00A01BE3">
        <w:rPr>
          <w:rStyle w:val="Strong"/>
          <w:b w:val="0"/>
          <w:bCs w:val="0"/>
        </w:rPr>
        <w:t xml:space="preserve">difference between the </w:t>
      </w:r>
      <w:r w:rsidR="00227A59">
        <w:rPr>
          <w:rStyle w:val="Strong"/>
          <w:b w:val="0"/>
          <w:bCs w:val="0"/>
        </w:rPr>
        <w:t>scenario net emissions beyond the LTA and the FRL emissions.</w:t>
      </w:r>
      <w:r w:rsidR="008E48C8">
        <w:rPr>
          <w:rStyle w:val="Strong"/>
          <w:b w:val="0"/>
          <w:bCs w:val="0"/>
        </w:rPr>
        <w:t xml:space="preserve"> This was done for two cases:</w:t>
      </w:r>
    </w:p>
    <w:p w14:paraId="5DBA72D4" w14:textId="7EDE39D2" w:rsidR="009A00C5" w:rsidRPr="00BE41B4" w:rsidRDefault="00227A59" w:rsidP="008232E2">
      <w:pPr>
        <w:pStyle w:val="ListParagraph"/>
        <w:numPr>
          <w:ilvl w:val="0"/>
          <w:numId w:val="37"/>
        </w:numPr>
        <w:rPr>
          <w:rStyle w:val="Strong"/>
          <w:b w:val="0"/>
          <w:bCs w:val="0"/>
        </w:rPr>
      </w:pPr>
      <w:r w:rsidRPr="00BE41B4">
        <w:rPr>
          <w:rStyle w:val="Strong"/>
          <w:b w:val="0"/>
          <w:bCs w:val="0"/>
        </w:rPr>
        <w:t>a single planting year age class c</w:t>
      </w:r>
      <w:r w:rsidR="00BE41B4" w:rsidRPr="00BE41B4">
        <w:rPr>
          <w:rStyle w:val="Strong"/>
          <w:b w:val="0"/>
          <w:bCs w:val="0"/>
        </w:rPr>
        <w:t>o</w:t>
      </w:r>
      <w:r w:rsidRPr="00BE41B4">
        <w:rPr>
          <w:rStyle w:val="Strong"/>
          <w:b w:val="0"/>
          <w:bCs w:val="0"/>
        </w:rPr>
        <w:t>hort,</w:t>
      </w:r>
      <w:r w:rsidR="008232E2">
        <w:rPr>
          <w:rStyle w:val="Strong"/>
          <w:b w:val="0"/>
          <w:bCs w:val="0"/>
        </w:rPr>
        <w:t xml:space="preserve"> </w:t>
      </w:r>
      <w:r w:rsidR="00BE41B4" w:rsidRPr="00BE41B4">
        <w:rPr>
          <w:rStyle w:val="Strong"/>
          <w:b w:val="0"/>
          <w:bCs w:val="0"/>
        </w:rPr>
        <w:t>and</w:t>
      </w:r>
    </w:p>
    <w:p w14:paraId="38CC6D0A" w14:textId="24204EDA" w:rsidR="00F25635" w:rsidRDefault="008232E2" w:rsidP="008232E2">
      <w:pPr>
        <w:pStyle w:val="ListParagraph"/>
        <w:numPr>
          <w:ilvl w:val="0"/>
          <w:numId w:val="37"/>
        </w:numPr>
        <w:rPr>
          <w:rStyle w:val="Strong"/>
          <w:b w:val="0"/>
          <w:bCs w:val="0"/>
        </w:rPr>
      </w:pPr>
      <w:r>
        <w:rPr>
          <w:rStyle w:val="Strong"/>
          <w:b w:val="0"/>
          <w:bCs w:val="0"/>
        </w:rPr>
        <w:t>assuming an even age class distribution</w:t>
      </w:r>
      <w:r w:rsidR="0006037A">
        <w:rPr>
          <w:rStyle w:val="Strong"/>
          <w:b w:val="0"/>
          <w:bCs w:val="0"/>
        </w:rPr>
        <w:t xml:space="preserve"> across the rotations</w:t>
      </w:r>
      <w:r>
        <w:rPr>
          <w:rStyle w:val="Strong"/>
          <w:b w:val="0"/>
          <w:bCs w:val="0"/>
        </w:rPr>
        <w:t>.</w:t>
      </w:r>
    </w:p>
    <w:p w14:paraId="067DBA72" w14:textId="77777777" w:rsidR="00F25635" w:rsidRDefault="00F25635">
      <w:pPr>
        <w:rPr>
          <w:rStyle w:val="Strong"/>
          <w:b w:val="0"/>
          <w:bCs w:val="0"/>
          <w:lang w:val="en-NZ"/>
        </w:rPr>
      </w:pPr>
      <w:r>
        <w:rPr>
          <w:rStyle w:val="Strong"/>
          <w:b w:val="0"/>
          <w:bCs w:val="0"/>
        </w:rPr>
        <w:br w:type="page"/>
      </w:r>
    </w:p>
    <w:p w14:paraId="26E212CB" w14:textId="449A2293" w:rsidR="001A12AA" w:rsidRPr="00077F8B" w:rsidRDefault="001A12AA" w:rsidP="001A12AA">
      <w:pPr>
        <w:pStyle w:val="Heading1"/>
        <w:spacing w:line="276" w:lineRule="auto"/>
      </w:pPr>
      <w:bookmarkStart w:id="13" w:name="_Toc178255286"/>
      <w:r>
        <w:lastRenderedPageBreak/>
        <w:t>Results</w:t>
      </w:r>
      <w:r w:rsidR="00847B6D">
        <w:t xml:space="preserve"> and discussion</w:t>
      </w:r>
      <w:bookmarkEnd w:id="13"/>
    </w:p>
    <w:p w14:paraId="49F7BA9B" w14:textId="350628C3" w:rsidR="001A12AA" w:rsidRDefault="001A12AA" w:rsidP="00D86C71">
      <w:pPr>
        <w:pStyle w:val="Heading2"/>
        <w:rPr>
          <w:lang w:eastAsia="en-NZ"/>
        </w:rPr>
      </w:pPr>
      <w:bookmarkStart w:id="14" w:name="_Toc178255287"/>
      <w:r w:rsidRPr="009D6BD3">
        <w:rPr>
          <w:lang w:eastAsia="en-NZ"/>
        </w:rPr>
        <w:t xml:space="preserve">Long-term Average </w:t>
      </w:r>
      <w:r w:rsidR="00A87C7D">
        <w:rPr>
          <w:lang w:eastAsia="en-NZ"/>
        </w:rPr>
        <w:t>Carbon</w:t>
      </w:r>
      <w:r w:rsidR="00654A4C" w:rsidRPr="009D6BD3">
        <w:rPr>
          <w:lang w:eastAsia="en-NZ"/>
        </w:rPr>
        <w:t xml:space="preserve"> </w:t>
      </w:r>
      <w:r w:rsidRPr="009D6BD3">
        <w:rPr>
          <w:lang w:eastAsia="en-NZ"/>
        </w:rPr>
        <w:t>Stock and Age Estimates</w:t>
      </w:r>
      <w:bookmarkEnd w:id="14"/>
    </w:p>
    <w:p w14:paraId="44095710" w14:textId="77777777" w:rsidR="00EE0D86" w:rsidRDefault="00EE0D86" w:rsidP="004D675F">
      <w:pPr>
        <w:rPr>
          <w:rStyle w:val="Strong"/>
          <w:b w:val="0"/>
          <w:bCs w:val="0"/>
        </w:rPr>
      </w:pPr>
    </w:p>
    <w:p w14:paraId="62C63B93" w14:textId="4FB98E96" w:rsidR="004C3A11" w:rsidRDefault="00821A95" w:rsidP="004D675F">
      <w:pPr>
        <w:rPr>
          <w:rStyle w:val="Strong"/>
          <w:b w:val="0"/>
          <w:bCs w:val="0"/>
        </w:rPr>
      </w:pPr>
      <w:r>
        <w:rPr>
          <w:rStyle w:val="Strong"/>
          <w:b w:val="0"/>
          <w:bCs w:val="0"/>
        </w:rPr>
        <w:t xml:space="preserve">The </w:t>
      </w:r>
      <w:r w:rsidR="00654A4C">
        <w:rPr>
          <w:rStyle w:val="Strong"/>
          <w:b w:val="0"/>
          <w:bCs w:val="0"/>
        </w:rPr>
        <w:t xml:space="preserve">LTA </w:t>
      </w:r>
      <w:r w:rsidR="00A87C7D">
        <w:rPr>
          <w:rStyle w:val="Strong"/>
          <w:b w:val="0"/>
          <w:bCs w:val="0"/>
        </w:rPr>
        <w:t xml:space="preserve">stock and LTA age calculated in the LTA Calculator (Dovey </w:t>
      </w:r>
      <w:r w:rsidR="007A6475">
        <w:rPr>
          <w:rStyle w:val="Strong"/>
          <w:b w:val="0"/>
          <w:bCs w:val="0"/>
        </w:rPr>
        <w:t xml:space="preserve">&amp; </w:t>
      </w:r>
      <w:r w:rsidR="00A87C7D">
        <w:rPr>
          <w:rStyle w:val="Strong"/>
          <w:b w:val="0"/>
          <w:bCs w:val="0"/>
        </w:rPr>
        <w:t>Wakelin</w:t>
      </w:r>
      <w:r w:rsidR="007A6475">
        <w:rPr>
          <w:rStyle w:val="Strong"/>
          <w:b w:val="0"/>
          <w:bCs w:val="0"/>
        </w:rPr>
        <w:t>,</w:t>
      </w:r>
      <w:r w:rsidR="00A87C7D">
        <w:rPr>
          <w:rStyle w:val="Strong"/>
          <w:b w:val="0"/>
          <w:bCs w:val="0"/>
        </w:rPr>
        <w:t xml:space="preserve"> 2024) for rotational forests is given in Table </w:t>
      </w:r>
      <w:r w:rsidR="00E90C17">
        <w:rPr>
          <w:rStyle w:val="Strong"/>
          <w:b w:val="0"/>
          <w:bCs w:val="0"/>
        </w:rPr>
        <w:t>5</w:t>
      </w:r>
      <w:r w:rsidR="00A87C7D">
        <w:rPr>
          <w:rStyle w:val="Strong"/>
          <w:b w:val="0"/>
          <w:bCs w:val="0"/>
        </w:rPr>
        <w:t>.</w:t>
      </w:r>
    </w:p>
    <w:p w14:paraId="6C3E5EED" w14:textId="77777777" w:rsidR="009E1D89" w:rsidRPr="00077F8B" w:rsidRDefault="009E1D89" w:rsidP="009E1D89"/>
    <w:p w14:paraId="2FCC9AB7" w14:textId="1805264B" w:rsidR="009E1D89" w:rsidRPr="00077F8B" w:rsidRDefault="009E1D89" w:rsidP="009E1D89">
      <w:r w:rsidRPr="007859F1">
        <w:rPr>
          <w:b/>
          <w:bCs/>
        </w:rPr>
        <w:t xml:space="preserve">Table </w:t>
      </w:r>
      <w:r w:rsidR="00E90C17">
        <w:rPr>
          <w:b/>
          <w:bCs/>
        </w:rPr>
        <w:t>5</w:t>
      </w:r>
      <w:r w:rsidRPr="00077F8B">
        <w:t xml:space="preserve">: Long-term average (LTA) </w:t>
      </w:r>
      <w:r w:rsidR="00AE3EE7">
        <w:t>carbon stock</w:t>
      </w:r>
      <w:r w:rsidR="00AE3EE7" w:rsidRPr="00077F8B">
        <w:t xml:space="preserve"> </w:t>
      </w:r>
      <w:r w:rsidRPr="00077F8B">
        <w:t xml:space="preserve">and LTA age </w:t>
      </w:r>
      <w:r w:rsidR="0046580E">
        <w:t>using default LTA Calculator options</w:t>
      </w:r>
      <w:r w:rsidRPr="00077F8B">
        <w:t>.</w:t>
      </w:r>
    </w:p>
    <w:tbl>
      <w:tblPr>
        <w:tblW w:w="6539" w:type="dxa"/>
        <w:tblLook w:val="04A0" w:firstRow="1" w:lastRow="0" w:firstColumn="1" w:lastColumn="0" w:noHBand="0" w:noVBand="1"/>
      </w:tblPr>
      <w:tblGrid>
        <w:gridCol w:w="3402"/>
        <w:gridCol w:w="1010"/>
        <w:gridCol w:w="1264"/>
        <w:gridCol w:w="1176"/>
      </w:tblGrid>
      <w:tr w:rsidR="009E1D89" w:rsidRPr="004A09EB" w14:paraId="2CFFC670" w14:textId="77777777" w:rsidTr="00473947">
        <w:trPr>
          <w:trHeight w:val="421"/>
        </w:trPr>
        <w:tc>
          <w:tcPr>
            <w:tcW w:w="3402" w:type="dxa"/>
            <w:tcBorders>
              <w:top w:val="single" w:sz="4" w:space="0" w:color="auto"/>
              <w:left w:val="nil"/>
              <w:bottom w:val="single" w:sz="4" w:space="0" w:color="auto"/>
              <w:right w:val="single" w:sz="4" w:space="0" w:color="auto"/>
            </w:tcBorders>
            <w:shd w:val="clear" w:color="auto" w:fill="auto"/>
            <w:vAlign w:val="bottom"/>
            <w:hideMark/>
          </w:tcPr>
          <w:p w14:paraId="5758389E" w14:textId="77777777" w:rsidR="009E1D89" w:rsidRPr="004A09EB" w:rsidRDefault="009E1D89" w:rsidP="00473947">
            <w:pPr>
              <w:rPr>
                <w:rFonts w:ascii="Calibri" w:hAnsi="Calibri" w:cs="Calibri"/>
                <w:b/>
                <w:bCs/>
                <w:color w:val="000000"/>
                <w:sz w:val="22"/>
                <w:szCs w:val="22"/>
                <w:lang w:val="en-NZ" w:eastAsia="en-NZ"/>
              </w:rPr>
            </w:pPr>
            <w:r w:rsidRPr="004A09EB">
              <w:rPr>
                <w:rFonts w:ascii="Calibri" w:hAnsi="Calibri" w:cs="Calibri"/>
                <w:b/>
                <w:bCs/>
                <w:color w:val="000000"/>
                <w:sz w:val="22"/>
                <w:szCs w:val="22"/>
                <w:lang w:val="en-NZ" w:eastAsia="en-NZ"/>
              </w:rPr>
              <w:t>Forest</w:t>
            </w:r>
            <w:r w:rsidRPr="004A09EB">
              <w:rPr>
                <w:rFonts w:ascii="Calibri" w:hAnsi="Calibri" w:cs="Calibri"/>
                <w:b/>
                <w:bCs/>
                <w:color w:val="000000"/>
                <w:sz w:val="22"/>
                <w:szCs w:val="22"/>
                <w:lang w:val="en-NZ" w:eastAsia="en-NZ"/>
              </w:rPr>
              <w:br/>
              <w:t>Type</w:t>
            </w:r>
          </w:p>
        </w:tc>
        <w:tc>
          <w:tcPr>
            <w:tcW w:w="697" w:type="dxa"/>
            <w:tcBorders>
              <w:top w:val="single" w:sz="4" w:space="0" w:color="auto"/>
              <w:left w:val="single" w:sz="4" w:space="0" w:color="auto"/>
              <w:bottom w:val="single" w:sz="4" w:space="0" w:color="auto"/>
              <w:right w:val="single" w:sz="4" w:space="0" w:color="auto"/>
            </w:tcBorders>
          </w:tcPr>
          <w:p w14:paraId="6E80F2F1" w14:textId="77777777" w:rsidR="009E1D89" w:rsidRPr="004A09EB" w:rsidRDefault="009E1D89" w:rsidP="00473947">
            <w:pPr>
              <w:jc w:val="center"/>
              <w:rPr>
                <w:rFonts w:ascii="Calibri" w:hAnsi="Calibri" w:cs="Calibri"/>
                <w:b/>
                <w:bCs/>
                <w:color w:val="000000"/>
                <w:sz w:val="22"/>
                <w:szCs w:val="22"/>
                <w:lang w:val="en-NZ" w:eastAsia="en-NZ"/>
              </w:rPr>
            </w:pPr>
            <w:r>
              <w:rPr>
                <w:rFonts w:ascii="Calibri" w:hAnsi="Calibri" w:cs="Calibri"/>
                <w:b/>
                <w:bCs/>
                <w:color w:val="000000"/>
                <w:sz w:val="22"/>
                <w:szCs w:val="22"/>
                <w:lang w:val="en-NZ" w:eastAsia="en-NZ"/>
              </w:rPr>
              <w:t>Rotation age</w:t>
            </w:r>
          </w:p>
        </w:tc>
        <w:tc>
          <w:tcPr>
            <w:tcW w:w="1264" w:type="dxa"/>
            <w:tcBorders>
              <w:top w:val="single" w:sz="4" w:space="0" w:color="auto"/>
              <w:left w:val="single" w:sz="4" w:space="0" w:color="auto"/>
              <w:bottom w:val="single" w:sz="4" w:space="0" w:color="auto"/>
              <w:right w:val="nil"/>
            </w:tcBorders>
            <w:shd w:val="clear" w:color="auto" w:fill="auto"/>
            <w:vAlign w:val="bottom"/>
            <w:hideMark/>
          </w:tcPr>
          <w:p w14:paraId="63F4F6D1" w14:textId="77777777" w:rsidR="009E1D89" w:rsidRPr="00077F8B" w:rsidRDefault="009E1D89" w:rsidP="00473947">
            <w:pPr>
              <w:jc w:val="center"/>
              <w:rPr>
                <w:rFonts w:ascii="Calibri" w:hAnsi="Calibri" w:cs="Calibri"/>
                <w:b/>
                <w:bCs/>
                <w:color w:val="000000"/>
                <w:sz w:val="22"/>
                <w:szCs w:val="22"/>
                <w:lang w:val="en-NZ" w:eastAsia="en-NZ"/>
              </w:rPr>
            </w:pPr>
            <w:r w:rsidRPr="004A09EB">
              <w:rPr>
                <w:rFonts w:ascii="Calibri" w:hAnsi="Calibri" w:cs="Calibri"/>
                <w:b/>
                <w:bCs/>
                <w:color w:val="000000"/>
                <w:sz w:val="22"/>
                <w:szCs w:val="22"/>
                <w:lang w:val="en-NZ" w:eastAsia="en-NZ"/>
              </w:rPr>
              <w:t>LTA</w:t>
            </w:r>
          </w:p>
          <w:p w14:paraId="47ADA616" w14:textId="77777777" w:rsidR="009E1D89" w:rsidRPr="004A09EB" w:rsidRDefault="009E1D89" w:rsidP="00473947">
            <w:pPr>
              <w:jc w:val="center"/>
              <w:rPr>
                <w:rFonts w:ascii="Calibri" w:hAnsi="Calibri" w:cs="Calibri"/>
                <w:b/>
                <w:bCs/>
                <w:color w:val="000000"/>
                <w:sz w:val="22"/>
                <w:szCs w:val="22"/>
                <w:lang w:val="en-NZ" w:eastAsia="en-NZ"/>
              </w:rPr>
            </w:pPr>
            <w:r w:rsidRPr="00077F8B">
              <w:rPr>
                <w:rFonts w:ascii="Calibri" w:hAnsi="Calibri" w:cs="Calibri"/>
                <w:b/>
                <w:bCs/>
                <w:color w:val="000000"/>
                <w:sz w:val="22"/>
                <w:szCs w:val="22"/>
                <w:lang w:val="en-NZ" w:eastAsia="en-NZ"/>
              </w:rPr>
              <w:t>(</w:t>
            </w:r>
            <w:r w:rsidRPr="004A09EB">
              <w:rPr>
                <w:rFonts w:ascii="Calibri" w:hAnsi="Calibri" w:cs="Calibri"/>
                <w:b/>
                <w:bCs/>
                <w:color w:val="000000"/>
                <w:sz w:val="22"/>
                <w:szCs w:val="22"/>
                <w:lang w:val="en-NZ" w:eastAsia="en-NZ"/>
              </w:rPr>
              <w:t>tCO</w:t>
            </w:r>
            <w:r w:rsidRPr="004A09EB">
              <w:rPr>
                <w:rFonts w:ascii="Calibri" w:hAnsi="Calibri" w:cs="Calibri"/>
                <w:b/>
                <w:bCs/>
                <w:color w:val="000000"/>
                <w:sz w:val="22"/>
                <w:szCs w:val="22"/>
                <w:vertAlign w:val="subscript"/>
                <w:lang w:val="en-NZ" w:eastAsia="en-NZ"/>
              </w:rPr>
              <w:t>2</w:t>
            </w:r>
            <w:r w:rsidRPr="004A09EB">
              <w:rPr>
                <w:rFonts w:ascii="Calibri" w:hAnsi="Calibri" w:cs="Calibri"/>
                <w:b/>
                <w:bCs/>
                <w:color w:val="000000"/>
                <w:sz w:val="22"/>
                <w:szCs w:val="22"/>
                <w:lang w:val="en-NZ" w:eastAsia="en-NZ"/>
              </w:rPr>
              <w:t xml:space="preserve"> ha</w:t>
            </w:r>
            <w:r w:rsidRPr="004A09EB">
              <w:rPr>
                <w:rFonts w:ascii="Calibri" w:hAnsi="Calibri" w:cs="Calibri"/>
                <w:b/>
                <w:bCs/>
                <w:color w:val="000000"/>
                <w:sz w:val="22"/>
                <w:szCs w:val="22"/>
                <w:vertAlign w:val="superscript"/>
                <w:lang w:val="en-NZ" w:eastAsia="en-NZ"/>
              </w:rPr>
              <w:t>-1</w:t>
            </w:r>
            <w:r w:rsidRPr="00077F8B">
              <w:rPr>
                <w:rFonts w:ascii="Calibri" w:hAnsi="Calibri" w:cs="Calibri"/>
                <w:b/>
                <w:bCs/>
                <w:color w:val="000000"/>
                <w:sz w:val="22"/>
                <w:szCs w:val="22"/>
                <w:lang w:val="en-NZ" w:eastAsia="en-NZ"/>
              </w:rPr>
              <w:t>)</w:t>
            </w:r>
          </w:p>
        </w:tc>
        <w:tc>
          <w:tcPr>
            <w:tcW w:w="1176" w:type="dxa"/>
            <w:tcBorders>
              <w:top w:val="single" w:sz="4" w:space="0" w:color="auto"/>
              <w:left w:val="nil"/>
              <w:bottom w:val="single" w:sz="4" w:space="0" w:color="auto"/>
              <w:right w:val="nil"/>
            </w:tcBorders>
            <w:shd w:val="clear" w:color="auto" w:fill="auto"/>
            <w:noWrap/>
            <w:vAlign w:val="bottom"/>
            <w:hideMark/>
          </w:tcPr>
          <w:p w14:paraId="6BC984FD" w14:textId="77777777" w:rsidR="009E1D89" w:rsidRPr="004A09EB" w:rsidRDefault="009E1D89" w:rsidP="00473947">
            <w:pPr>
              <w:jc w:val="center"/>
              <w:rPr>
                <w:rFonts w:ascii="Calibri" w:hAnsi="Calibri" w:cs="Calibri"/>
                <w:b/>
                <w:bCs/>
                <w:color w:val="000000"/>
                <w:sz w:val="22"/>
                <w:szCs w:val="22"/>
                <w:lang w:val="en-NZ" w:eastAsia="en-NZ"/>
              </w:rPr>
            </w:pPr>
            <w:r w:rsidRPr="004A09EB">
              <w:rPr>
                <w:rFonts w:ascii="Calibri" w:hAnsi="Calibri" w:cs="Calibri"/>
                <w:b/>
                <w:bCs/>
                <w:color w:val="000000"/>
                <w:sz w:val="22"/>
                <w:szCs w:val="22"/>
                <w:lang w:val="en-NZ" w:eastAsia="en-NZ"/>
              </w:rPr>
              <w:t>LTA</w:t>
            </w:r>
            <w:r w:rsidRPr="00077F8B">
              <w:rPr>
                <w:rFonts w:ascii="Calibri" w:hAnsi="Calibri" w:cs="Calibri"/>
                <w:b/>
                <w:bCs/>
                <w:color w:val="000000"/>
                <w:sz w:val="22"/>
                <w:szCs w:val="22"/>
                <w:lang w:val="en-NZ" w:eastAsia="en-NZ"/>
              </w:rPr>
              <w:t xml:space="preserve"> </w:t>
            </w:r>
            <w:r w:rsidRPr="004A09EB">
              <w:rPr>
                <w:rFonts w:ascii="Calibri" w:hAnsi="Calibri" w:cs="Calibri"/>
                <w:b/>
                <w:bCs/>
                <w:color w:val="000000"/>
                <w:sz w:val="22"/>
                <w:szCs w:val="22"/>
                <w:lang w:val="en-NZ" w:eastAsia="en-NZ"/>
              </w:rPr>
              <w:t>age</w:t>
            </w:r>
            <w:r w:rsidRPr="00077F8B">
              <w:rPr>
                <w:rFonts w:ascii="Calibri" w:hAnsi="Calibri" w:cs="Calibri"/>
                <w:b/>
                <w:bCs/>
                <w:color w:val="000000"/>
                <w:sz w:val="22"/>
                <w:szCs w:val="22"/>
                <w:lang w:val="en-NZ" w:eastAsia="en-NZ"/>
              </w:rPr>
              <w:br/>
              <w:t>(years)</w:t>
            </w:r>
          </w:p>
        </w:tc>
      </w:tr>
      <w:tr w:rsidR="009E1D89" w:rsidRPr="004A09EB" w14:paraId="4702F691" w14:textId="77777777" w:rsidTr="00473947">
        <w:trPr>
          <w:trHeight w:val="300"/>
        </w:trPr>
        <w:tc>
          <w:tcPr>
            <w:tcW w:w="3402" w:type="dxa"/>
            <w:tcBorders>
              <w:top w:val="single" w:sz="4" w:space="0" w:color="auto"/>
              <w:left w:val="nil"/>
              <w:bottom w:val="nil"/>
              <w:right w:val="single" w:sz="4" w:space="0" w:color="auto"/>
            </w:tcBorders>
            <w:shd w:val="clear" w:color="auto" w:fill="auto"/>
            <w:noWrap/>
            <w:vAlign w:val="bottom"/>
            <w:hideMark/>
          </w:tcPr>
          <w:p w14:paraId="6B6C7926" w14:textId="77777777" w:rsidR="009E1D89" w:rsidRPr="004A09EB" w:rsidRDefault="009E1D89" w:rsidP="00473947">
            <w:pPr>
              <w:rPr>
                <w:rFonts w:ascii="Calibri" w:hAnsi="Calibri" w:cs="Calibri"/>
                <w:color w:val="000000"/>
                <w:sz w:val="22"/>
                <w:szCs w:val="22"/>
                <w:lang w:val="en-NZ" w:eastAsia="en-NZ"/>
              </w:rPr>
            </w:pPr>
            <w:r w:rsidRPr="00077F8B">
              <w:t>8</w:t>
            </w:r>
            <w:r>
              <w:t>2</w:t>
            </w:r>
            <w:r w:rsidRPr="00077F8B">
              <w:t>.</w:t>
            </w:r>
            <w:r>
              <w:t>4</w:t>
            </w:r>
            <w:r w:rsidRPr="00077F8B">
              <w:t xml:space="preserve">% </w:t>
            </w:r>
            <w:r w:rsidRPr="004A09EB">
              <w:rPr>
                <w:rFonts w:ascii="Calibri" w:hAnsi="Calibri" w:cs="Calibri"/>
                <w:color w:val="000000"/>
                <w:sz w:val="22"/>
                <w:szCs w:val="22"/>
                <w:lang w:val="en-NZ" w:eastAsia="en-NZ"/>
              </w:rPr>
              <w:t>Radiata Pine</w:t>
            </w:r>
          </w:p>
        </w:tc>
        <w:tc>
          <w:tcPr>
            <w:tcW w:w="697" w:type="dxa"/>
            <w:tcBorders>
              <w:top w:val="single" w:sz="4" w:space="0" w:color="auto"/>
              <w:left w:val="single" w:sz="4" w:space="0" w:color="auto"/>
              <w:bottom w:val="nil"/>
              <w:right w:val="single" w:sz="4" w:space="0" w:color="auto"/>
            </w:tcBorders>
          </w:tcPr>
          <w:p w14:paraId="3B708511" w14:textId="77777777" w:rsidR="009E1D89" w:rsidRPr="002E64AF" w:rsidRDefault="009E1D89" w:rsidP="00473947">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28</w:t>
            </w:r>
          </w:p>
        </w:tc>
        <w:tc>
          <w:tcPr>
            <w:tcW w:w="1264" w:type="dxa"/>
            <w:tcBorders>
              <w:top w:val="single" w:sz="4" w:space="0" w:color="auto"/>
              <w:left w:val="single" w:sz="4" w:space="0" w:color="auto"/>
              <w:bottom w:val="nil"/>
              <w:right w:val="nil"/>
            </w:tcBorders>
            <w:shd w:val="clear" w:color="auto" w:fill="auto"/>
            <w:noWrap/>
            <w:vAlign w:val="bottom"/>
            <w:hideMark/>
          </w:tcPr>
          <w:p w14:paraId="66ADA421" w14:textId="7E43415C" w:rsidR="009E1D89" w:rsidRPr="004A09EB" w:rsidRDefault="00CC493D" w:rsidP="00473947">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817</w:t>
            </w:r>
          </w:p>
        </w:tc>
        <w:tc>
          <w:tcPr>
            <w:tcW w:w="1176" w:type="dxa"/>
            <w:tcBorders>
              <w:top w:val="single" w:sz="4" w:space="0" w:color="auto"/>
              <w:left w:val="nil"/>
              <w:bottom w:val="nil"/>
              <w:right w:val="nil"/>
            </w:tcBorders>
            <w:shd w:val="clear" w:color="auto" w:fill="auto"/>
            <w:noWrap/>
            <w:vAlign w:val="bottom"/>
            <w:hideMark/>
          </w:tcPr>
          <w:p w14:paraId="2E7E86B7" w14:textId="752F5982" w:rsidR="009E1D89" w:rsidRPr="004A09EB" w:rsidRDefault="00E35569" w:rsidP="00473947">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23.2</w:t>
            </w:r>
          </w:p>
        </w:tc>
      </w:tr>
      <w:tr w:rsidR="009E1D89" w:rsidRPr="004A09EB" w14:paraId="243C341D" w14:textId="77777777" w:rsidTr="00473947">
        <w:trPr>
          <w:trHeight w:val="300"/>
        </w:trPr>
        <w:tc>
          <w:tcPr>
            <w:tcW w:w="3402" w:type="dxa"/>
            <w:tcBorders>
              <w:top w:val="nil"/>
              <w:left w:val="nil"/>
              <w:bottom w:val="nil"/>
              <w:right w:val="single" w:sz="4" w:space="0" w:color="auto"/>
            </w:tcBorders>
            <w:shd w:val="clear" w:color="auto" w:fill="auto"/>
            <w:noWrap/>
            <w:vAlign w:val="bottom"/>
            <w:hideMark/>
          </w:tcPr>
          <w:p w14:paraId="57B9FB94" w14:textId="6D6349C1" w:rsidR="009E1D89" w:rsidRPr="004A09EB" w:rsidRDefault="009E1D89" w:rsidP="00473947">
            <w:pPr>
              <w:rPr>
                <w:rFonts w:ascii="Calibri" w:hAnsi="Calibri" w:cs="Calibri"/>
                <w:color w:val="000000"/>
                <w:sz w:val="22"/>
                <w:szCs w:val="22"/>
                <w:lang w:val="en-NZ" w:eastAsia="en-NZ"/>
              </w:rPr>
            </w:pPr>
            <w:r>
              <w:rPr>
                <w:rFonts w:ascii="Calibri" w:hAnsi="Calibri" w:cs="Calibri"/>
                <w:color w:val="000000"/>
                <w:sz w:val="22"/>
                <w:szCs w:val="22"/>
                <w:lang w:val="en-NZ" w:eastAsia="en-NZ"/>
              </w:rPr>
              <w:t>11.</w:t>
            </w:r>
            <w:r w:rsidR="00121A58">
              <w:rPr>
                <w:rFonts w:ascii="Calibri" w:hAnsi="Calibri" w:cs="Calibri"/>
                <w:color w:val="000000"/>
                <w:sz w:val="22"/>
                <w:szCs w:val="22"/>
                <w:lang w:val="en-NZ" w:eastAsia="en-NZ"/>
              </w:rPr>
              <w:t>8</w:t>
            </w:r>
            <w:r w:rsidRPr="00077F8B">
              <w:rPr>
                <w:rFonts w:ascii="Calibri" w:hAnsi="Calibri" w:cs="Calibri"/>
                <w:color w:val="000000"/>
                <w:sz w:val="22"/>
                <w:szCs w:val="22"/>
                <w:lang w:val="en-NZ" w:eastAsia="en-NZ"/>
              </w:rPr>
              <w:t xml:space="preserve">% </w:t>
            </w:r>
            <w:r w:rsidRPr="004A09EB">
              <w:rPr>
                <w:rFonts w:ascii="Calibri" w:hAnsi="Calibri" w:cs="Calibri"/>
                <w:color w:val="000000"/>
                <w:sz w:val="22"/>
                <w:szCs w:val="22"/>
                <w:lang w:val="en-NZ" w:eastAsia="en-NZ"/>
              </w:rPr>
              <w:t>Douglas</w:t>
            </w:r>
            <w:r w:rsidR="00054B4C">
              <w:rPr>
                <w:rFonts w:ascii="Calibri" w:hAnsi="Calibri" w:cs="Calibri"/>
                <w:color w:val="000000"/>
                <w:sz w:val="22"/>
                <w:szCs w:val="22"/>
                <w:lang w:val="en-NZ" w:eastAsia="en-NZ"/>
              </w:rPr>
              <w:t>-</w:t>
            </w:r>
            <w:r w:rsidRPr="004A09EB">
              <w:rPr>
                <w:rFonts w:ascii="Calibri" w:hAnsi="Calibri" w:cs="Calibri"/>
                <w:color w:val="000000"/>
                <w:sz w:val="22"/>
                <w:szCs w:val="22"/>
                <w:lang w:val="en-NZ" w:eastAsia="en-NZ"/>
              </w:rPr>
              <w:t>fir, other</w:t>
            </w:r>
            <w:r>
              <w:rPr>
                <w:rFonts w:ascii="Calibri" w:hAnsi="Calibri" w:cs="Calibri"/>
                <w:color w:val="000000"/>
                <w:sz w:val="22"/>
                <w:szCs w:val="22"/>
                <w:lang w:val="en-NZ" w:eastAsia="en-NZ"/>
              </w:rPr>
              <w:t xml:space="preserve"> softwoods</w:t>
            </w:r>
          </w:p>
        </w:tc>
        <w:tc>
          <w:tcPr>
            <w:tcW w:w="697" w:type="dxa"/>
            <w:tcBorders>
              <w:top w:val="nil"/>
              <w:left w:val="single" w:sz="4" w:space="0" w:color="auto"/>
              <w:bottom w:val="nil"/>
              <w:right w:val="single" w:sz="4" w:space="0" w:color="auto"/>
            </w:tcBorders>
          </w:tcPr>
          <w:p w14:paraId="14F553FB" w14:textId="77777777" w:rsidR="009E1D89" w:rsidRPr="002E64AF" w:rsidRDefault="009E1D89" w:rsidP="00473947">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40</w:t>
            </w:r>
          </w:p>
        </w:tc>
        <w:tc>
          <w:tcPr>
            <w:tcW w:w="1264" w:type="dxa"/>
            <w:tcBorders>
              <w:top w:val="nil"/>
              <w:left w:val="single" w:sz="4" w:space="0" w:color="auto"/>
              <w:bottom w:val="nil"/>
              <w:right w:val="nil"/>
            </w:tcBorders>
            <w:shd w:val="clear" w:color="auto" w:fill="auto"/>
            <w:noWrap/>
            <w:vAlign w:val="bottom"/>
            <w:hideMark/>
          </w:tcPr>
          <w:p w14:paraId="22A37749" w14:textId="3489D06E" w:rsidR="009E1D89" w:rsidRPr="004A09EB" w:rsidRDefault="00CC493D" w:rsidP="00473947">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781</w:t>
            </w:r>
          </w:p>
        </w:tc>
        <w:tc>
          <w:tcPr>
            <w:tcW w:w="1176" w:type="dxa"/>
            <w:tcBorders>
              <w:top w:val="nil"/>
              <w:left w:val="nil"/>
              <w:bottom w:val="nil"/>
              <w:right w:val="nil"/>
            </w:tcBorders>
            <w:shd w:val="clear" w:color="auto" w:fill="auto"/>
            <w:noWrap/>
            <w:vAlign w:val="bottom"/>
            <w:hideMark/>
          </w:tcPr>
          <w:p w14:paraId="742400B6" w14:textId="260DDDB6" w:rsidR="009E1D89" w:rsidRPr="004A09EB" w:rsidRDefault="00F74E4D" w:rsidP="00473947">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29.0</w:t>
            </w:r>
          </w:p>
        </w:tc>
      </w:tr>
      <w:tr w:rsidR="009E1D89" w:rsidRPr="004A09EB" w14:paraId="1177C4A8" w14:textId="77777777" w:rsidTr="00473947">
        <w:trPr>
          <w:trHeight w:val="300"/>
        </w:trPr>
        <w:tc>
          <w:tcPr>
            <w:tcW w:w="3402" w:type="dxa"/>
            <w:tcBorders>
              <w:top w:val="nil"/>
              <w:left w:val="nil"/>
              <w:bottom w:val="single" w:sz="4" w:space="0" w:color="auto"/>
              <w:right w:val="single" w:sz="4" w:space="0" w:color="auto"/>
            </w:tcBorders>
            <w:shd w:val="clear" w:color="auto" w:fill="auto"/>
            <w:noWrap/>
            <w:vAlign w:val="bottom"/>
            <w:hideMark/>
          </w:tcPr>
          <w:p w14:paraId="34A808E3" w14:textId="77777777" w:rsidR="009E1D89" w:rsidRPr="004A09EB" w:rsidRDefault="009E1D89" w:rsidP="00473947">
            <w:pPr>
              <w:rPr>
                <w:rFonts w:ascii="Calibri" w:hAnsi="Calibri" w:cs="Calibri"/>
                <w:color w:val="000000"/>
                <w:sz w:val="22"/>
                <w:szCs w:val="22"/>
                <w:lang w:val="en-NZ" w:eastAsia="en-NZ"/>
              </w:rPr>
            </w:pPr>
            <w:r>
              <w:rPr>
                <w:rFonts w:ascii="Calibri" w:hAnsi="Calibri" w:cs="Calibri"/>
                <w:color w:val="000000"/>
                <w:sz w:val="22"/>
                <w:szCs w:val="22"/>
                <w:lang w:val="en-NZ" w:eastAsia="en-NZ"/>
              </w:rPr>
              <w:t>5</w:t>
            </w:r>
            <w:r w:rsidRPr="00077F8B">
              <w:rPr>
                <w:rFonts w:ascii="Calibri" w:hAnsi="Calibri" w:cs="Calibri"/>
                <w:color w:val="000000"/>
                <w:sz w:val="22"/>
                <w:szCs w:val="22"/>
                <w:lang w:val="en-NZ" w:eastAsia="en-NZ"/>
              </w:rPr>
              <w:t>.</w:t>
            </w:r>
            <w:r>
              <w:rPr>
                <w:rFonts w:ascii="Calibri" w:hAnsi="Calibri" w:cs="Calibri"/>
                <w:color w:val="000000"/>
                <w:sz w:val="22"/>
                <w:szCs w:val="22"/>
                <w:lang w:val="en-NZ" w:eastAsia="en-NZ"/>
              </w:rPr>
              <w:t>8</w:t>
            </w:r>
            <w:r w:rsidRPr="00077F8B">
              <w:rPr>
                <w:rFonts w:ascii="Calibri" w:hAnsi="Calibri" w:cs="Calibri"/>
                <w:color w:val="000000"/>
                <w:sz w:val="22"/>
                <w:szCs w:val="22"/>
                <w:lang w:val="en-NZ" w:eastAsia="en-NZ"/>
              </w:rPr>
              <w:t xml:space="preserve">%    </w:t>
            </w:r>
            <w:r w:rsidRPr="004A09EB">
              <w:rPr>
                <w:rFonts w:ascii="Calibri" w:hAnsi="Calibri" w:cs="Calibri"/>
                <w:color w:val="000000"/>
                <w:sz w:val="22"/>
                <w:szCs w:val="22"/>
                <w:lang w:val="en-NZ" w:eastAsia="en-NZ"/>
              </w:rPr>
              <w:t>Hardwoods</w:t>
            </w:r>
          </w:p>
        </w:tc>
        <w:tc>
          <w:tcPr>
            <w:tcW w:w="697" w:type="dxa"/>
            <w:tcBorders>
              <w:top w:val="nil"/>
              <w:left w:val="single" w:sz="4" w:space="0" w:color="auto"/>
              <w:bottom w:val="single" w:sz="4" w:space="0" w:color="auto"/>
              <w:right w:val="single" w:sz="4" w:space="0" w:color="auto"/>
            </w:tcBorders>
          </w:tcPr>
          <w:p w14:paraId="2D69C9D4" w14:textId="77777777" w:rsidR="009E1D89" w:rsidRPr="002E64AF" w:rsidRDefault="009E1D89" w:rsidP="00473947">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30</w:t>
            </w:r>
          </w:p>
        </w:tc>
        <w:tc>
          <w:tcPr>
            <w:tcW w:w="1264" w:type="dxa"/>
            <w:tcBorders>
              <w:top w:val="nil"/>
              <w:left w:val="single" w:sz="4" w:space="0" w:color="auto"/>
              <w:bottom w:val="single" w:sz="4" w:space="0" w:color="auto"/>
              <w:right w:val="nil"/>
            </w:tcBorders>
            <w:shd w:val="clear" w:color="auto" w:fill="auto"/>
            <w:noWrap/>
            <w:vAlign w:val="bottom"/>
            <w:hideMark/>
          </w:tcPr>
          <w:p w14:paraId="4E7089EE" w14:textId="7CFF491C" w:rsidR="009E1D89" w:rsidRPr="004A09EB" w:rsidRDefault="00121A58" w:rsidP="00473947">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585</w:t>
            </w:r>
          </w:p>
        </w:tc>
        <w:tc>
          <w:tcPr>
            <w:tcW w:w="1176" w:type="dxa"/>
            <w:tcBorders>
              <w:top w:val="nil"/>
              <w:left w:val="nil"/>
              <w:bottom w:val="single" w:sz="4" w:space="0" w:color="auto"/>
              <w:right w:val="nil"/>
            </w:tcBorders>
            <w:shd w:val="clear" w:color="auto" w:fill="auto"/>
            <w:noWrap/>
            <w:vAlign w:val="bottom"/>
            <w:hideMark/>
          </w:tcPr>
          <w:p w14:paraId="4E6846FA" w14:textId="68A4A7A3" w:rsidR="009E1D89" w:rsidRPr="004A09EB" w:rsidRDefault="00F74E4D" w:rsidP="00473947">
            <w:pPr>
              <w:jc w:val="center"/>
              <w:rPr>
                <w:rFonts w:ascii="Calibri" w:hAnsi="Calibri" w:cs="Calibri"/>
                <w:color w:val="000000"/>
                <w:sz w:val="22"/>
                <w:szCs w:val="22"/>
                <w:lang w:val="en-NZ" w:eastAsia="en-NZ"/>
              </w:rPr>
            </w:pPr>
            <w:r>
              <w:rPr>
                <w:rFonts w:ascii="Calibri" w:hAnsi="Calibri" w:cs="Calibri"/>
                <w:color w:val="000000" w:themeColor="text1"/>
                <w:sz w:val="22"/>
                <w:szCs w:val="22"/>
                <w:lang w:val="en-NZ" w:eastAsia="en-NZ"/>
              </w:rPr>
              <w:t>24.0</w:t>
            </w:r>
          </w:p>
        </w:tc>
      </w:tr>
      <w:tr w:rsidR="009E1D89" w:rsidRPr="004A09EB" w14:paraId="190E7BFB" w14:textId="77777777" w:rsidTr="00473947">
        <w:trPr>
          <w:trHeight w:val="300"/>
        </w:trPr>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3AC020B9" w14:textId="77777777" w:rsidR="009E1D89" w:rsidRPr="004A09EB" w:rsidRDefault="009E1D89" w:rsidP="00473947">
            <w:pPr>
              <w:rPr>
                <w:rFonts w:ascii="Calibri" w:hAnsi="Calibri" w:cs="Calibri"/>
                <w:color w:val="000000"/>
                <w:sz w:val="22"/>
                <w:szCs w:val="22"/>
                <w:lang w:val="en-NZ" w:eastAsia="en-NZ"/>
              </w:rPr>
            </w:pPr>
            <w:r w:rsidRPr="004A09EB">
              <w:rPr>
                <w:rFonts w:ascii="Calibri" w:hAnsi="Calibri" w:cs="Calibri"/>
                <w:color w:val="000000"/>
                <w:sz w:val="22"/>
                <w:szCs w:val="22"/>
                <w:lang w:val="en-NZ" w:eastAsia="en-NZ"/>
              </w:rPr>
              <w:t>Area-</w:t>
            </w:r>
            <w:r>
              <w:rPr>
                <w:rFonts w:ascii="Calibri" w:hAnsi="Calibri" w:cs="Calibri"/>
                <w:color w:val="000000"/>
                <w:sz w:val="22"/>
                <w:szCs w:val="22"/>
                <w:lang w:val="en-NZ" w:eastAsia="en-NZ"/>
              </w:rPr>
              <w:t>w</w:t>
            </w:r>
            <w:r w:rsidRPr="004A09EB">
              <w:rPr>
                <w:rFonts w:ascii="Calibri" w:hAnsi="Calibri" w:cs="Calibri"/>
                <w:color w:val="000000"/>
                <w:sz w:val="22"/>
                <w:szCs w:val="22"/>
                <w:lang w:val="en-NZ" w:eastAsia="en-NZ"/>
              </w:rPr>
              <w:t>eighted</w:t>
            </w:r>
            <w:r>
              <w:rPr>
                <w:rFonts w:ascii="Calibri" w:hAnsi="Calibri" w:cs="Calibri"/>
                <w:color w:val="000000"/>
                <w:sz w:val="22"/>
                <w:szCs w:val="22"/>
                <w:lang w:val="en-NZ" w:eastAsia="en-NZ"/>
              </w:rPr>
              <w:t xml:space="preserve"> clearfell forest</w:t>
            </w:r>
          </w:p>
        </w:tc>
        <w:tc>
          <w:tcPr>
            <w:tcW w:w="697" w:type="dxa"/>
            <w:tcBorders>
              <w:top w:val="single" w:sz="4" w:space="0" w:color="auto"/>
              <w:left w:val="single" w:sz="4" w:space="0" w:color="auto"/>
              <w:bottom w:val="single" w:sz="4" w:space="0" w:color="auto"/>
              <w:right w:val="single" w:sz="4" w:space="0" w:color="auto"/>
            </w:tcBorders>
          </w:tcPr>
          <w:p w14:paraId="77B41BD1" w14:textId="77777777" w:rsidR="009E1D89" w:rsidRDefault="009E1D89" w:rsidP="00473947">
            <w:pPr>
              <w:jc w:val="center"/>
              <w:rPr>
                <w:rFonts w:ascii="Calibri" w:hAnsi="Calibri" w:cs="Calibri"/>
                <w:color w:val="000000"/>
                <w:sz w:val="22"/>
                <w:szCs w:val="22"/>
                <w:lang w:val="en-NZ" w:eastAsia="en-NZ"/>
              </w:rPr>
            </w:pPr>
          </w:p>
        </w:tc>
        <w:tc>
          <w:tcPr>
            <w:tcW w:w="1264" w:type="dxa"/>
            <w:tcBorders>
              <w:top w:val="single" w:sz="4" w:space="0" w:color="auto"/>
              <w:left w:val="single" w:sz="4" w:space="0" w:color="auto"/>
              <w:bottom w:val="single" w:sz="4" w:space="0" w:color="auto"/>
              <w:right w:val="nil"/>
            </w:tcBorders>
            <w:shd w:val="clear" w:color="auto" w:fill="auto"/>
            <w:noWrap/>
            <w:vAlign w:val="bottom"/>
            <w:hideMark/>
          </w:tcPr>
          <w:p w14:paraId="539C0D1F" w14:textId="0FC00AC9" w:rsidR="009E1D89" w:rsidRPr="004A09EB" w:rsidRDefault="00016A6E" w:rsidP="00473947">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799</w:t>
            </w:r>
          </w:p>
        </w:tc>
        <w:tc>
          <w:tcPr>
            <w:tcW w:w="1176" w:type="dxa"/>
            <w:tcBorders>
              <w:top w:val="single" w:sz="4" w:space="0" w:color="auto"/>
              <w:left w:val="nil"/>
              <w:bottom w:val="single" w:sz="4" w:space="0" w:color="auto"/>
              <w:right w:val="nil"/>
            </w:tcBorders>
            <w:shd w:val="clear" w:color="auto" w:fill="auto"/>
            <w:noWrap/>
            <w:vAlign w:val="bottom"/>
            <w:hideMark/>
          </w:tcPr>
          <w:p w14:paraId="24B04331" w14:textId="556A6A14" w:rsidR="009E1D89" w:rsidRPr="004A09EB" w:rsidRDefault="00E32198" w:rsidP="00473947">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23.9</w:t>
            </w:r>
          </w:p>
        </w:tc>
      </w:tr>
    </w:tbl>
    <w:p w14:paraId="4E375796" w14:textId="77777777" w:rsidR="00EE0D86" w:rsidRDefault="00EE0D86" w:rsidP="004D675F">
      <w:pPr>
        <w:rPr>
          <w:rStyle w:val="Strong"/>
          <w:b w:val="0"/>
          <w:bCs w:val="0"/>
        </w:rPr>
      </w:pPr>
    </w:p>
    <w:p w14:paraId="633D9C3D" w14:textId="09629EA3" w:rsidR="001A12AA" w:rsidRDefault="00567BB1" w:rsidP="004D675F">
      <w:pPr>
        <w:rPr>
          <w:rStyle w:val="Strong"/>
          <w:b w:val="0"/>
          <w:bCs w:val="0"/>
        </w:rPr>
      </w:pPr>
      <w:r>
        <w:rPr>
          <w:rStyle w:val="Strong"/>
          <w:b w:val="0"/>
          <w:bCs w:val="0"/>
        </w:rPr>
        <w:t>When rounded down, the LTA age is 23</w:t>
      </w:r>
      <w:r w:rsidR="00DF6B0B">
        <w:rPr>
          <w:rStyle w:val="Strong"/>
          <w:b w:val="0"/>
          <w:bCs w:val="0"/>
        </w:rPr>
        <w:t xml:space="preserve"> years</w:t>
      </w:r>
      <w:r>
        <w:rPr>
          <w:rStyle w:val="Strong"/>
          <w:b w:val="0"/>
          <w:bCs w:val="0"/>
        </w:rPr>
        <w:t xml:space="preserve">. The unrounded value of 23.9 </w:t>
      </w:r>
      <w:r w:rsidR="00DF6B0B">
        <w:rPr>
          <w:rStyle w:val="Strong"/>
          <w:b w:val="0"/>
          <w:bCs w:val="0"/>
        </w:rPr>
        <w:t xml:space="preserve">years </w:t>
      </w:r>
      <w:r>
        <w:rPr>
          <w:rStyle w:val="Strong"/>
          <w:b w:val="0"/>
          <w:bCs w:val="0"/>
        </w:rPr>
        <w:t xml:space="preserve">suggests that </w:t>
      </w:r>
      <w:r w:rsidR="0017571D">
        <w:rPr>
          <w:rStyle w:val="Strong"/>
          <w:b w:val="0"/>
          <w:bCs w:val="0"/>
        </w:rPr>
        <w:t>changes in assumptions that increase the LTA stock could quickly see the LTA age tip over to 24</w:t>
      </w:r>
      <w:r w:rsidR="00DF6B0B">
        <w:rPr>
          <w:rStyle w:val="Strong"/>
          <w:b w:val="0"/>
          <w:bCs w:val="0"/>
        </w:rPr>
        <w:t xml:space="preserve"> years</w:t>
      </w:r>
      <w:r w:rsidR="0017571D">
        <w:rPr>
          <w:rStyle w:val="Strong"/>
          <w:b w:val="0"/>
          <w:bCs w:val="0"/>
        </w:rPr>
        <w:t>. Conversely, the LTA age would be relatively robust to changes that result in lower average stocks</w:t>
      </w:r>
    </w:p>
    <w:p w14:paraId="48044615" w14:textId="77777777" w:rsidR="00847B6D" w:rsidRDefault="00847B6D" w:rsidP="004D675F">
      <w:pPr>
        <w:rPr>
          <w:rStyle w:val="Strong"/>
          <w:b w:val="0"/>
          <w:bCs w:val="0"/>
        </w:rPr>
      </w:pPr>
    </w:p>
    <w:p w14:paraId="180BE046" w14:textId="5F37B0F7" w:rsidR="00847B6D" w:rsidRDefault="00AA5E8C" w:rsidP="004D675F">
      <w:pPr>
        <w:rPr>
          <w:rStyle w:val="Strong"/>
          <w:b w:val="0"/>
          <w:bCs w:val="0"/>
        </w:rPr>
      </w:pPr>
      <w:r>
        <w:rPr>
          <w:rStyle w:val="Strong"/>
          <w:b w:val="0"/>
          <w:bCs w:val="0"/>
        </w:rPr>
        <w:t xml:space="preserve">Testing </w:t>
      </w:r>
      <w:r w:rsidR="005A2397">
        <w:rPr>
          <w:rStyle w:val="Strong"/>
          <w:b w:val="0"/>
          <w:bCs w:val="0"/>
        </w:rPr>
        <w:t>confirmed</w:t>
      </w:r>
      <w:r>
        <w:rPr>
          <w:rStyle w:val="Strong"/>
          <w:b w:val="0"/>
          <w:bCs w:val="0"/>
        </w:rPr>
        <w:t xml:space="preserve"> that </w:t>
      </w:r>
      <w:r w:rsidR="00E72522">
        <w:rPr>
          <w:rStyle w:val="Strong"/>
          <w:b w:val="0"/>
          <w:bCs w:val="0"/>
        </w:rPr>
        <w:t xml:space="preserve">the </w:t>
      </w:r>
      <w:r w:rsidR="00864911">
        <w:rPr>
          <w:rStyle w:val="Strong"/>
          <w:b w:val="0"/>
          <w:bCs w:val="0"/>
        </w:rPr>
        <w:t xml:space="preserve">combined species </w:t>
      </w:r>
      <w:r w:rsidR="00E72522">
        <w:rPr>
          <w:rStyle w:val="Strong"/>
          <w:b w:val="0"/>
          <w:bCs w:val="0"/>
        </w:rPr>
        <w:t xml:space="preserve">LTA age would increase to </w:t>
      </w:r>
      <w:r w:rsidR="007B0DE9">
        <w:rPr>
          <w:rStyle w:val="Strong"/>
          <w:b w:val="0"/>
          <w:bCs w:val="0"/>
        </w:rPr>
        <w:t xml:space="preserve">24 </w:t>
      </w:r>
      <w:r w:rsidR="00DF6B0B">
        <w:rPr>
          <w:rStyle w:val="Strong"/>
          <w:b w:val="0"/>
          <w:bCs w:val="0"/>
        </w:rPr>
        <w:t xml:space="preserve">years </w:t>
      </w:r>
      <w:r w:rsidR="007B0DE9">
        <w:rPr>
          <w:rStyle w:val="Strong"/>
          <w:b w:val="0"/>
          <w:bCs w:val="0"/>
        </w:rPr>
        <w:t xml:space="preserve">with </w:t>
      </w:r>
      <w:r w:rsidR="00864911">
        <w:rPr>
          <w:rStyle w:val="Strong"/>
          <w:b w:val="0"/>
          <w:bCs w:val="0"/>
        </w:rPr>
        <w:t xml:space="preserve">separate </w:t>
      </w:r>
      <w:r w:rsidR="007B0DE9">
        <w:rPr>
          <w:rStyle w:val="Strong"/>
          <w:b w:val="0"/>
          <w:bCs w:val="0"/>
        </w:rPr>
        <w:t>increase</w:t>
      </w:r>
      <w:r w:rsidR="005D5525">
        <w:rPr>
          <w:rStyle w:val="Strong"/>
          <w:b w:val="0"/>
          <w:bCs w:val="0"/>
        </w:rPr>
        <w:t>s</w:t>
      </w:r>
      <w:r w:rsidR="007B0DE9">
        <w:rPr>
          <w:rStyle w:val="Strong"/>
          <w:b w:val="0"/>
          <w:bCs w:val="0"/>
        </w:rPr>
        <w:t xml:space="preserve"> in </w:t>
      </w:r>
      <w:r w:rsidR="005A2397">
        <w:rPr>
          <w:rStyle w:val="Strong"/>
          <w:b w:val="0"/>
          <w:bCs w:val="0"/>
        </w:rPr>
        <w:t xml:space="preserve">assumed </w:t>
      </w:r>
      <w:r w:rsidR="007B0DE9">
        <w:rPr>
          <w:rStyle w:val="Strong"/>
          <w:b w:val="0"/>
          <w:bCs w:val="0"/>
        </w:rPr>
        <w:t>rotation length of 1</w:t>
      </w:r>
      <w:r w:rsidR="00F5669F">
        <w:rPr>
          <w:rStyle w:val="Strong"/>
          <w:b w:val="0"/>
          <w:bCs w:val="0"/>
        </w:rPr>
        <w:t xml:space="preserve"> year for radiata pine, </w:t>
      </w:r>
      <w:r w:rsidR="007B0DE9">
        <w:rPr>
          <w:rStyle w:val="Strong"/>
          <w:b w:val="0"/>
          <w:bCs w:val="0"/>
        </w:rPr>
        <w:t xml:space="preserve">2 </w:t>
      </w:r>
      <w:r w:rsidR="00F5669F">
        <w:rPr>
          <w:rStyle w:val="Strong"/>
          <w:b w:val="0"/>
          <w:bCs w:val="0"/>
        </w:rPr>
        <w:t xml:space="preserve">years for </w:t>
      </w:r>
      <w:r w:rsidR="00F41865">
        <w:rPr>
          <w:rStyle w:val="Strong"/>
          <w:b w:val="0"/>
          <w:bCs w:val="0"/>
        </w:rPr>
        <w:t>other softwoods, or</w:t>
      </w:r>
      <w:r w:rsidR="007B0DE9">
        <w:rPr>
          <w:rStyle w:val="Strong"/>
          <w:b w:val="0"/>
          <w:bCs w:val="0"/>
        </w:rPr>
        <w:t xml:space="preserve"> 3 years for </w:t>
      </w:r>
      <w:r w:rsidR="005A2397">
        <w:rPr>
          <w:rStyle w:val="Strong"/>
          <w:b w:val="0"/>
          <w:bCs w:val="0"/>
        </w:rPr>
        <w:t>hardwoods.</w:t>
      </w:r>
      <w:r w:rsidR="006F19F2">
        <w:rPr>
          <w:rStyle w:val="Strong"/>
          <w:b w:val="0"/>
          <w:bCs w:val="0"/>
        </w:rPr>
        <w:t xml:space="preserve"> </w:t>
      </w:r>
      <w:r w:rsidR="001840AE">
        <w:rPr>
          <w:rStyle w:val="Strong"/>
          <w:b w:val="0"/>
          <w:bCs w:val="0"/>
        </w:rPr>
        <w:t xml:space="preserve">It would </w:t>
      </w:r>
      <w:r w:rsidR="00DF6B0B">
        <w:rPr>
          <w:rStyle w:val="Strong"/>
          <w:b w:val="0"/>
          <w:bCs w:val="0"/>
        </w:rPr>
        <w:t xml:space="preserve">only </w:t>
      </w:r>
      <w:r w:rsidR="001840AE">
        <w:rPr>
          <w:rStyle w:val="Strong"/>
          <w:b w:val="0"/>
          <w:bCs w:val="0"/>
        </w:rPr>
        <w:t xml:space="preserve">reduce to 22 </w:t>
      </w:r>
      <w:r w:rsidR="00DF6B0B">
        <w:rPr>
          <w:rStyle w:val="Strong"/>
          <w:b w:val="0"/>
          <w:bCs w:val="0"/>
        </w:rPr>
        <w:t xml:space="preserve">years </w:t>
      </w:r>
      <w:r w:rsidR="001840AE">
        <w:rPr>
          <w:rStyle w:val="Strong"/>
          <w:b w:val="0"/>
          <w:bCs w:val="0"/>
        </w:rPr>
        <w:t xml:space="preserve">with a decrease in assumed rotation </w:t>
      </w:r>
      <w:r w:rsidR="00355DB6">
        <w:rPr>
          <w:rStyle w:val="Strong"/>
          <w:b w:val="0"/>
          <w:bCs w:val="0"/>
        </w:rPr>
        <w:t>length</w:t>
      </w:r>
      <w:r w:rsidR="001840AE">
        <w:rPr>
          <w:rStyle w:val="Strong"/>
          <w:b w:val="0"/>
          <w:bCs w:val="0"/>
        </w:rPr>
        <w:t xml:space="preserve"> of </w:t>
      </w:r>
      <w:r w:rsidR="00BC0D7B">
        <w:rPr>
          <w:rStyle w:val="Strong"/>
          <w:b w:val="0"/>
          <w:bCs w:val="0"/>
        </w:rPr>
        <w:t>3</w:t>
      </w:r>
      <w:r w:rsidR="00DF6B0B">
        <w:rPr>
          <w:rStyle w:val="Strong"/>
          <w:b w:val="0"/>
          <w:bCs w:val="0"/>
        </w:rPr>
        <w:t xml:space="preserve"> </w:t>
      </w:r>
      <w:r w:rsidR="00F45646">
        <w:rPr>
          <w:rStyle w:val="Strong"/>
          <w:b w:val="0"/>
          <w:bCs w:val="0"/>
        </w:rPr>
        <w:t xml:space="preserve">years </w:t>
      </w:r>
      <w:r w:rsidR="00DF6B0B">
        <w:rPr>
          <w:rStyle w:val="Strong"/>
          <w:b w:val="0"/>
          <w:bCs w:val="0"/>
        </w:rPr>
        <w:t>for radiata pine</w:t>
      </w:r>
      <w:r w:rsidR="001273EA">
        <w:rPr>
          <w:rStyle w:val="Strong"/>
          <w:b w:val="0"/>
          <w:bCs w:val="0"/>
        </w:rPr>
        <w:t>,</w:t>
      </w:r>
      <w:r w:rsidR="00DF6B0B">
        <w:rPr>
          <w:rStyle w:val="Strong"/>
          <w:b w:val="0"/>
          <w:bCs w:val="0"/>
        </w:rPr>
        <w:t xml:space="preserve"> or </w:t>
      </w:r>
      <w:r w:rsidR="00E64166">
        <w:rPr>
          <w:rStyle w:val="Strong"/>
          <w:b w:val="0"/>
          <w:bCs w:val="0"/>
        </w:rPr>
        <w:t>16</w:t>
      </w:r>
      <w:r w:rsidR="00DF6B0B">
        <w:rPr>
          <w:rStyle w:val="Strong"/>
          <w:b w:val="0"/>
          <w:bCs w:val="0"/>
        </w:rPr>
        <w:t xml:space="preserve"> </w:t>
      </w:r>
      <w:r w:rsidR="00F45646">
        <w:rPr>
          <w:rStyle w:val="Strong"/>
          <w:b w:val="0"/>
          <w:bCs w:val="0"/>
        </w:rPr>
        <w:t xml:space="preserve">years </w:t>
      </w:r>
      <w:r w:rsidR="00DF6B0B">
        <w:rPr>
          <w:rStyle w:val="Strong"/>
          <w:b w:val="0"/>
          <w:bCs w:val="0"/>
        </w:rPr>
        <w:t xml:space="preserve">for other softwoods. </w:t>
      </w:r>
      <w:r w:rsidR="00F45646">
        <w:rPr>
          <w:rStyle w:val="Strong"/>
          <w:b w:val="0"/>
          <w:bCs w:val="0"/>
        </w:rPr>
        <w:t xml:space="preserve">A </w:t>
      </w:r>
      <w:r w:rsidR="009F759D">
        <w:rPr>
          <w:rStyle w:val="Strong"/>
          <w:b w:val="0"/>
          <w:bCs w:val="0"/>
        </w:rPr>
        <w:t xml:space="preserve">decrease </w:t>
      </w:r>
      <w:r w:rsidR="00F45646">
        <w:rPr>
          <w:rStyle w:val="Strong"/>
          <w:b w:val="0"/>
          <w:bCs w:val="0"/>
        </w:rPr>
        <w:t>of a</w:t>
      </w:r>
      <w:r w:rsidR="00B74DC2">
        <w:rPr>
          <w:rStyle w:val="Strong"/>
          <w:b w:val="0"/>
          <w:bCs w:val="0"/>
        </w:rPr>
        <w:t>bout 16 years</w:t>
      </w:r>
      <w:r w:rsidR="00F45646">
        <w:rPr>
          <w:rStyle w:val="Strong"/>
          <w:b w:val="0"/>
          <w:bCs w:val="0"/>
        </w:rPr>
        <w:t xml:space="preserve"> would </w:t>
      </w:r>
      <w:r w:rsidR="006428F6">
        <w:rPr>
          <w:rStyle w:val="Strong"/>
          <w:b w:val="0"/>
          <w:bCs w:val="0"/>
        </w:rPr>
        <w:t xml:space="preserve">also </w:t>
      </w:r>
      <w:r w:rsidR="00F45646">
        <w:rPr>
          <w:rStyle w:val="Strong"/>
          <w:b w:val="0"/>
          <w:bCs w:val="0"/>
        </w:rPr>
        <w:t xml:space="preserve">be required for hardwoods, but this could not be tested because </w:t>
      </w:r>
      <w:r w:rsidR="00EC0F55">
        <w:rPr>
          <w:rStyle w:val="Strong"/>
          <w:b w:val="0"/>
          <w:bCs w:val="0"/>
        </w:rPr>
        <w:t xml:space="preserve">with such a young rotation age the LTA stock cannot be reached within the first rotation </w:t>
      </w:r>
      <w:r w:rsidR="00893F39">
        <w:rPr>
          <w:rStyle w:val="Strong"/>
          <w:b w:val="0"/>
          <w:bCs w:val="0"/>
        </w:rPr>
        <w:t>and will not stabilise within eight rotations</w:t>
      </w:r>
      <w:r w:rsidR="009F759D">
        <w:rPr>
          <w:rStyle w:val="Strong"/>
          <w:b w:val="0"/>
          <w:bCs w:val="0"/>
        </w:rPr>
        <w:t>. This means that</w:t>
      </w:r>
      <w:r w:rsidR="00EC0F55">
        <w:rPr>
          <w:rStyle w:val="Strong"/>
          <w:b w:val="0"/>
          <w:bCs w:val="0"/>
        </w:rPr>
        <w:t xml:space="preserve"> the LTA calculator cannot calculate </w:t>
      </w:r>
      <w:r w:rsidR="00893F39">
        <w:rPr>
          <w:rStyle w:val="Strong"/>
          <w:b w:val="0"/>
          <w:bCs w:val="0"/>
        </w:rPr>
        <w:t>the LTA age.</w:t>
      </w:r>
    </w:p>
    <w:p w14:paraId="63EDAC14" w14:textId="77777777" w:rsidR="00847B6D" w:rsidRDefault="00847B6D" w:rsidP="004D675F">
      <w:pPr>
        <w:rPr>
          <w:rStyle w:val="Strong"/>
          <w:b w:val="0"/>
          <w:bCs w:val="0"/>
        </w:rPr>
      </w:pPr>
    </w:p>
    <w:p w14:paraId="712B33FF" w14:textId="69852A91" w:rsidR="001A12AA" w:rsidRPr="00821A95" w:rsidRDefault="00821A95" w:rsidP="00C43D65">
      <w:pPr>
        <w:pStyle w:val="Heading2"/>
        <w:rPr>
          <w:lang w:eastAsia="en-NZ"/>
        </w:rPr>
      </w:pPr>
      <w:bookmarkStart w:id="15" w:name="_Toc178255288"/>
      <w:r w:rsidRPr="00821A95">
        <w:rPr>
          <w:lang w:eastAsia="en-NZ"/>
        </w:rPr>
        <w:t>Demonstration of averaging accounting</w:t>
      </w:r>
      <w:bookmarkEnd w:id="15"/>
    </w:p>
    <w:p w14:paraId="6F7634CD" w14:textId="5A7F12F3" w:rsidR="00AD3C2B" w:rsidRDefault="00AD3C2B" w:rsidP="004D675F">
      <w:pPr>
        <w:rPr>
          <w:rStyle w:val="Strong"/>
          <w:b w:val="0"/>
          <w:bCs w:val="0"/>
        </w:rPr>
      </w:pPr>
      <w:r w:rsidRPr="00CA3E95">
        <w:rPr>
          <w:rStyle w:val="Strong"/>
          <w:b w:val="0"/>
          <w:bCs w:val="0"/>
        </w:rPr>
        <w:t xml:space="preserve">Figure </w:t>
      </w:r>
      <w:r w:rsidR="00660A1C" w:rsidRPr="00CA3E95">
        <w:rPr>
          <w:rStyle w:val="Strong"/>
          <w:b w:val="0"/>
          <w:bCs w:val="0"/>
        </w:rPr>
        <w:t>4</w:t>
      </w:r>
      <w:r w:rsidR="00660A1C">
        <w:rPr>
          <w:rStyle w:val="Strong"/>
          <w:b w:val="0"/>
          <w:bCs w:val="0"/>
        </w:rPr>
        <w:t xml:space="preserve"> </w:t>
      </w:r>
      <w:r>
        <w:rPr>
          <w:rStyle w:val="Strong"/>
          <w:b w:val="0"/>
          <w:bCs w:val="0"/>
        </w:rPr>
        <w:t xml:space="preserve">shows </w:t>
      </w:r>
      <w:r w:rsidR="00BC3A25">
        <w:rPr>
          <w:rStyle w:val="Strong"/>
          <w:b w:val="0"/>
          <w:bCs w:val="0"/>
        </w:rPr>
        <w:t xml:space="preserve">total carbon stocks in the three </w:t>
      </w:r>
      <w:r w:rsidR="0086624D">
        <w:rPr>
          <w:rStyle w:val="Strong"/>
          <w:b w:val="0"/>
          <w:bCs w:val="0"/>
        </w:rPr>
        <w:t xml:space="preserve">simplified example </w:t>
      </w:r>
      <w:r w:rsidR="00BC3A25">
        <w:rPr>
          <w:rStyle w:val="Strong"/>
          <w:b w:val="0"/>
          <w:bCs w:val="0"/>
        </w:rPr>
        <w:t xml:space="preserve">scenarios </w:t>
      </w:r>
      <w:r w:rsidR="008B7DC4">
        <w:rPr>
          <w:rStyle w:val="Strong"/>
          <w:b w:val="0"/>
          <w:bCs w:val="0"/>
        </w:rPr>
        <w:t>(rotation ages 30</w:t>
      </w:r>
      <w:r w:rsidR="002C73BD">
        <w:rPr>
          <w:rStyle w:val="Strong"/>
          <w:b w:val="0"/>
          <w:bCs w:val="0"/>
        </w:rPr>
        <w:t xml:space="preserve"> (Base)</w:t>
      </w:r>
      <w:r w:rsidR="008B7DC4">
        <w:rPr>
          <w:rStyle w:val="Strong"/>
          <w:b w:val="0"/>
          <w:bCs w:val="0"/>
        </w:rPr>
        <w:t xml:space="preserve">, 35 and 20) </w:t>
      </w:r>
      <w:r w:rsidR="002C73BD">
        <w:rPr>
          <w:rStyle w:val="Strong"/>
          <w:b w:val="0"/>
          <w:bCs w:val="0"/>
        </w:rPr>
        <w:t xml:space="preserve">modelled </w:t>
      </w:r>
      <w:r w:rsidR="00BC3A25">
        <w:rPr>
          <w:rStyle w:val="Strong"/>
          <w:b w:val="0"/>
          <w:bCs w:val="0"/>
        </w:rPr>
        <w:t>over 310 years</w:t>
      </w:r>
      <w:r w:rsidR="008B7DC4">
        <w:rPr>
          <w:rStyle w:val="Strong"/>
          <w:b w:val="0"/>
          <w:bCs w:val="0"/>
        </w:rPr>
        <w:t xml:space="preserve"> and the LTA stock for each</w:t>
      </w:r>
      <w:r w:rsidR="00444C6A">
        <w:rPr>
          <w:rStyle w:val="Strong"/>
          <w:b w:val="0"/>
          <w:bCs w:val="0"/>
        </w:rPr>
        <w:t>.</w:t>
      </w:r>
      <w:r w:rsidR="00A06022">
        <w:rPr>
          <w:rStyle w:val="Strong"/>
          <w:b w:val="0"/>
          <w:bCs w:val="0"/>
        </w:rPr>
        <w:t xml:space="preserve"> </w:t>
      </w:r>
      <w:r w:rsidR="00DF3DE3">
        <w:rPr>
          <w:rStyle w:val="Strong"/>
          <w:b w:val="0"/>
          <w:bCs w:val="0"/>
        </w:rPr>
        <w:t xml:space="preserve">Note that this demonstration is not based on data used for greenhouse gas inventory reporting and accounting. </w:t>
      </w:r>
      <w:r w:rsidR="00A06022">
        <w:rPr>
          <w:rStyle w:val="Strong"/>
          <w:b w:val="0"/>
          <w:bCs w:val="0"/>
        </w:rPr>
        <w:t xml:space="preserve">In this simple example there </w:t>
      </w:r>
      <w:r w:rsidR="00481ABD">
        <w:rPr>
          <w:rStyle w:val="Strong"/>
          <w:b w:val="0"/>
          <w:bCs w:val="0"/>
        </w:rPr>
        <w:t xml:space="preserve">is no accumulation of HWPs and harvest residues beyond the immediate next rotation, hence </w:t>
      </w:r>
      <w:r w:rsidR="00A56D89">
        <w:rPr>
          <w:rStyle w:val="Strong"/>
          <w:b w:val="0"/>
          <w:bCs w:val="0"/>
        </w:rPr>
        <w:t>the average stock over the second rotation is the same as the average over all subsequent rotations.</w:t>
      </w:r>
      <w:r w:rsidR="000111A0">
        <w:rPr>
          <w:rStyle w:val="Strong"/>
          <w:b w:val="0"/>
          <w:bCs w:val="0"/>
        </w:rPr>
        <w:t xml:space="preserve"> </w:t>
      </w:r>
    </w:p>
    <w:p w14:paraId="5AB07C06" w14:textId="77777777" w:rsidR="00821A95" w:rsidRDefault="00821A95" w:rsidP="004D675F">
      <w:pPr>
        <w:rPr>
          <w:rStyle w:val="Strong"/>
          <w:b w:val="0"/>
          <w:bCs w:val="0"/>
        </w:rPr>
      </w:pPr>
    </w:p>
    <w:p w14:paraId="555C0673" w14:textId="007C3F51" w:rsidR="003046FB" w:rsidRDefault="003046FB" w:rsidP="004D675F">
      <w:pPr>
        <w:rPr>
          <w:rStyle w:val="Strong"/>
          <w:b w:val="0"/>
          <w:bCs w:val="0"/>
        </w:rPr>
      </w:pPr>
      <w:r>
        <w:rPr>
          <w:rStyle w:val="Strong"/>
          <w:b w:val="0"/>
          <w:bCs w:val="0"/>
          <w:noProof/>
        </w:rPr>
        <w:drawing>
          <wp:inline distT="0" distB="0" distL="0" distR="0" wp14:anchorId="2FD71636" wp14:editId="16B8D4F0">
            <wp:extent cx="5404021" cy="2331952"/>
            <wp:effectExtent l="0" t="0" r="6350" b="0"/>
            <wp:docPr id="648557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3386" cy="2348939"/>
                    </a:xfrm>
                    <a:prstGeom prst="rect">
                      <a:avLst/>
                    </a:prstGeom>
                    <a:noFill/>
                  </pic:spPr>
                </pic:pic>
              </a:graphicData>
            </a:graphic>
          </wp:inline>
        </w:drawing>
      </w:r>
    </w:p>
    <w:p w14:paraId="0FF44239" w14:textId="77777777" w:rsidR="00821A95" w:rsidRDefault="00821A95" w:rsidP="004D675F">
      <w:pPr>
        <w:rPr>
          <w:rStyle w:val="Strong"/>
          <w:b w:val="0"/>
          <w:bCs w:val="0"/>
        </w:rPr>
      </w:pPr>
    </w:p>
    <w:p w14:paraId="3DA47EE4" w14:textId="63D304BB" w:rsidR="00EB2CA1" w:rsidRPr="00B02A14" w:rsidRDefault="00EB2CA1" w:rsidP="004D675F">
      <w:pPr>
        <w:rPr>
          <w:rStyle w:val="Strong"/>
        </w:rPr>
      </w:pPr>
      <w:r w:rsidRPr="00B02A14">
        <w:rPr>
          <w:rStyle w:val="Strong"/>
        </w:rPr>
        <w:t xml:space="preserve">Figure </w:t>
      </w:r>
      <w:r w:rsidR="00CA3E95">
        <w:rPr>
          <w:rStyle w:val="Strong"/>
        </w:rPr>
        <w:t>4</w:t>
      </w:r>
      <w:r w:rsidRPr="00B02A14">
        <w:rPr>
          <w:rStyle w:val="Strong"/>
          <w:b w:val="0"/>
          <w:bCs w:val="0"/>
        </w:rPr>
        <w:t xml:space="preserve">. </w:t>
      </w:r>
      <w:r w:rsidRPr="00B02A14">
        <w:rPr>
          <w:rStyle w:val="Strong"/>
        </w:rPr>
        <w:t xml:space="preserve">Total carbon stocks </w:t>
      </w:r>
      <w:r w:rsidR="00A227DC" w:rsidRPr="00B02A14">
        <w:rPr>
          <w:rStyle w:val="Strong"/>
        </w:rPr>
        <w:t>and LTA stock for</w:t>
      </w:r>
      <w:r w:rsidR="0086624D" w:rsidRPr="00B02A14">
        <w:rPr>
          <w:rStyle w:val="Strong"/>
        </w:rPr>
        <w:t xml:space="preserve"> multiple rotations of </w:t>
      </w:r>
      <w:r w:rsidR="00A227DC" w:rsidRPr="00B02A14">
        <w:rPr>
          <w:rStyle w:val="Strong"/>
        </w:rPr>
        <w:t>three scenarios, varying by rotation age (</w:t>
      </w:r>
      <w:r w:rsidR="0005586F" w:rsidRPr="00B02A14">
        <w:rPr>
          <w:rStyle w:val="Strong"/>
        </w:rPr>
        <w:t xml:space="preserve">Base </w:t>
      </w:r>
      <w:r w:rsidR="00A227DC" w:rsidRPr="00B02A14">
        <w:rPr>
          <w:rStyle w:val="Strong"/>
        </w:rPr>
        <w:t>30</w:t>
      </w:r>
      <w:r w:rsidR="006F3BB3">
        <w:rPr>
          <w:rStyle w:val="Strong"/>
        </w:rPr>
        <w:t xml:space="preserve"> years</w:t>
      </w:r>
      <w:r w:rsidR="00A227DC" w:rsidRPr="00B02A14">
        <w:rPr>
          <w:rStyle w:val="Strong"/>
        </w:rPr>
        <w:t xml:space="preserve">, </w:t>
      </w:r>
      <w:r w:rsidR="0005586F" w:rsidRPr="00B02A14">
        <w:rPr>
          <w:rStyle w:val="Strong"/>
        </w:rPr>
        <w:t xml:space="preserve">Long </w:t>
      </w:r>
      <w:r w:rsidR="00A227DC" w:rsidRPr="00B02A14">
        <w:rPr>
          <w:rStyle w:val="Strong"/>
        </w:rPr>
        <w:t xml:space="preserve">35 </w:t>
      </w:r>
      <w:r w:rsidR="006F3BB3">
        <w:rPr>
          <w:rStyle w:val="Strong"/>
        </w:rPr>
        <w:t xml:space="preserve">years </w:t>
      </w:r>
      <w:r w:rsidR="00A227DC" w:rsidRPr="00B02A14">
        <w:rPr>
          <w:rStyle w:val="Strong"/>
        </w:rPr>
        <w:t xml:space="preserve">and </w:t>
      </w:r>
      <w:r w:rsidR="0005586F" w:rsidRPr="00B02A14">
        <w:rPr>
          <w:rStyle w:val="Strong"/>
        </w:rPr>
        <w:t xml:space="preserve">Short </w:t>
      </w:r>
      <w:r w:rsidR="00A227DC" w:rsidRPr="00B02A14">
        <w:rPr>
          <w:rStyle w:val="Strong"/>
        </w:rPr>
        <w:t>25 years).</w:t>
      </w:r>
    </w:p>
    <w:p w14:paraId="098CAC1A" w14:textId="5897C38A" w:rsidR="0005586F" w:rsidRDefault="009D3D51" w:rsidP="004D675F">
      <w:pPr>
        <w:rPr>
          <w:rStyle w:val="Strong"/>
          <w:b w:val="0"/>
          <w:bCs w:val="0"/>
        </w:rPr>
      </w:pPr>
      <w:r>
        <w:rPr>
          <w:rStyle w:val="Strong"/>
          <w:b w:val="0"/>
          <w:bCs w:val="0"/>
        </w:rPr>
        <w:lastRenderedPageBreak/>
        <w:t>In all scenarios, the</w:t>
      </w:r>
      <w:r w:rsidR="00DF3DE3">
        <w:rPr>
          <w:rStyle w:val="Strong"/>
          <w:b w:val="0"/>
          <w:bCs w:val="0"/>
        </w:rPr>
        <w:t>re would be credit</w:t>
      </w:r>
      <w:r w:rsidR="00B17CE7">
        <w:rPr>
          <w:rStyle w:val="Strong"/>
          <w:b w:val="0"/>
          <w:bCs w:val="0"/>
        </w:rPr>
        <w:t xml:space="preserve"> up to the </w:t>
      </w:r>
      <w:r w:rsidR="00DF3DE3">
        <w:rPr>
          <w:rStyle w:val="Strong"/>
          <w:b w:val="0"/>
          <w:bCs w:val="0"/>
        </w:rPr>
        <w:t xml:space="preserve">Base </w:t>
      </w:r>
      <w:r w:rsidR="00B17CE7">
        <w:rPr>
          <w:rStyle w:val="Strong"/>
          <w:b w:val="0"/>
          <w:bCs w:val="0"/>
        </w:rPr>
        <w:t xml:space="preserve">LTA age </w:t>
      </w:r>
      <w:r w:rsidR="009E6278">
        <w:rPr>
          <w:rStyle w:val="Strong"/>
          <w:b w:val="0"/>
          <w:bCs w:val="0"/>
        </w:rPr>
        <w:t xml:space="preserve">that assumes </w:t>
      </w:r>
      <w:r w:rsidR="00B17CE7">
        <w:rPr>
          <w:rStyle w:val="Strong"/>
          <w:b w:val="0"/>
          <w:bCs w:val="0"/>
        </w:rPr>
        <w:t>a 30-year rotation</w:t>
      </w:r>
      <w:r w:rsidR="004C3129">
        <w:rPr>
          <w:rStyle w:val="Strong"/>
          <w:b w:val="0"/>
          <w:bCs w:val="0"/>
        </w:rPr>
        <w:t xml:space="preserve">, indicated by the dotted line in Figure </w:t>
      </w:r>
      <w:r w:rsidR="00D760E4">
        <w:rPr>
          <w:rStyle w:val="Strong"/>
          <w:b w:val="0"/>
          <w:bCs w:val="0"/>
        </w:rPr>
        <w:t>4 at 80 t C ha</w:t>
      </w:r>
      <w:r w:rsidR="00D760E4" w:rsidRPr="00D760E4">
        <w:rPr>
          <w:rStyle w:val="Strong"/>
          <w:b w:val="0"/>
          <w:bCs w:val="0"/>
          <w:vertAlign w:val="superscript"/>
        </w:rPr>
        <w:t>-1</w:t>
      </w:r>
      <w:r w:rsidR="00D760E4">
        <w:rPr>
          <w:rStyle w:val="Strong"/>
          <w:b w:val="0"/>
          <w:bCs w:val="0"/>
        </w:rPr>
        <w:t xml:space="preserve">. </w:t>
      </w:r>
      <w:r w:rsidR="009B7B91">
        <w:rPr>
          <w:rStyle w:val="Strong"/>
          <w:b w:val="0"/>
          <w:bCs w:val="0"/>
        </w:rPr>
        <w:t xml:space="preserve">This </w:t>
      </w:r>
      <w:r w:rsidR="00C374D3">
        <w:rPr>
          <w:rStyle w:val="Strong"/>
          <w:b w:val="0"/>
          <w:bCs w:val="0"/>
        </w:rPr>
        <w:t>represents an over-allocation if the actual rotation age tu</w:t>
      </w:r>
      <w:r w:rsidR="006B05A9">
        <w:rPr>
          <w:rStyle w:val="Strong"/>
          <w:b w:val="0"/>
          <w:bCs w:val="0"/>
        </w:rPr>
        <w:t>r</w:t>
      </w:r>
      <w:r w:rsidR="00C374D3">
        <w:rPr>
          <w:rStyle w:val="Strong"/>
          <w:b w:val="0"/>
          <w:bCs w:val="0"/>
        </w:rPr>
        <w:t>ns out to be 20 years, and an under-allocation if the actual rotation age turns out to be 35 ye</w:t>
      </w:r>
      <w:r w:rsidR="005807E8">
        <w:rPr>
          <w:rStyle w:val="Strong"/>
          <w:b w:val="0"/>
          <w:bCs w:val="0"/>
        </w:rPr>
        <w:t>ars, indicated by the other dotted lines in Figure 4</w:t>
      </w:r>
      <w:r w:rsidR="00925A99">
        <w:rPr>
          <w:rStyle w:val="Strong"/>
          <w:b w:val="0"/>
          <w:bCs w:val="0"/>
        </w:rPr>
        <w:t xml:space="preserve"> representing the true </w:t>
      </w:r>
      <w:r w:rsidR="00EF5A82">
        <w:rPr>
          <w:rStyle w:val="Strong"/>
          <w:b w:val="0"/>
          <w:bCs w:val="0"/>
        </w:rPr>
        <w:t>long term average stock under those rotation age assumptions</w:t>
      </w:r>
      <w:r w:rsidR="005807E8">
        <w:rPr>
          <w:rStyle w:val="Strong"/>
          <w:b w:val="0"/>
          <w:bCs w:val="0"/>
        </w:rPr>
        <w:t>. The purpose</w:t>
      </w:r>
      <w:r w:rsidR="00756FA0">
        <w:rPr>
          <w:rStyle w:val="Strong"/>
          <w:b w:val="0"/>
          <w:bCs w:val="0"/>
        </w:rPr>
        <w:t xml:space="preserve"> of the post-1989 FRL is to correct this over- and under-allocation.</w:t>
      </w:r>
    </w:p>
    <w:p w14:paraId="571AF67F" w14:textId="77777777" w:rsidR="005807E8" w:rsidRDefault="005807E8" w:rsidP="004D675F">
      <w:pPr>
        <w:rPr>
          <w:rStyle w:val="Strong"/>
          <w:b w:val="0"/>
          <w:bCs w:val="0"/>
        </w:rPr>
      </w:pPr>
    </w:p>
    <w:p w14:paraId="36E345A0" w14:textId="3AC9731F" w:rsidR="00817957" w:rsidRDefault="00756FA0" w:rsidP="004D675F">
      <w:pPr>
        <w:rPr>
          <w:rStyle w:val="Strong"/>
          <w:b w:val="0"/>
          <w:bCs w:val="0"/>
        </w:rPr>
      </w:pPr>
      <w:r>
        <w:rPr>
          <w:rStyle w:val="Strong"/>
          <w:b w:val="0"/>
          <w:bCs w:val="0"/>
        </w:rPr>
        <w:t>The FRL</w:t>
      </w:r>
      <w:r w:rsidR="00465FC6">
        <w:rPr>
          <w:rStyle w:val="Strong"/>
          <w:b w:val="0"/>
          <w:bCs w:val="0"/>
        </w:rPr>
        <w:t xml:space="preserve"> is calculated from the annual net stock changes that occur after the LTA age is passed</w:t>
      </w:r>
      <w:r w:rsidR="004C0792">
        <w:rPr>
          <w:rStyle w:val="Strong"/>
          <w:b w:val="0"/>
          <w:bCs w:val="0"/>
        </w:rPr>
        <w:t>, represented by annual changes in the Base_30 “sawtooth” in Figure 4.</w:t>
      </w:r>
      <w:r w:rsidR="00817957">
        <w:rPr>
          <w:rStyle w:val="Strong"/>
          <w:b w:val="0"/>
          <w:bCs w:val="0"/>
        </w:rPr>
        <w:t xml:space="preserve"> Accounting against the FRL requires the actual net stock changes past the LTA age to be comp</w:t>
      </w:r>
      <w:r w:rsidR="007B4400">
        <w:rPr>
          <w:rStyle w:val="Strong"/>
          <w:b w:val="0"/>
          <w:bCs w:val="0"/>
        </w:rPr>
        <w:t>ared with the FRL. The cumulative difference over the accounting period is added to</w:t>
      </w:r>
      <w:r w:rsidR="006B05A9">
        <w:rPr>
          <w:rStyle w:val="Strong"/>
          <w:b w:val="0"/>
          <w:bCs w:val="0"/>
        </w:rPr>
        <w:t xml:space="preserve"> </w:t>
      </w:r>
      <w:r w:rsidR="00EF5A82">
        <w:rPr>
          <w:rStyle w:val="Strong"/>
          <w:b w:val="0"/>
          <w:bCs w:val="0"/>
        </w:rPr>
        <w:t xml:space="preserve">the </w:t>
      </w:r>
      <w:r w:rsidR="006B05A9">
        <w:rPr>
          <w:rStyle w:val="Strong"/>
          <w:b w:val="0"/>
          <w:bCs w:val="0"/>
        </w:rPr>
        <w:t>reward</w:t>
      </w:r>
      <w:r w:rsidR="00977CF7">
        <w:rPr>
          <w:rStyle w:val="Strong"/>
          <w:b w:val="0"/>
          <w:bCs w:val="0"/>
        </w:rPr>
        <w:t xml:space="preserve"> up to the </w:t>
      </w:r>
      <w:r w:rsidR="00EF5A82">
        <w:rPr>
          <w:rStyle w:val="Strong"/>
          <w:b w:val="0"/>
          <w:bCs w:val="0"/>
        </w:rPr>
        <w:t xml:space="preserve">Base </w:t>
      </w:r>
      <w:r w:rsidR="00977CF7">
        <w:rPr>
          <w:rStyle w:val="Strong"/>
          <w:b w:val="0"/>
          <w:bCs w:val="0"/>
        </w:rPr>
        <w:t>LTA to give the total accounting quantity.</w:t>
      </w:r>
    </w:p>
    <w:p w14:paraId="789996F6" w14:textId="77777777" w:rsidR="007B4400" w:rsidRDefault="007B4400" w:rsidP="004D675F">
      <w:pPr>
        <w:rPr>
          <w:rStyle w:val="Strong"/>
          <w:b w:val="0"/>
          <w:bCs w:val="0"/>
        </w:rPr>
      </w:pPr>
    </w:p>
    <w:p w14:paraId="6FC37D84" w14:textId="293394EB" w:rsidR="00A03FC2" w:rsidRPr="00C3211F" w:rsidRDefault="005C6A20" w:rsidP="004D675F">
      <w:pPr>
        <w:rPr>
          <w:rFonts w:cs="Arial"/>
          <w:color w:val="000000"/>
          <w:szCs w:val="20"/>
          <w:lang w:val="en-NZ" w:eastAsia="en-NZ"/>
        </w:rPr>
      </w:pPr>
      <w:r w:rsidRPr="00B02A14">
        <w:rPr>
          <w:rStyle w:val="Strong"/>
          <w:rFonts w:cs="Arial"/>
          <w:b w:val="0"/>
          <w:bCs w:val="0"/>
          <w:szCs w:val="20"/>
        </w:rPr>
        <w:t>Table</w:t>
      </w:r>
      <w:r w:rsidR="007D423B" w:rsidRPr="00B02A14">
        <w:rPr>
          <w:rStyle w:val="Strong"/>
          <w:rFonts w:cs="Arial"/>
          <w:b w:val="0"/>
          <w:bCs w:val="0"/>
          <w:szCs w:val="20"/>
        </w:rPr>
        <w:t xml:space="preserve"> </w:t>
      </w:r>
      <w:r w:rsidR="00E76DFC">
        <w:rPr>
          <w:rStyle w:val="Strong"/>
          <w:rFonts w:cs="Arial"/>
          <w:b w:val="0"/>
          <w:bCs w:val="0"/>
          <w:szCs w:val="20"/>
        </w:rPr>
        <w:t>6</w:t>
      </w:r>
      <w:r w:rsidR="00816421" w:rsidRPr="00C3211F">
        <w:rPr>
          <w:rStyle w:val="Strong"/>
          <w:rFonts w:cs="Arial"/>
          <w:b w:val="0"/>
          <w:bCs w:val="0"/>
          <w:szCs w:val="20"/>
        </w:rPr>
        <w:t xml:space="preserve"> </w:t>
      </w:r>
      <w:r w:rsidR="007D423B" w:rsidRPr="00C3211F">
        <w:rPr>
          <w:rStyle w:val="Strong"/>
          <w:rFonts w:cs="Arial"/>
          <w:b w:val="0"/>
          <w:bCs w:val="0"/>
          <w:szCs w:val="20"/>
        </w:rPr>
        <w:t>presents the accounting quantity for each scenario</w:t>
      </w:r>
      <w:r w:rsidR="00E13B33" w:rsidRPr="00C3211F">
        <w:rPr>
          <w:rStyle w:val="Strong"/>
          <w:rFonts w:cs="Arial"/>
          <w:b w:val="0"/>
          <w:bCs w:val="0"/>
          <w:szCs w:val="20"/>
        </w:rPr>
        <w:t xml:space="preserve">, </w:t>
      </w:r>
      <w:r w:rsidR="00311448" w:rsidRPr="00C3211F">
        <w:rPr>
          <w:rStyle w:val="Strong"/>
          <w:rFonts w:cs="Arial"/>
          <w:b w:val="0"/>
          <w:bCs w:val="0"/>
          <w:szCs w:val="20"/>
        </w:rPr>
        <w:t>summed</w:t>
      </w:r>
      <w:r w:rsidR="00E13B33" w:rsidRPr="00C3211F">
        <w:rPr>
          <w:rStyle w:val="Strong"/>
          <w:rFonts w:cs="Arial"/>
          <w:b w:val="0"/>
          <w:bCs w:val="0"/>
          <w:szCs w:val="20"/>
        </w:rPr>
        <w:t xml:space="preserve"> </w:t>
      </w:r>
      <w:r w:rsidR="00C62F61" w:rsidRPr="00C3211F">
        <w:rPr>
          <w:rStyle w:val="Strong"/>
          <w:rFonts w:cs="Arial"/>
          <w:b w:val="0"/>
          <w:bCs w:val="0"/>
          <w:szCs w:val="20"/>
        </w:rPr>
        <w:t xml:space="preserve">over </w:t>
      </w:r>
      <w:r w:rsidR="00311448" w:rsidRPr="00C3211F">
        <w:rPr>
          <w:rStyle w:val="Strong"/>
          <w:rFonts w:cs="Arial"/>
          <w:b w:val="0"/>
          <w:bCs w:val="0"/>
          <w:szCs w:val="20"/>
        </w:rPr>
        <w:t>either 310 years</w:t>
      </w:r>
      <w:r w:rsidR="00997BB6">
        <w:rPr>
          <w:rStyle w:val="Strong"/>
          <w:rFonts w:cs="Arial"/>
          <w:b w:val="0"/>
          <w:bCs w:val="0"/>
          <w:szCs w:val="20"/>
        </w:rPr>
        <w:t xml:space="preserve"> (</w:t>
      </w:r>
      <w:r w:rsidR="00AA510A">
        <w:rPr>
          <w:rStyle w:val="Strong"/>
          <w:rFonts w:cs="Arial"/>
          <w:b w:val="0"/>
          <w:bCs w:val="0"/>
          <w:szCs w:val="20"/>
        </w:rPr>
        <w:t xml:space="preserve">equal to </w:t>
      </w:r>
      <w:r w:rsidR="00997BB6">
        <w:rPr>
          <w:rStyle w:val="Strong"/>
          <w:rFonts w:cs="Arial"/>
          <w:b w:val="0"/>
          <w:bCs w:val="0"/>
          <w:szCs w:val="20"/>
        </w:rPr>
        <w:t xml:space="preserve">ten </w:t>
      </w:r>
      <w:r w:rsidR="00AA510A">
        <w:rPr>
          <w:rStyle w:val="Strong"/>
          <w:rFonts w:cs="Arial"/>
          <w:b w:val="0"/>
          <w:bCs w:val="0"/>
          <w:szCs w:val="20"/>
        </w:rPr>
        <w:t>cycles</w:t>
      </w:r>
      <w:r w:rsidR="00997BB6">
        <w:rPr>
          <w:rStyle w:val="Strong"/>
          <w:rFonts w:cs="Arial"/>
          <w:b w:val="0"/>
          <w:bCs w:val="0"/>
          <w:szCs w:val="20"/>
        </w:rPr>
        <w:t xml:space="preserve"> of </w:t>
      </w:r>
      <w:r w:rsidR="00AA510A">
        <w:rPr>
          <w:rStyle w:val="Strong"/>
          <w:rFonts w:cs="Arial"/>
          <w:b w:val="0"/>
          <w:bCs w:val="0"/>
          <w:szCs w:val="20"/>
        </w:rPr>
        <w:t>the 30</w:t>
      </w:r>
      <w:r w:rsidR="00E90EA8">
        <w:rPr>
          <w:rStyle w:val="Strong"/>
          <w:rFonts w:cs="Arial"/>
          <w:b w:val="0"/>
          <w:bCs w:val="0"/>
          <w:szCs w:val="20"/>
        </w:rPr>
        <w:t>-</w:t>
      </w:r>
      <w:r w:rsidR="00AA510A">
        <w:rPr>
          <w:rStyle w:val="Strong"/>
          <w:rFonts w:cs="Arial"/>
          <w:b w:val="0"/>
          <w:bCs w:val="0"/>
          <w:szCs w:val="20"/>
        </w:rPr>
        <w:t xml:space="preserve">year rotation including </w:t>
      </w:r>
      <w:r w:rsidR="00C0678A">
        <w:rPr>
          <w:rStyle w:val="Strong"/>
          <w:rFonts w:cs="Arial"/>
          <w:b w:val="0"/>
          <w:bCs w:val="0"/>
          <w:szCs w:val="20"/>
        </w:rPr>
        <w:t xml:space="preserve">a </w:t>
      </w:r>
      <w:r w:rsidR="00AA510A">
        <w:rPr>
          <w:rStyle w:val="Strong"/>
          <w:rFonts w:cs="Arial"/>
          <w:b w:val="0"/>
          <w:bCs w:val="0"/>
          <w:szCs w:val="20"/>
        </w:rPr>
        <w:t>one-year replanting lags)</w:t>
      </w:r>
      <w:r w:rsidR="00311448" w:rsidRPr="00C3211F">
        <w:rPr>
          <w:rStyle w:val="Strong"/>
          <w:rFonts w:cs="Arial"/>
          <w:b w:val="0"/>
          <w:bCs w:val="0"/>
          <w:szCs w:val="20"/>
        </w:rPr>
        <w:t xml:space="preserve">, or over ten full rotations for each scenario. The total accounting quantity is equal to the </w:t>
      </w:r>
      <w:r w:rsidR="001C41F1" w:rsidRPr="00C3211F">
        <w:rPr>
          <w:rStyle w:val="Strong"/>
          <w:rFonts w:cs="Arial"/>
          <w:b w:val="0"/>
          <w:bCs w:val="0"/>
          <w:szCs w:val="20"/>
        </w:rPr>
        <w:t xml:space="preserve">stock change </w:t>
      </w:r>
      <w:r w:rsidR="00311448" w:rsidRPr="00C3211F">
        <w:rPr>
          <w:rStyle w:val="Strong"/>
          <w:rFonts w:cs="Arial"/>
          <w:b w:val="0"/>
          <w:bCs w:val="0"/>
          <w:szCs w:val="20"/>
        </w:rPr>
        <w:t xml:space="preserve">component up to the </w:t>
      </w:r>
      <w:r w:rsidR="00FE2B1E" w:rsidRPr="00C3211F">
        <w:rPr>
          <w:rStyle w:val="Strong"/>
          <w:rFonts w:cs="Arial"/>
          <w:b w:val="0"/>
          <w:bCs w:val="0"/>
          <w:szCs w:val="20"/>
        </w:rPr>
        <w:t xml:space="preserve">assumed LTA age </w:t>
      </w:r>
      <w:r w:rsidR="00FE2B1E" w:rsidRPr="00C3211F">
        <w:rPr>
          <w:rFonts w:cs="Arial"/>
          <w:color w:val="000000"/>
          <w:szCs w:val="20"/>
          <w:lang w:val="en-NZ" w:eastAsia="en-NZ"/>
        </w:rPr>
        <w:t>in each case</w:t>
      </w:r>
      <w:r w:rsidR="00597E0C">
        <w:rPr>
          <w:rFonts w:cs="Arial"/>
          <w:color w:val="000000"/>
          <w:szCs w:val="20"/>
          <w:lang w:val="en-NZ" w:eastAsia="en-NZ"/>
        </w:rPr>
        <w:t xml:space="preserve"> </w:t>
      </w:r>
      <w:r w:rsidR="00597E0C" w:rsidRPr="00C3211F">
        <w:rPr>
          <w:rStyle w:val="Strong"/>
          <w:rFonts w:cs="Arial"/>
          <w:b w:val="0"/>
          <w:bCs w:val="0"/>
          <w:szCs w:val="20"/>
        </w:rPr>
        <w:t xml:space="preserve">(80 </w:t>
      </w:r>
      <w:r w:rsidR="00597E0C" w:rsidRPr="00C3211F">
        <w:rPr>
          <w:rFonts w:cs="Arial"/>
          <w:color w:val="000000"/>
          <w:szCs w:val="20"/>
          <w:lang w:val="en-NZ" w:eastAsia="en-NZ"/>
        </w:rPr>
        <w:t>t C ha</w:t>
      </w:r>
      <w:r w:rsidR="00597E0C" w:rsidRPr="00C3211F">
        <w:rPr>
          <w:rFonts w:cs="Arial"/>
          <w:color w:val="000000"/>
          <w:szCs w:val="20"/>
          <w:vertAlign w:val="superscript"/>
          <w:lang w:val="en-NZ" w:eastAsia="en-NZ"/>
        </w:rPr>
        <w:t>-1</w:t>
      </w:r>
      <w:r w:rsidR="00597E0C" w:rsidRPr="00C3211F">
        <w:rPr>
          <w:rFonts w:cs="Arial"/>
          <w:color w:val="000000"/>
          <w:szCs w:val="20"/>
          <w:lang w:val="en-NZ" w:eastAsia="en-NZ"/>
        </w:rPr>
        <w:t>)</w:t>
      </w:r>
      <w:r w:rsidR="001C41F1" w:rsidRPr="00C3211F">
        <w:rPr>
          <w:rFonts w:cs="Arial"/>
          <w:color w:val="000000"/>
          <w:szCs w:val="20"/>
          <w:lang w:val="en-NZ" w:eastAsia="en-NZ"/>
        </w:rPr>
        <w:t xml:space="preserve"> </w:t>
      </w:r>
      <w:r w:rsidR="001C41F1" w:rsidRPr="00C3211F">
        <w:rPr>
          <w:rFonts w:cs="Arial"/>
          <w:i/>
          <w:iCs/>
          <w:color w:val="000000"/>
          <w:szCs w:val="20"/>
          <w:lang w:val="en-NZ" w:eastAsia="en-NZ"/>
        </w:rPr>
        <w:t>plus</w:t>
      </w:r>
      <w:r w:rsidR="001C41F1" w:rsidRPr="00C3211F">
        <w:rPr>
          <w:rFonts w:cs="Arial"/>
          <w:color w:val="000000"/>
          <w:szCs w:val="20"/>
          <w:lang w:val="en-NZ" w:eastAsia="en-NZ"/>
        </w:rPr>
        <w:t xml:space="preserve"> the difference between the FRL and actual net emissions beyond that point</w:t>
      </w:r>
      <w:r w:rsidR="009A4D9F" w:rsidRPr="00C3211F">
        <w:rPr>
          <w:rFonts w:cs="Arial"/>
          <w:color w:val="000000"/>
          <w:szCs w:val="20"/>
          <w:lang w:val="en-NZ" w:eastAsia="en-NZ"/>
        </w:rPr>
        <w:t>, summed for the two alternative time periods</w:t>
      </w:r>
      <w:r w:rsidR="001C41F1" w:rsidRPr="00C3211F">
        <w:rPr>
          <w:rFonts w:cs="Arial"/>
          <w:color w:val="000000"/>
          <w:szCs w:val="20"/>
          <w:lang w:val="en-NZ" w:eastAsia="en-NZ"/>
        </w:rPr>
        <w:t>.</w:t>
      </w:r>
      <w:r w:rsidR="004F7459">
        <w:rPr>
          <w:rFonts w:cs="Arial"/>
          <w:color w:val="000000"/>
          <w:szCs w:val="20"/>
          <w:lang w:val="en-NZ" w:eastAsia="en-NZ"/>
        </w:rPr>
        <w:t xml:space="preserve"> </w:t>
      </w:r>
      <w:r w:rsidR="00BD123F">
        <w:rPr>
          <w:rFonts w:cs="Arial"/>
          <w:color w:val="000000"/>
          <w:szCs w:val="20"/>
          <w:lang w:val="en-NZ" w:eastAsia="en-NZ"/>
        </w:rPr>
        <w:t xml:space="preserve">The FRL is based on </w:t>
      </w:r>
      <w:r w:rsidR="00950D5D">
        <w:rPr>
          <w:rFonts w:cs="Arial"/>
          <w:color w:val="000000"/>
          <w:szCs w:val="20"/>
          <w:lang w:val="en-NZ" w:eastAsia="en-NZ"/>
        </w:rPr>
        <w:t xml:space="preserve">expected </w:t>
      </w:r>
      <w:r w:rsidR="00BD123F">
        <w:rPr>
          <w:rFonts w:cs="Arial"/>
          <w:color w:val="000000"/>
          <w:szCs w:val="20"/>
          <w:lang w:val="en-NZ" w:eastAsia="en-NZ"/>
        </w:rPr>
        <w:t>net emissions beyond the LTA age for the 30</w:t>
      </w:r>
      <w:r w:rsidR="00E90EA8">
        <w:rPr>
          <w:rFonts w:cs="Arial"/>
          <w:color w:val="000000"/>
          <w:szCs w:val="20"/>
          <w:lang w:val="en-NZ" w:eastAsia="en-NZ"/>
        </w:rPr>
        <w:t>-</w:t>
      </w:r>
      <w:r w:rsidR="00BD123F">
        <w:rPr>
          <w:rFonts w:cs="Arial"/>
          <w:color w:val="000000"/>
          <w:szCs w:val="20"/>
          <w:lang w:val="en-NZ" w:eastAsia="en-NZ"/>
        </w:rPr>
        <w:t xml:space="preserve">year </w:t>
      </w:r>
      <w:r w:rsidR="004F7459">
        <w:rPr>
          <w:rFonts w:cs="Arial"/>
          <w:color w:val="000000"/>
          <w:szCs w:val="20"/>
          <w:lang w:val="en-NZ" w:eastAsia="en-NZ"/>
        </w:rPr>
        <w:t>rotation.</w:t>
      </w:r>
      <w:r w:rsidR="00BE60C7">
        <w:rPr>
          <w:rFonts w:cs="Arial"/>
          <w:color w:val="000000"/>
          <w:szCs w:val="20"/>
          <w:lang w:val="en-NZ" w:eastAsia="en-NZ"/>
        </w:rPr>
        <w:t xml:space="preserve"> Th</w:t>
      </w:r>
      <w:r w:rsidR="008E648B">
        <w:rPr>
          <w:rFonts w:cs="Arial"/>
          <w:color w:val="000000"/>
          <w:szCs w:val="20"/>
          <w:lang w:val="en-NZ" w:eastAsia="en-NZ"/>
        </w:rPr>
        <w:t>is means that</w:t>
      </w:r>
      <w:r w:rsidR="00BE60C7">
        <w:rPr>
          <w:rFonts w:cs="Arial"/>
          <w:color w:val="000000"/>
          <w:szCs w:val="20"/>
          <w:lang w:val="en-NZ" w:eastAsia="en-NZ"/>
        </w:rPr>
        <w:t xml:space="preserve"> f</w:t>
      </w:r>
      <w:r w:rsidR="001C41F1" w:rsidRPr="00C3211F">
        <w:rPr>
          <w:rFonts w:cs="Arial"/>
          <w:color w:val="000000"/>
          <w:szCs w:val="20"/>
          <w:lang w:val="en-NZ" w:eastAsia="en-NZ"/>
        </w:rPr>
        <w:t>or the base scenario, th</w:t>
      </w:r>
      <w:r w:rsidR="00E90EA8">
        <w:rPr>
          <w:rFonts w:cs="Arial"/>
          <w:color w:val="000000"/>
          <w:szCs w:val="20"/>
          <w:lang w:val="en-NZ" w:eastAsia="en-NZ"/>
        </w:rPr>
        <w:t>e</w:t>
      </w:r>
      <w:r w:rsidR="001C41F1" w:rsidRPr="00C3211F">
        <w:rPr>
          <w:rFonts w:cs="Arial"/>
          <w:color w:val="000000"/>
          <w:szCs w:val="20"/>
          <w:lang w:val="en-NZ" w:eastAsia="en-NZ"/>
        </w:rPr>
        <w:t xml:space="preserve"> </w:t>
      </w:r>
      <w:r w:rsidR="007C4B8C" w:rsidRPr="00C3211F">
        <w:rPr>
          <w:rFonts w:cs="Arial"/>
          <w:color w:val="000000"/>
          <w:szCs w:val="20"/>
          <w:lang w:val="en-NZ" w:eastAsia="en-NZ"/>
        </w:rPr>
        <w:t xml:space="preserve">difference </w:t>
      </w:r>
      <w:r w:rsidR="00E90EA8">
        <w:rPr>
          <w:rFonts w:cs="Arial"/>
          <w:color w:val="000000"/>
          <w:szCs w:val="20"/>
          <w:lang w:val="en-NZ" w:eastAsia="en-NZ"/>
        </w:rPr>
        <w:t xml:space="preserve">between the FRL and actual net emissions </w:t>
      </w:r>
      <w:r w:rsidR="001C41F1" w:rsidRPr="00C3211F">
        <w:rPr>
          <w:rFonts w:cs="Arial"/>
          <w:color w:val="000000"/>
          <w:szCs w:val="20"/>
          <w:lang w:val="en-NZ" w:eastAsia="en-NZ"/>
        </w:rPr>
        <w:t>is zero</w:t>
      </w:r>
      <w:r w:rsidR="00484C5D" w:rsidRPr="00C3211F">
        <w:rPr>
          <w:rFonts w:cs="Arial"/>
          <w:color w:val="000000"/>
          <w:szCs w:val="20"/>
          <w:lang w:val="en-NZ" w:eastAsia="en-NZ"/>
        </w:rPr>
        <w:t xml:space="preserve"> by definition for both time period</w:t>
      </w:r>
      <w:r w:rsidR="00977CF7">
        <w:rPr>
          <w:rFonts w:cs="Arial"/>
          <w:color w:val="000000"/>
          <w:szCs w:val="20"/>
          <w:lang w:val="en-NZ" w:eastAsia="en-NZ"/>
        </w:rPr>
        <w:t xml:space="preserve"> scenario</w:t>
      </w:r>
      <w:r w:rsidR="00484C5D" w:rsidRPr="00C3211F">
        <w:rPr>
          <w:rFonts w:cs="Arial"/>
          <w:color w:val="000000"/>
          <w:szCs w:val="20"/>
          <w:lang w:val="en-NZ" w:eastAsia="en-NZ"/>
        </w:rPr>
        <w:t>s.</w:t>
      </w:r>
      <w:r w:rsidR="00BD123F">
        <w:rPr>
          <w:rFonts w:cs="Arial"/>
          <w:color w:val="000000"/>
          <w:szCs w:val="20"/>
          <w:lang w:val="en-NZ" w:eastAsia="en-NZ"/>
        </w:rPr>
        <w:t xml:space="preserve"> </w:t>
      </w:r>
    </w:p>
    <w:p w14:paraId="381C283E" w14:textId="77777777" w:rsidR="00A03FC2" w:rsidRPr="00C3211F" w:rsidRDefault="00A03FC2" w:rsidP="004D675F">
      <w:pPr>
        <w:rPr>
          <w:rFonts w:cs="Arial"/>
          <w:color w:val="000000"/>
          <w:szCs w:val="20"/>
          <w:lang w:val="en-NZ" w:eastAsia="en-NZ"/>
        </w:rPr>
      </w:pPr>
    </w:p>
    <w:p w14:paraId="0BB045ED" w14:textId="2B4E9180" w:rsidR="0005586F" w:rsidRPr="00C3211F" w:rsidRDefault="00484C5D" w:rsidP="004D675F">
      <w:pPr>
        <w:rPr>
          <w:rStyle w:val="Strong"/>
          <w:rFonts w:cs="Arial"/>
          <w:b w:val="0"/>
          <w:bCs w:val="0"/>
          <w:szCs w:val="20"/>
        </w:rPr>
      </w:pPr>
      <w:r w:rsidRPr="00C3211F">
        <w:rPr>
          <w:rFonts w:cs="Arial"/>
          <w:color w:val="000000"/>
          <w:szCs w:val="20"/>
          <w:lang w:val="en-NZ" w:eastAsia="en-NZ"/>
        </w:rPr>
        <w:t xml:space="preserve">For the two </w:t>
      </w:r>
      <w:r w:rsidR="00A03FC2" w:rsidRPr="00C3211F">
        <w:rPr>
          <w:rFonts w:cs="Arial"/>
          <w:color w:val="000000"/>
          <w:szCs w:val="20"/>
          <w:lang w:val="en-NZ" w:eastAsia="en-NZ"/>
        </w:rPr>
        <w:t xml:space="preserve">alternative </w:t>
      </w:r>
      <w:r w:rsidR="006F2C8C" w:rsidRPr="00C3211F">
        <w:rPr>
          <w:rFonts w:cs="Arial"/>
          <w:color w:val="000000"/>
          <w:szCs w:val="20"/>
          <w:lang w:val="en-NZ" w:eastAsia="en-NZ"/>
        </w:rPr>
        <w:t xml:space="preserve">rotation age </w:t>
      </w:r>
      <w:r w:rsidRPr="00C3211F">
        <w:rPr>
          <w:rFonts w:cs="Arial"/>
          <w:color w:val="000000"/>
          <w:szCs w:val="20"/>
          <w:lang w:val="en-NZ" w:eastAsia="en-NZ"/>
        </w:rPr>
        <w:t xml:space="preserve">scenarios, </w:t>
      </w:r>
      <w:r w:rsidR="007C4B8C" w:rsidRPr="00C3211F">
        <w:rPr>
          <w:rFonts w:cs="Arial"/>
          <w:color w:val="000000"/>
          <w:szCs w:val="20"/>
          <w:lang w:val="en-NZ" w:eastAsia="en-NZ"/>
        </w:rPr>
        <w:t xml:space="preserve">the </w:t>
      </w:r>
      <w:r w:rsidR="00A03FC2" w:rsidRPr="00C3211F">
        <w:rPr>
          <w:rFonts w:cs="Arial"/>
          <w:color w:val="000000"/>
          <w:szCs w:val="20"/>
          <w:lang w:val="en-NZ" w:eastAsia="en-NZ"/>
        </w:rPr>
        <w:t xml:space="preserve">total </w:t>
      </w:r>
      <w:r w:rsidR="007C4B8C" w:rsidRPr="00C3211F">
        <w:rPr>
          <w:rFonts w:cs="Arial"/>
          <w:color w:val="000000"/>
          <w:szCs w:val="20"/>
          <w:lang w:val="en-NZ" w:eastAsia="en-NZ"/>
        </w:rPr>
        <w:t>accounting quantity differs</w:t>
      </w:r>
      <w:r w:rsidR="006F2C8C" w:rsidRPr="00C3211F">
        <w:rPr>
          <w:rFonts w:cs="Arial"/>
          <w:color w:val="000000"/>
          <w:szCs w:val="20"/>
          <w:lang w:val="en-NZ" w:eastAsia="en-NZ"/>
        </w:rPr>
        <w:t xml:space="preserve"> depending on the time period</w:t>
      </w:r>
      <w:r w:rsidR="007C4B8C" w:rsidRPr="00C3211F">
        <w:rPr>
          <w:rFonts w:cs="Arial"/>
          <w:color w:val="000000"/>
          <w:szCs w:val="20"/>
          <w:lang w:val="en-NZ" w:eastAsia="en-NZ"/>
        </w:rPr>
        <w:t xml:space="preserve"> summed across, and </w:t>
      </w:r>
      <w:r w:rsidR="00704222" w:rsidRPr="00C3211F">
        <w:rPr>
          <w:rFonts w:cs="Arial"/>
          <w:color w:val="000000"/>
          <w:szCs w:val="20"/>
          <w:lang w:val="en-NZ" w:eastAsia="en-NZ"/>
        </w:rPr>
        <w:t xml:space="preserve">in both cases </w:t>
      </w:r>
      <w:r w:rsidR="0098011E" w:rsidRPr="00C3211F">
        <w:rPr>
          <w:rFonts w:cs="Arial"/>
          <w:color w:val="000000"/>
          <w:szCs w:val="20"/>
          <w:lang w:val="en-NZ" w:eastAsia="en-NZ"/>
        </w:rPr>
        <w:t xml:space="preserve">the result differs from the true LTA stock </w:t>
      </w:r>
      <w:r w:rsidR="00540E87" w:rsidRPr="00C3211F">
        <w:rPr>
          <w:rFonts w:cs="Arial"/>
          <w:color w:val="000000"/>
          <w:szCs w:val="20"/>
          <w:lang w:val="en-NZ" w:eastAsia="en-NZ"/>
        </w:rPr>
        <w:t xml:space="preserve">that would </w:t>
      </w:r>
      <w:r w:rsidR="003B4EBC">
        <w:rPr>
          <w:rFonts w:cs="Arial"/>
          <w:color w:val="000000"/>
          <w:szCs w:val="20"/>
          <w:lang w:val="en-NZ" w:eastAsia="en-NZ"/>
        </w:rPr>
        <w:t xml:space="preserve">result from recalculation of the LTA for </w:t>
      </w:r>
      <w:r w:rsidR="00540E87" w:rsidRPr="00C3211F">
        <w:rPr>
          <w:rFonts w:cs="Arial"/>
          <w:color w:val="000000"/>
          <w:szCs w:val="20"/>
          <w:lang w:val="en-NZ" w:eastAsia="en-NZ"/>
        </w:rPr>
        <w:t>the re</w:t>
      </w:r>
      <w:r w:rsidR="004F0A89" w:rsidRPr="00C3211F">
        <w:rPr>
          <w:rFonts w:cs="Arial"/>
          <w:color w:val="000000"/>
          <w:szCs w:val="20"/>
          <w:lang w:val="en-NZ" w:eastAsia="en-NZ"/>
        </w:rPr>
        <w:t>spective rotation ages</w:t>
      </w:r>
      <w:r w:rsidR="006F2C8C" w:rsidRPr="00C3211F">
        <w:rPr>
          <w:rFonts w:cs="Arial"/>
          <w:color w:val="000000"/>
          <w:szCs w:val="20"/>
          <w:lang w:val="en-NZ" w:eastAsia="en-NZ"/>
        </w:rPr>
        <w:t xml:space="preserve">. </w:t>
      </w:r>
    </w:p>
    <w:p w14:paraId="23BA7D5A" w14:textId="77777777" w:rsidR="007D423B" w:rsidRDefault="007D423B" w:rsidP="004D675F">
      <w:pPr>
        <w:rPr>
          <w:rStyle w:val="Strong"/>
          <w:rFonts w:cs="Arial"/>
          <w:b w:val="0"/>
          <w:bCs w:val="0"/>
          <w:szCs w:val="20"/>
        </w:rPr>
      </w:pPr>
    </w:p>
    <w:p w14:paraId="0CD30CE1" w14:textId="77777777" w:rsidR="00C3211F" w:rsidRPr="00C3211F" w:rsidRDefault="00C3211F" w:rsidP="004D675F">
      <w:pPr>
        <w:rPr>
          <w:rStyle w:val="Strong"/>
          <w:rFonts w:cs="Arial"/>
          <w:b w:val="0"/>
          <w:bCs w:val="0"/>
          <w:szCs w:val="20"/>
        </w:rPr>
      </w:pPr>
    </w:p>
    <w:p w14:paraId="21DF5444" w14:textId="3AE4C58D" w:rsidR="0097334C" w:rsidRPr="00C3211F" w:rsidRDefault="0097334C" w:rsidP="0097334C">
      <w:pPr>
        <w:rPr>
          <w:rFonts w:cs="Arial"/>
          <w:szCs w:val="20"/>
        </w:rPr>
      </w:pPr>
      <w:r w:rsidRPr="00C3211F">
        <w:rPr>
          <w:rFonts w:cs="Arial"/>
          <w:b/>
          <w:bCs/>
          <w:szCs w:val="20"/>
        </w:rPr>
        <w:t xml:space="preserve">Table </w:t>
      </w:r>
      <w:r w:rsidR="00E76DFC">
        <w:rPr>
          <w:rFonts w:cs="Arial"/>
          <w:b/>
          <w:bCs/>
          <w:szCs w:val="20"/>
        </w:rPr>
        <w:t>6</w:t>
      </w:r>
      <w:r w:rsidR="009B7B91">
        <w:rPr>
          <w:rFonts w:cs="Arial"/>
          <w:b/>
          <w:bCs/>
          <w:szCs w:val="20"/>
        </w:rPr>
        <w:t>.</w:t>
      </w:r>
      <w:r w:rsidRPr="00C3211F">
        <w:rPr>
          <w:rFonts w:cs="Arial"/>
          <w:szCs w:val="20"/>
        </w:rPr>
        <w:t xml:space="preserve"> </w:t>
      </w:r>
      <w:r w:rsidR="00072831" w:rsidRPr="00B02A14">
        <w:rPr>
          <w:rFonts w:cs="Arial"/>
          <w:b/>
          <w:bCs/>
          <w:szCs w:val="20"/>
        </w:rPr>
        <w:t>Accounting quantities for three scenarios</w:t>
      </w:r>
      <w:r w:rsidR="003E63D7" w:rsidRPr="00B02A14">
        <w:rPr>
          <w:rFonts w:cs="Arial"/>
          <w:b/>
          <w:bCs/>
          <w:szCs w:val="20"/>
        </w:rPr>
        <w:t xml:space="preserve"> varying in rotation age</w:t>
      </w:r>
      <w:r w:rsidRPr="00B02A14">
        <w:rPr>
          <w:rFonts w:cs="Arial"/>
          <w:b/>
          <w:bCs/>
          <w:szCs w:val="20"/>
        </w:rPr>
        <w:t>.</w:t>
      </w:r>
    </w:p>
    <w:p w14:paraId="50B8899A" w14:textId="77777777" w:rsidR="00866C0D" w:rsidRPr="00077F8B" w:rsidRDefault="00866C0D" w:rsidP="0097334C"/>
    <w:tbl>
      <w:tblPr>
        <w:tblW w:w="8222" w:type="dxa"/>
        <w:tblLook w:val="04A0" w:firstRow="1" w:lastRow="0" w:firstColumn="1" w:lastColumn="0" w:noHBand="0" w:noVBand="1"/>
      </w:tblPr>
      <w:tblGrid>
        <w:gridCol w:w="3828"/>
        <w:gridCol w:w="1559"/>
        <w:gridCol w:w="1559"/>
        <w:gridCol w:w="1276"/>
      </w:tblGrid>
      <w:tr w:rsidR="00866C0D" w:rsidRPr="004A09EB" w14:paraId="02EC27C0" w14:textId="77777777" w:rsidTr="009D6B58">
        <w:trPr>
          <w:trHeight w:val="421"/>
        </w:trPr>
        <w:tc>
          <w:tcPr>
            <w:tcW w:w="3828" w:type="dxa"/>
            <w:tcBorders>
              <w:top w:val="single" w:sz="4" w:space="0" w:color="auto"/>
              <w:left w:val="nil"/>
              <w:bottom w:val="single" w:sz="4" w:space="0" w:color="auto"/>
              <w:right w:val="single" w:sz="4" w:space="0" w:color="auto"/>
            </w:tcBorders>
            <w:shd w:val="clear" w:color="auto" w:fill="auto"/>
            <w:vAlign w:val="bottom"/>
            <w:hideMark/>
          </w:tcPr>
          <w:p w14:paraId="0FB0815C" w14:textId="22D14D11" w:rsidR="00FE2065" w:rsidRPr="004A09EB" w:rsidRDefault="00FE2065" w:rsidP="00FE2065">
            <w:pPr>
              <w:rPr>
                <w:rFonts w:ascii="Calibri" w:hAnsi="Calibri" w:cs="Calibri"/>
                <w:b/>
                <w:bCs/>
                <w:color w:val="000000"/>
                <w:sz w:val="22"/>
                <w:szCs w:val="22"/>
                <w:lang w:val="en-NZ" w:eastAsia="en-NZ"/>
              </w:rPr>
            </w:pPr>
            <w:r>
              <w:rPr>
                <w:rFonts w:ascii="Calibri" w:hAnsi="Calibri" w:cs="Calibri"/>
                <w:b/>
                <w:bCs/>
                <w:color w:val="000000"/>
                <w:sz w:val="22"/>
                <w:szCs w:val="22"/>
                <w:lang w:val="en-NZ" w:eastAsia="en-NZ"/>
              </w:rPr>
              <w:t>Accounting component</w:t>
            </w:r>
          </w:p>
        </w:tc>
        <w:tc>
          <w:tcPr>
            <w:tcW w:w="1559" w:type="dxa"/>
            <w:tcBorders>
              <w:top w:val="single" w:sz="4" w:space="0" w:color="auto"/>
              <w:left w:val="single" w:sz="4" w:space="0" w:color="auto"/>
              <w:bottom w:val="single" w:sz="4" w:space="0" w:color="auto"/>
              <w:right w:val="single" w:sz="4" w:space="0" w:color="auto"/>
            </w:tcBorders>
          </w:tcPr>
          <w:p w14:paraId="2989795A" w14:textId="77777777" w:rsidR="00FE2065" w:rsidRDefault="00FE2065" w:rsidP="00FE2065">
            <w:pPr>
              <w:jc w:val="center"/>
              <w:rPr>
                <w:rFonts w:ascii="Calibri" w:hAnsi="Calibri" w:cs="Calibri"/>
                <w:b/>
                <w:bCs/>
                <w:color w:val="000000"/>
                <w:sz w:val="22"/>
                <w:szCs w:val="22"/>
                <w:lang w:val="en-NZ" w:eastAsia="en-NZ"/>
              </w:rPr>
            </w:pPr>
            <w:r>
              <w:rPr>
                <w:rFonts w:ascii="Calibri" w:hAnsi="Calibri" w:cs="Calibri"/>
                <w:b/>
                <w:bCs/>
                <w:color w:val="000000"/>
                <w:sz w:val="22"/>
                <w:szCs w:val="22"/>
                <w:lang w:val="en-NZ" w:eastAsia="en-NZ"/>
              </w:rPr>
              <w:t>Base 30 years</w:t>
            </w:r>
          </w:p>
          <w:p w14:paraId="015F52EF" w14:textId="115A07F9" w:rsidR="00FE2065" w:rsidRPr="00FE2065" w:rsidRDefault="00FE2065" w:rsidP="00FE2065">
            <w:pPr>
              <w:jc w:val="center"/>
              <w:rPr>
                <w:rFonts w:ascii="Calibri" w:hAnsi="Calibri" w:cs="Calibri"/>
                <w:color w:val="000000"/>
                <w:sz w:val="22"/>
                <w:szCs w:val="22"/>
                <w:lang w:val="en-NZ" w:eastAsia="en-NZ"/>
              </w:rPr>
            </w:pPr>
            <w:r w:rsidRPr="00FE2065">
              <w:rPr>
                <w:rFonts w:ascii="Calibri" w:hAnsi="Calibri" w:cs="Calibri"/>
                <w:color w:val="000000"/>
                <w:sz w:val="22"/>
                <w:szCs w:val="22"/>
                <w:lang w:val="en-NZ" w:eastAsia="en-NZ"/>
              </w:rPr>
              <w:t>t C ha</w:t>
            </w:r>
            <w:r w:rsidRPr="00FE2065">
              <w:rPr>
                <w:rFonts w:ascii="Calibri" w:hAnsi="Calibri" w:cs="Calibri"/>
                <w:color w:val="000000"/>
                <w:sz w:val="22"/>
                <w:szCs w:val="22"/>
                <w:vertAlign w:val="superscript"/>
                <w:lang w:val="en-NZ" w:eastAsia="en-NZ"/>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1678A1" w14:textId="38B977B9" w:rsidR="00FE2065" w:rsidRPr="004A09EB" w:rsidRDefault="00FE2065" w:rsidP="00FE2065">
            <w:pPr>
              <w:jc w:val="center"/>
              <w:rPr>
                <w:rFonts w:ascii="Calibri" w:hAnsi="Calibri" w:cs="Calibri"/>
                <w:b/>
                <w:bCs/>
                <w:color w:val="000000"/>
                <w:sz w:val="22"/>
                <w:szCs w:val="22"/>
                <w:lang w:val="en-NZ" w:eastAsia="en-NZ"/>
              </w:rPr>
            </w:pPr>
            <w:r>
              <w:rPr>
                <w:rFonts w:ascii="Calibri" w:hAnsi="Calibri" w:cs="Calibri"/>
                <w:b/>
                <w:bCs/>
                <w:color w:val="000000"/>
                <w:sz w:val="22"/>
                <w:szCs w:val="22"/>
                <w:lang w:val="en-NZ" w:eastAsia="en-NZ"/>
              </w:rPr>
              <w:t>Long 35 years</w:t>
            </w:r>
            <w:r>
              <w:rPr>
                <w:rFonts w:ascii="Calibri" w:hAnsi="Calibri" w:cs="Calibri"/>
                <w:b/>
                <w:bCs/>
                <w:color w:val="000000"/>
                <w:sz w:val="22"/>
                <w:szCs w:val="22"/>
                <w:lang w:val="en-NZ" w:eastAsia="en-NZ"/>
              </w:rPr>
              <w:br/>
            </w:r>
            <w:r w:rsidRPr="00BC0094">
              <w:rPr>
                <w:rFonts w:ascii="Calibri" w:hAnsi="Calibri" w:cs="Calibri"/>
                <w:color w:val="000000"/>
                <w:sz w:val="22"/>
                <w:szCs w:val="22"/>
                <w:lang w:val="en-NZ" w:eastAsia="en-NZ"/>
              </w:rPr>
              <w:t>t C ha</w:t>
            </w:r>
            <w:r w:rsidRPr="00BC0094">
              <w:rPr>
                <w:rFonts w:ascii="Calibri" w:hAnsi="Calibri" w:cs="Calibri"/>
                <w:color w:val="000000"/>
                <w:sz w:val="22"/>
                <w:szCs w:val="22"/>
                <w:vertAlign w:val="superscript"/>
                <w:lang w:val="en-NZ" w:eastAsia="en-NZ"/>
              </w:rPr>
              <w:t>-1</w:t>
            </w:r>
          </w:p>
        </w:tc>
        <w:tc>
          <w:tcPr>
            <w:tcW w:w="1276" w:type="dxa"/>
            <w:tcBorders>
              <w:top w:val="single" w:sz="4" w:space="0" w:color="auto"/>
              <w:left w:val="single" w:sz="4" w:space="0" w:color="auto"/>
              <w:bottom w:val="single" w:sz="4" w:space="0" w:color="auto"/>
              <w:right w:val="nil"/>
            </w:tcBorders>
            <w:shd w:val="clear" w:color="auto" w:fill="auto"/>
            <w:noWrap/>
          </w:tcPr>
          <w:p w14:paraId="091E95B4" w14:textId="3A519F7C" w:rsidR="00FE2065" w:rsidRPr="004A09EB" w:rsidRDefault="00FE2065" w:rsidP="00FE2065">
            <w:pPr>
              <w:jc w:val="center"/>
              <w:rPr>
                <w:rFonts w:ascii="Calibri" w:hAnsi="Calibri" w:cs="Calibri"/>
                <w:b/>
                <w:bCs/>
                <w:color w:val="000000"/>
                <w:sz w:val="22"/>
                <w:szCs w:val="22"/>
                <w:lang w:val="en-NZ" w:eastAsia="en-NZ"/>
              </w:rPr>
            </w:pPr>
            <w:r>
              <w:rPr>
                <w:rFonts w:ascii="Calibri" w:hAnsi="Calibri" w:cs="Calibri"/>
                <w:b/>
                <w:bCs/>
                <w:color w:val="000000"/>
                <w:sz w:val="22"/>
                <w:szCs w:val="22"/>
                <w:lang w:val="en-NZ" w:eastAsia="en-NZ"/>
              </w:rPr>
              <w:t>Short 25 years</w:t>
            </w:r>
            <w:r>
              <w:rPr>
                <w:rFonts w:ascii="Calibri" w:hAnsi="Calibri" w:cs="Calibri"/>
                <w:b/>
                <w:bCs/>
                <w:color w:val="000000"/>
                <w:sz w:val="22"/>
                <w:szCs w:val="22"/>
                <w:lang w:val="en-NZ" w:eastAsia="en-NZ"/>
              </w:rPr>
              <w:br/>
            </w:r>
            <w:r w:rsidRPr="00BC0094">
              <w:rPr>
                <w:rFonts w:ascii="Calibri" w:hAnsi="Calibri" w:cs="Calibri"/>
                <w:color w:val="000000"/>
                <w:sz w:val="22"/>
                <w:szCs w:val="22"/>
                <w:lang w:val="en-NZ" w:eastAsia="en-NZ"/>
              </w:rPr>
              <w:t>t C ha</w:t>
            </w:r>
            <w:r w:rsidRPr="00BC0094">
              <w:rPr>
                <w:rFonts w:ascii="Calibri" w:hAnsi="Calibri" w:cs="Calibri"/>
                <w:color w:val="000000"/>
                <w:sz w:val="22"/>
                <w:szCs w:val="22"/>
                <w:vertAlign w:val="superscript"/>
                <w:lang w:val="en-NZ" w:eastAsia="en-NZ"/>
              </w:rPr>
              <w:t>-1</w:t>
            </w:r>
          </w:p>
        </w:tc>
      </w:tr>
      <w:tr w:rsidR="00866C0D" w:rsidRPr="004A09EB" w14:paraId="3B925780" w14:textId="77777777" w:rsidTr="009D6B58">
        <w:trPr>
          <w:trHeight w:val="300"/>
        </w:trPr>
        <w:tc>
          <w:tcPr>
            <w:tcW w:w="3828" w:type="dxa"/>
            <w:tcBorders>
              <w:top w:val="single" w:sz="4" w:space="0" w:color="auto"/>
              <w:left w:val="nil"/>
              <w:bottom w:val="nil"/>
              <w:right w:val="single" w:sz="4" w:space="0" w:color="auto"/>
            </w:tcBorders>
            <w:shd w:val="clear" w:color="auto" w:fill="auto"/>
            <w:noWrap/>
            <w:vAlign w:val="bottom"/>
            <w:hideMark/>
          </w:tcPr>
          <w:p w14:paraId="43EA11E8" w14:textId="3664CC03" w:rsidR="00FE2065" w:rsidRPr="00DD6177" w:rsidRDefault="00815FF4" w:rsidP="00DD6177">
            <w:pPr>
              <w:rPr>
                <w:rFonts w:asciiTheme="minorHAnsi" w:hAnsiTheme="minorHAnsi" w:cstheme="minorHAnsi"/>
                <w:color w:val="000000"/>
                <w:sz w:val="22"/>
                <w:szCs w:val="22"/>
                <w:lang w:val="en-NZ" w:eastAsia="en-NZ"/>
              </w:rPr>
            </w:pPr>
            <w:r>
              <w:rPr>
                <w:rFonts w:asciiTheme="minorHAnsi" w:hAnsiTheme="minorHAnsi" w:cstheme="minorHAnsi"/>
                <w:sz w:val="22"/>
                <w:szCs w:val="22"/>
              </w:rPr>
              <w:t>[</w:t>
            </w:r>
            <w:r w:rsidR="00DD6177" w:rsidRPr="00DD6177">
              <w:rPr>
                <w:rFonts w:asciiTheme="minorHAnsi" w:hAnsiTheme="minorHAnsi" w:cstheme="minorHAnsi"/>
                <w:sz w:val="22"/>
                <w:szCs w:val="22"/>
              </w:rPr>
              <w:t>i</w:t>
            </w:r>
            <w:r>
              <w:rPr>
                <w:rFonts w:asciiTheme="minorHAnsi" w:hAnsiTheme="minorHAnsi" w:cstheme="minorHAnsi"/>
                <w:sz w:val="22"/>
                <w:szCs w:val="22"/>
              </w:rPr>
              <w:t>]</w:t>
            </w:r>
            <w:r w:rsidR="00DD6177">
              <w:rPr>
                <w:rFonts w:asciiTheme="minorHAnsi" w:hAnsiTheme="minorHAnsi" w:cstheme="minorHAnsi"/>
                <w:sz w:val="22"/>
                <w:szCs w:val="22"/>
              </w:rPr>
              <w:t xml:space="preserve"> </w:t>
            </w:r>
            <w:r w:rsidR="00FE2065" w:rsidRPr="00DD6177">
              <w:rPr>
                <w:rFonts w:asciiTheme="minorHAnsi" w:hAnsiTheme="minorHAnsi" w:cstheme="minorHAnsi"/>
                <w:sz w:val="22"/>
                <w:szCs w:val="22"/>
              </w:rPr>
              <w:t>Stock change to LTA age = 16 years</w:t>
            </w:r>
            <w:r w:rsidR="00257AB2">
              <w:rPr>
                <w:rFonts w:asciiTheme="minorHAnsi" w:hAnsiTheme="minorHAnsi" w:cstheme="minorHAnsi"/>
                <w:sz w:val="22"/>
                <w:szCs w:val="22"/>
              </w:rPr>
              <w:t xml:space="preserve"> (</w:t>
            </w:r>
            <w:r w:rsidR="00DC4417">
              <w:rPr>
                <w:rFonts w:asciiTheme="minorHAnsi" w:hAnsiTheme="minorHAnsi" w:cstheme="minorHAnsi"/>
                <w:sz w:val="22"/>
                <w:szCs w:val="22"/>
              </w:rPr>
              <w:t>expected</w:t>
            </w:r>
            <w:r w:rsidR="00257AB2">
              <w:rPr>
                <w:rFonts w:asciiTheme="minorHAnsi" w:hAnsiTheme="minorHAnsi" w:cstheme="minorHAnsi"/>
                <w:sz w:val="22"/>
                <w:szCs w:val="22"/>
              </w:rPr>
              <w:t xml:space="preserve"> rotation 30</w:t>
            </w:r>
            <w:r w:rsidR="00DC4417">
              <w:rPr>
                <w:rFonts w:asciiTheme="minorHAnsi" w:hAnsiTheme="minorHAnsi" w:cstheme="minorHAnsi"/>
                <w:sz w:val="22"/>
                <w:szCs w:val="22"/>
              </w:rPr>
              <w:t xml:space="preserve"> year</w:t>
            </w:r>
            <w:r w:rsidR="00257AB2">
              <w:rPr>
                <w:rFonts w:asciiTheme="minorHAnsi" w:hAnsiTheme="minorHAnsi" w:cstheme="minorHAnsi"/>
                <w:sz w:val="22"/>
                <w:szCs w:val="22"/>
              </w:rPr>
              <w:t>s)</w:t>
            </w:r>
          </w:p>
        </w:tc>
        <w:tc>
          <w:tcPr>
            <w:tcW w:w="1559" w:type="dxa"/>
            <w:tcBorders>
              <w:top w:val="single" w:sz="4" w:space="0" w:color="auto"/>
              <w:left w:val="single" w:sz="4" w:space="0" w:color="auto"/>
              <w:bottom w:val="nil"/>
              <w:right w:val="single" w:sz="4" w:space="0" w:color="auto"/>
            </w:tcBorders>
          </w:tcPr>
          <w:p w14:paraId="386D7B86" w14:textId="77777777" w:rsidR="00B87B6D" w:rsidRDefault="00B87B6D" w:rsidP="00FE2065">
            <w:pPr>
              <w:jc w:val="center"/>
              <w:rPr>
                <w:rFonts w:ascii="Calibri" w:hAnsi="Calibri" w:cs="Calibri"/>
                <w:color w:val="000000"/>
                <w:sz w:val="22"/>
                <w:szCs w:val="22"/>
                <w:lang w:val="en-NZ" w:eastAsia="en-NZ"/>
              </w:rPr>
            </w:pPr>
          </w:p>
          <w:p w14:paraId="05BDD085" w14:textId="503C67F8" w:rsidR="00FE2065" w:rsidRPr="002E64AF" w:rsidRDefault="00FE2065" w:rsidP="00FE2065">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80</w:t>
            </w:r>
          </w:p>
        </w:tc>
        <w:tc>
          <w:tcPr>
            <w:tcW w:w="1559" w:type="dxa"/>
            <w:tcBorders>
              <w:top w:val="single" w:sz="4" w:space="0" w:color="auto"/>
              <w:left w:val="single" w:sz="4" w:space="0" w:color="auto"/>
              <w:bottom w:val="nil"/>
              <w:right w:val="single" w:sz="4" w:space="0" w:color="auto"/>
            </w:tcBorders>
            <w:shd w:val="clear" w:color="auto" w:fill="auto"/>
            <w:noWrap/>
            <w:vAlign w:val="bottom"/>
          </w:tcPr>
          <w:p w14:paraId="5DF52C9F" w14:textId="56F6C608" w:rsidR="00FE2065" w:rsidRPr="004A09EB" w:rsidRDefault="00FE2065" w:rsidP="00FE2065">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80</w:t>
            </w:r>
          </w:p>
        </w:tc>
        <w:tc>
          <w:tcPr>
            <w:tcW w:w="1276" w:type="dxa"/>
            <w:tcBorders>
              <w:top w:val="single" w:sz="4" w:space="0" w:color="auto"/>
              <w:left w:val="single" w:sz="4" w:space="0" w:color="auto"/>
              <w:bottom w:val="nil"/>
              <w:right w:val="nil"/>
            </w:tcBorders>
            <w:shd w:val="clear" w:color="auto" w:fill="auto"/>
            <w:noWrap/>
            <w:vAlign w:val="bottom"/>
          </w:tcPr>
          <w:p w14:paraId="21BDB358" w14:textId="011D650F" w:rsidR="00FE2065" w:rsidRPr="004A09EB" w:rsidRDefault="00FE2065" w:rsidP="00FE2065">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80</w:t>
            </w:r>
          </w:p>
        </w:tc>
      </w:tr>
      <w:tr w:rsidR="00866C0D" w:rsidRPr="004A09EB" w14:paraId="3C95BE21" w14:textId="77777777" w:rsidTr="009D6B58">
        <w:trPr>
          <w:trHeight w:val="300"/>
        </w:trPr>
        <w:tc>
          <w:tcPr>
            <w:tcW w:w="3828" w:type="dxa"/>
            <w:tcBorders>
              <w:top w:val="nil"/>
              <w:left w:val="nil"/>
              <w:bottom w:val="nil"/>
              <w:right w:val="single" w:sz="4" w:space="0" w:color="auto"/>
            </w:tcBorders>
            <w:shd w:val="clear" w:color="auto" w:fill="auto"/>
            <w:noWrap/>
            <w:vAlign w:val="bottom"/>
          </w:tcPr>
          <w:p w14:paraId="659D2E92" w14:textId="5693CC6B" w:rsidR="00FE2065" w:rsidRPr="004A09EB" w:rsidRDefault="00FE2065" w:rsidP="00FE2065">
            <w:pPr>
              <w:rPr>
                <w:rFonts w:ascii="Calibri" w:hAnsi="Calibri" w:cs="Calibri"/>
                <w:color w:val="000000"/>
                <w:sz w:val="22"/>
                <w:szCs w:val="22"/>
                <w:lang w:val="en-NZ" w:eastAsia="en-NZ"/>
              </w:rPr>
            </w:pPr>
          </w:p>
        </w:tc>
        <w:tc>
          <w:tcPr>
            <w:tcW w:w="1559" w:type="dxa"/>
            <w:tcBorders>
              <w:top w:val="nil"/>
              <w:left w:val="single" w:sz="4" w:space="0" w:color="auto"/>
              <w:bottom w:val="nil"/>
              <w:right w:val="single" w:sz="4" w:space="0" w:color="auto"/>
            </w:tcBorders>
          </w:tcPr>
          <w:p w14:paraId="5A1095F7" w14:textId="6E8D8E36" w:rsidR="00FE2065" w:rsidRPr="002E64AF" w:rsidRDefault="00FE2065" w:rsidP="00FE2065">
            <w:pPr>
              <w:jc w:val="center"/>
              <w:rPr>
                <w:rFonts w:ascii="Calibri" w:hAnsi="Calibri" w:cs="Calibri"/>
                <w:color w:val="000000"/>
                <w:sz w:val="22"/>
                <w:szCs w:val="22"/>
                <w:lang w:val="en-NZ" w:eastAsia="en-NZ"/>
              </w:rPr>
            </w:pPr>
          </w:p>
        </w:tc>
        <w:tc>
          <w:tcPr>
            <w:tcW w:w="1559" w:type="dxa"/>
            <w:tcBorders>
              <w:top w:val="nil"/>
              <w:left w:val="single" w:sz="4" w:space="0" w:color="auto"/>
              <w:bottom w:val="nil"/>
              <w:right w:val="single" w:sz="4" w:space="0" w:color="auto"/>
            </w:tcBorders>
            <w:shd w:val="clear" w:color="auto" w:fill="auto"/>
            <w:noWrap/>
            <w:vAlign w:val="bottom"/>
          </w:tcPr>
          <w:p w14:paraId="49561965" w14:textId="36DA44C8" w:rsidR="00FE2065" w:rsidRPr="004A09EB" w:rsidRDefault="00FE2065" w:rsidP="00FE2065">
            <w:pPr>
              <w:jc w:val="center"/>
              <w:rPr>
                <w:rFonts w:ascii="Calibri" w:hAnsi="Calibri" w:cs="Calibri"/>
                <w:color w:val="000000"/>
                <w:sz w:val="22"/>
                <w:szCs w:val="22"/>
                <w:lang w:val="en-NZ" w:eastAsia="en-NZ"/>
              </w:rPr>
            </w:pPr>
          </w:p>
        </w:tc>
        <w:tc>
          <w:tcPr>
            <w:tcW w:w="1276" w:type="dxa"/>
            <w:tcBorders>
              <w:top w:val="nil"/>
              <w:left w:val="single" w:sz="4" w:space="0" w:color="auto"/>
              <w:bottom w:val="nil"/>
              <w:right w:val="nil"/>
            </w:tcBorders>
            <w:shd w:val="clear" w:color="auto" w:fill="auto"/>
            <w:noWrap/>
            <w:vAlign w:val="bottom"/>
          </w:tcPr>
          <w:p w14:paraId="07190A6B" w14:textId="3075EB8D" w:rsidR="00FE2065" w:rsidRPr="004A09EB" w:rsidRDefault="00FE2065" w:rsidP="00FE2065">
            <w:pPr>
              <w:jc w:val="center"/>
              <w:rPr>
                <w:rFonts w:ascii="Calibri" w:hAnsi="Calibri" w:cs="Calibri"/>
                <w:color w:val="000000"/>
                <w:sz w:val="22"/>
                <w:szCs w:val="22"/>
                <w:lang w:val="en-NZ" w:eastAsia="en-NZ"/>
              </w:rPr>
            </w:pPr>
          </w:p>
        </w:tc>
      </w:tr>
      <w:tr w:rsidR="0037376C" w:rsidRPr="004A09EB" w14:paraId="2EF46B34" w14:textId="77777777" w:rsidTr="009D6B58">
        <w:trPr>
          <w:trHeight w:val="300"/>
        </w:trPr>
        <w:tc>
          <w:tcPr>
            <w:tcW w:w="3828" w:type="dxa"/>
            <w:tcBorders>
              <w:top w:val="single" w:sz="4" w:space="0" w:color="auto"/>
              <w:left w:val="nil"/>
              <w:right w:val="single" w:sz="4" w:space="0" w:color="auto"/>
            </w:tcBorders>
            <w:shd w:val="clear" w:color="auto" w:fill="auto"/>
            <w:noWrap/>
            <w:vAlign w:val="bottom"/>
          </w:tcPr>
          <w:p w14:paraId="4BB10200" w14:textId="77777777" w:rsidR="0037376C" w:rsidRDefault="0037376C" w:rsidP="0037376C">
            <w:pPr>
              <w:rPr>
                <w:rFonts w:ascii="Calibri" w:hAnsi="Calibri" w:cs="Calibri"/>
                <w:color w:val="000000"/>
                <w:sz w:val="22"/>
                <w:szCs w:val="22"/>
                <w:lang w:eastAsia="en-NZ"/>
              </w:rPr>
            </w:pPr>
            <w:r>
              <w:rPr>
                <w:rFonts w:ascii="Calibri" w:hAnsi="Calibri" w:cs="Calibri"/>
                <w:color w:val="000000"/>
                <w:sz w:val="22"/>
                <w:szCs w:val="22"/>
                <w:lang w:eastAsia="en-NZ"/>
              </w:rPr>
              <w:t>True stock at scenario LTA age</w:t>
            </w:r>
            <w:r>
              <w:rPr>
                <w:rFonts w:ascii="Calibri" w:hAnsi="Calibri" w:cs="Calibri"/>
                <w:color w:val="000000"/>
                <w:sz w:val="22"/>
                <w:szCs w:val="22"/>
                <w:lang w:eastAsia="en-NZ"/>
              </w:rPr>
              <w:br/>
              <w:t>(if LTA was recalculated)</w:t>
            </w:r>
          </w:p>
          <w:p w14:paraId="11AECAAB" w14:textId="2E515FF7" w:rsidR="0037376C" w:rsidRDefault="0037376C" w:rsidP="0037376C">
            <w:pPr>
              <w:rPr>
                <w:rFonts w:ascii="Calibri" w:hAnsi="Calibri" w:cs="Calibri"/>
                <w:color w:val="000000"/>
                <w:sz w:val="22"/>
                <w:szCs w:val="22"/>
                <w:lang w:eastAsia="en-NZ"/>
              </w:rPr>
            </w:pPr>
          </w:p>
        </w:tc>
        <w:tc>
          <w:tcPr>
            <w:tcW w:w="1559" w:type="dxa"/>
            <w:tcBorders>
              <w:top w:val="single" w:sz="4" w:space="0" w:color="auto"/>
              <w:left w:val="single" w:sz="4" w:space="0" w:color="auto"/>
              <w:right w:val="single" w:sz="4" w:space="0" w:color="auto"/>
            </w:tcBorders>
          </w:tcPr>
          <w:p w14:paraId="02F9C314" w14:textId="77777777" w:rsidR="0037376C" w:rsidRDefault="0037376C" w:rsidP="0037376C">
            <w:pPr>
              <w:jc w:val="center"/>
              <w:rPr>
                <w:rFonts w:ascii="Calibri" w:hAnsi="Calibri" w:cs="Calibri"/>
                <w:color w:val="000000"/>
                <w:sz w:val="22"/>
                <w:szCs w:val="22"/>
                <w:lang w:val="en-NZ" w:eastAsia="en-NZ"/>
              </w:rPr>
            </w:pPr>
          </w:p>
          <w:p w14:paraId="79A1CB9F" w14:textId="57A8D4D5" w:rsidR="0037376C" w:rsidRDefault="0037376C" w:rsidP="0037376C">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80</w:t>
            </w:r>
          </w:p>
        </w:tc>
        <w:tc>
          <w:tcPr>
            <w:tcW w:w="1559" w:type="dxa"/>
            <w:tcBorders>
              <w:top w:val="single" w:sz="4" w:space="0" w:color="auto"/>
              <w:left w:val="single" w:sz="4" w:space="0" w:color="auto"/>
              <w:right w:val="single" w:sz="4" w:space="0" w:color="auto"/>
            </w:tcBorders>
            <w:shd w:val="clear" w:color="auto" w:fill="auto"/>
            <w:noWrap/>
          </w:tcPr>
          <w:p w14:paraId="165CD23C" w14:textId="77777777" w:rsidR="0037376C" w:rsidRDefault="0037376C" w:rsidP="0037376C">
            <w:pPr>
              <w:jc w:val="center"/>
              <w:rPr>
                <w:rFonts w:ascii="Calibri" w:hAnsi="Calibri" w:cs="Calibri"/>
                <w:color w:val="000000"/>
                <w:sz w:val="22"/>
                <w:szCs w:val="22"/>
                <w:lang w:val="en-NZ" w:eastAsia="en-NZ"/>
              </w:rPr>
            </w:pPr>
          </w:p>
          <w:p w14:paraId="4F0D9A3B" w14:textId="7A9A8E93" w:rsidR="0037376C" w:rsidRPr="004A09EB" w:rsidRDefault="0037376C" w:rsidP="0037376C">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90</w:t>
            </w:r>
          </w:p>
        </w:tc>
        <w:tc>
          <w:tcPr>
            <w:tcW w:w="1276" w:type="dxa"/>
            <w:tcBorders>
              <w:top w:val="single" w:sz="4" w:space="0" w:color="auto"/>
              <w:left w:val="single" w:sz="4" w:space="0" w:color="auto"/>
              <w:right w:val="nil"/>
            </w:tcBorders>
            <w:shd w:val="clear" w:color="auto" w:fill="auto"/>
            <w:noWrap/>
          </w:tcPr>
          <w:p w14:paraId="0C9A049A" w14:textId="77777777" w:rsidR="0037376C" w:rsidRDefault="0037376C" w:rsidP="0037376C">
            <w:pPr>
              <w:jc w:val="center"/>
              <w:rPr>
                <w:rFonts w:ascii="Calibri" w:hAnsi="Calibri" w:cs="Calibri"/>
                <w:color w:val="000000"/>
                <w:sz w:val="22"/>
                <w:szCs w:val="22"/>
                <w:lang w:val="en-NZ" w:eastAsia="en-NZ"/>
              </w:rPr>
            </w:pPr>
          </w:p>
          <w:p w14:paraId="57E2B2DB" w14:textId="373BCFA7" w:rsidR="0037376C" w:rsidRPr="004A09EB" w:rsidRDefault="0037376C" w:rsidP="0037376C">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55</w:t>
            </w:r>
          </w:p>
        </w:tc>
      </w:tr>
      <w:tr w:rsidR="0037376C" w:rsidRPr="004A09EB" w14:paraId="5093F0D1" w14:textId="77777777" w:rsidTr="009D6B58">
        <w:trPr>
          <w:trHeight w:val="300"/>
        </w:trPr>
        <w:tc>
          <w:tcPr>
            <w:tcW w:w="3828" w:type="dxa"/>
            <w:tcBorders>
              <w:top w:val="single" w:sz="4" w:space="0" w:color="auto"/>
              <w:left w:val="nil"/>
              <w:right w:val="single" w:sz="4" w:space="0" w:color="auto"/>
            </w:tcBorders>
            <w:shd w:val="clear" w:color="auto" w:fill="auto"/>
            <w:noWrap/>
            <w:vAlign w:val="bottom"/>
          </w:tcPr>
          <w:p w14:paraId="5C966A04" w14:textId="3042DFC9" w:rsidR="0037376C" w:rsidRPr="008F17A7" w:rsidRDefault="0037376C" w:rsidP="0037376C">
            <w:pPr>
              <w:rPr>
                <w:rFonts w:ascii="Calibri" w:hAnsi="Calibri" w:cs="Calibri"/>
                <w:color w:val="000000"/>
                <w:sz w:val="22"/>
                <w:szCs w:val="22"/>
                <w:lang w:val="en-NZ" w:eastAsia="en-NZ"/>
              </w:rPr>
            </w:pPr>
            <w:r>
              <w:rPr>
                <w:rFonts w:ascii="Calibri" w:hAnsi="Calibri" w:cs="Calibri"/>
                <w:color w:val="000000"/>
                <w:sz w:val="22"/>
                <w:szCs w:val="22"/>
                <w:lang w:eastAsia="en-NZ"/>
              </w:rPr>
              <w:t>Stock change</w:t>
            </w:r>
            <w:r w:rsidRPr="008F17A7">
              <w:rPr>
                <w:rFonts w:ascii="Calibri" w:hAnsi="Calibri" w:cs="Calibri"/>
                <w:color w:val="000000"/>
                <w:sz w:val="22"/>
                <w:szCs w:val="22"/>
                <w:lang w:eastAsia="en-NZ"/>
              </w:rPr>
              <w:t xml:space="preserve"> </w:t>
            </w:r>
            <w:r>
              <w:rPr>
                <w:rFonts w:ascii="Calibri" w:hAnsi="Calibri" w:cs="Calibri"/>
                <w:color w:val="000000"/>
                <w:sz w:val="22"/>
                <w:szCs w:val="22"/>
                <w:lang w:eastAsia="en-NZ"/>
              </w:rPr>
              <w:t>after LTA age:</w:t>
            </w:r>
          </w:p>
        </w:tc>
        <w:tc>
          <w:tcPr>
            <w:tcW w:w="1559" w:type="dxa"/>
            <w:tcBorders>
              <w:top w:val="single" w:sz="4" w:space="0" w:color="auto"/>
              <w:left w:val="single" w:sz="4" w:space="0" w:color="auto"/>
              <w:right w:val="single" w:sz="4" w:space="0" w:color="auto"/>
            </w:tcBorders>
          </w:tcPr>
          <w:p w14:paraId="116E03E8" w14:textId="133001DF" w:rsidR="0037376C" w:rsidRDefault="0037376C" w:rsidP="0037376C">
            <w:pPr>
              <w:jc w:val="center"/>
              <w:rPr>
                <w:rFonts w:ascii="Calibri" w:hAnsi="Calibri" w:cs="Calibri"/>
                <w:color w:val="000000"/>
                <w:sz w:val="22"/>
                <w:szCs w:val="22"/>
                <w:lang w:val="en-NZ" w:eastAsia="en-NZ"/>
              </w:rPr>
            </w:pPr>
          </w:p>
        </w:tc>
        <w:tc>
          <w:tcPr>
            <w:tcW w:w="1559" w:type="dxa"/>
            <w:tcBorders>
              <w:top w:val="single" w:sz="4" w:space="0" w:color="auto"/>
              <w:left w:val="single" w:sz="4" w:space="0" w:color="auto"/>
              <w:right w:val="single" w:sz="4" w:space="0" w:color="auto"/>
            </w:tcBorders>
            <w:shd w:val="clear" w:color="auto" w:fill="auto"/>
            <w:noWrap/>
            <w:vAlign w:val="bottom"/>
          </w:tcPr>
          <w:p w14:paraId="449896B3" w14:textId="7DD1C1B5" w:rsidR="0037376C" w:rsidRPr="004A09EB" w:rsidRDefault="0037376C" w:rsidP="0037376C">
            <w:pPr>
              <w:jc w:val="center"/>
              <w:rPr>
                <w:rFonts w:ascii="Calibri" w:hAnsi="Calibri" w:cs="Calibri"/>
                <w:color w:val="000000"/>
                <w:sz w:val="22"/>
                <w:szCs w:val="22"/>
                <w:lang w:val="en-NZ" w:eastAsia="en-NZ"/>
              </w:rPr>
            </w:pPr>
          </w:p>
        </w:tc>
        <w:tc>
          <w:tcPr>
            <w:tcW w:w="1276" w:type="dxa"/>
            <w:tcBorders>
              <w:top w:val="single" w:sz="4" w:space="0" w:color="auto"/>
              <w:left w:val="single" w:sz="4" w:space="0" w:color="auto"/>
              <w:right w:val="nil"/>
            </w:tcBorders>
            <w:shd w:val="clear" w:color="auto" w:fill="auto"/>
            <w:noWrap/>
            <w:vAlign w:val="bottom"/>
          </w:tcPr>
          <w:p w14:paraId="2CDA2C71" w14:textId="21636977" w:rsidR="0037376C" w:rsidRPr="004A09EB" w:rsidRDefault="0037376C" w:rsidP="0037376C">
            <w:pPr>
              <w:jc w:val="center"/>
              <w:rPr>
                <w:rFonts w:ascii="Calibri" w:hAnsi="Calibri" w:cs="Calibri"/>
                <w:color w:val="000000"/>
                <w:sz w:val="22"/>
                <w:szCs w:val="22"/>
                <w:lang w:val="en-NZ" w:eastAsia="en-NZ"/>
              </w:rPr>
            </w:pPr>
          </w:p>
        </w:tc>
      </w:tr>
      <w:tr w:rsidR="0037376C" w:rsidRPr="004A09EB" w14:paraId="6F09150B" w14:textId="77777777" w:rsidTr="009D6B58">
        <w:trPr>
          <w:trHeight w:val="300"/>
        </w:trPr>
        <w:tc>
          <w:tcPr>
            <w:tcW w:w="3828" w:type="dxa"/>
            <w:tcBorders>
              <w:left w:val="nil"/>
              <w:right w:val="single" w:sz="4" w:space="0" w:color="auto"/>
            </w:tcBorders>
            <w:shd w:val="clear" w:color="auto" w:fill="auto"/>
            <w:noWrap/>
            <w:vAlign w:val="bottom"/>
          </w:tcPr>
          <w:p w14:paraId="4319C756" w14:textId="4C97447F" w:rsidR="0037376C" w:rsidRPr="008F17A7" w:rsidRDefault="00C00AD1" w:rsidP="0037376C">
            <w:pPr>
              <w:pStyle w:val="ListParagraph"/>
              <w:numPr>
                <w:ilvl w:val="0"/>
                <w:numId w:val="40"/>
              </w:numPr>
              <w:rPr>
                <w:rFonts w:ascii="Calibri" w:hAnsi="Calibri" w:cs="Calibri"/>
                <w:color w:val="000000"/>
                <w:sz w:val="22"/>
                <w:szCs w:val="22"/>
                <w:lang w:eastAsia="en-NZ"/>
              </w:rPr>
            </w:pPr>
            <w:r w:rsidRPr="00432970">
              <w:rPr>
                <w:rFonts w:ascii="Calibri" w:hAnsi="Calibri" w:cs="Calibri"/>
                <w:color w:val="000000"/>
                <w:sz w:val="22"/>
                <w:szCs w:val="22"/>
                <w:lang w:eastAsia="en-NZ"/>
              </w:rPr>
              <w:t xml:space="preserve">Actual </w:t>
            </w:r>
            <w:r w:rsidR="00E40D06" w:rsidRPr="00B06E99">
              <w:rPr>
                <w:rFonts w:ascii="Calibri" w:hAnsi="Calibri" w:cs="Calibri"/>
                <w:color w:val="000000"/>
                <w:sz w:val="22"/>
                <w:szCs w:val="22"/>
                <w:lang w:eastAsia="en-NZ"/>
              </w:rPr>
              <w:t xml:space="preserve">net </w:t>
            </w:r>
            <w:r w:rsidRPr="00432970">
              <w:rPr>
                <w:rFonts w:ascii="Calibri" w:hAnsi="Calibri" w:cs="Calibri"/>
                <w:color w:val="000000"/>
                <w:sz w:val="22"/>
                <w:szCs w:val="22"/>
                <w:lang w:eastAsia="en-NZ"/>
              </w:rPr>
              <w:t>emissions</w:t>
            </w:r>
            <w:r>
              <w:rPr>
                <w:rFonts w:ascii="Calibri" w:hAnsi="Calibri" w:cs="Calibri"/>
                <w:color w:val="000000"/>
                <w:sz w:val="22"/>
                <w:szCs w:val="22"/>
                <w:lang w:eastAsia="en-NZ"/>
              </w:rPr>
              <w:t xml:space="preserve"> (s</w:t>
            </w:r>
            <w:r w:rsidR="0037376C">
              <w:rPr>
                <w:rFonts w:ascii="Calibri" w:hAnsi="Calibri" w:cs="Calibri"/>
                <w:color w:val="000000"/>
                <w:sz w:val="22"/>
                <w:szCs w:val="22"/>
                <w:lang w:eastAsia="en-NZ"/>
              </w:rPr>
              <w:t>um to 310 years</w:t>
            </w:r>
            <w:r>
              <w:rPr>
                <w:rFonts w:ascii="Calibri" w:hAnsi="Calibri" w:cs="Calibri"/>
                <w:color w:val="000000"/>
                <w:sz w:val="22"/>
                <w:szCs w:val="22"/>
                <w:lang w:eastAsia="en-NZ"/>
              </w:rPr>
              <w:t>)</w:t>
            </w:r>
          </w:p>
        </w:tc>
        <w:tc>
          <w:tcPr>
            <w:tcW w:w="1559" w:type="dxa"/>
            <w:tcBorders>
              <w:left w:val="single" w:sz="4" w:space="0" w:color="auto"/>
              <w:right w:val="single" w:sz="4" w:space="0" w:color="auto"/>
            </w:tcBorders>
          </w:tcPr>
          <w:p w14:paraId="4F011737" w14:textId="52F9E6B8" w:rsidR="0037376C" w:rsidRDefault="0037376C" w:rsidP="0037376C">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70 (FRL)</w:t>
            </w:r>
          </w:p>
        </w:tc>
        <w:tc>
          <w:tcPr>
            <w:tcW w:w="1559" w:type="dxa"/>
            <w:tcBorders>
              <w:left w:val="single" w:sz="4" w:space="0" w:color="auto"/>
              <w:right w:val="single" w:sz="4" w:space="0" w:color="auto"/>
            </w:tcBorders>
            <w:shd w:val="clear" w:color="auto" w:fill="auto"/>
            <w:noWrap/>
          </w:tcPr>
          <w:p w14:paraId="77E4852D" w14:textId="5815052C" w:rsidR="0037376C" w:rsidRPr="004A09EB" w:rsidRDefault="0037376C" w:rsidP="000308E2">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25</w:t>
            </w:r>
          </w:p>
        </w:tc>
        <w:tc>
          <w:tcPr>
            <w:tcW w:w="1276" w:type="dxa"/>
            <w:tcBorders>
              <w:left w:val="single" w:sz="4" w:space="0" w:color="auto"/>
              <w:right w:val="nil"/>
            </w:tcBorders>
            <w:shd w:val="clear" w:color="auto" w:fill="auto"/>
            <w:noWrap/>
          </w:tcPr>
          <w:p w14:paraId="14D5F447" w14:textId="39744B24" w:rsidR="0037376C" w:rsidRPr="004A09EB" w:rsidRDefault="0037376C" w:rsidP="000308E2">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-5</w:t>
            </w:r>
          </w:p>
        </w:tc>
      </w:tr>
      <w:tr w:rsidR="0037376C" w:rsidRPr="004A09EB" w14:paraId="4D59C60C" w14:textId="77777777" w:rsidTr="009D6B58">
        <w:trPr>
          <w:trHeight w:val="300"/>
        </w:trPr>
        <w:tc>
          <w:tcPr>
            <w:tcW w:w="3828" w:type="dxa"/>
            <w:tcBorders>
              <w:left w:val="nil"/>
              <w:right w:val="single" w:sz="4" w:space="0" w:color="auto"/>
            </w:tcBorders>
            <w:shd w:val="clear" w:color="auto" w:fill="auto"/>
            <w:noWrap/>
            <w:vAlign w:val="bottom"/>
          </w:tcPr>
          <w:p w14:paraId="70A6362B" w14:textId="5251F8DC" w:rsidR="0037376C" w:rsidRPr="00112F57" w:rsidRDefault="00826349" w:rsidP="0037376C">
            <w:pPr>
              <w:pStyle w:val="ListParagraph"/>
              <w:ind w:left="465"/>
              <w:rPr>
                <w:rFonts w:ascii="Calibri" w:hAnsi="Calibri" w:cs="Calibri"/>
                <w:color w:val="000000"/>
                <w:sz w:val="22"/>
                <w:szCs w:val="22"/>
                <w:lang w:eastAsia="en-NZ"/>
              </w:rPr>
            </w:pPr>
            <w:r w:rsidRPr="00112F57">
              <w:rPr>
                <w:rFonts w:ascii="Calibri" w:hAnsi="Calibri" w:cs="Calibri"/>
                <w:color w:val="000000"/>
                <w:sz w:val="22"/>
                <w:szCs w:val="22"/>
                <w:lang w:eastAsia="en-NZ"/>
              </w:rPr>
              <w:t xml:space="preserve">[A] </w:t>
            </w:r>
            <w:r w:rsidR="00192D20" w:rsidRPr="00112F57">
              <w:rPr>
                <w:rFonts w:ascii="Calibri" w:hAnsi="Calibri" w:cs="Calibri"/>
                <w:color w:val="000000"/>
                <w:sz w:val="22"/>
                <w:szCs w:val="22"/>
                <w:lang w:eastAsia="en-NZ"/>
              </w:rPr>
              <w:t xml:space="preserve">Actual net emissions minus </w:t>
            </w:r>
            <w:r w:rsidRPr="00112F57">
              <w:rPr>
                <w:rFonts w:ascii="Calibri" w:hAnsi="Calibri" w:cs="Calibri"/>
                <w:color w:val="000000"/>
                <w:sz w:val="22"/>
                <w:szCs w:val="22"/>
                <w:lang w:eastAsia="en-NZ"/>
              </w:rPr>
              <w:t>FRL</w:t>
            </w:r>
          </w:p>
        </w:tc>
        <w:tc>
          <w:tcPr>
            <w:tcW w:w="1559" w:type="dxa"/>
            <w:tcBorders>
              <w:left w:val="single" w:sz="4" w:space="0" w:color="auto"/>
              <w:right w:val="single" w:sz="4" w:space="0" w:color="auto"/>
            </w:tcBorders>
          </w:tcPr>
          <w:p w14:paraId="3378F5C0" w14:textId="62D65C60" w:rsidR="0037376C" w:rsidRDefault="0037376C" w:rsidP="0037376C">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w:t>
            </w:r>
          </w:p>
        </w:tc>
        <w:tc>
          <w:tcPr>
            <w:tcW w:w="1559" w:type="dxa"/>
            <w:tcBorders>
              <w:left w:val="single" w:sz="4" w:space="0" w:color="auto"/>
              <w:right w:val="single" w:sz="4" w:space="0" w:color="auto"/>
            </w:tcBorders>
            <w:shd w:val="clear" w:color="auto" w:fill="auto"/>
            <w:noWrap/>
          </w:tcPr>
          <w:p w14:paraId="42789068" w14:textId="6A4B1FB6" w:rsidR="0037376C" w:rsidRDefault="0037376C" w:rsidP="004417F4">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-45</w:t>
            </w:r>
          </w:p>
        </w:tc>
        <w:tc>
          <w:tcPr>
            <w:tcW w:w="1276" w:type="dxa"/>
            <w:tcBorders>
              <w:left w:val="single" w:sz="4" w:space="0" w:color="auto"/>
              <w:right w:val="nil"/>
            </w:tcBorders>
            <w:shd w:val="clear" w:color="auto" w:fill="auto"/>
            <w:noWrap/>
          </w:tcPr>
          <w:p w14:paraId="2648AE77" w14:textId="1630D4C6" w:rsidR="0037376C" w:rsidRDefault="0037376C" w:rsidP="004417F4">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-75</w:t>
            </w:r>
          </w:p>
        </w:tc>
      </w:tr>
      <w:tr w:rsidR="0037376C" w:rsidRPr="004A09EB" w14:paraId="6524B956" w14:textId="77777777" w:rsidTr="009D6B58">
        <w:trPr>
          <w:trHeight w:val="300"/>
        </w:trPr>
        <w:tc>
          <w:tcPr>
            <w:tcW w:w="3828" w:type="dxa"/>
            <w:tcBorders>
              <w:left w:val="nil"/>
              <w:right w:val="single" w:sz="4" w:space="0" w:color="auto"/>
            </w:tcBorders>
            <w:shd w:val="clear" w:color="auto" w:fill="auto"/>
            <w:noWrap/>
            <w:vAlign w:val="bottom"/>
          </w:tcPr>
          <w:p w14:paraId="373322D9" w14:textId="0A0B5B19" w:rsidR="0037376C" w:rsidRPr="00575261" w:rsidRDefault="0037376C" w:rsidP="0037376C">
            <w:pPr>
              <w:pStyle w:val="ListParagraph"/>
              <w:ind w:left="465"/>
              <w:rPr>
                <w:rFonts w:ascii="Calibri" w:hAnsi="Calibri" w:cs="Calibri"/>
                <w:b/>
                <w:bCs/>
                <w:color w:val="000000"/>
                <w:sz w:val="22"/>
                <w:szCs w:val="22"/>
                <w:lang w:eastAsia="en-NZ"/>
              </w:rPr>
            </w:pPr>
            <w:r w:rsidRPr="00575261">
              <w:rPr>
                <w:rFonts w:ascii="Calibri" w:hAnsi="Calibri" w:cs="Calibri"/>
                <w:b/>
                <w:bCs/>
                <w:color w:val="000000"/>
                <w:sz w:val="22"/>
                <w:szCs w:val="22"/>
                <w:lang w:eastAsia="en-NZ"/>
              </w:rPr>
              <w:t>Total accounting quantity</w:t>
            </w:r>
            <w:r>
              <w:rPr>
                <w:rFonts w:ascii="Calibri" w:hAnsi="Calibri" w:cs="Calibri"/>
                <w:b/>
                <w:bCs/>
                <w:color w:val="000000"/>
                <w:sz w:val="22"/>
                <w:szCs w:val="22"/>
                <w:lang w:eastAsia="en-NZ"/>
              </w:rPr>
              <w:t xml:space="preserve"> </w:t>
            </w:r>
            <w:r>
              <w:rPr>
                <w:rFonts w:ascii="Calibri" w:hAnsi="Calibri" w:cs="Calibri"/>
                <w:b/>
                <w:bCs/>
                <w:color w:val="000000"/>
                <w:sz w:val="22"/>
                <w:szCs w:val="22"/>
                <w:lang w:eastAsia="en-NZ"/>
              </w:rPr>
              <w:br/>
            </w:r>
            <w:r w:rsidRPr="00CB15F7">
              <w:rPr>
                <w:rFonts w:ascii="Calibri" w:hAnsi="Calibri" w:cs="Calibri"/>
                <w:color w:val="000000"/>
                <w:sz w:val="22"/>
                <w:szCs w:val="22"/>
                <w:lang w:eastAsia="en-NZ"/>
              </w:rPr>
              <w:t>[</w:t>
            </w:r>
            <w:r>
              <w:rPr>
                <w:rFonts w:ascii="Calibri" w:hAnsi="Calibri" w:cs="Calibri"/>
                <w:color w:val="000000"/>
                <w:sz w:val="22"/>
                <w:szCs w:val="22"/>
                <w:lang w:eastAsia="en-NZ"/>
              </w:rPr>
              <w:t>i</w:t>
            </w:r>
            <w:r w:rsidRPr="00CB15F7">
              <w:rPr>
                <w:rFonts w:ascii="Calibri" w:hAnsi="Calibri" w:cs="Calibri"/>
                <w:color w:val="000000"/>
                <w:sz w:val="22"/>
                <w:szCs w:val="22"/>
                <w:lang w:eastAsia="en-NZ"/>
              </w:rPr>
              <w:t xml:space="preserve"> + A]</w:t>
            </w:r>
          </w:p>
        </w:tc>
        <w:tc>
          <w:tcPr>
            <w:tcW w:w="1559" w:type="dxa"/>
            <w:tcBorders>
              <w:left w:val="single" w:sz="4" w:space="0" w:color="auto"/>
              <w:right w:val="single" w:sz="4" w:space="0" w:color="auto"/>
            </w:tcBorders>
            <w:vAlign w:val="center"/>
          </w:tcPr>
          <w:p w14:paraId="3FCCA7D0" w14:textId="579A59DD" w:rsidR="0037376C" w:rsidRPr="008F17A7" w:rsidRDefault="0037376C" w:rsidP="00A73A27">
            <w:pPr>
              <w:jc w:val="center"/>
              <w:rPr>
                <w:rFonts w:ascii="Calibri" w:hAnsi="Calibri" w:cs="Calibri"/>
                <w:b/>
                <w:bCs/>
                <w:color w:val="000000"/>
                <w:sz w:val="22"/>
                <w:szCs w:val="22"/>
                <w:lang w:val="en-NZ" w:eastAsia="en-NZ"/>
              </w:rPr>
            </w:pPr>
            <w:r w:rsidRPr="008F17A7">
              <w:rPr>
                <w:rFonts w:ascii="Calibri" w:hAnsi="Calibri" w:cs="Calibri"/>
                <w:b/>
                <w:bCs/>
                <w:color w:val="000000"/>
                <w:sz w:val="22"/>
                <w:szCs w:val="22"/>
                <w:lang w:val="en-NZ" w:eastAsia="en-NZ"/>
              </w:rPr>
              <w:t>80</w:t>
            </w:r>
          </w:p>
        </w:tc>
        <w:tc>
          <w:tcPr>
            <w:tcW w:w="1559" w:type="dxa"/>
            <w:tcBorders>
              <w:left w:val="single" w:sz="4" w:space="0" w:color="auto"/>
              <w:right w:val="single" w:sz="4" w:space="0" w:color="auto"/>
            </w:tcBorders>
            <w:shd w:val="clear" w:color="auto" w:fill="auto"/>
            <w:noWrap/>
            <w:vAlign w:val="center"/>
          </w:tcPr>
          <w:p w14:paraId="294EAD42" w14:textId="543B2E3D" w:rsidR="0037376C" w:rsidRPr="008F17A7" w:rsidRDefault="0037376C" w:rsidP="00A73A27">
            <w:pPr>
              <w:jc w:val="center"/>
              <w:rPr>
                <w:rFonts w:ascii="Calibri" w:hAnsi="Calibri" w:cs="Calibri"/>
                <w:b/>
                <w:bCs/>
                <w:color w:val="000000"/>
                <w:sz w:val="22"/>
                <w:szCs w:val="22"/>
                <w:lang w:val="en-NZ" w:eastAsia="en-NZ"/>
              </w:rPr>
            </w:pPr>
            <w:r w:rsidRPr="008F17A7">
              <w:rPr>
                <w:rFonts w:ascii="Calibri" w:hAnsi="Calibri" w:cs="Calibri"/>
                <w:b/>
                <w:bCs/>
                <w:color w:val="000000"/>
                <w:sz w:val="22"/>
                <w:szCs w:val="22"/>
                <w:lang w:val="en-NZ" w:eastAsia="en-NZ"/>
              </w:rPr>
              <w:t>35</w:t>
            </w:r>
          </w:p>
        </w:tc>
        <w:tc>
          <w:tcPr>
            <w:tcW w:w="1276" w:type="dxa"/>
            <w:tcBorders>
              <w:left w:val="single" w:sz="4" w:space="0" w:color="auto"/>
              <w:right w:val="nil"/>
            </w:tcBorders>
            <w:shd w:val="clear" w:color="auto" w:fill="auto"/>
            <w:noWrap/>
            <w:vAlign w:val="center"/>
          </w:tcPr>
          <w:p w14:paraId="4A597685" w14:textId="3FF88D77" w:rsidR="0037376C" w:rsidRPr="008F17A7" w:rsidRDefault="0037376C" w:rsidP="00A73A27">
            <w:pPr>
              <w:jc w:val="center"/>
              <w:rPr>
                <w:rFonts w:ascii="Calibri" w:hAnsi="Calibri" w:cs="Calibri"/>
                <w:b/>
                <w:bCs/>
                <w:color w:val="000000"/>
                <w:sz w:val="22"/>
                <w:szCs w:val="22"/>
                <w:lang w:val="en-NZ" w:eastAsia="en-NZ"/>
              </w:rPr>
            </w:pPr>
            <w:r w:rsidRPr="008F17A7">
              <w:rPr>
                <w:rFonts w:ascii="Calibri" w:hAnsi="Calibri" w:cs="Calibri"/>
                <w:b/>
                <w:bCs/>
                <w:color w:val="000000"/>
                <w:sz w:val="22"/>
                <w:szCs w:val="22"/>
                <w:lang w:val="en-NZ" w:eastAsia="en-NZ"/>
              </w:rPr>
              <w:t>5</w:t>
            </w:r>
          </w:p>
        </w:tc>
      </w:tr>
      <w:tr w:rsidR="0037376C" w:rsidRPr="004A09EB" w14:paraId="24451306" w14:textId="77777777" w:rsidTr="009D6B58">
        <w:trPr>
          <w:trHeight w:val="300"/>
        </w:trPr>
        <w:tc>
          <w:tcPr>
            <w:tcW w:w="3828" w:type="dxa"/>
            <w:tcBorders>
              <w:left w:val="nil"/>
              <w:right w:val="single" w:sz="4" w:space="0" w:color="auto"/>
            </w:tcBorders>
            <w:shd w:val="clear" w:color="auto" w:fill="auto"/>
            <w:noWrap/>
            <w:vAlign w:val="bottom"/>
          </w:tcPr>
          <w:p w14:paraId="694A1376" w14:textId="212238FA" w:rsidR="0037376C" w:rsidRPr="00B357C7" w:rsidRDefault="0037376C" w:rsidP="0037376C">
            <w:pPr>
              <w:pStyle w:val="ListParagraph"/>
              <w:ind w:left="465"/>
              <w:rPr>
                <w:rFonts w:ascii="Calibri" w:hAnsi="Calibri" w:cs="Calibri"/>
                <w:color w:val="000000"/>
                <w:sz w:val="22"/>
                <w:szCs w:val="22"/>
                <w:u w:val="single"/>
                <w:lang w:eastAsia="en-NZ"/>
              </w:rPr>
            </w:pPr>
            <w:r w:rsidRPr="00B357C7">
              <w:rPr>
                <w:rFonts w:ascii="Calibri" w:hAnsi="Calibri" w:cs="Calibri"/>
                <w:color w:val="000000"/>
                <w:sz w:val="22"/>
                <w:szCs w:val="22"/>
                <w:u w:val="single"/>
                <w:lang w:eastAsia="en-NZ"/>
              </w:rPr>
              <w:t>or</w:t>
            </w:r>
          </w:p>
        </w:tc>
        <w:tc>
          <w:tcPr>
            <w:tcW w:w="1559" w:type="dxa"/>
            <w:tcBorders>
              <w:left w:val="single" w:sz="4" w:space="0" w:color="auto"/>
              <w:right w:val="single" w:sz="4" w:space="0" w:color="auto"/>
            </w:tcBorders>
          </w:tcPr>
          <w:p w14:paraId="59D987AF" w14:textId="77777777" w:rsidR="0037376C" w:rsidRDefault="0037376C" w:rsidP="0037376C">
            <w:pPr>
              <w:jc w:val="center"/>
              <w:rPr>
                <w:rFonts w:ascii="Calibri" w:hAnsi="Calibri" w:cs="Calibri"/>
                <w:color w:val="000000"/>
                <w:sz w:val="22"/>
                <w:szCs w:val="22"/>
                <w:lang w:val="en-NZ" w:eastAsia="en-NZ"/>
              </w:rPr>
            </w:pPr>
          </w:p>
        </w:tc>
        <w:tc>
          <w:tcPr>
            <w:tcW w:w="1559" w:type="dxa"/>
            <w:tcBorders>
              <w:left w:val="single" w:sz="4" w:space="0" w:color="auto"/>
              <w:right w:val="single" w:sz="4" w:space="0" w:color="auto"/>
            </w:tcBorders>
            <w:shd w:val="clear" w:color="auto" w:fill="auto"/>
            <w:noWrap/>
            <w:vAlign w:val="bottom"/>
          </w:tcPr>
          <w:p w14:paraId="09371B0C" w14:textId="77777777" w:rsidR="0037376C" w:rsidRDefault="0037376C" w:rsidP="0037376C">
            <w:pPr>
              <w:jc w:val="center"/>
              <w:rPr>
                <w:rFonts w:ascii="Calibri" w:hAnsi="Calibri" w:cs="Calibri"/>
                <w:color w:val="000000"/>
                <w:sz w:val="22"/>
                <w:szCs w:val="22"/>
                <w:lang w:val="en-NZ" w:eastAsia="en-NZ"/>
              </w:rPr>
            </w:pPr>
          </w:p>
        </w:tc>
        <w:tc>
          <w:tcPr>
            <w:tcW w:w="1276" w:type="dxa"/>
            <w:tcBorders>
              <w:left w:val="single" w:sz="4" w:space="0" w:color="auto"/>
              <w:right w:val="nil"/>
            </w:tcBorders>
            <w:shd w:val="clear" w:color="auto" w:fill="auto"/>
            <w:noWrap/>
            <w:vAlign w:val="bottom"/>
          </w:tcPr>
          <w:p w14:paraId="22154000" w14:textId="77777777" w:rsidR="0037376C" w:rsidRDefault="0037376C" w:rsidP="0037376C">
            <w:pPr>
              <w:jc w:val="center"/>
              <w:rPr>
                <w:rFonts w:ascii="Calibri" w:hAnsi="Calibri" w:cs="Calibri"/>
                <w:color w:val="000000"/>
                <w:sz w:val="22"/>
                <w:szCs w:val="22"/>
                <w:lang w:val="en-NZ" w:eastAsia="en-NZ"/>
              </w:rPr>
            </w:pPr>
          </w:p>
        </w:tc>
      </w:tr>
      <w:tr w:rsidR="0037376C" w:rsidRPr="004A09EB" w14:paraId="7DB66E9C" w14:textId="77777777" w:rsidTr="009D6B58">
        <w:trPr>
          <w:trHeight w:val="300"/>
        </w:trPr>
        <w:tc>
          <w:tcPr>
            <w:tcW w:w="3828" w:type="dxa"/>
            <w:tcBorders>
              <w:left w:val="nil"/>
              <w:right w:val="single" w:sz="4" w:space="0" w:color="auto"/>
            </w:tcBorders>
            <w:shd w:val="clear" w:color="auto" w:fill="auto"/>
            <w:noWrap/>
            <w:vAlign w:val="bottom"/>
          </w:tcPr>
          <w:p w14:paraId="08DDCFD6" w14:textId="468E3C38" w:rsidR="0037376C" w:rsidRDefault="00C00AD1" w:rsidP="0037376C">
            <w:pPr>
              <w:pStyle w:val="ListParagraph"/>
              <w:numPr>
                <w:ilvl w:val="0"/>
                <w:numId w:val="40"/>
              </w:numPr>
              <w:rPr>
                <w:rFonts w:ascii="Calibri" w:hAnsi="Calibri" w:cs="Calibri"/>
                <w:color w:val="000000"/>
                <w:sz w:val="22"/>
                <w:szCs w:val="22"/>
                <w:lang w:eastAsia="en-NZ"/>
              </w:rPr>
            </w:pPr>
            <w:r w:rsidRPr="00432970">
              <w:rPr>
                <w:rFonts w:ascii="Calibri" w:hAnsi="Calibri" w:cs="Calibri"/>
                <w:color w:val="000000"/>
                <w:sz w:val="22"/>
                <w:szCs w:val="22"/>
                <w:lang w:eastAsia="en-NZ"/>
              </w:rPr>
              <w:t xml:space="preserve">Actual </w:t>
            </w:r>
            <w:r w:rsidR="00E40D06" w:rsidRPr="00432970">
              <w:rPr>
                <w:rFonts w:ascii="Calibri" w:hAnsi="Calibri" w:cs="Calibri"/>
                <w:color w:val="000000"/>
                <w:sz w:val="22"/>
                <w:szCs w:val="22"/>
                <w:lang w:eastAsia="en-NZ"/>
              </w:rPr>
              <w:t xml:space="preserve">net </w:t>
            </w:r>
            <w:r w:rsidRPr="00432970">
              <w:rPr>
                <w:rFonts w:ascii="Calibri" w:hAnsi="Calibri" w:cs="Calibri"/>
                <w:color w:val="000000"/>
                <w:sz w:val="22"/>
                <w:szCs w:val="22"/>
                <w:lang w:eastAsia="en-NZ"/>
              </w:rPr>
              <w:t>emissions</w:t>
            </w:r>
            <w:r>
              <w:rPr>
                <w:rFonts w:ascii="Calibri" w:hAnsi="Calibri" w:cs="Calibri"/>
                <w:color w:val="000000"/>
                <w:sz w:val="22"/>
                <w:szCs w:val="22"/>
                <w:lang w:eastAsia="en-NZ"/>
              </w:rPr>
              <w:t xml:space="preserve"> (s</w:t>
            </w:r>
            <w:r w:rsidR="0037376C">
              <w:rPr>
                <w:rFonts w:ascii="Calibri" w:hAnsi="Calibri" w:cs="Calibri"/>
                <w:color w:val="000000"/>
                <w:sz w:val="22"/>
                <w:szCs w:val="22"/>
                <w:lang w:eastAsia="en-NZ"/>
              </w:rPr>
              <w:t>um to 10 full rotations</w:t>
            </w:r>
            <w:r>
              <w:rPr>
                <w:rFonts w:ascii="Calibri" w:hAnsi="Calibri" w:cs="Calibri"/>
                <w:color w:val="000000"/>
                <w:sz w:val="22"/>
                <w:szCs w:val="22"/>
                <w:lang w:eastAsia="en-NZ"/>
              </w:rPr>
              <w:t>)</w:t>
            </w:r>
          </w:p>
        </w:tc>
        <w:tc>
          <w:tcPr>
            <w:tcW w:w="1559" w:type="dxa"/>
            <w:tcBorders>
              <w:left w:val="single" w:sz="4" w:space="0" w:color="auto"/>
              <w:right w:val="single" w:sz="4" w:space="0" w:color="auto"/>
            </w:tcBorders>
          </w:tcPr>
          <w:p w14:paraId="407AF5F8" w14:textId="62D4CE27" w:rsidR="0037376C" w:rsidRDefault="0037376C" w:rsidP="0037376C">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70</w:t>
            </w:r>
          </w:p>
        </w:tc>
        <w:tc>
          <w:tcPr>
            <w:tcW w:w="1559" w:type="dxa"/>
            <w:tcBorders>
              <w:left w:val="single" w:sz="4" w:space="0" w:color="auto"/>
              <w:right w:val="single" w:sz="4" w:space="0" w:color="auto"/>
            </w:tcBorders>
            <w:shd w:val="clear" w:color="auto" w:fill="auto"/>
            <w:noWrap/>
          </w:tcPr>
          <w:p w14:paraId="483B11E5" w14:textId="13EDDEC6" w:rsidR="0037376C" w:rsidRDefault="0037376C" w:rsidP="000308E2">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95</w:t>
            </w:r>
          </w:p>
        </w:tc>
        <w:tc>
          <w:tcPr>
            <w:tcW w:w="1276" w:type="dxa"/>
            <w:tcBorders>
              <w:left w:val="single" w:sz="4" w:space="0" w:color="auto"/>
              <w:right w:val="nil"/>
            </w:tcBorders>
            <w:shd w:val="clear" w:color="auto" w:fill="auto"/>
            <w:noWrap/>
          </w:tcPr>
          <w:p w14:paraId="1D2A6020" w14:textId="615AA807" w:rsidR="0037376C" w:rsidRDefault="0037376C" w:rsidP="000308E2">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20</w:t>
            </w:r>
          </w:p>
        </w:tc>
      </w:tr>
      <w:tr w:rsidR="0037376C" w:rsidRPr="004A09EB" w14:paraId="4201948A" w14:textId="77777777" w:rsidTr="009D6B58">
        <w:trPr>
          <w:trHeight w:val="300"/>
        </w:trPr>
        <w:tc>
          <w:tcPr>
            <w:tcW w:w="3828" w:type="dxa"/>
            <w:tcBorders>
              <w:left w:val="nil"/>
              <w:right w:val="single" w:sz="4" w:space="0" w:color="auto"/>
            </w:tcBorders>
            <w:shd w:val="clear" w:color="auto" w:fill="auto"/>
            <w:noWrap/>
            <w:vAlign w:val="bottom"/>
          </w:tcPr>
          <w:p w14:paraId="6C293AAA" w14:textId="1605BCC7" w:rsidR="0037376C" w:rsidRDefault="00826349" w:rsidP="0037376C">
            <w:pPr>
              <w:pStyle w:val="ListParagraph"/>
              <w:ind w:left="465"/>
              <w:rPr>
                <w:rFonts w:ascii="Calibri" w:hAnsi="Calibri" w:cs="Calibri"/>
                <w:color w:val="000000"/>
                <w:sz w:val="22"/>
                <w:szCs w:val="22"/>
                <w:lang w:eastAsia="en-NZ"/>
              </w:rPr>
            </w:pPr>
            <w:r>
              <w:rPr>
                <w:rFonts w:ascii="Calibri" w:hAnsi="Calibri" w:cs="Calibri"/>
                <w:color w:val="000000"/>
                <w:sz w:val="22"/>
                <w:szCs w:val="22"/>
                <w:lang w:eastAsia="en-NZ"/>
              </w:rPr>
              <w:t xml:space="preserve">[B] </w:t>
            </w:r>
            <w:r w:rsidR="00192D20" w:rsidRPr="009D6B58">
              <w:rPr>
                <w:rFonts w:ascii="Calibri" w:hAnsi="Calibri" w:cs="Calibri"/>
                <w:color w:val="000000"/>
                <w:sz w:val="22"/>
                <w:szCs w:val="22"/>
                <w:lang w:eastAsia="en-NZ"/>
              </w:rPr>
              <w:t>A</w:t>
            </w:r>
            <w:r w:rsidR="00C00AD1" w:rsidRPr="009D6B58">
              <w:rPr>
                <w:rFonts w:ascii="Calibri" w:hAnsi="Calibri" w:cs="Calibri"/>
                <w:color w:val="000000"/>
                <w:sz w:val="22"/>
                <w:szCs w:val="22"/>
                <w:lang w:eastAsia="en-NZ"/>
              </w:rPr>
              <w:t xml:space="preserve">ctual </w:t>
            </w:r>
            <w:r w:rsidR="00E40D06" w:rsidRPr="009D6B58">
              <w:rPr>
                <w:rFonts w:ascii="Calibri" w:hAnsi="Calibri" w:cs="Calibri"/>
                <w:color w:val="000000"/>
                <w:sz w:val="22"/>
                <w:szCs w:val="22"/>
                <w:lang w:eastAsia="en-NZ"/>
              </w:rPr>
              <w:t xml:space="preserve">net </w:t>
            </w:r>
            <w:r w:rsidR="00C00AD1" w:rsidRPr="009D6B58">
              <w:rPr>
                <w:rFonts w:ascii="Calibri" w:hAnsi="Calibri" w:cs="Calibri"/>
                <w:color w:val="000000"/>
                <w:sz w:val="22"/>
                <w:szCs w:val="22"/>
                <w:lang w:eastAsia="en-NZ"/>
              </w:rPr>
              <w:t xml:space="preserve">emissions </w:t>
            </w:r>
            <w:r w:rsidR="00192D20" w:rsidRPr="009D6B58">
              <w:rPr>
                <w:rFonts w:ascii="Calibri" w:hAnsi="Calibri" w:cs="Calibri"/>
                <w:color w:val="000000"/>
                <w:sz w:val="22"/>
                <w:szCs w:val="22"/>
                <w:lang w:eastAsia="en-NZ"/>
              </w:rPr>
              <w:t>minus</w:t>
            </w:r>
            <w:r w:rsidR="0037376C" w:rsidRPr="009D6B58">
              <w:rPr>
                <w:rFonts w:ascii="Calibri" w:hAnsi="Calibri" w:cs="Calibri"/>
                <w:color w:val="000000"/>
                <w:sz w:val="22"/>
                <w:szCs w:val="22"/>
                <w:lang w:eastAsia="en-NZ"/>
              </w:rPr>
              <w:t xml:space="preserve"> FRL</w:t>
            </w:r>
          </w:p>
        </w:tc>
        <w:tc>
          <w:tcPr>
            <w:tcW w:w="1559" w:type="dxa"/>
            <w:tcBorders>
              <w:left w:val="single" w:sz="4" w:space="0" w:color="auto"/>
              <w:right w:val="single" w:sz="4" w:space="0" w:color="auto"/>
            </w:tcBorders>
          </w:tcPr>
          <w:p w14:paraId="04BC8D2A" w14:textId="159C8186" w:rsidR="0037376C" w:rsidRDefault="0037376C" w:rsidP="0037376C">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w:t>
            </w:r>
          </w:p>
        </w:tc>
        <w:tc>
          <w:tcPr>
            <w:tcW w:w="1559" w:type="dxa"/>
            <w:tcBorders>
              <w:left w:val="single" w:sz="4" w:space="0" w:color="auto"/>
              <w:right w:val="single" w:sz="4" w:space="0" w:color="auto"/>
            </w:tcBorders>
            <w:shd w:val="clear" w:color="auto" w:fill="auto"/>
            <w:noWrap/>
          </w:tcPr>
          <w:p w14:paraId="50802C0B" w14:textId="1AABB2B0" w:rsidR="0037376C" w:rsidRDefault="0037376C" w:rsidP="004417F4">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25</w:t>
            </w:r>
          </w:p>
        </w:tc>
        <w:tc>
          <w:tcPr>
            <w:tcW w:w="1276" w:type="dxa"/>
            <w:tcBorders>
              <w:left w:val="single" w:sz="4" w:space="0" w:color="auto"/>
              <w:right w:val="nil"/>
            </w:tcBorders>
            <w:shd w:val="clear" w:color="auto" w:fill="auto"/>
            <w:noWrap/>
          </w:tcPr>
          <w:p w14:paraId="60268D24" w14:textId="5BB6CE11" w:rsidR="0037376C" w:rsidRDefault="0037376C" w:rsidP="004417F4">
            <w:pPr>
              <w:jc w:val="center"/>
              <w:rPr>
                <w:rFonts w:ascii="Calibri" w:hAnsi="Calibri" w:cs="Calibri"/>
                <w:color w:val="000000"/>
                <w:sz w:val="22"/>
                <w:szCs w:val="22"/>
                <w:lang w:val="en-NZ" w:eastAsia="en-NZ"/>
              </w:rPr>
            </w:pPr>
            <w:r>
              <w:rPr>
                <w:rFonts w:ascii="Calibri" w:hAnsi="Calibri" w:cs="Calibri"/>
                <w:color w:val="000000"/>
                <w:sz w:val="22"/>
                <w:szCs w:val="22"/>
                <w:lang w:val="en-NZ" w:eastAsia="en-NZ"/>
              </w:rPr>
              <w:t>-50</w:t>
            </w:r>
          </w:p>
        </w:tc>
      </w:tr>
      <w:tr w:rsidR="0037376C" w:rsidRPr="004A09EB" w14:paraId="4264C2BD" w14:textId="77777777" w:rsidTr="009D6B58">
        <w:trPr>
          <w:trHeight w:val="300"/>
        </w:trPr>
        <w:tc>
          <w:tcPr>
            <w:tcW w:w="3828" w:type="dxa"/>
            <w:tcBorders>
              <w:left w:val="nil"/>
              <w:right w:val="single" w:sz="4" w:space="0" w:color="auto"/>
            </w:tcBorders>
            <w:shd w:val="clear" w:color="auto" w:fill="auto"/>
            <w:noWrap/>
            <w:vAlign w:val="bottom"/>
          </w:tcPr>
          <w:p w14:paraId="757B9CEE" w14:textId="042A955F" w:rsidR="0037376C" w:rsidRPr="00575261" w:rsidRDefault="0037376C" w:rsidP="0037376C">
            <w:pPr>
              <w:pStyle w:val="ListParagraph"/>
              <w:ind w:left="465"/>
              <w:rPr>
                <w:rFonts w:ascii="Calibri" w:hAnsi="Calibri" w:cs="Calibri"/>
                <w:b/>
                <w:bCs/>
                <w:color w:val="000000"/>
                <w:sz w:val="22"/>
                <w:szCs w:val="22"/>
                <w:lang w:eastAsia="en-NZ"/>
              </w:rPr>
            </w:pPr>
            <w:r w:rsidRPr="00575261">
              <w:rPr>
                <w:rFonts w:ascii="Calibri" w:hAnsi="Calibri" w:cs="Calibri"/>
                <w:b/>
                <w:bCs/>
                <w:color w:val="000000"/>
                <w:sz w:val="22"/>
                <w:szCs w:val="22"/>
                <w:lang w:eastAsia="en-NZ"/>
              </w:rPr>
              <w:t>Total accounting quantity</w:t>
            </w:r>
            <w:r>
              <w:rPr>
                <w:rFonts w:ascii="Calibri" w:hAnsi="Calibri" w:cs="Calibri"/>
                <w:b/>
                <w:bCs/>
                <w:color w:val="000000"/>
                <w:sz w:val="22"/>
                <w:szCs w:val="22"/>
                <w:lang w:eastAsia="en-NZ"/>
              </w:rPr>
              <w:br/>
            </w:r>
            <w:r w:rsidRPr="00CB15F7">
              <w:rPr>
                <w:rFonts w:ascii="Calibri" w:hAnsi="Calibri" w:cs="Calibri"/>
                <w:color w:val="000000"/>
                <w:sz w:val="22"/>
                <w:szCs w:val="22"/>
                <w:lang w:eastAsia="en-NZ"/>
              </w:rPr>
              <w:t>[</w:t>
            </w:r>
            <w:r>
              <w:rPr>
                <w:rFonts w:ascii="Calibri" w:hAnsi="Calibri" w:cs="Calibri"/>
                <w:color w:val="000000"/>
                <w:sz w:val="22"/>
                <w:szCs w:val="22"/>
                <w:lang w:eastAsia="en-NZ"/>
              </w:rPr>
              <w:t>i</w:t>
            </w:r>
            <w:r w:rsidRPr="00CB15F7">
              <w:rPr>
                <w:rFonts w:ascii="Calibri" w:hAnsi="Calibri" w:cs="Calibri"/>
                <w:color w:val="000000"/>
                <w:sz w:val="22"/>
                <w:szCs w:val="22"/>
                <w:lang w:eastAsia="en-NZ"/>
              </w:rPr>
              <w:t xml:space="preserve"> + B]</w:t>
            </w:r>
          </w:p>
        </w:tc>
        <w:tc>
          <w:tcPr>
            <w:tcW w:w="1559" w:type="dxa"/>
            <w:tcBorders>
              <w:left w:val="single" w:sz="4" w:space="0" w:color="auto"/>
              <w:right w:val="single" w:sz="4" w:space="0" w:color="auto"/>
            </w:tcBorders>
            <w:vAlign w:val="center"/>
          </w:tcPr>
          <w:p w14:paraId="22404189" w14:textId="1DB3143B" w:rsidR="0037376C" w:rsidRPr="008F17A7" w:rsidRDefault="0037376C" w:rsidP="00A73A27">
            <w:pPr>
              <w:jc w:val="center"/>
              <w:rPr>
                <w:rFonts w:ascii="Calibri" w:hAnsi="Calibri" w:cs="Calibri"/>
                <w:b/>
                <w:bCs/>
                <w:color w:val="000000"/>
                <w:sz w:val="22"/>
                <w:szCs w:val="22"/>
                <w:lang w:val="en-NZ" w:eastAsia="en-NZ"/>
              </w:rPr>
            </w:pPr>
            <w:r w:rsidRPr="008F17A7">
              <w:rPr>
                <w:rFonts w:ascii="Calibri" w:hAnsi="Calibri" w:cs="Calibri"/>
                <w:b/>
                <w:bCs/>
                <w:color w:val="000000"/>
                <w:sz w:val="22"/>
                <w:szCs w:val="22"/>
                <w:lang w:val="en-NZ" w:eastAsia="en-NZ"/>
              </w:rPr>
              <w:t>80</w:t>
            </w:r>
          </w:p>
        </w:tc>
        <w:tc>
          <w:tcPr>
            <w:tcW w:w="1559" w:type="dxa"/>
            <w:tcBorders>
              <w:left w:val="single" w:sz="4" w:space="0" w:color="auto"/>
              <w:right w:val="single" w:sz="4" w:space="0" w:color="auto"/>
            </w:tcBorders>
            <w:shd w:val="clear" w:color="auto" w:fill="auto"/>
            <w:noWrap/>
            <w:vAlign w:val="center"/>
          </w:tcPr>
          <w:p w14:paraId="161EEDFA" w14:textId="19BC5EA8" w:rsidR="0037376C" w:rsidRPr="008F17A7" w:rsidRDefault="0037376C" w:rsidP="00A73A27">
            <w:pPr>
              <w:jc w:val="center"/>
              <w:rPr>
                <w:rFonts w:ascii="Calibri" w:hAnsi="Calibri" w:cs="Calibri"/>
                <w:b/>
                <w:bCs/>
                <w:color w:val="000000"/>
                <w:sz w:val="22"/>
                <w:szCs w:val="22"/>
                <w:lang w:val="en-NZ" w:eastAsia="en-NZ"/>
              </w:rPr>
            </w:pPr>
            <w:r w:rsidRPr="008F17A7">
              <w:rPr>
                <w:rFonts w:ascii="Calibri" w:hAnsi="Calibri" w:cs="Calibri"/>
                <w:b/>
                <w:bCs/>
                <w:color w:val="000000"/>
                <w:sz w:val="22"/>
                <w:szCs w:val="22"/>
                <w:lang w:val="en-NZ" w:eastAsia="en-NZ"/>
              </w:rPr>
              <w:t>105</w:t>
            </w:r>
          </w:p>
        </w:tc>
        <w:tc>
          <w:tcPr>
            <w:tcW w:w="1276" w:type="dxa"/>
            <w:tcBorders>
              <w:left w:val="single" w:sz="4" w:space="0" w:color="auto"/>
              <w:right w:val="nil"/>
            </w:tcBorders>
            <w:shd w:val="clear" w:color="auto" w:fill="auto"/>
            <w:noWrap/>
            <w:vAlign w:val="center"/>
          </w:tcPr>
          <w:p w14:paraId="3B9C550E" w14:textId="67129536" w:rsidR="0037376C" w:rsidRPr="008F17A7" w:rsidRDefault="0037376C" w:rsidP="00A73A27">
            <w:pPr>
              <w:jc w:val="center"/>
              <w:rPr>
                <w:rFonts w:ascii="Calibri" w:hAnsi="Calibri" w:cs="Calibri"/>
                <w:b/>
                <w:bCs/>
                <w:color w:val="000000"/>
                <w:sz w:val="22"/>
                <w:szCs w:val="22"/>
                <w:lang w:val="en-NZ" w:eastAsia="en-NZ"/>
              </w:rPr>
            </w:pPr>
            <w:r w:rsidRPr="008F17A7">
              <w:rPr>
                <w:rFonts w:ascii="Calibri" w:hAnsi="Calibri" w:cs="Calibri"/>
                <w:b/>
                <w:bCs/>
                <w:color w:val="000000"/>
                <w:sz w:val="22"/>
                <w:szCs w:val="22"/>
                <w:lang w:val="en-NZ" w:eastAsia="en-NZ"/>
              </w:rPr>
              <w:t>30</w:t>
            </w:r>
          </w:p>
        </w:tc>
      </w:tr>
      <w:tr w:rsidR="0037376C" w:rsidRPr="004A09EB" w14:paraId="61F9F02E" w14:textId="77777777" w:rsidTr="009D6B58">
        <w:trPr>
          <w:trHeight w:val="300"/>
        </w:trPr>
        <w:tc>
          <w:tcPr>
            <w:tcW w:w="3828" w:type="dxa"/>
            <w:tcBorders>
              <w:left w:val="nil"/>
              <w:bottom w:val="single" w:sz="4" w:space="0" w:color="auto"/>
              <w:right w:val="single" w:sz="4" w:space="0" w:color="auto"/>
            </w:tcBorders>
            <w:shd w:val="clear" w:color="auto" w:fill="auto"/>
            <w:noWrap/>
            <w:vAlign w:val="bottom"/>
          </w:tcPr>
          <w:p w14:paraId="13F22551" w14:textId="77777777" w:rsidR="0037376C" w:rsidRDefault="0037376C" w:rsidP="0037376C">
            <w:pPr>
              <w:pStyle w:val="ListParagraph"/>
              <w:ind w:left="465"/>
              <w:rPr>
                <w:rFonts w:ascii="Calibri" w:hAnsi="Calibri" w:cs="Calibri"/>
                <w:color w:val="000000"/>
                <w:sz w:val="22"/>
                <w:szCs w:val="22"/>
                <w:lang w:eastAsia="en-NZ"/>
              </w:rPr>
            </w:pPr>
          </w:p>
        </w:tc>
        <w:tc>
          <w:tcPr>
            <w:tcW w:w="1559" w:type="dxa"/>
            <w:tcBorders>
              <w:left w:val="single" w:sz="4" w:space="0" w:color="auto"/>
              <w:bottom w:val="single" w:sz="4" w:space="0" w:color="auto"/>
              <w:right w:val="single" w:sz="4" w:space="0" w:color="auto"/>
            </w:tcBorders>
          </w:tcPr>
          <w:p w14:paraId="4B8E49C6" w14:textId="77777777" w:rsidR="0037376C" w:rsidRDefault="0037376C" w:rsidP="0037376C">
            <w:pPr>
              <w:jc w:val="center"/>
              <w:rPr>
                <w:rFonts w:ascii="Calibri" w:hAnsi="Calibri" w:cs="Calibri"/>
                <w:color w:val="000000"/>
                <w:sz w:val="22"/>
                <w:szCs w:val="22"/>
                <w:lang w:val="en-NZ" w:eastAsia="en-NZ"/>
              </w:rPr>
            </w:pPr>
          </w:p>
        </w:tc>
        <w:tc>
          <w:tcPr>
            <w:tcW w:w="1559" w:type="dxa"/>
            <w:tcBorders>
              <w:left w:val="single" w:sz="4" w:space="0" w:color="auto"/>
              <w:bottom w:val="single" w:sz="4" w:space="0" w:color="auto"/>
              <w:right w:val="single" w:sz="4" w:space="0" w:color="auto"/>
            </w:tcBorders>
            <w:shd w:val="clear" w:color="auto" w:fill="auto"/>
            <w:noWrap/>
            <w:vAlign w:val="bottom"/>
          </w:tcPr>
          <w:p w14:paraId="2CB1175C" w14:textId="77777777" w:rsidR="0037376C" w:rsidRDefault="0037376C" w:rsidP="0037376C">
            <w:pPr>
              <w:jc w:val="center"/>
              <w:rPr>
                <w:rFonts w:ascii="Calibri" w:hAnsi="Calibri" w:cs="Calibri"/>
                <w:color w:val="000000"/>
                <w:sz w:val="22"/>
                <w:szCs w:val="22"/>
                <w:lang w:val="en-NZ" w:eastAsia="en-NZ"/>
              </w:rPr>
            </w:pPr>
          </w:p>
        </w:tc>
        <w:tc>
          <w:tcPr>
            <w:tcW w:w="1276" w:type="dxa"/>
            <w:tcBorders>
              <w:left w:val="single" w:sz="4" w:space="0" w:color="auto"/>
              <w:bottom w:val="single" w:sz="4" w:space="0" w:color="auto"/>
              <w:right w:val="nil"/>
            </w:tcBorders>
            <w:shd w:val="clear" w:color="auto" w:fill="auto"/>
            <w:noWrap/>
            <w:vAlign w:val="bottom"/>
          </w:tcPr>
          <w:p w14:paraId="20D9E384" w14:textId="77777777" w:rsidR="0037376C" w:rsidRDefault="0037376C" w:rsidP="0037376C">
            <w:pPr>
              <w:jc w:val="center"/>
              <w:rPr>
                <w:rFonts w:ascii="Calibri" w:hAnsi="Calibri" w:cs="Calibri"/>
                <w:color w:val="000000"/>
                <w:sz w:val="22"/>
                <w:szCs w:val="22"/>
                <w:lang w:val="en-NZ" w:eastAsia="en-NZ"/>
              </w:rPr>
            </w:pPr>
          </w:p>
        </w:tc>
      </w:tr>
    </w:tbl>
    <w:p w14:paraId="48BA4DE8" w14:textId="77777777" w:rsidR="0097334C" w:rsidRDefault="0097334C" w:rsidP="004D675F">
      <w:pPr>
        <w:rPr>
          <w:rStyle w:val="Strong"/>
          <w:b w:val="0"/>
          <w:bCs w:val="0"/>
        </w:rPr>
      </w:pPr>
    </w:p>
    <w:p w14:paraId="3FECBF26" w14:textId="6A16C721" w:rsidR="0097334C" w:rsidRDefault="000E4B8D" w:rsidP="004D675F">
      <w:pPr>
        <w:rPr>
          <w:rStyle w:val="Strong"/>
          <w:b w:val="0"/>
          <w:bCs w:val="0"/>
        </w:rPr>
      </w:pPr>
      <w:r>
        <w:rPr>
          <w:rStyle w:val="Strong"/>
          <w:b w:val="0"/>
          <w:bCs w:val="0"/>
        </w:rPr>
        <w:t>Whe</w:t>
      </w:r>
      <w:r w:rsidR="00C1725B">
        <w:rPr>
          <w:rStyle w:val="Strong"/>
          <w:b w:val="0"/>
          <w:bCs w:val="0"/>
        </w:rPr>
        <w:t>n</w:t>
      </w:r>
      <w:r>
        <w:rPr>
          <w:rStyle w:val="Strong"/>
          <w:b w:val="0"/>
          <w:bCs w:val="0"/>
        </w:rPr>
        <w:t xml:space="preserve"> actual rotations are different from the </w:t>
      </w:r>
      <w:r w:rsidR="00C1725B">
        <w:rPr>
          <w:rStyle w:val="Strong"/>
          <w:b w:val="0"/>
          <w:bCs w:val="0"/>
        </w:rPr>
        <w:t xml:space="preserve">assumption made in the LTA age calculation, </w:t>
      </w:r>
      <w:r w:rsidR="001F4D8A">
        <w:rPr>
          <w:rStyle w:val="Strong"/>
          <w:b w:val="0"/>
          <w:bCs w:val="0"/>
        </w:rPr>
        <w:t xml:space="preserve">the </w:t>
      </w:r>
      <w:r w:rsidR="009A5EB8">
        <w:rPr>
          <w:rStyle w:val="Strong"/>
          <w:b w:val="0"/>
          <w:bCs w:val="0"/>
        </w:rPr>
        <w:t xml:space="preserve">cumulative </w:t>
      </w:r>
      <w:r w:rsidR="0022761A">
        <w:rPr>
          <w:rStyle w:val="Strong"/>
          <w:b w:val="0"/>
          <w:bCs w:val="0"/>
        </w:rPr>
        <w:t xml:space="preserve">FRL </w:t>
      </w:r>
      <w:r w:rsidR="001F4D8A">
        <w:rPr>
          <w:rStyle w:val="Strong"/>
          <w:b w:val="0"/>
          <w:bCs w:val="0"/>
        </w:rPr>
        <w:t xml:space="preserve">accounting quantity at a given point in time will depend on how far </w:t>
      </w:r>
      <w:r w:rsidR="000D0588">
        <w:rPr>
          <w:rStyle w:val="Strong"/>
          <w:b w:val="0"/>
          <w:bCs w:val="0"/>
        </w:rPr>
        <w:t>a stand is through</w:t>
      </w:r>
      <w:r w:rsidR="001F4D8A">
        <w:rPr>
          <w:rStyle w:val="Strong"/>
          <w:b w:val="0"/>
          <w:bCs w:val="0"/>
        </w:rPr>
        <w:t xml:space="preserve"> </w:t>
      </w:r>
      <w:r w:rsidR="000D0588">
        <w:rPr>
          <w:rStyle w:val="Strong"/>
          <w:b w:val="0"/>
          <w:bCs w:val="0"/>
        </w:rPr>
        <w:t>its</w:t>
      </w:r>
      <w:r w:rsidR="001F4D8A">
        <w:rPr>
          <w:rStyle w:val="Strong"/>
          <w:b w:val="0"/>
          <w:bCs w:val="0"/>
        </w:rPr>
        <w:t xml:space="preserve"> current rotation</w:t>
      </w:r>
      <w:r w:rsidR="000D0588">
        <w:rPr>
          <w:rStyle w:val="Strong"/>
          <w:b w:val="0"/>
          <w:bCs w:val="0"/>
        </w:rPr>
        <w:t>.</w:t>
      </w:r>
    </w:p>
    <w:p w14:paraId="2EF374A8" w14:textId="77777777" w:rsidR="0097334C" w:rsidRDefault="0097334C" w:rsidP="004D675F">
      <w:pPr>
        <w:rPr>
          <w:rStyle w:val="Strong"/>
          <w:b w:val="0"/>
          <w:bCs w:val="0"/>
        </w:rPr>
      </w:pPr>
    </w:p>
    <w:p w14:paraId="43D4D75C" w14:textId="1C630158" w:rsidR="00EA5CE1" w:rsidRDefault="00EA5CE1" w:rsidP="004D675F">
      <w:pPr>
        <w:rPr>
          <w:rStyle w:val="Strong"/>
          <w:b w:val="0"/>
          <w:bCs w:val="0"/>
        </w:rPr>
      </w:pPr>
      <w:r>
        <w:rPr>
          <w:rStyle w:val="Strong"/>
          <w:b w:val="0"/>
          <w:bCs w:val="0"/>
        </w:rPr>
        <w:lastRenderedPageBreak/>
        <w:t>This is illustrated for the Lo</w:t>
      </w:r>
      <w:r w:rsidR="00BD6A2E">
        <w:rPr>
          <w:rStyle w:val="Strong"/>
          <w:b w:val="0"/>
          <w:bCs w:val="0"/>
        </w:rPr>
        <w:t>n</w:t>
      </w:r>
      <w:r>
        <w:rPr>
          <w:rStyle w:val="Strong"/>
          <w:b w:val="0"/>
          <w:bCs w:val="0"/>
        </w:rPr>
        <w:t xml:space="preserve">g and Short rotation scenarios in </w:t>
      </w:r>
      <w:r w:rsidRPr="00816421">
        <w:rPr>
          <w:rStyle w:val="Strong"/>
          <w:b w:val="0"/>
          <w:bCs w:val="0"/>
        </w:rPr>
        <w:t xml:space="preserve">Figures </w:t>
      </w:r>
      <w:r w:rsidR="00816421" w:rsidRPr="00816421">
        <w:rPr>
          <w:rStyle w:val="Strong"/>
          <w:b w:val="0"/>
          <w:bCs w:val="0"/>
        </w:rPr>
        <w:t xml:space="preserve">5 </w:t>
      </w:r>
      <w:r w:rsidRPr="00816421">
        <w:rPr>
          <w:rStyle w:val="Strong"/>
          <w:b w:val="0"/>
          <w:bCs w:val="0"/>
        </w:rPr>
        <w:t xml:space="preserve">and </w:t>
      </w:r>
      <w:r w:rsidR="00816421" w:rsidRPr="00816421">
        <w:rPr>
          <w:rStyle w:val="Strong"/>
          <w:b w:val="0"/>
          <w:bCs w:val="0"/>
        </w:rPr>
        <w:t>6</w:t>
      </w:r>
      <w:r>
        <w:rPr>
          <w:rStyle w:val="Strong"/>
          <w:b w:val="0"/>
          <w:bCs w:val="0"/>
        </w:rPr>
        <w:t xml:space="preserve">. </w:t>
      </w:r>
      <w:r w:rsidR="00D94CFA">
        <w:rPr>
          <w:rStyle w:val="Strong"/>
          <w:b w:val="0"/>
          <w:bCs w:val="0"/>
        </w:rPr>
        <w:t xml:space="preserve">For the long rotation scenario, </w:t>
      </w:r>
      <w:r w:rsidR="00F678B6">
        <w:rPr>
          <w:rStyle w:val="Strong"/>
          <w:b w:val="0"/>
          <w:bCs w:val="0"/>
        </w:rPr>
        <w:t xml:space="preserve">if </w:t>
      </w:r>
      <w:r w:rsidR="00D94CFA">
        <w:rPr>
          <w:rStyle w:val="Strong"/>
          <w:b w:val="0"/>
          <w:bCs w:val="0"/>
        </w:rPr>
        <w:t>an accounting quantity of 10 t C</w:t>
      </w:r>
      <w:r w:rsidR="00724B13">
        <w:rPr>
          <w:rStyle w:val="Strong"/>
          <w:b w:val="0"/>
          <w:bCs w:val="0"/>
        </w:rPr>
        <w:t xml:space="preserve"> ha</w:t>
      </w:r>
      <w:r w:rsidR="00724B13" w:rsidRPr="00724B13">
        <w:rPr>
          <w:rStyle w:val="Strong"/>
          <w:b w:val="0"/>
          <w:bCs w:val="0"/>
          <w:vertAlign w:val="superscript"/>
        </w:rPr>
        <w:t>-1</w:t>
      </w:r>
      <w:r w:rsidR="00724B13">
        <w:rPr>
          <w:rStyle w:val="Strong"/>
          <w:b w:val="0"/>
          <w:bCs w:val="0"/>
        </w:rPr>
        <w:t xml:space="preserve"> </w:t>
      </w:r>
      <w:r w:rsidR="00DE4C2B">
        <w:rPr>
          <w:rStyle w:val="Strong"/>
          <w:b w:val="0"/>
          <w:bCs w:val="0"/>
        </w:rPr>
        <w:t xml:space="preserve">is </w:t>
      </w:r>
      <w:r w:rsidR="00F678B6">
        <w:rPr>
          <w:rStyle w:val="Strong"/>
          <w:b w:val="0"/>
          <w:bCs w:val="0"/>
        </w:rPr>
        <w:t>obtained</w:t>
      </w:r>
      <w:r w:rsidR="00DE4C2B">
        <w:rPr>
          <w:rStyle w:val="Strong"/>
          <w:b w:val="0"/>
          <w:bCs w:val="0"/>
        </w:rPr>
        <w:t xml:space="preserve"> against the FRL</w:t>
      </w:r>
      <w:r w:rsidR="00F678B6">
        <w:rPr>
          <w:rStyle w:val="Strong"/>
          <w:b w:val="0"/>
          <w:bCs w:val="0"/>
        </w:rPr>
        <w:t>, this w</w:t>
      </w:r>
      <w:r w:rsidR="00355A49">
        <w:rPr>
          <w:rStyle w:val="Strong"/>
          <w:b w:val="0"/>
          <w:bCs w:val="0"/>
        </w:rPr>
        <w:t>ould</w:t>
      </w:r>
      <w:r w:rsidR="00F678B6">
        <w:rPr>
          <w:rStyle w:val="Strong"/>
          <w:b w:val="0"/>
          <w:bCs w:val="0"/>
        </w:rPr>
        <w:t xml:space="preserve"> deliver the ‘true’ LTA stock </w:t>
      </w:r>
      <w:r w:rsidR="00B81674">
        <w:rPr>
          <w:rStyle w:val="Strong"/>
          <w:b w:val="0"/>
          <w:bCs w:val="0"/>
        </w:rPr>
        <w:t>for</w:t>
      </w:r>
      <w:r w:rsidR="00F678B6">
        <w:rPr>
          <w:rStyle w:val="Strong"/>
          <w:b w:val="0"/>
          <w:bCs w:val="0"/>
        </w:rPr>
        <w:t xml:space="preserve"> </w:t>
      </w:r>
      <w:r w:rsidR="00485707">
        <w:rPr>
          <w:rStyle w:val="Strong"/>
          <w:b w:val="0"/>
          <w:bCs w:val="0"/>
        </w:rPr>
        <w:t>repeated</w:t>
      </w:r>
      <w:r w:rsidR="001B46FD">
        <w:rPr>
          <w:rStyle w:val="Strong"/>
          <w:b w:val="0"/>
          <w:bCs w:val="0"/>
        </w:rPr>
        <w:t xml:space="preserve"> 35 year rotations when added to the stock change accounting value up to the LTA age for repeated </w:t>
      </w:r>
      <w:r w:rsidR="00485707">
        <w:rPr>
          <w:rStyle w:val="Strong"/>
          <w:b w:val="0"/>
          <w:bCs w:val="0"/>
        </w:rPr>
        <w:t xml:space="preserve">30 year </w:t>
      </w:r>
      <w:r w:rsidR="002324BC">
        <w:rPr>
          <w:rStyle w:val="Strong"/>
          <w:b w:val="0"/>
          <w:bCs w:val="0"/>
        </w:rPr>
        <w:t xml:space="preserve">(Base) rotations. This </w:t>
      </w:r>
      <w:r w:rsidR="00D65AB1">
        <w:rPr>
          <w:rStyle w:val="Strong"/>
          <w:b w:val="0"/>
          <w:bCs w:val="0"/>
        </w:rPr>
        <w:t>cumulative</w:t>
      </w:r>
      <w:r w:rsidR="003754D4">
        <w:rPr>
          <w:rStyle w:val="Strong"/>
          <w:b w:val="0"/>
          <w:bCs w:val="0"/>
        </w:rPr>
        <w:t xml:space="preserve"> sum </w:t>
      </w:r>
      <w:r w:rsidR="002324BC">
        <w:rPr>
          <w:rStyle w:val="Strong"/>
          <w:b w:val="0"/>
          <w:bCs w:val="0"/>
        </w:rPr>
        <w:t>is achieved a</w:t>
      </w:r>
      <w:r w:rsidR="00B81674">
        <w:rPr>
          <w:rStyle w:val="Strong"/>
          <w:b w:val="0"/>
          <w:bCs w:val="0"/>
        </w:rPr>
        <w:t>t</w:t>
      </w:r>
      <w:r w:rsidR="002324BC">
        <w:rPr>
          <w:rStyle w:val="Strong"/>
          <w:b w:val="0"/>
          <w:bCs w:val="0"/>
        </w:rPr>
        <w:t xml:space="preserve"> various </w:t>
      </w:r>
      <w:r w:rsidR="00801D6F">
        <w:rPr>
          <w:rStyle w:val="Strong"/>
          <w:b w:val="0"/>
          <w:bCs w:val="0"/>
        </w:rPr>
        <w:t>future points</w:t>
      </w:r>
      <w:r w:rsidR="00BD33B1">
        <w:rPr>
          <w:rStyle w:val="Strong"/>
          <w:b w:val="0"/>
          <w:bCs w:val="0"/>
        </w:rPr>
        <w:t xml:space="preserve"> (i.e. when</w:t>
      </w:r>
      <w:r w:rsidR="00CC764B">
        <w:rPr>
          <w:rStyle w:val="Strong"/>
          <w:b w:val="0"/>
          <w:bCs w:val="0"/>
        </w:rPr>
        <w:t>ever</w:t>
      </w:r>
      <w:r w:rsidR="00BD33B1">
        <w:rPr>
          <w:rStyle w:val="Strong"/>
          <w:b w:val="0"/>
          <w:bCs w:val="0"/>
        </w:rPr>
        <w:t xml:space="preserve"> the solid line crosses the dotted line in Figure 5)</w:t>
      </w:r>
      <w:r w:rsidR="00801D6F">
        <w:rPr>
          <w:rStyle w:val="Strong"/>
          <w:b w:val="0"/>
          <w:bCs w:val="0"/>
        </w:rPr>
        <w:t xml:space="preserve">, but often the total accounting </w:t>
      </w:r>
      <w:r w:rsidR="00B81674">
        <w:rPr>
          <w:rStyle w:val="Strong"/>
          <w:b w:val="0"/>
          <w:bCs w:val="0"/>
        </w:rPr>
        <w:t xml:space="preserve">quantity </w:t>
      </w:r>
      <w:r w:rsidR="00801D6F">
        <w:rPr>
          <w:rStyle w:val="Strong"/>
          <w:b w:val="0"/>
          <w:bCs w:val="0"/>
        </w:rPr>
        <w:t>will be much higher or much lower</w:t>
      </w:r>
      <w:r w:rsidR="00801F54">
        <w:rPr>
          <w:rStyle w:val="Strong"/>
          <w:b w:val="0"/>
          <w:bCs w:val="0"/>
        </w:rPr>
        <w:t xml:space="preserve"> (Figure </w:t>
      </w:r>
      <w:r w:rsidR="00BD33B1">
        <w:rPr>
          <w:rStyle w:val="Strong"/>
          <w:b w:val="0"/>
          <w:bCs w:val="0"/>
        </w:rPr>
        <w:t>5</w:t>
      </w:r>
      <w:r w:rsidR="00801F54">
        <w:rPr>
          <w:rStyle w:val="Strong"/>
          <w:b w:val="0"/>
          <w:bCs w:val="0"/>
        </w:rPr>
        <w:t>)</w:t>
      </w:r>
      <w:r w:rsidR="00801D6F">
        <w:rPr>
          <w:rStyle w:val="Strong"/>
          <w:b w:val="0"/>
          <w:bCs w:val="0"/>
        </w:rPr>
        <w:t>.</w:t>
      </w:r>
    </w:p>
    <w:p w14:paraId="779F04BF" w14:textId="77777777" w:rsidR="0097334C" w:rsidRDefault="0097334C" w:rsidP="004D675F">
      <w:pPr>
        <w:rPr>
          <w:rStyle w:val="Strong"/>
          <w:b w:val="0"/>
          <w:bCs w:val="0"/>
        </w:rPr>
      </w:pPr>
    </w:p>
    <w:p w14:paraId="398558DA" w14:textId="7129DB00" w:rsidR="007D423B" w:rsidRDefault="003E0FCC" w:rsidP="004D675F">
      <w:pPr>
        <w:rPr>
          <w:rStyle w:val="Strong"/>
          <w:b w:val="0"/>
          <w:bCs w:val="0"/>
        </w:rPr>
      </w:pPr>
      <w:r>
        <w:rPr>
          <w:rStyle w:val="Strong"/>
          <w:b w:val="0"/>
          <w:bCs w:val="0"/>
          <w:noProof/>
        </w:rPr>
        <w:drawing>
          <wp:inline distT="0" distB="0" distL="0" distR="0" wp14:anchorId="0B0D0925" wp14:editId="1E6EAB92">
            <wp:extent cx="5318324" cy="2641600"/>
            <wp:effectExtent l="0" t="0" r="0" b="6350"/>
            <wp:docPr id="189386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5387" cy="2650075"/>
                    </a:xfrm>
                    <a:prstGeom prst="rect">
                      <a:avLst/>
                    </a:prstGeom>
                    <a:noFill/>
                  </pic:spPr>
                </pic:pic>
              </a:graphicData>
            </a:graphic>
          </wp:inline>
        </w:drawing>
      </w:r>
    </w:p>
    <w:p w14:paraId="74484851" w14:textId="77777777" w:rsidR="008A2306" w:rsidRDefault="008A2306" w:rsidP="004D675F">
      <w:pPr>
        <w:rPr>
          <w:rStyle w:val="Strong"/>
          <w:b w:val="0"/>
          <w:bCs w:val="0"/>
        </w:rPr>
      </w:pPr>
    </w:p>
    <w:p w14:paraId="6D3A0822" w14:textId="73E04142" w:rsidR="008A2306" w:rsidRPr="002710E8" w:rsidRDefault="008A2306" w:rsidP="004D675F">
      <w:pPr>
        <w:rPr>
          <w:rStyle w:val="Strong"/>
        </w:rPr>
      </w:pPr>
      <w:r w:rsidRPr="002710E8">
        <w:rPr>
          <w:rStyle w:val="Strong"/>
        </w:rPr>
        <w:t xml:space="preserve">Figure </w:t>
      </w:r>
      <w:r w:rsidR="00816421" w:rsidRPr="002710E8">
        <w:rPr>
          <w:rStyle w:val="Strong"/>
        </w:rPr>
        <w:t xml:space="preserve">5 </w:t>
      </w:r>
      <w:r w:rsidR="003E3BDF" w:rsidRPr="002710E8">
        <w:rPr>
          <w:rStyle w:val="Strong"/>
        </w:rPr>
        <w:t>Account</w:t>
      </w:r>
      <w:r w:rsidR="00AF53FD" w:rsidRPr="002710E8">
        <w:rPr>
          <w:rStyle w:val="Strong"/>
        </w:rPr>
        <w:t>ing</w:t>
      </w:r>
      <w:r w:rsidR="003E3BDF" w:rsidRPr="002710E8">
        <w:rPr>
          <w:rStyle w:val="Strong"/>
        </w:rPr>
        <w:t xml:space="preserve"> quantity calculated against the FRL beyond the LTA age for the </w:t>
      </w:r>
      <w:r w:rsidR="00AF53FD" w:rsidRPr="002710E8">
        <w:rPr>
          <w:rStyle w:val="Strong"/>
        </w:rPr>
        <w:t xml:space="preserve">Long rotation scenario, and the “target” accounting quantity required that when added to the stock change </w:t>
      </w:r>
      <w:r w:rsidR="004E60D8" w:rsidRPr="002710E8">
        <w:rPr>
          <w:rStyle w:val="Strong"/>
        </w:rPr>
        <w:t xml:space="preserve">quantity up to the LTA age would give the actual </w:t>
      </w:r>
      <w:r w:rsidR="00EA5CE1" w:rsidRPr="002710E8">
        <w:rPr>
          <w:rStyle w:val="Strong"/>
        </w:rPr>
        <w:t xml:space="preserve">LTA stock under long (35 year) </w:t>
      </w:r>
      <w:r w:rsidR="00801D6F" w:rsidRPr="002710E8">
        <w:rPr>
          <w:rStyle w:val="Strong"/>
        </w:rPr>
        <w:t>rotations</w:t>
      </w:r>
      <w:r w:rsidR="00EA5CE1" w:rsidRPr="002710E8">
        <w:rPr>
          <w:rStyle w:val="Strong"/>
        </w:rPr>
        <w:t>.</w:t>
      </w:r>
    </w:p>
    <w:p w14:paraId="66567484" w14:textId="77777777" w:rsidR="008A2306" w:rsidRDefault="008A2306" w:rsidP="004D675F">
      <w:pPr>
        <w:rPr>
          <w:rStyle w:val="Strong"/>
          <w:b w:val="0"/>
          <w:bCs w:val="0"/>
        </w:rPr>
      </w:pPr>
    </w:p>
    <w:p w14:paraId="0734BF35" w14:textId="669F722F" w:rsidR="007D423B" w:rsidRPr="00D335BF" w:rsidRDefault="0096279A" w:rsidP="004D675F">
      <w:pPr>
        <w:rPr>
          <w:rStyle w:val="Strong"/>
          <w:b w:val="0"/>
          <w:bCs w:val="0"/>
        </w:rPr>
      </w:pPr>
      <w:r>
        <w:rPr>
          <w:rStyle w:val="Strong"/>
          <w:b w:val="0"/>
          <w:bCs w:val="0"/>
        </w:rPr>
        <w:t xml:space="preserve">For the short rotation scenario, </w:t>
      </w:r>
      <w:r w:rsidR="00AB3A69">
        <w:rPr>
          <w:rStyle w:val="Strong"/>
          <w:b w:val="0"/>
          <w:bCs w:val="0"/>
        </w:rPr>
        <w:t xml:space="preserve">accounting for stock changes up to an LTA age of 16 (LTA stock 80) would overstate the actual LTA stock achieved by </w:t>
      </w:r>
      <w:r w:rsidR="00D335BF">
        <w:rPr>
          <w:rStyle w:val="Strong"/>
          <w:b w:val="0"/>
          <w:bCs w:val="0"/>
        </w:rPr>
        <w:t>25 t C ha</w:t>
      </w:r>
      <w:r w:rsidR="00D335BF" w:rsidRPr="00724B13">
        <w:rPr>
          <w:rStyle w:val="Strong"/>
          <w:b w:val="0"/>
          <w:bCs w:val="0"/>
          <w:vertAlign w:val="superscript"/>
        </w:rPr>
        <w:t>-1</w:t>
      </w:r>
      <w:r w:rsidR="00D335BF">
        <w:rPr>
          <w:rStyle w:val="Strong"/>
          <w:b w:val="0"/>
          <w:bCs w:val="0"/>
          <w:vertAlign w:val="superscript"/>
        </w:rPr>
        <w:t xml:space="preserve"> </w:t>
      </w:r>
      <w:r w:rsidR="00D335BF">
        <w:rPr>
          <w:rStyle w:val="Strong"/>
          <w:b w:val="0"/>
          <w:bCs w:val="0"/>
        </w:rPr>
        <w:t xml:space="preserve">(Table </w:t>
      </w:r>
      <w:r w:rsidR="00F67521">
        <w:rPr>
          <w:rStyle w:val="Strong"/>
          <w:b w:val="0"/>
          <w:bCs w:val="0"/>
        </w:rPr>
        <w:t>6</w:t>
      </w:r>
      <w:r w:rsidR="00D9019E">
        <w:rPr>
          <w:rStyle w:val="Strong"/>
          <w:b w:val="0"/>
          <w:bCs w:val="0"/>
        </w:rPr>
        <w:t xml:space="preserve">), so a target accounting </w:t>
      </w:r>
      <w:r w:rsidR="0041285C">
        <w:rPr>
          <w:rStyle w:val="Strong"/>
          <w:b w:val="0"/>
          <w:bCs w:val="0"/>
        </w:rPr>
        <w:t>quantity</w:t>
      </w:r>
      <w:r w:rsidR="00D9019E">
        <w:rPr>
          <w:rStyle w:val="Strong"/>
          <w:b w:val="0"/>
          <w:bCs w:val="0"/>
        </w:rPr>
        <w:t xml:space="preserve"> against the FRL of -25 t C ha</w:t>
      </w:r>
      <w:r w:rsidR="00D9019E" w:rsidRPr="00724B13">
        <w:rPr>
          <w:rStyle w:val="Strong"/>
          <w:b w:val="0"/>
          <w:bCs w:val="0"/>
          <w:vertAlign w:val="superscript"/>
        </w:rPr>
        <w:t>-1</w:t>
      </w:r>
      <w:r w:rsidR="00D9019E" w:rsidRPr="00D9019E">
        <w:rPr>
          <w:rStyle w:val="Strong"/>
          <w:b w:val="0"/>
          <w:bCs w:val="0"/>
        </w:rPr>
        <w:t xml:space="preserve"> is required.</w:t>
      </w:r>
      <w:r w:rsidR="00D9019E">
        <w:rPr>
          <w:rStyle w:val="Strong"/>
          <w:b w:val="0"/>
          <w:bCs w:val="0"/>
        </w:rPr>
        <w:t xml:space="preserve"> </w:t>
      </w:r>
      <w:r w:rsidR="0041285C">
        <w:rPr>
          <w:rStyle w:val="Strong"/>
          <w:b w:val="0"/>
          <w:bCs w:val="0"/>
        </w:rPr>
        <w:t>Again</w:t>
      </w:r>
      <w:r w:rsidR="00CC764B">
        <w:rPr>
          <w:rStyle w:val="Strong"/>
          <w:b w:val="0"/>
          <w:bCs w:val="0"/>
        </w:rPr>
        <w:t>,</w:t>
      </w:r>
      <w:r w:rsidR="0041285C">
        <w:rPr>
          <w:rStyle w:val="Strong"/>
          <w:b w:val="0"/>
          <w:bCs w:val="0"/>
        </w:rPr>
        <w:t xml:space="preserve"> this is achieved in some future years, but </w:t>
      </w:r>
      <w:r w:rsidR="00FF3A7A">
        <w:rPr>
          <w:rStyle w:val="Strong"/>
          <w:b w:val="0"/>
          <w:bCs w:val="0"/>
        </w:rPr>
        <w:t xml:space="preserve">more often </w:t>
      </w:r>
      <w:r w:rsidR="004D3DAD">
        <w:rPr>
          <w:rStyle w:val="Strong"/>
          <w:b w:val="0"/>
          <w:bCs w:val="0"/>
        </w:rPr>
        <w:t xml:space="preserve">the total accounting quantity will be very different </w:t>
      </w:r>
      <w:r w:rsidR="0041285C">
        <w:rPr>
          <w:rStyle w:val="Strong"/>
          <w:b w:val="0"/>
          <w:bCs w:val="0"/>
        </w:rPr>
        <w:t>(</w:t>
      </w:r>
      <w:r w:rsidR="0041285C" w:rsidRPr="00816421">
        <w:rPr>
          <w:rStyle w:val="Strong"/>
          <w:b w:val="0"/>
          <w:bCs w:val="0"/>
        </w:rPr>
        <w:t xml:space="preserve">Figure </w:t>
      </w:r>
      <w:r w:rsidR="00816421">
        <w:rPr>
          <w:rStyle w:val="Strong"/>
          <w:b w:val="0"/>
          <w:bCs w:val="0"/>
        </w:rPr>
        <w:t>6</w:t>
      </w:r>
      <w:r w:rsidR="0041285C" w:rsidRPr="00816421">
        <w:rPr>
          <w:rStyle w:val="Strong"/>
          <w:b w:val="0"/>
          <w:bCs w:val="0"/>
        </w:rPr>
        <w:t>)</w:t>
      </w:r>
      <w:r w:rsidR="00FF3A7A">
        <w:rPr>
          <w:rStyle w:val="Strong"/>
          <w:b w:val="0"/>
          <w:bCs w:val="0"/>
        </w:rPr>
        <w:t>.</w:t>
      </w:r>
    </w:p>
    <w:p w14:paraId="5C15BD22" w14:textId="77777777" w:rsidR="0005586F" w:rsidRDefault="0005586F" w:rsidP="004D675F">
      <w:pPr>
        <w:rPr>
          <w:rStyle w:val="Strong"/>
          <w:b w:val="0"/>
          <w:bCs w:val="0"/>
        </w:rPr>
      </w:pPr>
    </w:p>
    <w:p w14:paraId="33D729DE" w14:textId="4D17619F" w:rsidR="0005586F" w:rsidRDefault="0005586F">
      <w:pPr>
        <w:rPr>
          <w:rStyle w:val="Strong"/>
          <w:b w:val="0"/>
          <w:bCs w:val="0"/>
        </w:rPr>
      </w:pPr>
    </w:p>
    <w:p w14:paraId="3EF387AC" w14:textId="2FF613D3" w:rsidR="00A227DC" w:rsidRDefault="00044481" w:rsidP="004D675F">
      <w:pPr>
        <w:rPr>
          <w:rStyle w:val="Strong"/>
          <w:b w:val="0"/>
          <w:bCs w:val="0"/>
        </w:rPr>
      </w:pPr>
      <w:r>
        <w:rPr>
          <w:rStyle w:val="Strong"/>
          <w:b w:val="0"/>
          <w:bCs w:val="0"/>
          <w:noProof/>
        </w:rPr>
        <w:drawing>
          <wp:inline distT="0" distB="0" distL="0" distR="0" wp14:anchorId="297002AD" wp14:editId="0D129F1C">
            <wp:extent cx="5334635" cy="2635389"/>
            <wp:effectExtent l="0" t="0" r="0" b="0"/>
            <wp:docPr id="1691327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4376" cy="2645142"/>
                    </a:xfrm>
                    <a:prstGeom prst="rect">
                      <a:avLst/>
                    </a:prstGeom>
                    <a:noFill/>
                  </pic:spPr>
                </pic:pic>
              </a:graphicData>
            </a:graphic>
          </wp:inline>
        </w:drawing>
      </w:r>
    </w:p>
    <w:p w14:paraId="4730D21F" w14:textId="77777777" w:rsidR="00643F73" w:rsidRDefault="00643F73" w:rsidP="004D675F">
      <w:pPr>
        <w:rPr>
          <w:rStyle w:val="Strong"/>
          <w:b w:val="0"/>
          <w:bCs w:val="0"/>
        </w:rPr>
      </w:pPr>
    </w:p>
    <w:p w14:paraId="6C7E031B" w14:textId="4FCC41EC" w:rsidR="00643F73" w:rsidRPr="002710E8" w:rsidRDefault="00643F73" w:rsidP="00643F73">
      <w:pPr>
        <w:rPr>
          <w:rStyle w:val="Strong"/>
        </w:rPr>
      </w:pPr>
      <w:r w:rsidRPr="002710E8">
        <w:rPr>
          <w:rStyle w:val="Strong"/>
        </w:rPr>
        <w:t xml:space="preserve">Figure </w:t>
      </w:r>
      <w:r w:rsidR="002710E8" w:rsidRPr="002710E8">
        <w:rPr>
          <w:rStyle w:val="Strong"/>
        </w:rPr>
        <w:t xml:space="preserve">6 </w:t>
      </w:r>
      <w:r w:rsidRPr="002710E8">
        <w:rPr>
          <w:rStyle w:val="Strong"/>
        </w:rPr>
        <w:t xml:space="preserve">Accounting quantity calculated against the FRL beyond the LTA age for the Short rotation scenario, and the “target” accounting quantity required that when added to the stock change quantity up to the LTA age would give the actual LTA stock under </w:t>
      </w:r>
      <w:r w:rsidR="0096279A" w:rsidRPr="002710E8">
        <w:rPr>
          <w:rStyle w:val="Strong"/>
        </w:rPr>
        <w:t>short</w:t>
      </w:r>
      <w:r w:rsidRPr="002710E8">
        <w:rPr>
          <w:rStyle w:val="Strong"/>
        </w:rPr>
        <w:t xml:space="preserve"> (</w:t>
      </w:r>
      <w:r w:rsidR="0096279A" w:rsidRPr="002710E8">
        <w:rPr>
          <w:rStyle w:val="Strong"/>
        </w:rPr>
        <w:t>20</w:t>
      </w:r>
      <w:r w:rsidRPr="002710E8">
        <w:rPr>
          <w:rStyle w:val="Strong"/>
        </w:rPr>
        <w:t xml:space="preserve"> year) rotations.</w:t>
      </w:r>
    </w:p>
    <w:p w14:paraId="2961C8A5" w14:textId="77777777" w:rsidR="00643F73" w:rsidRDefault="00643F73" w:rsidP="004D675F">
      <w:pPr>
        <w:rPr>
          <w:rStyle w:val="Strong"/>
          <w:b w:val="0"/>
          <w:bCs w:val="0"/>
        </w:rPr>
      </w:pPr>
    </w:p>
    <w:p w14:paraId="4102C1E9" w14:textId="77777777" w:rsidR="00643F73" w:rsidRDefault="00643F73" w:rsidP="004D675F">
      <w:pPr>
        <w:rPr>
          <w:rStyle w:val="Strong"/>
          <w:b w:val="0"/>
          <w:bCs w:val="0"/>
        </w:rPr>
      </w:pPr>
    </w:p>
    <w:p w14:paraId="524E31D0" w14:textId="18ADAD43" w:rsidR="00697118" w:rsidRDefault="00FD229E" w:rsidP="004D675F">
      <w:pPr>
        <w:rPr>
          <w:rStyle w:val="Strong"/>
          <w:b w:val="0"/>
          <w:bCs w:val="0"/>
        </w:rPr>
      </w:pPr>
      <w:r>
        <w:rPr>
          <w:rStyle w:val="Strong"/>
          <w:b w:val="0"/>
          <w:bCs w:val="0"/>
        </w:rPr>
        <w:t>It is app</w:t>
      </w:r>
      <w:r w:rsidR="00511C43">
        <w:rPr>
          <w:rStyle w:val="Strong"/>
          <w:b w:val="0"/>
          <w:bCs w:val="0"/>
        </w:rPr>
        <w:t xml:space="preserve">arent </w:t>
      </w:r>
      <w:r w:rsidR="00511C43" w:rsidRPr="002710E8">
        <w:rPr>
          <w:rStyle w:val="Strong"/>
          <w:b w:val="0"/>
          <w:bCs w:val="0"/>
        </w:rPr>
        <w:t xml:space="preserve">from Figures </w:t>
      </w:r>
      <w:r w:rsidR="002710E8" w:rsidRPr="002710E8">
        <w:rPr>
          <w:rStyle w:val="Strong"/>
          <w:b w:val="0"/>
          <w:bCs w:val="0"/>
        </w:rPr>
        <w:t xml:space="preserve">5 </w:t>
      </w:r>
      <w:r w:rsidR="00511C43" w:rsidRPr="002710E8">
        <w:rPr>
          <w:rStyle w:val="Strong"/>
          <w:b w:val="0"/>
          <w:bCs w:val="0"/>
        </w:rPr>
        <w:t xml:space="preserve">and </w:t>
      </w:r>
      <w:r w:rsidR="002710E8" w:rsidRPr="002710E8">
        <w:rPr>
          <w:rStyle w:val="Strong"/>
          <w:b w:val="0"/>
          <w:bCs w:val="0"/>
        </w:rPr>
        <w:t xml:space="preserve">6 </w:t>
      </w:r>
      <w:r w:rsidR="00511C43" w:rsidRPr="002710E8">
        <w:rPr>
          <w:rStyle w:val="Strong"/>
          <w:b w:val="0"/>
          <w:bCs w:val="0"/>
        </w:rPr>
        <w:t xml:space="preserve">that the timing of the start and end of a budget period or </w:t>
      </w:r>
      <w:r w:rsidR="00847B6D" w:rsidRPr="002710E8">
        <w:rPr>
          <w:rStyle w:val="Strong"/>
          <w:b w:val="0"/>
          <w:bCs w:val="0"/>
        </w:rPr>
        <w:t xml:space="preserve">compliance period </w:t>
      </w:r>
      <w:r w:rsidR="0092796E" w:rsidRPr="002710E8">
        <w:rPr>
          <w:rStyle w:val="Strong"/>
          <w:b w:val="0"/>
          <w:bCs w:val="0"/>
        </w:rPr>
        <w:t>could</w:t>
      </w:r>
      <w:r w:rsidR="00847B6D" w:rsidRPr="002710E8">
        <w:rPr>
          <w:rStyle w:val="Strong"/>
          <w:b w:val="0"/>
          <w:bCs w:val="0"/>
        </w:rPr>
        <w:t xml:space="preserve"> have a</w:t>
      </w:r>
      <w:r w:rsidR="0092796E" w:rsidRPr="002710E8">
        <w:rPr>
          <w:rStyle w:val="Strong"/>
          <w:b w:val="0"/>
          <w:bCs w:val="0"/>
        </w:rPr>
        <w:t xml:space="preserve"> major</w:t>
      </w:r>
      <w:r w:rsidR="00847B6D" w:rsidRPr="002710E8">
        <w:rPr>
          <w:rStyle w:val="Strong"/>
          <w:b w:val="0"/>
          <w:bCs w:val="0"/>
        </w:rPr>
        <w:t xml:space="preserve"> impact on the </w:t>
      </w:r>
      <w:r w:rsidR="00182DF2" w:rsidRPr="002710E8">
        <w:rPr>
          <w:rStyle w:val="Strong"/>
          <w:b w:val="0"/>
          <w:bCs w:val="0"/>
        </w:rPr>
        <w:t xml:space="preserve">accounting </w:t>
      </w:r>
      <w:r w:rsidR="0092796E" w:rsidRPr="002710E8">
        <w:rPr>
          <w:rStyle w:val="Strong"/>
          <w:b w:val="0"/>
          <w:bCs w:val="0"/>
        </w:rPr>
        <w:t xml:space="preserve">quantity, as </w:t>
      </w:r>
      <w:r w:rsidR="00C10A30" w:rsidRPr="002710E8">
        <w:rPr>
          <w:rStyle w:val="Strong"/>
          <w:b w:val="0"/>
          <w:bCs w:val="0"/>
        </w:rPr>
        <w:t>c</w:t>
      </w:r>
      <w:r w:rsidR="0092796E" w:rsidRPr="002710E8">
        <w:rPr>
          <w:rStyle w:val="Strong"/>
          <w:b w:val="0"/>
          <w:bCs w:val="0"/>
        </w:rPr>
        <w:t>ould relatively small</w:t>
      </w:r>
      <w:r w:rsidR="00C10A30" w:rsidRPr="002710E8">
        <w:rPr>
          <w:rStyle w:val="Strong"/>
          <w:b w:val="0"/>
          <w:bCs w:val="0"/>
        </w:rPr>
        <w:t xml:space="preserve"> variations in </w:t>
      </w:r>
      <w:r w:rsidR="001D56DC" w:rsidRPr="002710E8">
        <w:rPr>
          <w:rStyle w:val="Strong"/>
          <w:b w:val="0"/>
          <w:bCs w:val="0"/>
        </w:rPr>
        <w:t>the timing of actual harvesting</w:t>
      </w:r>
      <w:r w:rsidR="00C10A30" w:rsidRPr="002710E8">
        <w:rPr>
          <w:rStyle w:val="Strong"/>
          <w:b w:val="0"/>
          <w:bCs w:val="0"/>
        </w:rPr>
        <w:t xml:space="preserve">. The impact of this would be </w:t>
      </w:r>
      <w:r w:rsidR="001B52EF" w:rsidRPr="002710E8">
        <w:rPr>
          <w:rStyle w:val="Strong"/>
          <w:b w:val="0"/>
          <w:bCs w:val="0"/>
        </w:rPr>
        <w:t>mitigated by the spread of age classes</w:t>
      </w:r>
      <w:r w:rsidR="00E32B45">
        <w:rPr>
          <w:rStyle w:val="Strong"/>
          <w:b w:val="0"/>
          <w:bCs w:val="0"/>
        </w:rPr>
        <w:t xml:space="preserve"> in the forest</w:t>
      </w:r>
      <w:r w:rsidR="001B52EF" w:rsidRPr="002710E8">
        <w:rPr>
          <w:rStyle w:val="Strong"/>
          <w:b w:val="0"/>
          <w:bCs w:val="0"/>
        </w:rPr>
        <w:t xml:space="preserve">, </w:t>
      </w:r>
      <w:r w:rsidR="00427996" w:rsidRPr="002710E8">
        <w:rPr>
          <w:rStyle w:val="Strong"/>
          <w:b w:val="0"/>
          <w:bCs w:val="0"/>
        </w:rPr>
        <w:t>in contr</w:t>
      </w:r>
      <w:r w:rsidR="00E6070A" w:rsidRPr="002710E8">
        <w:rPr>
          <w:rStyle w:val="Strong"/>
          <w:b w:val="0"/>
          <w:bCs w:val="0"/>
        </w:rPr>
        <w:t>a</w:t>
      </w:r>
      <w:r w:rsidR="00427996" w:rsidRPr="002710E8">
        <w:rPr>
          <w:rStyle w:val="Strong"/>
          <w:b w:val="0"/>
          <w:bCs w:val="0"/>
        </w:rPr>
        <w:t xml:space="preserve">st with the single age class </w:t>
      </w:r>
      <w:r w:rsidR="00697118" w:rsidRPr="002710E8">
        <w:rPr>
          <w:rStyle w:val="Strong"/>
          <w:b w:val="0"/>
          <w:bCs w:val="0"/>
        </w:rPr>
        <w:t>modelled</w:t>
      </w:r>
      <w:r w:rsidR="00427996" w:rsidRPr="002710E8">
        <w:rPr>
          <w:rStyle w:val="Strong"/>
          <w:b w:val="0"/>
          <w:bCs w:val="0"/>
        </w:rPr>
        <w:t xml:space="preserve"> in Figures </w:t>
      </w:r>
      <w:r w:rsidR="002710E8">
        <w:rPr>
          <w:rStyle w:val="Strong"/>
          <w:b w:val="0"/>
          <w:bCs w:val="0"/>
        </w:rPr>
        <w:t>5</w:t>
      </w:r>
      <w:r w:rsidR="002710E8" w:rsidRPr="002710E8">
        <w:rPr>
          <w:rStyle w:val="Strong"/>
          <w:b w:val="0"/>
          <w:bCs w:val="0"/>
        </w:rPr>
        <w:t xml:space="preserve"> </w:t>
      </w:r>
      <w:r w:rsidR="00427996" w:rsidRPr="002710E8">
        <w:rPr>
          <w:rStyle w:val="Strong"/>
          <w:b w:val="0"/>
          <w:bCs w:val="0"/>
        </w:rPr>
        <w:t xml:space="preserve">and </w:t>
      </w:r>
      <w:r w:rsidR="002710E8">
        <w:rPr>
          <w:rStyle w:val="Strong"/>
          <w:b w:val="0"/>
          <w:bCs w:val="0"/>
        </w:rPr>
        <w:t>6</w:t>
      </w:r>
      <w:r w:rsidR="00427996" w:rsidRPr="002710E8">
        <w:rPr>
          <w:rStyle w:val="Strong"/>
          <w:b w:val="0"/>
          <w:bCs w:val="0"/>
        </w:rPr>
        <w:t>.</w:t>
      </w:r>
      <w:r w:rsidR="00427996">
        <w:rPr>
          <w:rStyle w:val="Strong"/>
          <w:b w:val="0"/>
          <w:bCs w:val="0"/>
        </w:rPr>
        <w:t xml:space="preserve"> </w:t>
      </w:r>
    </w:p>
    <w:p w14:paraId="57405397" w14:textId="77777777" w:rsidR="00697118" w:rsidRDefault="00697118" w:rsidP="004D675F">
      <w:pPr>
        <w:rPr>
          <w:rStyle w:val="Strong"/>
          <w:b w:val="0"/>
          <w:bCs w:val="0"/>
        </w:rPr>
      </w:pPr>
    </w:p>
    <w:p w14:paraId="7B9F863C" w14:textId="59523887" w:rsidR="00643F73" w:rsidRDefault="007C0CC7" w:rsidP="004D675F">
      <w:pPr>
        <w:rPr>
          <w:rStyle w:val="Strong"/>
          <w:b w:val="0"/>
          <w:bCs w:val="0"/>
        </w:rPr>
      </w:pPr>
      <w:r>
        <w:rPr>
          <w:rStyle w:val="Strong"/>
          <w:b w:val="0"/>
          <w:bCs w:val="0"/>
        </w:rPr>
        <w:t xml:space="preserve">To </w:t>
      </w:r>
      <w:r w:rsidR="00E6070A">
        <w:rPr>
          <w:rStyle w:val="Strong"/>
          <w:b w:val="0"/>
          <w:bCs w:val="0"/>
        </w:rPr>
        <w:t>demonstrate th</w:t>
      </w:r>
      <w:r w:rsidR="00697118">
        <w:rPr>
          <w:rStyle w:val="Strong"/>
          <w:b w:val="0"/>
          <w:bCs w:val="0"/>
        </w:rPr>
        <w:t>e impact of spr</w:t>
      </w:r>
      <w:r w:rsidR="0028677F">
        <w:rPr>
          <w:rStyle w:val="Strong"/>
          <w:b w:val="0"/>
          <w:bCs w:val="0"/>
        </w:rPr>
        <w:t>eading area across multiple age classes</w:t>
      </w:r>
      <w:r w:rsidR="00E6070A">
        <w:rPr>
          <w:rStyle w:val="Strong"/>
          <w:b w:val="0"/>
          <w:bCs w:val="0"/>
        </w:rPr>
        <w:t xml:space="preserve">, </w:t>
      </w:r>
      <w:r w:rsidR="00C24FFE">
        <w:rPr>
          <w:rStyle w:val="Strong"/>
          <w:b w:val="0"/>
          <w:bCs w:val="0"/>
        </w:rPr>
        <w:t xml:space="preserve">the accounting quantity was </w:t>
      </w:r>
      <w:r w:rsidR="00F415C4">
        <w:rPr>
          <w:rStyle w:val="Strong"/>
          <w:b w:val="0"/>
          <w:bCs w:val="0"/>
        </w:rPr>
        <w:t>accumulated</w:t>
      </w:r>
      <w:r w:rsidR="00C24FFE">
        <w:rPr>
          <w:rStyle w:val="Strong"/>
          <w:b w:val="0"/>
          <w:bCs w:val="0"/>
        </w:rPr>
        <w:t xml:space="preserve"> for </w:t>
      </w:r>
      <w:r w:rsidR="00F415C4">
        <w:rPr>
          <w:rStyle w:val="Strong"/>
          <w:b w:val="0"/>
          <w:bCs w:val="0"/>
        </w:rPr>
        <w:t xml:space="preserve">the </w:t>
      </w:r>
      <w:r w:rsidR="00C24FFE">
        <w:rPr>
          <w:rStyle w:val="Strong"/>
          <w:b w:val="0"/>
          <w:bCs w:val="0"/>
        </w:rPr>
        <w:t xml:space="preserve">long and short rotation scenarios </w:t>
      </w:r>
      <w:r w:rsidR="00F415C4">
        <w:rPr>
          <w:rStyle w:val="Strong"/>
          <w:b w:val="0"/>
          <w:bCs w:val="0"/>
        </w:rPr>
        <w:t xml:space="preserve">under the assumption of </w:t>
      </w:r>
      <w:r w:rsidR="00977AA0">
        <w:rPr>
          <w:rStyle w:val="Strong"/>
          <w:b w:val="0"/>
          <w:bCs w:val="0"/>
        </w:rPr>
        <w:t xml:space="preserve">an even spread of age classes across the rotation. This means that </w:t>
      </w:r>
      <w:r w:rsidR="00D204FC">
        <w:rPr>
          <w:rStyle w:val="Strong"/>
          <w:b w:val="0"/>
          <w:bCs w:val="0"/>
        </w:rPr>
        <w:t xml:space="preserve">in years in which harvesting occurs, there </w:t>
      </w:r>
      <w:r w:rsidR="00F97092">
        <w:rPr>
          <w:rStyle w:val="Strong"/>
          <w:b w:val="0"/>
          <w:bCs w:val="0"/>
        </w:rPr>
        <w:t xml:space="preserve">are </w:t>
      </w:r>
      <w:r w:rsidR="00003800">
        <w:rPr>
          <w:rStyle w:val="Strong"/>
          <w:b w:val="0"/>
          <w:bCs w:val="0"/>
        </w:rPr>
        <w:t xml:space="preserve">other </w:t>
      </w:r>
      <w:r w:rsidR="00C308DA">
        <w:rPr>
          <w:rStyle w:val="Strong"/>
          <w:b w:val="0"/>
          <w:bCs w:val="0"/>
        </w:rPr>
        <w:t>forest area</w:t>
      </w:r>
      <w:r w:rsidR="00F97092">
        <w:rPr>
          <w:rStyle w:val="Strong"/>
          <w:b w:val="0"/>
          <w:bCs w:val="0"/>
        </w:rPr>
        <w:t>s</w:t>
      </w:r>
      <w:r w:rsidR="00D204FC">
        <w:rPr>
          <w:rStyle w:val="Strong"/>
          <w:b w:val="0"/>
          <w:bCs w:val="0"/>
        </w:rPr>
        <w:t xml:space="preserve"> </w:t>
      </w:r>
      <w:r w:rsidR="00531C00">
        <w:rPr>
          <w:rStyle w:val="Strong"/>
          <w:b w:val="0"/>
          <w:bCs w:val="0"/>
        </w:rPr>
        <w:t xml:space="preserve">still growing to </w:t>
      </w:r>
      <w:r w:rsidR="00D204FC">
        <w:rPr>
          <w:rStyle w:val="Strong"/>
          <w:b w:val="0"/>
          <w:bCs w:val="0"/>
        </w:rPr>
        <w:t>compensat</w:t>
      </w:r>
      <w:r w:rsidR="00531C00">
        <w:rPr>
          <w:rStyle w:val="Strong"/>
          <w:b w:val="0"/>
          <w:bCs w:val="0"/>
        </w:rPr>
        <w:t>e</w:t>
      </w:r>
      <w:r w:rsidR="00D204FC">
        <w:rPr>
          <w:rStyle w:val="Strong"/>
          <w:b w:val="0"/>
          <w:bCs w:val="0"/>
        </w:rPr>
        <w:t xml:space="preserve"> for the net emission.</w:t>
      </w:r>
      <w:r w:rsidR="008D3396">
        <w:rPr>
          <w:rStyle w:val="Strong"/>
          <w:b w:val="0"/>
          <w:bCs w:val="0"/>
        </w:rPr>
        <w:t xml:space="preserve"> </w:t>
      </w:r>
      <w:r w:rsidR="00E36FFD">
        <w:rPr>
          <w:rStyle w:val="Strong"/>
          <w:b w:val="0"/>
          <w:bCs w:val="0"/>
        </w:rPr>
        <w:t>In the</w:t>
      </w:r>
      <w:r w:rsidR="009A6DD4">
        <w:rPr>
          <w:rStyle w:val="Strong"/>
          <w:b w:val="0"/>
          <w:bCs w:val="0"/>
        </w:rPr>
        <w:t>se</w:t>
      </w:r>
      <w:r w:rsidR="00E36FFD">
        <w:rPr>
          <w:rStyle w:val="Strong"/>
          <w:b w:val="0"/>
          <w:bCs w:val="0"/>
        </w:rPr>
        <w:t xml:space="preserve"> examples it is assumed that there are 1/20</w:t>
      </w:r>
      <w:r w:rsidR="00E36FFD" w:rsidRPr="00006369">
        <w:rPr>
          <w:rStyle w:val="Strong"/>
          <w:b w:val="0"/>
          <w:bCs w:val="0"/>
          <w:vertAlign w:val="superscript"/>
        </w:rPr>
        <w:t>th</w:t>
      </w:r>
      <w:r w:rsidR="00E36FFD">
        <w:rPr>
          <w:rStyle w:val="Strong"/>
          <w:b w:val="0"/>
          <w:bCs w:val="0"/>
        </w:rPr>
        <w:t xml:space="preserve"> </w:t>
      </w:r>
      <w:r w:rsidR="00B7003B">
        <w:rPr>
          <w:rStyle w:val="Strong"/>
          <w:b w:val="0"/>
          <w:bCs w:val="0"/>
        </w:rPr>
        <w:t xml:space="preserve">of a hectare in each age class </w:t>
      </w:r>
      <w:r w:rsidR="00D03FC2">
        <w:rPr>
          <w:rStyle w:val="Strong"/>
          <w:b w:val="0"/>
          <w:bCs w:val="0"/>
        </w:rPr>
        <w:t>for the short rotation and 1/35</w:t>
      </w:r>
      <w:r w:rsidR="00D03FC2" w:rsidRPr="00006369">
        <w:rPr>
          <w:rStyle w:val="Strong"/>
          <w:b w:val="0"/>
          <w:bCs w:val="0"/>
          <w:vertAlign w:val="superscript"/>
        </w:rPr>
        <w:t>th</w:t>
      </w:r>
      <w:r w:rsidR="00D03FC2">
        <w:rPr>
          <w:rStyle w:val="Strong"/>
          <w:b w:val="0"/>
          <w:bCs w:val="0"/>
        </w:rPr>
        <w:t xml:space="preserve"> of a hectare in </w:t>
      </w:r>
      <w:r w:rsidR="008D3396">
        <w:rPr>
          <w:rStyle w:val="Strong"/>
          <w:b w:val="0"/>
          <w:bCs w:val="0"/>
        </w:rPr>
        <w:t>each age class for the long rotation</w:t>
      </w:r>
      <w:r w:rsidR="00F01558">
        <w:rPr>
          <w:rStyle w:val="Strong"/>
          <w:b w:val="0"/>
          <w:bCs w:val="0"/>
        </w:rPr>
        <w:t>. Each</w:t>
      </w:r>
      <w:r w:rsidR="00225C96">
        <w:rPr>
          <w:rStyle w:val="Strong"/>
          <w:b w:val="0"/>
          <w:bCs w:val="0"/>
        </w:rPr>
        <w:t xml:space="preserve"> age class </w:t>
      </w:r>
      <w:r w:rsidR="00140DC9">
        <w:rPr>
          <w:rStyle w:val="Strong"/>
          <w:b w:val="0"/>
          <w:bCs w:val="0"/>
        </w:rPr>
        <w:t xml:space="preserve">is at a different point in accumulating net emission differences against the </w:t>
      </w:r>
      <w:r w:rsidR="00F01558">
        <w:rPr>
          <w:rStyle w:val="Strong"/>
          <w:b w:val="0"/>
          <w:bCs w:val="0"/>
        </w:rPr>
        <w:t>FRL over time</w:t>
      </w:r>
      <w:r w:rsidR="00D76EB7">
        <w:rPr>
          <w:rStyle w:val="Strong"/>
          <w:b w:val="0"/>
          <w:bCs w:val="0"/>
        </w:rPr>
        <w:t xml:space="preserve">, with some generating credits </w:t>
      </w:r>
      <w:r w:rsidR="006D647D">
        <w:rPr>
          <w:rStyle w:val="Strong"/>
          <w:b w:val="0"/>
          <w:bCs w:val="0"/>
        </w:rPr>
        <w:t xml:space="preserve">while </w:t>
      </w:r>
      <w:r w:rsidR="00D76EB7">
        <w:rPr>
          <w:rStyle w:val="Strong"/>
          <w:b w:val="0"/>
          <w:bCs w:val="0"/>
        </w:rPr>
        <w:t xml:space="preserve">others </w:t>
      </w:r>
      <w:r w:rsidR="006D647D">
        <w:rPr>
          <w:rStyle w:val="Strong"/>
          <w:b w:val="0"/>
          <w:bCs w:val="0"/>
        </w:rPr>
        <w:t xml:space="preserve">generate </w:t>
      </w:r>
      <w:r w:rsidR="00D76EB7">
        <w:rPr>
          <w:rStyle w:val="Strong"/>
          <w:b w:val="0"/>
          <w:bCs w:val="0"/>
        </w:rPr>
        <w:t>liabilities</w:t>
      </w:r>
      <w:r w:rsidR="00765EC1">
        <w:rPr>
          <w:rStyle w:val="Strong"/>
          <w:b w:val="0"/>
          <w:bCs w:val="0"/>
        </w:rPr>
        <w:t>, as shown in Figures 5 and 6</w:t>
      </w:r>
      <w:r w:rsidR="00F01558">
        <w:rPr>
          <w:rStyle w:val="Strong"/>
          <w:b w:val="0"/>
          <w:bCs w:val="0"/>
        </w:rPr>
        <w:t>.</w:t>
      </w:r>
    </w:p>
    <w:p w14:paraId="5DE67DCE" w14:textId="77777777" w:rsidR="00C308DA" w:rsidRDefault="00C308DA" w:rsidP="004D675F">
      <w:pPr>
        <w:rPr>
          <w:rStyle w:val="Strong"/>
          <w:b w:val="0"/>
          <w:bCs w:val="0"/>
        </w:rPr>
      </w:pPr>
    </w:p>
    <w:p w14:paraId="379F1DE9" w14:textId="4DF37B98" w:rsidR="00C308DA" w:rsidRPr="009F4A7B" w:rsidRDefault="000C5A7A" w:rsidP="004D675F">
      <w:pPr>
        <w:rPr>
          <w:rStyle w:val="Strong"/>
          <w:rFonts w:cs="Arial"/>
          <w:b w:val="0"/>
          <w:bCs w:val="0"/>
          <w:szCs w:val="20"/>
        </w:rPr>
      </w:pPr>
      <w:r>
        <w:rPr>
          <w:rStyle w:val="Strong"/>
          <w:b w:val="0"/>
          <w:bCs w:val="0"/>
        </w:rPr>
        <w:t xml:space="preserve">The </w:t>
      </w:r>
      <w:r w:rsidR="00EA4AEA">
        <w:rPr>
          <w:rStyle w:val="Strong"/>
          <w:b w:val="0"/>
          <w:bCs w:val="0"/>
        </w:rPr>
        <w:t xml:space="preserve">net </w:t>
      </w:r>
      <w:r>
        <w:rPr>
          <w:rStyle w:val="Strong"/>
          <w:b w:val="0"/>
          <w:bCs w:val="0"/>
        </w:rPr>
        <w:t xml:space="preserve">results are </w:t>
      </w:r>
      <w:r w:rsidRPr="002710E8">
        <w:rPr>
          <w:rStyle w:val="Strong"/>
          <w:b w:val="0"/>
          <w:bCs w:val="0"/>
        </w:rPr>
        <w:t xml:space="preserve">shown in Figures </w:t>
      </w:r>
      <w:r w:rsidR="002710E8" w:rsidRPr="002710E8">
        <w:rPr>
          <w:rStyle w:val="Strong"/>
          <w:b w:val="0"/>
          <w:bCs w:val="0"/>
        </w:rPr>
        <w:t xml:space="preserve">7 </w:t>
      </w:r>
      <w:r w:rsidRPr="002710E8">
        <w:rPr>
          <w:rStyle w:val="Strong"/>
          <w:b w:val="0"/>
          <w:bCs w:val="0"/>
        </w:rPr>
        <w:t xml:space="preserve">and </w:t>
      </w:r>
      <w:r w:rsidR="002710E8" w:rsidRPr="002710E8">
        <w:rPr>
          <w:rStyle w:val="Strong"/>
          <w:b w:val="0"/>
          <w:bCs w:val="0"/>
        </w:rPr>
        <w:t xml:space="preserve">8 </w:t>
      </w:r>
      <w:r w:rsidRPr="002710E8">
        <w:rPr>
          <w:rStyle w:val="Strong"/>
          <w:b w:val="0"/>
          <w:bCs w:val="0"/>
        </w:rPr>
        <w:t xml:space="preserve">for the </w:t>
      </w:r>
      <w:r w:rsidR="00833D6D" w:rsidRPr="002710E8">
        <w:rPr>
          <w:rStyle w:val="Strong"/>
          <w:b w:val="0"/>
          <w:bCs w:val="0"/>
        </w:rPr>
        <w:t>l</w:t>
      </w:r>
      <w:r w:rsidRPr="002710E8">
        <w:rPr>
          <w:rStyle w:val="Strong"/>
          <w:b w:val="0"/>
          <w:bCs w:val="0"/>
        </w:rPr>
        <w:t xml:space="preserve">ong and </w:t>
      </w:r>
      <w:r w:rsidR="00833D6D" w:rsidRPr="002710E8">
        <w:rPr>
          <w:rStyle w:val="Strong"/>
          <w:b w:val="0"/>
          <w:bCs w:val="0"/>
        </w:rPr>
        <w:t>s</w:t>
      </w:r>
      <w:r w:rsidRPr="002710E8">
        <w:rPr>
          <w:rStyle w:val="Strong"/>
          <w:b w:val="0"/>
          <w:bCs w:val="0"/>
        </w:rPr>
        <w:t>hort rotations</w:t>
      </w:r>
      <w:r>
        <w:rPr>
          <w:rStyle w:val="Strong"/>
          <w:b w:val="0"/>
          <w:bCs w:val="0"/>
        </w:rPr>
        <w:t>, respectively.</w:t>
      </w:r>
      <w:r w:rsidR="00495462">
        <w:rPr>
          <w:rStyle w:val="Strong"/>
          <w:b w:val="0"/>
          <w:bCs w:val="0"/>
        </w:rPr>
        <w:t xml:space="preserve"> Every</w:t>
      </w:r>
      <w:r w:rsidR="00833D6D">
        <w:rPr>
          <w:rStyle w:val="Strong"/>
          <w:b w:val="0"/>
          <w:bCs w:val="0"/>
        </w:rPr>
        <w:t xml:space="preserve"> </w:t>
      </w:r>
      <w:r w:rsidR="00495462">
        <w:rPr>
          <w:rStyle w:val="Strong"/>
          <w:b w:val="0"/>
          <w:bCs w:val="0"/>
        </w:rPr>
        <w:t xml:space="preserve">time the solid lines intersect with the dashed lines, </w:t>
      </w:r>
      <w:r w:rsidR="00C90AF7">
        <w:rPr>
          <w:rStyle w:val="Strong"/>
          <w:b w:val="0"/>
          <w:bCs w:val="0"/>
        </w:rPr>
        <w:t xml:space="preserve">it </w:t>
      </w:r>
      <w:r w:rsidR="00B82327">
        <w:rPr>
          <w:rStyle w:val="Strong"/>
          <w:b w:val="0"/>
          <w:bCs w:val="0"/>
        </w:rPr>
        <w:t>means</w:t>
      </w:r>
      <w:r w:rsidR="00C90AF7">
        <w:rPr>
          <w:rStyle w:val="Strong"/>
          <w:b w:val="0"/>
          <w:bCs w:val="0"/>
        </w:rPr>
        <w:t xml:space="preserve"> that </w:t>
      </w:r>
      <w:r w:rsidR="00495462">
        <w:rPr>
          <w:rStyle w:val="Strong"/>
          <w:b w:val="0"/>
          <w:bCs w:val="0"/>
        </w:rPr>
        <w:t>the total accounting quantity</w:t>
      </w:r>
      <w:r w:rsidR="00C90AF7">
        <w:rPr>
          <w:rStyle w:val="Strong"/>
          <w:b w:val="0"/>
          <w:bCs w:val="0"/>
        </w:rPr>
        <w:t xml:space="preserve"> calculated at that point </w:t>
      </w:r>
      <w:r w:rsidR="00E00CE7">
        <w:rPr>
          <w:rStyle w:val="Strong"/>
          <w:b w:val="0"/>
          <w:bCs w:val="0"/>
        </w:rPr>
        <w:t>based on averaging accounting (</w:t>
      </w:r>
      <w:r w:rsidR="00B82327">
        <w:rPr>
          <w:rStyle w:val="Strong"/>
          <w:b w:val="0"/>
          <w:bCs w:val="0"/>
        </w:rPr>
        <w:t xml:space="preserve">i.e. </w:t>
      </w:r>
      <w:r w:rsidR="00E00CE7">
        <w:rPr>
          <w:rStyle w:val="Strong"/>
          <w:b w:val="0"/>
          <w:bCs w:val="0"/>
        </w:rPr>
        <w:t xml:space="preserve">stock change accounting to the </w:t>
      </w:r>
      <w:r w:rsidR="00B82327">
        <w:rPr>
          <w:rStyle w:val="Strong"/>
          <w:b w:val="0"/>
          <w:bCs w:val="0"/>
        </w:rPr>
        <w:t xml:space="preserve">base </w:t>
      </w:r>
      <w:r w:rsidR="00E00CE7">
        <w:rPr>
          <w:rStyle w:val="Strong"/>
          <w:b w:val="0"/>
          <w:bCs w:val="0"/>
        </w:rPr>
        <w:t>LTA age then reference level accounting</w:t>
      </w:r>
      <w:r w:rsidR="007661F0">
        <w:rPr>
          <w:rStyle w:val="Strong"/>
          <w:b w:val="0"/>
          <w:bCs w:val="0"/>
        </w:rPr>
        <w:t xml:space="preserve"> beyond that</w:t>
      </w:r>
      <w:r w:rsidR="00E00CE7">
        <w:rPr>
          <w:rStyle w:val="Strong"/>
          <w:b w:val="0"/>
          <w:bCs w:val="0"/>
        </w:rPr>
        <w:t xml:space="preserve">) </w:t>
      </w:r>
      <w:r w:rsidR="00495462">
        <w:rPr>
          <w:rStyle w:val="Strong"/>
          <w:b w:val="0"/>
          <w:bCs w:val="0"/>
        </w:rPr>
        <w:t xml:space="preserve">is </w:t>
      </w:r>
      <w:r w:rsidR="00E00CE7">
        <w:rPr>
          <w:rStyle w:val="Strong"/>
          <w:b w:val="0"/>
          <w:bCs w:val="0"/>
        </w:rPr>
        <w:t xml:space="preserve">equal to the </w:t>
      </w:r>
      <w:r w:rsidR="00C90AF7">
        <w:rPr>
          <w:rStyle w:val="Strong"/>
          <w:b w:val="0"/>
          <w:bCs w:val="0"/>
        </w:rPr>
        <w:t xml:space="preserve">result that would </w:t>
      </w:r>
      <w:r w:rsidR="007409F8">
        <w:rPr>
          <w:rStyle w:val="Strong"/>
          <w:b w:val="0"/>
          <w:bCs w:val="0"/>
        </w:rPr>
        <w:t>have been</w:t>
      </w:r>
      <w:r w:rsidR="00C90AF7">
        <w:rPr>
          <w:rStyle w:val="Strong"/>
          <w:b w:val="0"/>
          <w:bCs w:val="0"/>
        </w:rPr>
        <w:t xml:space="preserve"> obtained by recalculating the LTA age based on the revised actual rotation lengths.</w:t>
      </w:r>
      <w:r w:rsidR="007C1B07">
        <w:rPr>
          <w:rStyle w:val="Strong"/>
          <w:b w:val="0"/>
          <w:bCs w:val="0"/>
        </w:rPr>
        <w:t xml:space="preserve"> </w:t>
      </w:r>
      <w:r w:rsidR="00C9373F" w:rsidRPr="009F4A7B">
        <w:rPr>
          <w:rStyle w:val="Strong"/>
          <w:rFonts w:cs="Arial"/>
          <w:b w:val="0"/>
          <w:bCs w:val="0"/>
          <w:szCs w:val="20"/>
        </w:rPr>
        <w:t>This is the “</w:t>
      </w:r>
      <w:r w:rsidR="00C9373F" w:rsidRPr="009F4A7B">
        <w:rPr>
          <w:rFonts w:cs="Arial"/>
          <w:color w:val="000000"/>
          <w:szCs w:val="20"/>
          <w:lang w:eastAsia="en-NZ"/>
        </w:rPr>
        <w:t xml:space="preserve">true stock at scenario LTA age” given in Table </w:t>
      </w:r>
      <w:r w:rsidR="00C04ED7">
        <w:rPr>
          <w:rFonts w:cs="Arial"/>
          <w:color w:val="000000"/>
          <w:szCs w:val="20"/>
          <w:lang w:eastAsia="en-NZ"/>
        </w:rPr>
        <w:t>6</w:t>
      </w:r>
      <w:r w:rsidR="00C9373F" w:rsidRPr="009F4A7B">
        <w:rPr>
          <w:rFonts w:cs="Arial"/>
          <w:color w:val="000000"/>
          <w:szCs w:val="20"/>
          <w:lang w:eastAsia="en-NZ"/>
        </w:rPr>
        <w:t>.</w:t>
      </w:r>
    </w:p>
    <w:p w14:paraId="629633BA" w14:textId="77777777" w:rsidR="00C308DA" w:rsidRDefault="00C308DA" w:rsidP="004D675F">
      <w:pPr>
        <w:rPr>
          <w:rStyle w:val="Strong"/>
          <w:b w:val="0"/>
          <w:bCs w:val="0"/>
        </w:rPr>
      </w:pPr>
    </w:p>
    <w:p w14:paraId="5BFAC08F" w14:textId="44D4EC0F" w:rsidR="00C308DA" w:rsidRDefault="00DB3364" w:rsidP="004D675F">
      <w:pPr>
        <w:rPr>
          <w:rStyle w:val="Strong"/>
          <w:b w:val="0"/>
          <w:bCs w:val="0"/>
        </w:rPr>
      </w:pPr>
      <w:r>
        <w:rPr>
          <w:rStyle w:val="Strong"/>
          <w:b w:val="0"/>
          <w:bCs w:val="0"/>
        </w:rPr>
        <w:t xml:space="preserve">There is still variation around the </w:t>
      </w:r>
      <w:r w:rsidR="00A323CD">
        <w:rPr>
          <w:rStyle w:val="Strong"/>
          <w:b w:val="0"/>
          <w:bCs w:val="0"/>
        </w:rPr>
        <w:t xml:space="preserve">target accounting quantity, although it is less extreme. In practice, differences in the national </w:t>
      </w:r>
      <w:r w:rsidR="003B58E7">
        <w:rPr>
          <w:rStyle w:val="Strong"/>
          <w:b w:val="0"/>
          <w:bCs w:val="0"/>
        </w:rPr>
        <w:t>average</w:t>
      </w:r>
      <w:r w:rsidR="00A323CD">
        <w:rPr>
          <w:rStyle w:val="Strong"/>
          <w:b w:val="0"/>
          <w:bCs w:val="0"/>
        </w:rPr>
        <w:t xml:space="preserve"> </w:t>
      </w:r>
      <w:r w:rsidR="003B58E7">
        <w:rPr>
          <w:rStyle w:val="Strong"/>
          <w:b w:val="0"/>
          <w:bCs w:val="0"/>
        </w:rPr>
        <w:t xml:space="preserve">rotation age between the FRL assumption and what eventuates are likely to be smaller, </w:t>
      </w:r>
      <w:r w:rsidR="00231349">
        <w:rPr>
          <w:rStyle w:val="Strong"/>
          <w:b w:val="0"/>
          <w:bCs w:val="0"/>
        </w:rPr>
        <w:t xml:space="preserve">which would reduce the fluctuations. </w:t>
      </w:r>
      <w:r w:rsidR="00F117C4">
        <w:rPr>
          <w:rStyle w:val="Strong"/>
          <w:b w:val="0"/>
          <w:bCs w:val="0"/>
        </w:rPr>
        <w:t>On the other hand, t</w:t>
      </w:r>
      <w:r w:rsidR="0091795E">
        <w:rPr>
          <w:rStyle w:val="Strong"/>
          <w:b w:val="0"/>
          <w:bCs w:val="0"/>
        </w:rPr>
        <w:t xml:space="preserve">he actual age class </w:t>
      </w:r>
      <w:r w:rsidR="00E96CE1">
        <w:rPr>
          <w:rStyle w:val="Strong"/>
          <w:b w:val="0"/>
          <w:bCs w:val="0"/>
        </w:rPr>
        <w:t>distribution</w:t>
      </w:r>
      <w:r w:rsidR="0091795E">
        <w:rPr>
          <w:rStyle w:val="Strong"/>
          <w:b w:val="0"/>
          <w:bCs w:val="0"/>
        </w:rPr>
        <w:t xml:space="preserve"> </w:t>
      </w:r>
      <w:r w:rsidR="00E96CE1">
        <w:rPr>
          <w:rStyle w:val="Strong"/>
          <w:b w:val="0"/>
          <w:bCs w:val="0"/>
        </w:rPr>
        <w:t xml:space="preserve">is </w:t>
      </w:r>
      <w:r w:rsidR="0091795E">
        <w:rPr>
          <w:rStyle w:val="Strong"/>
          <w:b w:val="0"/>
          <w:bCs w:val="0"/>
        </w:rPr>
        <w:t>less regular</w:t>
      </w:r>
      <w:r w:rsidR="00D5676B">
        <w:rPr>
          <w:rStyle w:val="Strong"/>
          <w:b w:val="0"/>
          <w:bCs w:val="0"/>
        </w:rPr>
        <w:t>,</w:t>
      </w:r>
      <w:r w:rsidR="00E96CE1">
        <w:rPr>
          <w:rStyle w:val="Strong"/>
          <w:b w:val="0"/>
          <w:bCs w:val="0"/>
        </w:rPr>
        <w:t xml:space="preserve"> which </w:t>
      </w:r>
      <w:r w:rsidR="00F117C4">
        <w:rPr>
          <w:rStyle w:val="Strong"/>
          <w:b w:val="0"/>
          <w:bCs w:val="0"/>
        </w:rPr>
        <w:t xml:space="preserve">increases </w:t>
      </w:r>
      <w:r w:rsidR="00D5676B">
        <w:rPr>
          <w:rStyle w:val="Strong"/>
          <w:b w:val="0"/>
          <w:bCs w:val="0"/>
        </w:rPr>
        <w:t>the</w:t>
      </w:r>
      <w:r w:rsidR="00C34D0F">
        <w:rPr>
          <w:rStyle w:val="Strong"/>
          <w:b w:val="0"/>
          <w:bCs w:val="0"/>
        </w:rPr>
        <w:t xml:space="preserve"> </w:t>
      </w:r>
      <w:r w:rsidR="00D5676B">
        <w:rPr>
          <w:rStyle w:val="Strong"/>
          <w:b w:val="0"/>
          <w:bCs w:val="0"/>
        </w:rPr>
        <w:t xml:space="preserve">likelihood of a </w:t>
      </w:r>
      <w:r w:rsidR="00C34D0F">
        <w:rPr>
          <w:rStyle w:val="Strong"/>
          <w:b w:val="0"/>
          <w:bCs w:val="0"/>
        </w:rPr>
        <w:t xml:space="preserve">large </w:t>
      </w:r>
      <w:r w:rsidR="00F117C4">
        <w:rPr>
          <w:rStyle w:val="Strong"/>
          <w:b w:val="0"/>
          <w:bCs w:val="0"/>
        </w:rPr>
        <w:t>year to year varia</w:t>
      </w:r>
      <w:r w:rsidR="00C34D0F">
        <w:rPr>
          <w:rStyle w:val="Strong"/>
          <w:b w:val="0"/>
          <w:bCs w:val="0"/>
        </w:rPr>
        <w:t>tion coinciding with the end of a budget or compliance period.</w:t>
      </w:r>
    </w:p>
    <w:p w14:paraId="164BCC43" w14:textId="77777777" w:rsidR="00D768F6" w:rsidRDefault="00D768F6" w:rsidP="004D675F">
      <w:pPr>
        <w:rPr>
          <w:rStyle w:val="Strong"/>
          <w:b w:val="0"/>
          <w:bCs w:val="0"/>
        </w:rPr>
      </w:pPr>
    </w:p>
    <w:p w14:paraId="20DB62C2" w14:textId="48D35042" w:rsidR="00D768F6" w:rsidRDefault="00D768F6" w:rsidP="004D675F">
      <w:pPr>
        <w:rPr>
          <w:rStyle w:val="Strong"/>
          <w:b w:val="0"/>
          <w:bCs w:val="0"/>
        </w:rPr>
      </w:pPr>
      <w:proofErr w:type="gramStart"/>
      <w:r>
        <w:rPr>
          <w:rStyle w:val="Strong"/>
          <w:b w:val="0"/>
          <w:bCs w:val="0"/>
        </w:rPr>
        <w:t>Overall</w:t>
      </w:r>
      <w:proofErr w:type="gramEnd"/>
      <w:r>
        <w:rPr>
          <w:rStyle w:val="Strong"/>
          <w:b w:val="0"/>
          <w:bCs w:val="0"/>
        </w:rPr>
        <w:t xml:space="preserve"> the demonstration suggests that </w:t>
      </w:r>
      <w:r w:rsidR="00331DAC">
        <w:rPr>
          <w:rStyle w:val="Strong"/>
          <w:b w:val="0"/>
          <w:bCs w:val="0"/>
        </w:rPr>
        <w:t xml:space="preserve">the use of reference level accounting with post-1989 rotational forests is unlikely to </w:t>
      </w:r>
      <w:r w:rsidR="007A1EB8">
        <w:rPr>
          <w:rStyle w:val="Strong"/>
          <w:b w:val="0"/>
          <w:bCs w:val="0"/>
        </w:rPr>
        <w:t>result in a correct accounting quantity within a ten year compliance period</w:t>
      </w:r>
      <w:r w:rsidR="0067757E">
        <w:rPr>
          <w:rStyle w:val="Strong"/>
          <w:b w:val="0"/>
          <w:bCs w:val="0"/>
        </w:rPr>
        <w:t>, in situations where there has been an over- or under-allocation up to the assumed LTA stock.</w:t>
      </w:r>
    </w:p>
    <w:p w14:paraId="13C9AA7C" w14:textId="77777777" w:rsidR="00852C49" w:rsidRDefault="00852C49" w:rsidP="004D675F">
      <w:pPr>
        <w:rPr>
          <w:rStyle w:val="Strong"/>
          <w:b w:val="0"/>
          <w:bCs w:val="0"/>
        </w:rPr>
      </w:pPr>
    </w:p>
    <w:p w14:paraId="6BF63354" w14:textId="415F0F97" w:rsidR="00E62E0E" w:rsidRDefault="00E62E0E" w:rsidP="004D675F">
      <w:pPr>
        <w:rPr>
          <w:rStyle w:val="Strong"/>
          <w:b w:val="0"/>
          <w:bCs w:val="0"/>
        </w:rPr>
      </w:pPr>
      <w:r>
        <w:rPr>
          <w:rStyle w:val="Strong"/>
          <w:b w:val="0"/>
          <w:bCs w:val="0"/>
          <w:noProof/>
        </w:rPr>
        <w:drawing>
          <wp:inline distT="0" distB="0" distL="0" distR="0" wp14:anchorId="033BF1E4" wp14:editId="650B92B2">
            <wp:extent cx="5190473" cy="3161662"/>
            <wp:effectExtent l="0" t="0" r="0" b="1270"/>
            <wp:docPr id="138793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345" cy="3172548"/>
                    </a:xfrm>
                    <a:prstGeom prst="rect">
                      <a:avLst/>
                    </a:prstGeom>
                    <a:noFill/>
                  </pic:spPr>
                </pic:pic>
              </a:graphicData>
            </a:graphic>
          </wp:inline>
        </w:drawing>
      </w:r>
    </w:p>
    <w:p w14:paraId="1E29C39E" w14:textId="77777777" w:rsidR="00C308DA" w:rsidRDefault="00C308DA" w:rsidP="004D675F">
      <w:pPr>
        <w:rPr>
          <w:rStyle w:val="Strong"/>
          <w:b w:val="0"/>
          <w:bCs w:val="0"/>
        </w:rPr>
      </w:pPr>
    </w:p>
    <w:p w14:paraId="32DDBE67" w14:textId="364BB0CC" w:rsidR="00C308DA" w:rsidRPr="002710E8" w:rsidRDefault="0095784F" w:rsidP="004D675F">
      <w:pPr>
        <w:rPr>
          <w:rStyle w:val="Strong"/>
        </w:rPr>
      </w:pPr>
      <w:r w:rsidRPr="002710E8">
        <w:rPr>
          <w:rStyle w:val="Strong"/>
        </w:rPr>
        <w:t xml:space="preserve">Figure </w:t>
      </w:r>
      <w:r w:rsidR="002710E8" w:rsidRPr="002710E8">
        <w:rPr>
          <w:rStyle w:val="Strong"/>
        </w:rPr>
        <w:t>7</w:t>
      </w:r>
      <w:r w:rsidRPr="002710E8">
        <w:rPr>
          <w:rStyle w:val="Strong"/>
        </w:rPr>
        <w:t xml:space="preserve">. </w:t>
      </w:r>
      <w:r w:rsidR="0047637C" w:rsidRPr="002710E8">
        <w:rPr>
          <w:rStyle w:val="Strong"/>
        </w:rPr>
        <w:t xml:space="preserve">Total accounting quantity (expressed per hectare) for the </w:t>
      </w:r>
      <w:r w:rsidR="006A7B1B" w:rsidRPr="002710E8">
        <w:rPr>
          <w:rStyle w:val="Strong"/>
        </w:rPr>
        <w:t>L</w:t>
      </w:r>
      <w:r w:rsidR="00A612A0" w:rsidRPr="002710E8">
        <w:rPr>
          <w:rStyle w:val="Strong"/>
        </w:rPr>
        <w:t>ong rotation scenario, assuming equal area in each age class.</w:t>
      </w:r>
      <w:r w:rsidR="007902F9" w:rsidRPr="002710E8">
        <w:rPr>
          <w:rStyle w:val="Strong"/>
        </w:rPr>
        <w:t xml:space="preserve"> Target is the true LTA stock for repeated long rotations, 90 t C</w:t>
      </w:r>
      <w:r w:rsidR="00284529" w:rsidRPr="002710E8">
        <w:rPr>
          <w:rStyle w:val="Strong"/>
        </w:rPr>
        <w:t xml:space="preserve"> ha</w:t>
      </w:r>
      <w:r w:rsidR="00284529" w:rsidRPr="002710E8">
        <w:rPr>
          <w:rStyle w:val="Strong"/>
          <w:vertAlign w:val="superscript"/>
        </w:rPr>
        <w:t>-1</w:t>
      </w:r>
      <w:r w:rsidR="00284529" w:rsidRPr="002710E8">
        <w:rPr>
          <w:rStyle w:val="Strong"/>
        </w:rPr>
        <w:t>.</w:t>
      </w:r>
    </w:p>
    <w:p w14:paraId="6BD781AB" w14:textId="77777777" w:rsidR="00643F73" w:rsidRDefault="00643F73" w:rsidP="004D675F">
      <w:pPr>
        <w:rPr>
          <w:rStyle w:val="Strong"/>
          <w:b w:val="0"/>
          <w:bCs w:val="0"/>
        </w:rPr>
      </w:pPr>
    </w:p>
    <w:p w14:paraId="7F9A536D" w14:textId="77777777" w:rsidR="00284529" w:rsidRDefault="00284529" w:rsidP="004D675F">
      <w:pPr>
        <w:rPr>
          <w:rStyle w:val="Strong"/>
          <w:b w:val="0"/>
          <w:bCs w:val="0"/>
        </w:rPr>
      </w:pPr>
    </w:p>
    <w:p w14:paraId="195EB492" w14:textId="3EB3F029" w:rsidR="00284529" w:rsidRDefault="00284529" w:rsidP="004D675F">
      <w:pPr>
        <w:rPr>
          <w:rStyle w:val="Strong"/>
          <w:b w:val="0"/>
          <w:bCs w:val="0"/>
        </w:rPr>
      </w:pPr>
    </w:p>
    <w:p w14:paraId="77528CEC" w14:textId="356675F2" w:rsidR="00284529" w:rsidRDefault="00F9077E" w:rsidP="004D675F">
      <w:pPr>
        <w:rPr>
          <w:rStyle w:val="Strong"/>
          <w:b w:val="0"/>
          <w:bCs w:val="0"/>
        </w:rPr>
      </w:pPr>
      <w:r>
        <w:rPr>
          <w:rStyle w:val="Strong"/>
          <w:b w:val="0"/>
          <w:bCs w:val="0"/>
          <w:noProof/>
        </w:rPr>
        <w:lastRenderedPageBreak/>
        <w:drawing>
          <wp:inline distT="0" distB="0" distL="0" distR="0" wp14:anchorId="1AB1F270" wp14:editId="0D1822F1">
            <wp:extent cx="5214603" cy="3117741"/>
            <wp:effectExtent l="0" t="0" r="5715" b="6985"/>
            <wp:docPr id="847789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3561" cy="3123097"/>
                    </a:xfrm>
                    <a:prstGeom prst="rect">
                      <a:avLst/>
                    </a:prstGeom>
                    <a:noFill/>
                  </pic:spPr>
                </pic:pic>
              </a:graphicData>
            </a:graphic>
          </wp:inline>
        </w:drawing>
      </w:r>
    </w:p>
    <w:p w14:paraId="63551B98" w14:textId="3EC6047C" w:rsidR="00643E1E" w:rsidRPr="002710E8" w:rsidRDefault="00643E1E" w:rsidP="00643E1E">
      <w:pPr>
        <w:rPr>
          <w:rStyle w:val="Strong"/>
        </w:rPr>
      </w:pPr>
      <w:r w:rsidRPr="002710E8">
        <w:rPr>
          <w:rStyle w:val="Strong"/>
        </w:rPr>
        <w:t xml:space="preserve">Figure </w:t>
      </w:r>
      <w:r w:rsidR="002710E8" w:rsidRPr="002710E8">
        <w:rPr>
          <w:rStyle w:val="Strong"/>
        </w:rPr>
        <w:t>8</w:t>
      </w:r>
      <w:r w:rsidRPr="002710E8">
        <w:rPr>
          <w:rStyle w:val="Strong"/>
        </w:rPr>
        <w:t xml:space="preserve">. Total accounting quantity (expressed per hectare) for the </w:t>
      </w:r>
      <w:r w:rsidR="00831ADA" w:rsidRPr="002710E8">
        <w:rPr>
          <w:rStyle w:val="Strong"/>
        </w:rPr>
        <w:t>Short</w:t>
      </w:r>
      <w:r w:rsidRPr="002710E8">
        <w:rPr>
          <w:rStyle w:val="Strong"/>
        </w:rPr>
        <w:t xml:space="preserve"> rotation scenario, assuming equal area in each age class. Target is the true LTA stock for repeated long rotations, </w:t>
      </w:r>
      <w:r w:rsidR="00831ADA" w:rsidRPr="002710E8">
        <w:rPr>
          <w:rStyle w:val="Strong"/>
        </w:rPr>
        <w:t>55</w:t>
      </w:r>
      <w:r w:rsidRPr="002710E8">
        <w:rPr>
          <w:rStyle w:val="Strong"/>
        </w:rPr>
        <w:t xml:space="preserve"> t C ha</w:t>
      </w:r>
      <w:r w:rsidRPr="002710E8">
        <w:rPr>
          <w:rStyle w:val="Strong"/>
          <w:vertAlign w:val="superscript"/>
        </w:rPr>
        <w:t>-1</w:t>
      </w:r>
      <w:r w:rsidRPr="002710E8">
        <w:rPr>
          <w:rStyle w:val="Strong"/>
        </w:rPr>
        <w:t>.</w:t>
      </w:r>
    </w:p>
    <w:p w14:paraId="365C30C0" w14:textId="77777777" w:rsidR="00284529" w:rsidRDefault="00284529" w:rsidP="004D675F">
      <w:pPr>
        <w:rPr>
          <w:rStyle w:val="Strong"/>
          <w:b w:val="0"/>
          <w:bCs w:val="0"/>
        </w:rPr>
      </w:pPr>
    </w:p>
    <w:p w14:paraId="02283A54" w14:textId="77777777" w:rsidR="00284529" w:rsidRDefault="00284529" w:rsidP="004D675F">
      <w:pPr>
        <w:rPr>
          <w:rStyle w:val="Strong"/>
          <w:b w:val="0"/>
          <w:bCs w:val="0"/>
        </w:rPr>
      </w:pPr>
    </w:p>
    <w:p w14:paraId="29CD04D9" w14:textId="77777777" w:rsidR="00256491" w:rsidRDefault="0049016E" w:rsidP="00C43D65">
      <w:pPr>
        <w:pStyle w:val="Heading2"/>
      </w:pPr>
      <w:bookmarkStart w:id="16" w:name="_Toc178255289"/>
      <w:r w:rsidRPr="00CF3CC7">
        <w:t>Steps to create the post-1989 FRL using the LUCAS CRA</w:t>
      </w:r>
      <w:bookmarkEnd w:id="16"/>
    </w:p>
    <w:p w14:paraId="24AF1DEC" w14:textId="77777777" w:rsidR="00256491" w:rsidRDefault="00256491" w:rsidP="00256491">
      <w:pPr>
        <w:rPr>
          <w:rStyle w:val="Strong"/>
          <w:b w:val="0"/>
        </w:rPr>
      </w:pPr>
    </w:p>
    <w:p w14:paraId="36684C75" w14:textId="27461BC6" w:rsidR="0049016E" w:rsidRPr="00256491" w:rsidRDefault="00256491" w:rsidP="00256491">
      <w:pPr>
        <w:rPr>
          <w:rStyle w:val="Strong"/>
          <w:b w:val="0"/>
        </w:rPr>
      </w:pPr>
      <w:r>
        <w:rPr>
          <w:rStyle w:val="Strong"/>
          <w:b w:val="0"/>
        </w:rPr>
        <w:t>T</w:t>
      </w:r>
      <w:r w:rsidR="00FC2468" w:rsidRPr="00256491">
        <w:rPr>
          <w:rStyle w:val="Strong"/>
          <w:b w:val="0"/>
        </w:rPr>
        <w:t xml:space="preserve">he following steps are required to calculate the </w:t>
      </w:r>
      <w:r w:rsidR="002A5EE4" w:rsidRPr="00256491">
        <w:rPr>
          <w:rStyle w:val="Strong"/>
          <w:b w:val="0"/>
        </w:rPr>
        <w:t>post-1989 FRL using the LUCAS CRA</w:t>
      </w:r>
      <w:r w:rsidR="0053730E" w:rsidRPr="00256491">
        <w:rPr>
          <w:rStyle w:val="Strong"/>
          <w:b w:val="0"/>
        </w:rPr>
        <w:t>, if it is determined that reference level modelling is required</w:t>
      </w:r>
      <w:r w:rsidR="002A5EE4" w:rsidRPr="00256491">
        <w:rPr>
          <w:rStyle w:val="Strong"/>
          <w:b w:val="0"/>
        </w:rPr>
        <w:t xml:space="preserve">. </w:t>
      </w:r>
    </w:p>
    <w:p w14:paraId="2BD5C184" w14:textId="77777777" w:rsidR="00256491" w:rsidRPr="00256491" w:rsidRDefault="00256491" w:rsidP="00256491">
      <w:pPr>
        <w:rPr>
          <w:rStyle w:val="Strong"/>
          <w:b w:val="0"/>
        </w:rPr>
      </w:pPr>
    </w:p>
    <w:p w14:paraId="5A49EF5B" w14:textId="4AD853EA" w:rsidR="0049016E" w:rsidRDefault="0049016E" w:rsidP="0049016E">
      <w:pPr>
        <w:pStyle w:val="ListParagraph"/>
        <w:numPr>
          <w:ilvl w:val="0"/>
          <w:numId w:val="28"/>
        </w:numPr>
        <w:rPr>
          <w:rStyle w:val="Strong"/>
          <w:b w:val="0"/>
          <w:bCs w:val="0"/>
        </w:rPr>
      </w:pPr>
      <w:r w:rsidRPr="002806DE">
        <w:rPr>
          <w:rStyle w:val="Strong"/>
          <w:b w:val="0"/>
          <w:bCs w:val="0"/>
        </w:rPr>
        <w:t xml:space="preserve">Model post-1990 forests in </w:t>
      </w:r>
      <w:r>
        <w:rPr>
          <w:rStyle w:val="Strong"/>
          <w:b w:val="0"/>
          <w:bCs w:val="0"/>
        </w:rPr>
        <w:t xml:space="preserve">the </w:t>
      </w:r>
      <w:r w:rsidRPr="002806DE">
        <w:rPr>
          <w:rStyle w:val="Strong"/>
          <w:b w:val="0"/>
          <w:bCs w:val="0"/>
        </w:rPr>
        <w:t xml:space="preserve">CRA capturing afforestation, deforestation and harvesting from 1990-2020, including </w:t>
      </w:r>
      <w:r>
        <w:rPr>
          <w:rStyle w:val="Strong"/>
          <w:b w:val="0"/>
          <w:bCs w:val="0"/>
        </w:rPr>
        <w:t xml:space="preserve">special cases (for example, </w:t>
      </w:r>
      <w:r w:rsidRPr="002806DE">
        <w:rPr>
          <w:rStyle w:val="Strong"/>
          <w:b w:val="0"/>
          <w:bCs w:val="0"/>
        </w:rPr>
        <w:t>multiple land-use changes</w:t>
      </w:r>
      <w:r>
        <w:rPr>
          <w:rStyle w:val="Strong"/>
          <w:b w:val="0"/>
          <w:bCs w:val="0"/>
        </w:rPr>
        <w:t xml:space="preserve"> and</w:t>
      </w:r>
      <w:r w:rsidRPr="002806DE">
        <w:rPr>
          <w:rStyle w:val="Strong"/>
          <w:b w:val="0"/>
          <w:bCs w:val="0"/>
        </w:rPr>
        <w:t xml:space="preserve"> carbon equivalent forests</w:t>
      </w:r>
      <w:r>
        <w:rPr>
          <w:rStyle w:val="Strong"/>
          <w:b w:val="0"/>
          <w:bCs w:val="0"/>
        </w:rPr>
        <w:t>)</w:t>
      </w:r>
      <w:r w:rsidRPr="002806DE">
        <w:rPr>
          <w:rStyle w:val="Strong"/>
          <w:b w:val="0"/>
          <w:bCs w:val="0"/>
        </w:rPr>
        <w:t>.</w:t>
      </w:r>
      <w:r>
        <w:rPr>
          <w:rStyle w:val="Strong"/>
          <w:b w:val="0"/>
          <w:bCs w:val="0"/>
        </w:rPr>
        <w:t xml:space="preserve"> Allocate planted forest to permanent and rotational</w:t>
      </w:r>
      <w:r w:rsidR="00CF3CC7">
        <w:rPr>
          <w:rStyle w:val="Strong"/>
          <w:b w:val="0"/>
          <w:bCs w:val="0"/>
        </w:rPr>
        <w:t xml:space="preserve"> categories according to </w:t>
      </w:r>
      <w:r w:rsidR="00965A27">
        <w:rPr>
          <w:rStyle w:val="Strong"/>
          <w:b w:val="0"/>
          <w:bCs w:val="0"/>
        </w:rPr>
        <w:t>information from the latest harvest intention survey</w:t>
      </w:r>
      <w:r>
        <w:rPr>
          <w:rStyle w:val="Strong"/>
          <w:b w:val="0"/>
          <w:bCs w:val="0"/>
        </w:rPr>
        <w:t>.</w:t>
      </w:r>
      <w:r>
        <w:rPr>
          <w:rStyle w:val="Strong"/>
          <w:b w:val="0"/>
          <w:bCs w:val="0"/>
        </w:rPr>
        <w:br/>
      </w:r>
      <w:r w:rsidR="001C7105">
        <w:rPr>
          <w:rStyle w:val="Strong"/>
          <w:b w:val="0"/>
          <w:bCs w:val="0"/>
        </w:rPr>
        <w:t>Note that this i</w:t>
      </w:r>
      <w:r>
        <w:rPr>
          <w:rStyle w:val="Strong"/>
          <w:b w:val="0"/>
          <w:bCs w:val="0"/>
        </w:rPr>
        <w:t xml:space="preserve">s </w:t>
      </w:r>
      <w:r w:rsidR="001C7105">
        <w:rPr>
          <w:rStyle w:val="Strong"/>
          <w:b w:val="0"/>
          <w:bCs w:val="0"/>
        </w:rPr>
        <w:t xml:space="preserve">simply </w:t>
      </w:r>
      <w:r>
        <w:rPr>
          <w:rStyle w:val="Strong"/>
          <w:b w:val="0"/>
          <w:bCs w:val="0"/>
        </w:rPr>
        <w:t>the latest NIR run</w:t>
      </w:r>
      <w:r w:rsidR="001C7105">
        <w:rPr>
          <w:rStyle w:val="Strong"/>
          <w:b w:val="0"/>
          <w:bCs w:val="0"/>
        </w:rPr>
        <w:t xml:space="preserve"> for greenhouse gas inventory reporting</w:t>
      </w:r>
      <w:r>
        <w:rPr>
          <w:rStyle w:val="Strong"/>
          <w:b w:val="0"/>
          <w:bCs w:val="0"/>
        </w:rPr>
        <w:t>.</w:t>
      </w:r>
    </w:p>
    <w:p w14:paraId="61706181" w14:textId="77777777" w:rsidR="0049016E" w:rsidRDefault="0049016E" w:rsidP="0049016E">
      <w:pPr>
        <w:rPr>
          <w:rStyle w:val="Strong"/>
          <w:b w:val="0"/>
          <w:bCs w:val="0"/>
        </w:rPr>
      </w:pPr>
    </w:p>
    <w:p w14:paraId="37363FF3" w14:textId="4D976EE3" w:rsidR="0049016E" w:rsidRPr="00487EB4" w:rsidRDefault="0049016E" w:rsidP="00487EB4">
      <w:pPr>
        <w:pStyle w:val="ListParagraph"/>
        <w:numPr>
          <w:ilvl w:val="0"/>
          <w:numId w:val="28"/>
        </w:numPr>
        <w:rPr>
          <w:rStyle w:val="Strong"/>
          <w:b w:val="0"/>
          <w:bCs w:val="0"/>
        </w:rPr>
      </w:pPr>
      <w:r>
        <w:rPr>
          <w:rStyle w:val="Strong"/>
          <w:b w:val="0"/>
          <w:bCs w:val="0"/>
        </w:rPr>
        <w:t>The starting point for the FRL simulation is the age profile of post-1989 natural, permanent planted and rotational planted forests as of 31 December 2020.</w:t>
      </w:r>
      <w:r w:rsidR="00487EB4">
        <w:rPr>
          <w:rStyle w:val="Strong"/>
          <w:b w:val="0"/>
          <w:bCs w:val="0"/>
        </w:rPr>
        <w:br/>
      </w:r>
      <w:r w:rsidR="00487EB4">
        <w:rPr>
          <w:rStyle w:val="Strong"/>
          <w:b w:val="0"/>
          <w:bCs w:val="0"/>
        </w:rPr>
        <w:br/>
      </w:r>
      <w:r w:rsidRPr="00487EB4">
        <w:rPr>
          <w:rStyle w:val="Strong"/>
          <w:b w:val="0"/>
          <w:bCs w:val="0"/>
        </w:rPr>
        <w:t>Simulate afforestation, deforestation, harvesting and replanting from 2021 to 2030.</w:t>
      </w:r>
      <w:r w:rsidRPr="00487EB4">
        <w:rPr>
          <w:rStyle w:val="Strong"/>
          <w:b w:val="0"/>
          <w:bCs w:val="0"/>
        </w:rPr>
        <w:br/>
      </w:r>
      <w:r w:rsidRPr="00487EB4">
        <w:rPr>
          <w:rStyle w:val="Strong"/>
          <w:b w:val="0"/>
          <w:bCs w:val="0"/>
        </w:rPr>
        <w:br/>
      </w:r>
      <w:r w:rsidR="00474F6C" w:rsidRPr="00487EB4">
        <w:rPr>
          <w:rStyle w:val="Strong"/>
          <w:b w:val="0"/>
          <w:bCs w:val="0"/>
        </w:rPr>
        <w:t xml:space="preserve">- </w:t>
      </w:r>
      <w:r w:rsidRPr="00487EB4">
        <w:rPr>
          <w:rStyle w:val="Strong"/>
          <w:b w:val="0"/>
          <w:bCs w:val="0"/>
        </w:rPr>
        <w:t>For permanent natural and planted forests, grow on to 2030 without harvesting.</w:t>
      </w:r>
      <w:r w:rsidR="00474F6C" w:rsidRPr="00487EB4">
        <w:rPr>
          <w:rStyle w:val="Strong"/>
          <w:b w:val="0"/>
          <w:bCs w:val="0"/>
        </w:rPr>
        <w:br/>
      </w:r>
      <w:r w:rsidR="00474F6C" w:rsidRPr="00487EB4">
        <w:rPr>
          <w:rStyle w:val="Strong"/>
          <w:b w:val="0"/>
          <w:bCs w:val="0"/>
        </w:rPr>
        <w:br/>
        <w:t xml:space="preserve">- </w:t>
      </w:r>
      <w:r w:rsidRPr="00487EB4">
        <w:rPr>
          <w:rStyle w:val="Strong"/>
          <w:b w:val="0"/>
          <w:bCs w:val="0"/>
        </w:rPr>
        <w:t xml:space="preserve">For rotational </w:t>
      </w:r>
      <w:r w:rsidR="00FC509B" w:rsidRPr="00FC1F65">
        <w:rPr>
          <w:rStyle w:val="Strong"/>
          <w:b w:val="0"/>
          <w:bCs w:val="0"/>
        </w:rPr>
        <w:t>planted</w:t>
      </w:r>
      <w:r w:rsidR="00FC509B">
        <w:rPr>
          <w:rStyle w:val="Strong"/>
          <w:b w:val="0"/>
          <w:bCs w:val="0"/>
        </w:rPr>
        <w:t xml:space="preserve"> </w:t>
      </w:r>
      <w:r w:rsidRPr="00487EB4">
        <w:rPr>
          <w:rStyle w:val="Strong"/>
          <w:b w:val="0"/>
          <w:bCs w:val="0"/>
        </w:rPr>
        <w:t>forest destocking age, apply the harvest profile used in the latest NIR run for 2020. (If input is required as harvest area by age per year, then the simulation will need to be advanced one year at a time so that unharvested area by age can be calculated each year, to which the harvest profile proportion can be applied).</w:t>
      </w:r>
      <w:r w:rsidRPr="00487EB4">
        <w:rPr>
          <w:rStyle w:val="Strong"/>
          <w:b w:val="0"/>
          <w:bCs w:val="0"/>
        </w:rPr>
        <w:br/>
      </w:r>
      <w:r w:rsidRPr="00487EB4">
        <w:rPr>
          <w:rStyle w:val="Strong"/>
          <w:b w:val="0"/>
          <w:bCs w:val="0"/>
        </w:rPr>
        <w:br/>
        <w:t>If the harvest age profile approach is not possible, harvest at the species-weighted rotation age of 29</w:t>
      </w:r>
      <w:r w:rsidR="005E4A46">
        <w:rPr>
          <w:rStyle w:val="Strong"/>
          <w:b w:val="0"/>
          <w:bCs w:val="0"/>
        </w:rPr>
        <w:t xml:space="preserve"> (Dovey &amp; Wakelin, 2024)</w:t>
      </w:r>
      <w:r w:rsidRPr="00487EB4">
        <w:rPr>
          <w:rStyle w:val="Strong"/>
          <w:b w:val="0"/>
          <w:bCs w:val="0"/>
        </w:rPr>
        <w:t>.</w:t>
      </w:r>
      <w:r w:rsidRPr="00487EB4">
        <w:rPr>
          <w:rStyle w:val="Strong"/>
          <w:b w:val="0"/>
          <w:bCs w:val="0"/>
        </w:rPr>
        <w:br/>
      </w:r>
    </w:p>
    <w:p w14:paraId="37401A14" w14:textId="51C75383" w:rsidR="0049016E" w:rsidRPr="003C0999" w:rsidRDefault="0049016E" w:rsidP="0049016E">
      <w:pPr>
        <w:pStyle w:val="ListParagraph"/>
        <w:numPr>
          <w:ilvl w:val="0"/>
          <w:numId w:val="28"/>
        </w:numPr>
        <w:rPr>
          <w:rStyle w:val="Strong"/>
          <w:b w:val="0"/>
          <w:bCs w:val="0"/>
        </w:rPr>
      </w:pPr>
      <w:r>
        <w:rPr>
          <w:rStyle w:val="Strong"/>
          <w:b w:val="0"/>
          <w:bCs w:val="0"/>
        </w:rPr>
        <w:t>Calculate annual net emissions from 2021 to 2031 in two ways:</w:t>
      </w:r>
      <w:r>
        <w:rPr>
          <w:rStyle w:val="Strong"/>
          <w:b w:val="0"/>
          <w:bCs w:val="0"/>
        </w:rPr>
        <w:br/>
        <w:t xml:space="preserve">(i) using the full yield table. </w:t>
      </w:r>
      <w:r>
        <w:rPr>
          <w:rStyle w:val="Strong"/>
          <w:b w:val="0"/>
          <w:bCs w:val="0"/>
        </w:rPr>
        <w:br/>
        <w:t>(ii) using a yield table that ends at the LTA age.</w:t>
      </w:r>
      <w:r w:rsidRPr="003C0999">
        <w:rPr>
          <w:rStyle w:val="Strong"/>
          <w:b w:val="0"/>
          <w:bCs w:val="0"/>
        </w:rPr>
        <w:t xml:space="preserve"> </w:t>
      </w:r>
      <w:r>
        <w:rPr>
          <w:rStyle w:val="Strong"/>
          <w:b w:val="0"/>
          <w:bCs w:val="0"/>
        </w:rPr>
        <w:br/>
      </w:r>
      <w:r>
        <w:rPr>
          <w:rStyle w:val="Strong"/>
          <w:b w:val="0"/>
          <w:bCs w:val="0"/>
        </w:rPr>
        <w:br/>
        <w:t>Exclude</w:t>
      </w:r>
      <w:r w:rsidR="008E6409">
        <w:rPr>
          <w:rStyle w:val="Strong"/>
          <w:b w:val="0"/>
          <w:bCs w:val="0"/>
        </w:rPr>
        <w:t xml:space="preserve"> d</w:t>
      </w:r>
      <w:r>
        <w:rPr>
          <w:rStyle w:val="Strong"/>
          <w:b w:val="0"/>
          <w:bCs w:val="0"/>
        </w:rPr>
        <w:t>eforestation emissions</w:t>
      </w:r>
      <w:r w:rsidR="008E6409">
        <w:rPr>
          <w:rStyle w:val="Strong"/>
          <w:b w:val="0"/>
          <w:bCs w:val="0"/>
        </w:rPr>
        <w:t xml:space="preserve"> and the l</w:t>
      </w:r>
      <w:r>
        <w:rPr>
          <w:rStyle w:val="Strong"/>
          <w:b w:val="0"/>
          <w:bCs w:val="0"/>
        </w:rPr>
        <w:t>oss of pre-afforestation biomass and the change in soil carbon stocks due to afforestation</w:t>
      </w:r>
      <w:r w:rsidR="008E6409">
        <w:rPr>
          <w:rStyle w:val="Strong"/>
          <w:b w:val="0"/>
          <w:bCs w:val="0"/>
        </w:rPr>
        <w:t xml:space="preserve"> from the FR</w:t>
      </w:r>
      <w:r w:rsidR="00BA6F1F">
        <w:rPr>
          <w:rStyle w:val="Strong"/>
          <w:b w:val="0"/>
          <w:bCs w:val="0"/>
        </w:rPr>
        <w:t xml:space="preserve">L. </w:t>
      </w:r>
      <w:r w:rsidR="008E6409">
        <w:rPr>
          <w:rStyle w:val="Strong"/>
          <w:b w:val="0"/>
          <w:bCs w:val="0"/>
        </w:rPr>
        <w:t>T</w:t>
      </w:r>
      <w:r>
        <w:rPr>
          <w:rStyle w:val="Strong"/>
          <w:b w:val="0"/>
          <w:bCs w:val="0"/>
        </w:rPr>
        <w:t>hese will be accounted for in full rather than against the reference level.</w:t>
      </w:r>
    </w:p>
    <w:p w14:paraId="31355213" w14:textId="77777777" w:rsidR="0049016E" w:rsidRDefault="0049016E" w:rsidP="0049016E">
      <w:pPr>
        <w:rPr>
          <w:rStyle w:val="Strong"/>
          <w:b w:val="0"/>
          <w:bCs w:val="0"/>
        </w:rPr>
      </w:pPr>
    </w:p>
    <w:p w14:paraId="659A7073" w14:textId="2A717A75" w:rsidR="0049016E" w:rsidRDefault="0049016E" w:rsidP="0049016E">
      <w:pPr>
        <w:pStyle w:val="ListParagraph"/>
        <w:numPr>
          <w:ilvl w:val="0"/>
          <w:numId w:val="28"/>
        </w:numPr>
        <w:rPr>
          <w:rStyle w:val="Strong"/>
          <w:b w:val="0"/>
          <w:bCs w:val="0"/>
        </w:rPr>
      </w:pPr>
      <w:r>
        <w:rPr>
          <w:rStyle w:val="Strong"/>
          <w:b w:val="0"/>
          <w:bCs w:val="0"/>
        </w:rPr>
        <w:t>Calculate the difference between (i) and (ii) in (</w:t>
      </w:r>
      <w:r w:rsidR="00275514">
        <w:rPr>
          <w:rStyle w:val="Strong"/>
          <w:b w:val="0"/>
          <w:bCs w:val="0"/>
        </w:rPr>
        <w:t>3</w:t>
      </w:r>
      <w:r>
        <w:rPr>
          <w:rStyle w:val="Strong"/>
          <w:b w:val="0"/>
          <w:bCs w:val="0"/>
        </w:rPr>
        <w:t xml:space="preserve">) above. This </w:t>
      </w:r>
      <w:r w:rsidR="00B67C71" w:rsidRPr="00B67C71">
        <w:rPr>
          <w:rStyle w:val="Strong"/>
          <w:b w:val="0"/>
          <w:bCs w:val="0"/>
        </w:rPr>
        <w:t xml:space="preserve">gives </w:t>
      </w:r>
      <w:r w:rsidR="000563E0" w:rsidRPr="00B67C71">
        <w:rPr>
          <w:rStyle w:val="Strong"/>
          <w:b w:val="0"/>
          <w:bCs w:val="0"/>
        </w:rPr>
        <w:t>the</w:t>
      </w:r>
      <w:r>
        <w:rPr>
          <w:rStyle w:val="Strong"/>
          <w:b w:val="0"/>
          <w:bCs w:val="0"/>
        </w:rPr>
        <w:t xml:space="preserve"> annual net emissions above the LTA.</w:t>
      </w:r>
      <w:r>
        <w:rPr>
          <w:rStyle w:val="Strong"/>
          <w:b w:val="0"/>
          <w:bCs w:val="0"/>
        </w:rPr>
        <w:br/>
      </w:r>
      <w:r>
        <w:rPr>
          <w:rStyle w:val="Strong"/>
          <w:b w:val="0"/>
          <w:bCs w:val="0"/>
        </w:rPr>
        <w:br/>
        <w:t xml:space="preserve">The sum of these net emissions from 2021-2030 </w:t>
      </w:r>
      <w:r w:rsidR="005E6DEB">
        <w:rPr>
          <w:rStyle w:val="Strong"/>
          <w:b w:val="0"/>
          <w:bCs w:val="0"/>
        </w:rPr>
        <w:t>represents</w:t>
      </w:r>
      <w:r>
        <w:rPr>
          <w:rStyle w:val="Strong"/>
          <w:b w:val="0"/>
          <w:bCs w:val="0"/>
        </w:rPr>
        <w:t xml:space="preserve"> the contribution to the FRL from the four pools:  </w:t>
      </w:r>
      <w:r w:rsidRPr="00BE72F1">
        <w:rPr>
          <w:rStyle w:val="Strong"/>
          <w:b w:val="0"/>
          <w:bCs w:val="0"/>
        </w:rPr>
        <w:t>AGB, BGB, dead wood and litter.</w:t>
      </w:r>
    </w:p>
    <w:p w14:paraId="70D8EBE7" w14:textId="77777777" w:rsidR="0049016E" w:rsidRPr="00BE72F1" w:rsidRDefault="0049016E" w:rsidP="0049016E">
      <w:pPr>
        <w:pStyle w:val="ListParagraph"/>
        <w:rPr>
          <w:rStyle w:val="Strong"/>
          <w:b w:val="0"/>
          <w:bCs w:val="0"/>
        </w:rPr>
      </w:pPr>
    </w:p>
    <w:p w14:paraId="4CDEEDFC" w14:textId="1D649753" w:rsidR="0049016E" w:rsidRPr="004C3D2D" w:rsidRDefault="0049016E" w:rsidP="0049016E">
      <w:pPr>
        <w:pStyle w:val="ListParagraph"/>
        <w:numPr>
          <w:ilvl w:val="0"/>
          <w:numId w:val="28"/>
        </w:numPr>
        <w:rPr>
          <w:rStyle w:val="Strong"/>
          <w:b w:val="0"/>
          <w:bCs w:val="0"/>
        </w:rPr>
      </w:pPr>
      <w:r>
        <w:rPr>
          <w:rStyle w:val="Strong"/>
          <w:b w:val="0"/>
          <w:bCs w:val="0"/>
        </w:rPr>
        <w:t>To include HWPs in the FRL:</w:t>
      </w:r>
      <w:r>
        <w:rPr>
          <w:rStyle w:val="Strong"/>
          <w:b w:val="0"/>
          <w:bCs w:val="0"/>
        </w:rPr>
        <w:br/>
        <w:t xml:space="preserve">- From </w:t>
      </w:r>
      <w:r w:rsidR="00C95EDF">
        <w:rPr>
          <w:rStyle w:val="Strong"/>
          <w:b w:val="0"/>
          <w:bCs w:val="0"/>
        </w:rPr>
        <w:t xml:space="preserve">the </w:t>
      </w:r>
      <w:r>
        <w:rPr>
          <w:rStyle w:val="Strong"/>
          <w:b w:val="0"/>
          <w:bCs w:val="0"/>
        </w:rPr>
        <w:t>simulation output from (</w:t>
      </w:r>
      <w:r w:rsidR="00577981">
        <w:rPr>
          <w:rStyle w:val="Strong"/>
          <w:b w:val="0"/>
          <w:bCs w:val="0"/>
        </w:rPr>
        <w:t>3</w:t>
      </w:r>
      <w:r>
        <w:rPr>
          <w:rStyle w:val="Strong"/>
          <w:b w:val="0"/>
          <w:bCs w:val="0"/>
        </w:rPr>
        <w:t>i) above, obtain total annual roundwood removals (70% of total annual above-ground biomass in the areas harvested).</w:t>
      </w:r>
      <w:r>
        <w:rPr>
          <w:rStyle w:val="Strong"/>
          <w:b w:val="0"/>
          <w:bCs w:val="0"/>
        </w:rPr>
        <w:br/>
      </w:r>
      <w:r>
        <w:rPr>
          <w:rStyle w:val="Strong"/>
          <w:b w:val="0"/>
          <w:bCs w:val="0"/>
        </w:rPr>
        <w:br/>
        <w:t>- In the HWP FRL spreadsheet</w:t>
      </w:r>
      <w:r w:rsidR="00232836">
        <w:rPr>
          <w:rStyle w:val="Strong"/>
          <w:b w:val="0"/>
          <w:bCs w:val="0"/>
        </w:rPr>
        <w:t xml:space="preserve"> used for </w:t>
      </w:r>
      <w:r w:rsidR="00A434A3">
        <w:rPr>
          <w:rStyle w:val="Strong"/>
          <w:b w:val="0"/>
          <w:bCs w:val="0"/>
        </w:rPr>
        <w:t>pre-1990 forest FRL</w:t>
      </w:r>
      <w:r>
        <w:rPr>
          <w:rStyle w:val="Strong"/>
          <w:b w:val="0"/>
          <w:bCs w:val="0"/>
        </w:rPr>
        <w:t>, apply the national weighted discard table to each year’s total roundwood removals.</w:t>
      </w:r>
      <w:r w:rsidR="00F76CCC">
        <w:rPr>
          <w:rStyle w:val="Strong"/>
          <w:b w:val="0"/>
          <w:bCs w:val="0"/>
        </w:rPr>
        <w:t xml:space="preserve"> This input bypasses the need to calculate inputs to the HWP pool based on the areas harvested and the yield tables.</w:t>
      </w:r>
      <w:r>
        <w:rPr>
          <w:rStyle w:val="Strong"/>
          <w:b w:val="0"/>
          <w:bCs w:val="0"/>
        </w:rPr>
        <w:br/>
      </w:r>
      <w:r>
        <w:rPr>
          <w:rStyle w:val="Strong"/>
          <w:b w:val="0"/>
          <w:bCs w:val="0"/>
        </w:rPr>
        <w:br/>
        <w:t xml:space="preserve">- </w:t>
      </w:r>
      <w:r w:rsidR="00E254A7">
        <w:rPr>
          <w:rStyle w:val="Strong"/>
          <w:b w:val="0"/>
          <w:bCs w:val="0"/>
        </w:rPr>
        <w:t>S</w:t>
      </w:r>
      <w:r>
        <w:rPr>
          <w:rStyle w:val="Strong"/>
          <w:b w:val="0"/>
          <w:bCs w:val="0"/>
        </w:rPr>
        <w:t>um annual stock changes in the HWP pool and add to the net emissions from (5) above.</w:t>
      </w:r>
    </w:p>
    <w:p w14:paraId="1F5CBA22" w14:textId="77777777" w:rsidR="0049016E" w:rsidRDefault="0049016E" w:rsidP="0049016E">
      <w:pPr>
        <w:rPr>
          <w:rStyle w:val="Strong"/>
          <w:b w:val="0"/>
          <w:bCs w:val="0"/>
        </w:rPr>
      </w:pPr>
    </w:p>
    <w:p w14:paraId="1E86AB3F" w14:textId="77777777" w:rsidR="0049016E" w:rsidRDefault="0049016E" w:rsidP="00964D2E"/>
    <w:p w14:paraId="3A8A18A6" w14:textId="016E56DA" w:rsidR="00A910B2" w:rsidRDefault="00A910B2">
      <w:pPr>
        <w:rPr>
          <w:lang w:eastAsia="en-NZ"/>
        </w:rPr>
      </w:pPr>
    </w:p>
    <w:p w14:paraId="58367A11" w14:textId="77777777" w:rsidR="001A12AA" w:rsidRDefault="001A12AA" w:rsidP="00F74F3C">
      <w:pPr>
        <w:spacing w:line="276" w:lineRule="auto"/>
        <w:rPr>
          <w:rStyle w:val="Strong"/>
          <w:b w:val="0"/>
          <w:bCs w:val="0"/>
        </w:rPr>
      </w:pPr>
    </w:p>
    <w:p w14:paraId="6114711C" w14:textId="3A38DF39" w:rsidR="001A12AA" w:rsidRPr="00077F8B" w:rsidRDefault="00302DE6" w:rsidP="00D86C71">
      <w:pPr>
        <w:pStyle w:val="Heading1"/>
      </w:pPr>
      <w:bookmarkStart w:id="17" w:name="_Toc178255290"/>
      <w:r>
        <w:t>Conclusions</w:t>
      </w:r>
      <w:bookmarkEnd w:id="17"/>
    </w:p>
    <w:p w14:paraId="4FB68B24" w14:textId="5BBBF448" w:rsidR="00A064BB" w:rsidRDefault="004E2A80" w:rsidP="66CE9D02">
      <w:r>
        <w:t xml:space="preserve">The application of averaging accounting </w:t>
      </w:r>
      <w:r w:rsidR="003A3F4D">
        <w:t xml:space="preserve">to post-1989 forests </w:t>
      </w:r>
      <w:r>
        <w:t>requires assumptions to be made about the expected</w:t>
      </w:r>
      <w:r w:rsidR="003A3F4D">
        <w:t xml:space="preserve"> long term productivity and management of these forests</w:t>
      </w:r>
      <w:r w:rsidR="003A3F4D" w:rsidRPr="00B67C71">
        <w:t>.</w:t>
      </w:r>
      <w:r w:rsidR="006942F3">
        <w:t xml:space="preserve"> If these assumptions are </w:t>
      </w:r>
      <w:r w:rsidR="00427CD0">
        <w:t>incorrect</w:t>
      </w:r>
      <w:r w:rsidR="00B10E45">
        <w:t xml:space="preserve"> and there is documented evidence to </w:t>
      </w:r>
      <w:r w:rsidR="00663BA7">
        <w:t>demonstrate this</w:t>
      </w:r>
      <w:r w:rsidR="006942F3">
        <w:t xml:space="preserve">, accounting can </w:t>
      </w:r>
      <w:r w:rsidR="00B02797">
        <w:t xml:space="preserve">theoretically </w:t>
      </w:r>
      <w:r w:rsidR="006942F3">
        <w:t xml:space="preserve">be </w:t>
      </w:r>
      <w:r w:rsidR="00FC257F">
        <w:t>re-balanced by either recalculating the LTA stock and age</w:t>
      </w:r>
      <w:r w:rsidR="00C630C1">
        <w:t xml:space="preserve"> based on the latest information</w:t>
      </w:r>
      <w:r w:rsidR="00FC257F">
        <w:t xml:space="preserve">, or </w:t>
      </w:r>
      <w:r w:rsidR="00263898">
        <w:t xml:space="preserve">by </w:t>
      </w:r>
      <w:r w:rsidR="00FC257F">
        <w:t>applying reference level accounting</w:t>
      </w:r>
      <w:r w:rsidR="00B02797">
        <w:t xml:space="preserve"> to net stock changes beyond the LTA age</w:t>
      </w:r>
      <w:r w:rsidR="00FC257F">
        <w:t>.</w:t>
      </w:r>
    </w:p>
    <w:p w14:paraId="7FC37674" w14:textId="77777777" w:rsidR="00FC257F" w:rsidRDefault="00FC257F" w:rsidP="66CE9D02"/>
    <w:p w14:paraId="4C2E1E23" w14:textId="284788C7" w:rsidR="009C5AF7" w:rsidRDefault="005816DF" w:rsidP="66CE9D02">
      <w:r>
        <w:t>The demonstration example presented here suggests</w:t>
      </w:r>
      <w:r w:rsidR="00AD7EFA">
        <w:t xml:space="preserve"> </w:t>
      </w:r>
      <w:r w:rsidR="00263898">
        <w:t xml:space="preserve">that </w:t>
      </w:r>
      <w:r w:rsidR="00AD7EFA">
        <w:t xml:space="preserve">reference level accounting is unlikely to </w:t>
      </w:r>
      <w:r w:rsidR="00C630C1">
        <w:t xml:space="preserve">balance accounting </w:t>
      </w:r>
      <w:r w:rsidR="007B6A2C">
        <w:t xml:space="preserve">at </w:t>
      </w:r>
      <w:r w:rsidR="00263898">
        <w:t>any given arbitrary year, such as the end point of a compliance period</w:t>
      </w:r>
      <w:r w:rsidR="007529D1">
        <w:t>.</w:t>
      </w:r>
      <w:r w:rsidR="002B2697">
        <w:t xml:space="preserve"> This could result in </w:t>
      </w:r>
      <w:r w:rsidR="00871D88">
        <w:t xml:space="preserve">the kind of </w:t>
      </w:r>
      <w:r w:rsidR="002B2697">
        <w:t xml:space="preserve">fluctuations in the accounting quantity that averaging </w:t>
      </w:r>
      <w:r w:rsidR="00871D88">
        <w:t>accounting</w:t>
      </w:r>
      <w:r w:rsidR="002B2697">
        <w:t xml:space="preserve"> i</w:t>
      </w:r>
      <w:r w:rsidR="00871D88">
        <w:t>s intended to avoid. Th</w:t>
      </w:r>
      <w:r w:rsidR="0072665A">
        <w:t xml:space="preserve">is could be </w:t>
      </w:r>
      <w:r w:rsidR="00EE0FB9">
        <w:t xml:space="preserve">further </w:t>
      </w:r>
      <w:r w:rsidR="0072665A">
        <w:t xml:space="preserve">tested, </w:t>
      </w:r>
      <w:r w:rsidR="00EE0FB9">
        <w:t xml:space="preserve">for example </w:t>
      </w:r>
      <w:r w:rsidR="0072665A">
        <w:t xml:space="preserve">via a retrospective assessment </w:t>
      </w:r>
      <w:r w:rsidR="009C14FA">
        <w:t xml:space="preserve">of actual net emissions </w:t>
      </w:r>
      <w:r w:rsidR="00EE0FB9">
        <w:t>reported in the greenhouse gas inventory</w:t>
      </w:r>
      <w:r w:rsidR="00375C1D">
        <w:t xml:space="preserve"> </w:t>
      </w:r>
      <w:r w:rsidR="009C14FA">
        <w:t xml:space="preserve">compared with </w:t>
      </w:r>
      <w:r w:rsidR="00375C1D">
        <w:t xml:space="preserve">a </w:t>
      </w:r>
      <w:r w:rsidR="00EE0FB9">
        <w:t xml:space="preserve">post-1989 </w:t>
      </w:r>
      <w:r w:rsidR="00375C1D">
        <w:t xml:space="preserve">LTA age and </w:t>
      </w:r>
      <w:r w:rsidR="00EE0FB9">
        <w:t xml:space="preserve">FRL </w:t>
      </w:r>
      <w:r w:rsidR="00375C1D">
        <w:t xml:space="preserve">calculated as at an historic past date. </w:t>
      </w:r>
      <w:r w:rsidR="00343F8E">
        <w:t xml:space="preserve">Recalculating the LTA stock and age </w:t>
      </w:r>
      <w:r w:rsidR="003900FD">
        <w:t xml:space="preserve">through the compliance period </w:t>
      </w:r>
      <w:r w:rsidR="00343F8E">
        <w:t>may be a simpler appro</w:t>
      </w:r>
      <w:r w:rsidR="003900FD">
        <w:t>ach.</w:t>
      </w:r>
    </w:p>
    <w:p w14:paraId="21C04984" w14:textId="77777777" w:rsidR="00DE6078" w:rsidRDefault="00DE6078" w:rsidP="00DE6078">
      <w:pPr>
        <w:spacing w:line="276" w:lineRule="auto"/>
        <w:rPr>
          <w:lang w:eastAsia="en-NZ"/>
        </w:rPr>
      </w:pPr>
    </w:p>
    <w:p w14:paraId="6D22020B" w14:textId="00DBA21B" w:rsidR="00640798" w:rsidRDefault="00640798" w:rsidP="00DE6078">
      <w:pPr>
        <w:spacing w:line="276" w:lineRule="auto"/>
        <w:rPr>
          <w:lang w:eastAsia="en-NZ"/>
        </w:rPr>
      </w:pPr>
      <w:r>
        <w:rPr>
          <w:lang w:eastAsia="en-NZ"/>
        </w:rPr>
        <w:t>Recommendations</w:t>
      </w:r>
      <w:r w:rsidR="007A17C2">
        <w:rPr>
          <w:lang w:eastAsia="en-NZ"/>
        </w:rPr>
        <w:t xml:space="preserve"> are to</w:t>
      </w:r>
      <w:r>
        <w:rPr>
          <w:lang w:eastAsia="en-NZ"/>
        </w:rPr>
        <w:t>:</w:t>
      </w:r>
    </w:p>
    <w:p w14:paraId="48513B38" w14:textId="77777777" w:rsidR="00640798" w:rsidRDefault="00640798" w:rsidP="00DE6078">
      <w:pPr>
        <w:spacing w:line="276" w:lineRule="auto"/>
        <w:rPr>
          <w:lang w:eastAsia="en-NZ"/>
        </w:rPr>
      </w:pPr>
    </w:p>
    <w:p w14:paraId="54967D54" w14:textId="4CE1B791" w:rsidR="00FF3054" w:rsidRDefault="002B75C0" w:rsidP="00FF3054">
      <w:pPr>
        <w:pStyle w:val="ListParagraph"/>
        <w:numPr>
          <w:ilvl w:val="0"/>
          <w:numId w:val="42"/>
        </w:numPr>
        <w:spacing w:line="276" w:lineRule="auto"/>
        <w:rPr>
          <w:lang w:eastAsia="en-NZ"/>
        </w:rPr>
      </w:pPr>
      <w:r>
        <w:rPr>
          <w:lang w:eastAsia="en-NZ"/>
        </w:rPr>
        <w:t xml:space="preserve">Exclude </w:t>
      </w:r>
      <w:r w:rsidR="007955AA">
        <w:rPr>
          <w:lang w:eastAsia="en-NZ"/>
        </w:rPr>
        <w:t>the loss of pre-afforestation biomass and soil stock change due to afforestation from the calculation of the LTA</w:t>
      </w:r>
      <w:r w:rsidR="00EC43A0">
        <w:rPr>
          <w:lang w:eastAsia="en-NZ"/>
        </w:rPr>
        <w:t xml:space="preserve"> stock and age. These can be accounted for using stock change accounting.</w:t>
      </w:r>
    </w:p>
    <w:p w14:paraId="7019B4A3" w14:textId="4C183C80" w:rsidR="00787AD9" w:rsidRDefault="00787AD9" w:rsidP="00787AD9">
      <w:pPr>
        <w:pStyle w:val="ListParagraph"/>
        <w:numPr>
          <w:ilvl w:val="0"/>
          <w:numId w:val="42"/>
        </w:numPr>
        <w:spacing w:line="276" w:lineRule="auto"/>
        <w:rPr>
          <w:lang w:eastAsia="en-NZ"/>
        </w:rPr>
      </w:pPr>
      <w:r>
        <w:rPr>
          <w:lang w:eastAsia="en-NZ"/>
        </w:rPr>
        <w:t>Further investiga</w:t>
      </w:r>
      <w:r w:rsidR="007A17C2">
        <w:rPr>
          <w:lang w:eastAsia="en-NZ"/>
        </w:rPr>
        <w:t>te</w:t>
      </w:r>
      <w:r>
        <w:rPr>
          <w:lang w:eastAsia="en-NZ"/>
        </w:rPr>
        <w:t xml:space="preserve"> the </w:t>
      </w:r>
      <w:r w:rsidR="007A17C2">
        <w:rPr>
          <w:lang w:eastAsia="en-NZ"/>
        </w:rPr>
        <w:t>characteristics</w:t>
      </w:r>
      <w:r w:rsidR="00FD0EA1">
        <w:rPr>
          <w:lang w:eastAsia="en-NZ"/>
        </w:rPr>
        <w:t xml:space="preserve"> </w:t>
      </w:r>
      <w:r w:rsidR="007A17C2">
        <w:rPr>
          <w:lang w:eastAsia="en-NZ"/>
        </w:rPr>
        <w:t xml:space="preserve">of </w:t>
      </w:r>
      <w:r w:rsidR="0097231D">
        <w:rPr>
          <w:lang w:eastAsia="en-NZ"/>
        </w:rPr>
        <w:t xml:space="preserve">post-1989 </w:t>
      </w:r>
      <w:r w:rsidR="00561867">
        <w:rPr>
          <w:lang w:eastAsia="en-NZ"/>
        </w:rPr>
        <w:t>non-rotational forests (both natural and planted)</w:t>
      </w:r>
      <w:r>
        <w:rPr>
          <w:lang w:eastAsia="en-NZ"/>
        </w:rPr>
        <w:t xml:space="preserve"> </w:t>
      </w:r>
      <w:r w:rsidR="007A17C2">
        <w:rPr>
          <w:lang w:eastAsia="en-NZ"/>
        </w:rPr>
        <w:t>and their likely carbon stock development</w:t>
      </w:r>
      <w:r>
        <w:rPr>
          <w:lang w:eastAsia="en-NZ"/>
        </w:rPr>
        <w:t xml:space="preserve">. </w:t>
      </w:r>
      <w:r w:rsidR="00FD0EA1">
        <w:rPr>
          <w:lang w:eastAsia="en-NZ"/>
        </w:rPr>
        <w:t>These forests need to be characterised in terms of factors such as site quality, environment, forest type, likely succession, management and impacts of climate change</w:t>
      </w:r>
      <w:r w:rsidR="00765D50">
        <w:rPr>
          <w:lang w:eastAsia="en-NZ"/>
        </w:rPr>
        <w:t>, to enable modelling of carbon stocks</w:t>
      </w:r>
      <w:r w:rsidR="00FD0EA1">
        <w:rPr>
          <w:lang w:eastAsia="en-NZ"/>
        </w:rPr>
        <w:t xml:space="preserve">. </w:t>
      </w:r>
      <w:r>
        <w:rPr>
          <w:lang w:eastAsia="en-NZ"/>
        </w:rPr>
        <w:t>This is also required for domestic policy development</w:t>
      </w:r>
      <w:r w:rsidR="00765D50">
        <w:rPr>
          <w:lang w:eastAsia="en-NZ"/>
        </w:rPr>
        <w:t xml:space="preserve"> (</w:t>
      </w:r>
      <w:r>
        <w:rPr>
          <w:lang w:eastAsia="en-NZ"/>
        </w:rPr>
        <w:t>such as the development for suitable standard carbon tables for use in the NZ ETS</w:t>
      </w:r>
      <w:r w:rsidR="00765D50">
        <w:rPr>
          <w:lang w:eastAsia="en-NZ"/>
        </w:rPr>
        <w:t>)</w:t>
      </w:r>
      <w:r>
        <w:rPr>
          <w:lang w:eastAsia="en-NZ"/>
        </w:rPr>
        <w:t>, so some work is already underway. A</w:t>
      </w:r>
      <w:r w:rsidR="00765D50">
        <w:rPr>
          <w:lang w:eastAsia="en-NZ"/>
        </w:rPr>
        <w:t>n</w:t>
      </w:r>
      <w:r>
        <w:rPr>
          <w:lang w:eastAsia="en-NZ"/>
        </w:rPr>
        <w:t xml:space="preserve"> interim assumption can be made that the LTA age will not be r</w:t>
      </w:r>
      <w:r w:rsidR="00765D50">
        <w:rPr>
          <w:lang w:eastAsia="en-NZ"/>
        </w:rPr>
        <w:t>e</w:t>
      </w:r>
      <w:r>
        <w:rPr>
          <w:lang w:eastAsia="en-NZ"/>
        </w:rPr>
        <w:t>ached for these forests b</w:t>
      </w:r>
      <w:r w:rsidR="00765D50">
        <w:rPr>
          <w:lang w:eastAsia="en-NZ"/>
        </w:rPr>
        <w:t>efore</w:t>
      </w:r>
      <w:r>
        <w:rPr>
          <w:lang w:eastAsia="en-NZ"/>
        </w:rPr>
        <w:t xml:space="preserve"> the end of 2021-2030 compliance period.</w:t>
      </w:r>
    </w:p>
    <w:p w14:paraId="246C7652" w14:textId="113414B8" w:rsidR="00787AD9" w:rsidRDefault="00396D1B" w:rsidP="00FF3054">
      <w:pPr>
        <w:pStyle w:val="ListParagraph"/>
        <w:numPr>
          <w:ilvl w:val="0"/>
          <w:numId w:val="42"/>
        </w:numPr>
        <w:spacing w:line="276" w:lineRule="auto"/>
        <w:rPr>
          <w:lang w:eastAsia="en-NZ"/>
        </w:rPr>
      </w:pPr>
      <w:r>
        <w:rPr>
          <w:lang w:eastAsia="en-NZ"/>
        </w:rPr>
        <w:t>Credit f</w:t>
      </w:r>
      <w:r w:rsidR="007D4D2C">
        <w:rPr>
          <w:lang w:eastAsia="en-NZ"/>
        </w:rPr>
        <w:t xml:space="preserve">orests that are </w:t>
      </w:r>
      <w:r w:rsidR="00B67C71">
        <w:rPr>
          <w:lang w:eastAsia="en-NZ"/>
        </w:rPr>
        <w:t xml:space="preserve">harvested </w:t>
      </w:r>
      <w:r w:rsidR="007D4D2C">
        <w:rPr>
          <w:lang w:eastAsia="en-NZ"/>
        </w:rPr>
        <w:t xml:space="preserve">before the LTA age is reached </w:t>
      </w:r>
      <w:r>
        <w:rPr>
          <w:lang w:eastAsia="en-NZ"/>
        </w:rPr>
        <w:t>up</w:t>
      </w:r>
      <w:r w:rsidR="007D4D2C">
        <w:rPr>
          <w:lang w:eastAsia="en-NZ"/>
        </w:rPr>
        <w:t xml:space="preserve"> to the LTA age</w:t>
      </w:r>
      <w:r>
        <w:rPr>
          <w:lang w:eastAsia="en-NZ"/>
        </w:rPr>
        <w:t xml:space="preserve"> in full. This is because the LTA age</w:t>
      </w:r>
      <w:r w:rsidR="007D4D2C">
        <w:rPr>
          <w:lang w:eastAsia="en-NZ"/>
        </w:rPr>
        <w:t xml:space="preserve"> is based on an average </w:t>
      </w:r>
      <w:r w:rsidR="0041646E">
        <w:rPr>
          <w:lang w:eastAsia="en-NZ"/>
        </w:rPr>
        <w:t>rotation length a</w:t>
      </w:r>
      <w:r w:rsidR="007D4D2C">
        <w:rPr>
          <w:lang w:eastAsia="en-NZ"/>
        </w:rPr>
        <w:t xml:space="preserve">nd </w:t>
      </w:r>
      <w:r w:rsidR="00372942">
        <w:rPr>
          <w:lang w:eastAsia="en-NZ"/>
        </w:rPr>
        <w:t xml:space="preserve">implicitly </w:t>
      </w:r>
      <w:r w:rsidR="007D4D2C">
        <w:rPr>
          <w:lang w:eastAsia="en-NZ"/>
        </w:rPr>
        <w:t xml:space="preserve">assumes that </w:t>
      </w:r>
      <w:r w:rsidR="00372942">
        <w:rPr>
          <w:lang w:eastAsia="en-NZ"/>
        </w:rPr>
        <w:t xml:space="preserve">the impact of </w:t>
      </w:r>
      <w:r w:rsidR="0041646E">
        <w:rPr>
          <w:lang w:eastAsia="en-NZ"/>
        </w:rPr>
        <w:t xml:space="preserve">stands harvested </w:t>
      </w:r>
      <w:r w:rsidR="00733974">
        <w:rPr>
          <w:lang w:eastAsia="en-NZ"/>
        </w:rPr>
        <w:t xml:space="preserve">at an </w:t>
      </w:r>
      <w:r w:rsidR="0041646E">
        <w:rPr>
          <w:lang w:eastAsia="en-NZ"/>
        </w:rPr>
        <w:t xml:space="preserve">earlier </w:t>
      </w:r>
      <w:r w:rsidR="00733974">
        <w:rPr>
          <w:lang w:eastAsia="en-NZ"/>
        </w:rPr>
        <w:t xml:space="preserve">age </w:t>
      </w:r>
      <w:r w:rsidR="0041646E">
        <w:rPr>
          <w:lang w:eastAsia="en-NZ"/>
        </w:rPr>
        <w:t>will be balanced by stands harvested later</w:t>
      </w:r>
      <w:r w:rsidR="00733974">
        <w:rPr>
          <w:lang w:eastAsia="en-NZ"/>
        </w:rPr>
        <w:t>. Th</w:t>
      </w:r>
      <w:r w:rsidR="00C41ACD">
        <w:rPr>
          <w:lang w:eastAsia="en-NZ"/>
        </w:rPr>
        <w:t xml:space="preserve">e shortfall in crediting of forests harvested </w:t>
      </w:r>
      <w:r w:rsidR="00DE202B">
        <w:rPr>
          <w:lang w:eastAsia="en-NZ"/>
        </w:rPr>
        <w:t>before the LTA age is reached</w:t>
      </w:r>
      <w:r w:rsidR="00C41ACD">
        <w:rPr>
          <w:lang w:eastAsia="en-NZ"/>
        </w:rPr>
        <w:t xml:space="preserve"> can be addressed </w:t>
      </w:r>
      <w:r w:rsidR="002473E4">
        <w:rPr>
          <w:lang w:eastAsia="en-NZ"/>
        </w:rPr>
        <w:t xml:space="preserve">as a calculation outside the CRA, since the harvest year, </w:t>
      </w:r>
      <w:r w:rsidR="00BC6EB4">
        <w:rPr>
          <w:lang w:eastAsia="en-NZ"/>
        </w:rPr>
        <w:t xml:space="preserve">harvest </w:t>
      </w:r>
      <w:r w:rsidR="002473E4">
        <w:rPr>
          <w:lang w:eastAsia="en-NZ"/>
        </w:rPr>
        <w:t>age</w:t>
      </w:r>
      <w:r w:rsidR="00BC6EB4">
        <w:rPr>
          <w:lang w:eastAsia="en-NZ"/>
        </w:rPr>
        <w:t xml:space="preserve"> and </w:t>
      </w:r>
      <w:r w:rsidR="00DE202B">
        <w:rPr>
          <w:lang w:eastAsia="en-NZ"/>
        </w:rPr>
        <w:t xml:space="preserve">potential </w:t>
      </w:r>
      <w:r w:rsidR="00BC6EB4">
        <w:rPr>
          <w:lang w:eastAsia="en-NZ"/>
        </w:rPr>
        <w:t>carbon stock increment from harvest age to LTA age are all known.</w:t>
      </w:r>
    </w:p>
    <w:p w14:paraId="4A09546A" w14:textId="78DEC791" w:rsidR="00640798" w:rsidRDefault="009506D6" w:rsidP="00640798">
      <w:pPr>
        <w:pStyle w:val="ListParagraph"/>
        <w:numPr>
          <w:ilvl w:val="0"/>
          <w:numId w:val="42"/>
        </w:numPr>
        <w:spacing w:line="276" w:lineRule="auto"/>
        <w:rPr>
          <w:lang w:eastAsia="en-NZ"/>
        </w:rPr>
      </w:pPr>
      <w:r>
        <w:rPr>
          <w:lang w:eastAsia="en-NZ"/>
        </w:rPr>
        <w:lastRenderedPageBreak/>
        <w:t xml:space="preserve">Further investigate the ability of the reference level accounting approach </w:t>
      </w:r>
      <w:r w:rsidR="00C82B02">
        <w:rPr>
          <w:lang w:eastAsia="en-NZ"/>
        </w:rPr>
        <w:t xml:space="preserve">to avoid fluctuations in </w:t>
      </w:r>
      <w:r w:rsidR="00FC2AA8">
        <w:rPr>
          <w:lang w:eastAsia="en-NZ"/>
        </w:rPr>
        <w:t xml:space="preserve">accounting quantity estimates </w:t>
      </w:r>
      <w:r w:rsidR="00EC43A0">
        <w:rPr>
          <w:lang w:eastAsia="en-NZ"/>
        </w:rPr>
        <w:t xml:space="preserve">made </w:t>
      </w:r>
      <w:r w:rsidR="00FC2AA8">
        <w:rPr>
          <w:lang w:eastAsia="en-NZ"/>
        </w:rPr>
        <w:t>at the end of five</w:t>
      </w:r>
      <w:r w:rsidR="00ED0FDA">
        <w:rPr>
          <w:lang w:eastAsia="en-NZ"/>
        </w:rPr>
        <w:t>-</w:t>
      </w:r>
      <w:r w:rsidR="00FC2AA8">
        <w:rPr>
          <w:lang w:eastAsia="en-NZ"/>
        </w:rPr>
        <w:t>year periods</w:t>
      </w:r>
      <w:r w:rsidR="00ED76A8">
        <w:rPr>
          <w:lang w:eastAsia="en-NZ"/>
        </w:rPr>
        <w:t>, if possible using retrospective analysis based on greenhouse gas inventory data</w:t>
      </w:r>
      <w:r w:rsidR="00ED0FDA">
        <w:rPr>
          <w:lang w:eastAsia="en-NZ"/>
        </w:rPr>
        <w:t>.</w:t>
      </w:r>
      <w:r w:rsidR="00DF6268">
        <w:rPr>
          <w:lang w:eastAsia="en-NZ"/>
        </w:rPr>
        <w:t xml:space="preserve"> </w:t>
      </w:r>
    </w:p>
    <w:p w14:paraId="584D485C" w14:textId="51594C95" w:rsidR="00ED0FDA" w:rsidRDefault="0000014A" w:rsidP="00640798">
      <w:pPr>
        <w:pStyle w:val="ListParagraph"/>
        <w:numPr>
          <w:ilvl w:val="0"/>
          <w:numId w:val="42"/>
        </w:numPr>
        <w:spacing w:line="276" w:lineRule="auto"/>
        <w:rPr>
          <w:lang w:eastAsia="en-NZ"/>
        </w:rPr>
      </w:pPr>
      <w:r>
        <w:rPr>
          <w:lang w:eastAsia="en-NZ"/>
        </w:rPr>
        <w:t xml:space="preserve">Confirm that recalculation of the LTA </w:t>
      </w:r>
      <w:r w:rsidR="004E0B4D">
        <w:rPr>
          <w:lang w:eastAsia="en-NZ"/>
        </w:rPr>
        <w:t xml:space="preserve">age during the compliance period is a viable </w:t>
      </w:r>
      <w:r w:rsidR="00FF3054">
        <w:rPr>
          <w:lang w:eastAsia="en-NZ"/>
        </w:rPr>
        <w:t xml:space="preserve">fall-back </w:t>
      </w:r>
      <w:r w:rsidR="004E0B4D">
        <w:rPr>
          <w:lang w:eastAsia="en-NZ"/>
        </w:rPr>
        <w:t>alternative to reference level accounting.</w:t>
      </w:r>
    </w:p>
    <w:p w14:paraId="5AC09728" w14:textId="11E34E2A" w:rsidR="00F81BC5" w:rsidRDefault="00061938" w:rsidP="00640798">
      <w:pPr>
        <w:pStyle w:val="ListParagraph"/>
        <w:numPr>
          <w:ilvl w:val="0"/>
          <w:numId w:val="42"/>
        </w:numPr>
        <w:spacing w:line="276" w:lineRule="auto"/>
        <w:rPr>
          <w:lang w:eastAsia="en-NZ"/>
        </w:rPr>
      </w:pPr>
      <w:r>
        <w:rPr>
          <w:lang w:eastAsia="en-NZ"/>
        </w:rPr>
        <w:t xml:space="preserve">If reference level accounting is to be used, determine </w:t>
      </w:r>
      <w:r w:rsidR="006D3D59">
        <w:rPr>
          <w:lang w:eastAsia="en-NZ"/>
        </w:rPr>
        <w:t>whether</w:t>
      </w:r>
      <w:r>
        <w:rPr>
          <w:lang w:eastAsia="en-NZ"/>
        </w:rPr>
        <w:t xml:space="preserve"> </w:t>
      </w:r>
      <w:r w:rsidR="006C5882">
        <w:rPr>
          <w:lang w:eastAsia="en-NZ"/>
        </w:rPr>
        <w:t xml:space="preserve">changes in </w:t>
      </w:r>
      <w:r w:rsidR="00F81BC5">
        <w:rPr>
          <w:lang w:eastAsia="en-NZ"/>
        </w:rPr>
        <w:t xml:space="preserve">the </w:t>
      </w:r>
      <w:r w:rsidR="00297EFB">
        <w:rPr>
          <w:lang w:eastAsia="en-NZ"/>
        </w:rPr>
        <w:t>assumption</w:t>
      </w:r>
      <w:r w:rsidR="00F81BC5">
        <w:rPr>
          <w:lang w:eastAsia="en-NZ"/>
        </w:rPr>
        <w:t>s</w:t>
      </w:r>
      <w:r w:rsidR="00297EFB">
        <w:rPr>
          <w:lang w:eastAsia="en-NZ"/>
        </w:rPr>
        <w:t xml:space="preserve"> underlying HWP calculations should be taken into account </w:t>
      </w:r>
      <w:r w:rsidR="00F81BC5">
        <w:rPr>
          <w:lang w:eastAsia="en-NZ"/>
        </w:rPr>
        <w:t xml:space="preserve">through recalculation of the LTA age or through reference level accounting. </w:t>
      </w:r>
      <w:r w:rsidR="007C4018">
        <w:rPr>
          <w:lang w:eastAsia="en-NZ"/>
        </w:rPr>
        <w:t>Projections for the FRL are made by applying a d</w:t>
      </w:r>
      <w:r w:rsidR="00D90B45">
        <w:rPr>
          <w:lang w:eastAsia="en-NZ"/>
        </w:rPr>
        <w:t xml:space="preserve">iscard table to projections of harvested biomass, whereas reporting </w:t>
      </w:r>
      <w:r w:rsidR="00B356AB">
        <w:rPr>
          <w:lang w:eastAsia="en-NZ"/>
        </w:rPr>
        <w:t xml:space="preserve">of actual </w:t>
      </w:r>
      <w:r w:rsidR="00590C23">
        <w:rPr>
          <w:lang w:eastAsia="en-NZ"/>
        </w:rPr>
        <w:t xml:space="preserve">HWP pool stock changes </w:t>
      </w:r>
      <w:r w:rsidR="00D90B45">
        <w:rPr>
          <w:lang w:eastAsia="en-NZ"/>
        </w:rPr>
        <w:t>is based on production and trade data</w:t>
      </w:r>
      <w:r w:rsidR="006E46FA">
        <w:rPr>
          <w:lang w:eastAsia="en-NZ"/>
        </w:rPr>
        <w:t>, with end use half-lives applied.</w:t>
      </w:r>
      <w:r w:rsidR="00590C23">
        <w:rPr>
          <w:lang w:eastAsia="en-NZ"/>
        </w:rPr>
        <w:t xml:space="preserve"> This situation also applies to the pre-1990 FRL</w:t>
      </w:r>
      <w:r w:rsidR="00F2405D">
        <w:rPr>
          <w:lang w:eastAsia="en-NZ"/>
        </w:rPr>
        <w:t>, and the different approaches mean that</w:t>
      </w:r>
      <w:r w:rsidR="00304F5C">
        <w:rPr>
          <w:lang w:eastAsia="en-NZ"/>
        </w:rPr>
        <w:t xml:space="preserve"> there could be differences between the FRL and actual </w:t>
      </w:r>
      <w:r w:rsidR="00A649DE">
        <w:rPr>
          <w:lang w:eastAsia="en-NZ"/>
        </w:rPr>
        <w:t xml:space="preserve">net emissions from the HWP pool that are the result of methodology rather than real changes </w:t>
      </w:r>
      <w:r w:rsidR="005B366D">
        <w:rPr>
          <w:lang w:eastAsia="en-NZ"/>
        </w:rPr>
        <w:t>in end uses, lifespans or markets.</w:t>
      </w:r>
      <w:r w:rsidR="00272B07">
        <w:rPr>
          <w:lang w:eastAsia="en-NZ"/>
        </w:rPr>
        <w:t xml:space="preserve"> Retrospective </w:t>
      </w:r>
      <w:r w:rsidR="00D73ED1">
        <w:rPr>
          <w:lang w:eastAsia="en-NZ"/>
        </w:rPr>
        <w:t>i</w:t>
      </w:r>
      <w:r w:rsidR="00272B07">
        <w:rPr>
          <w:lang w:eastAsia="en-NZ"/>
        </w:rPr>
        <w:t>nvestigation of the extent of these differences would be helpful.</w:t>
      </w:r>
    </w:p>
    <w:p w14:paraId="1003AEF9" w14:textId="29FEBAA4" w:rsidR="0064144E" w:rsidRDefault="0064144E" w:rsidP="00640798">
      <w:pPr>
        <w:pStyle w:val="ListParagraph"/>
        <w:numPr>
          <w:ilvl w:val="0"/>
          <w:numId w:val="42"/>
        </w:numPr>
        <w:spacing w:line="276" w:lineRule="auto"/>
        <w:rPr>
          <w:lang w:eastAsia="en-NZ"/>
        </w:rPr>
      </w:pPr>
      <w:r>
        <w:rPr>
          <w:lang w:eastAsia="en-NZ"/>
        </w:rPr>
        <w:t>If the proportion of species of other than radiata pine in post-1989 rotational forests continues to increase</w:t>
      </w:r>
      <w:r w:rsidR="00F0325A">
        <w:rPr>
          <w:lang w:eastAsia="en-NZ"/>
        </w:rPr>
        <w:t>, investig</w:t>
      </w:r>
      <w:r w:rsidR="007423F3">
        <w:rPr>
          <w:lang w:eastAsia="en-NZ"/>
        </w:rPr>
        <w:t>ate</w:t>
      </w:r>
      <w:r w:rsidR="00F0325A">
        <w:rPr>
          <w:lang w:eastAsia="en-NZ"/>
        </w:rPr>
        <w:t xml:space="preserve"> the end uses of </w:t>
      </w:r>
      <w:r w:rsidR="006E54B8">
        <w:rPr>
          <w:lang w:eastAsia="en-NZ"/>
        </w:rPr>
        <w:t>HWPs produced from logs of different</w:t>
      </w:r>
      <w:r w:rsidR="00B67C71">
        <w:rPr>
          <w:lang w:eastAsia="en-NZ"/>
        </w:rPr>
        <w:t xml:space="preserve"> species</w:t>
      </w:r>
      <w:r w:rsidR="006E54B8">
        <w:rPr>
          <w:lang w:eastAsia="en-NZ"/>
        </w:rPr>
        <w:t>.</w:t>
      </w:r>
      <w:r w:rsidR="00523B57">
        <w:rPr>
          <w:lang w:eastAsia="en-NZ"/>
        </w:rPr>
        <w:t xml:space="preserve"> As the harvest of other species increases, projections that do not take species differences into account </w:t>
      </w:r>
      <w:r w:rsidR="007E79DB">
        <w:rPr>
          <w:lang w:eastAsia="en-NZ"/>
        </w:rPr>
        <w:t>may diverge from reporting based on actual HWP production.</w:t>
      </w:r>
    </w:p>
    <w:p w14:paraId="6ED4D9F9" w14:textId="77777777" w:rsidR="00501A39" w:rsidRDefault="00501A39" w:rsidP="00506A0B">
      <w:pPr>
        <w:pStyle w:val="ListParagraph"/>
        <w:spacing w:line="276" w:lineRule="auto"/>
        <w:ind w:left="360"/>
        <w:rPr>
          <w:lang w:eastAsia="en-NZ"/>
        </w:rPr>
      </w:pPr>
    </w:p>
    <w:p w14:paraId="13E07739" w14:textId="5EE07D28" w:rsidR="00A064BB" w:rsidRDefault="00A064BB" w:rsidP="66CE9D02"/>
    <w:p w14:paraId="4910BF4C" w14:textId="77777777" w:rsidR="00F52C81" w:rsidRDefault="00F52C81" w:rsidP="66CE9D02"/>
    <w:p w14:paraId="03A9B93F" w14:textId="62EB6E68" w:rsidR="00941BE3" w:rsidRPr="00077F8B" w:rsidRDefault="00941BE3" w:rsidP="00941BE3">
      <w:pPr>
        <w:pStyle w:val="Heading1"/>
        <w:spacing w:line="276" w:lineRule="auto"/>
      </w:pPr>
      <w:bookmarkStart w:id="18" w:name="_Toc178255291"/>
      <w:r>
        <w:t>Acknowledgements</w:t>
      </w:r>
      <w:bookmarkEnd w:id="18"/>
    </w:p>
    <w:p w14:paraId="21346953" w14:textId="57E9ECDF" w:rsidR="00941BE3" w:rsidRDefault="00941BE3" w:rsidP="00941BE3">
      <w:pPr>
        <w:tabs>
          <w:tab w:val="left" w:pos="2655"/>
        </w:tabs>
        <w:rPr>
          <w:rFonts w:cs="Arial"/>
        </w:rPr>
      </w:pPr>
      <w:r w:rsidRPr="66CE9D02">
        <w:rPr>
          <w:rFonts w:cs="Arial"/>
        </w:rPr>
        <w:t xml:space="preserve">We thank Ministry for the Environment staff for contributions to workshops and </w:t>
      </w:r>
      <w:r w:rsidR="00026A24">
        <w:rPr>
          <w:rFonts w:cs="Arial"/>
        </w:rPr>
        <w:t>helpful discussions</w:t>
      </w:r>
      <w:r w:rsidRPr="66CE9D02">
        <w:rPr>
          <w:rFonts w:cs="Arial"/>
        </w:rPr>
        <w:t>.</w:t>
      </w:r>
    </w:p>
    <w:p w14:paraId="0C2B3246" w14:textId="6701A5BE" w:rsidR="66CE9D02" w:rsidRDefault="66CE9D02" w:rsidP="66CE9D02">
      <w:pPr>
        <w:tabs>
          <w:tab w:val="left" w:pos="2655"/>
        </w:tabs>
        <w:rPr>
          <w:rFonts w:cs="Arial"/>
        </w:rPr>
      </w:pPr>
    </w:p>
    <w:p w14:paraId="76C657DE" w14:textId="77777777" w:rsidR="66CE9D02" w:rsidRDefault="66CE9D02" w:rsidP="00D73ED1">
      <w:pPr>
        <w:rPr>
          <w:rFonts w:cs="Arial"/>
        </w:rPr>
      </w:pPr>
    </w:p>
    <w:p w14:paraId="66281FAC" w14:textId="399FCA8F" w:rsidR="00300075" w:rsidRPr="00BD6258" w:rsidRDefault="001F722D" w:rsidP="66CE9D02">
      <w:pPr>
        <w:pStyle w:val="Heading1"/>
      </w:pPr>
      <w:bookmarkStart w:id="19" w:name="_Toc178255292"/>
      <w:r>
        <w:t>R</w:t>
      </w:r>
      <w:r w:rsidR="00941BE3">
        <w:t>eferences</w:t>
      </w:r>
      <w:bookmarkEnd w:id="19"/>
    </w:p>
    <w:p w14:paraId="3FB4CFAC" w14:textId="4A0D9819" w:rsidR="007D1547" w:rsidRDefault="002F24CB" w:rsidP="66CE9D02">
      <w:pPr>
        <w:pStyle w:val="EndNoteBibliography"/>
        <w:spacing w:line="259" w:lineRule="auto"/>
        <w:ind w:left="720" w:hanging="720"/>
      </w:pPr>
      <w:r>
        <w:t>Anon. 2023. A New Zealand Guide to Growing</w:t>
      </w:r>
      <w:r w:rsidR="007D1547">
        <w:t xml:space="preserve"> </w:t>
      </w:r>
      <w:r w:rsidR="00C035EA">
        <w:t>Alternative Exotic For</w:t>
      </w:r>
      <w:r w:rsidR="007D1547">
        <w:t>e</w:t>
      </w:r>
      <w:r w:rsidR="00C035EA">
        <w:t>st Species. Ministry for Primary Industries</w:t>
      </w:r>
      <w:r w:rsidR="007D1547">
        <w:t>, Welllington</w:t>
      </w:r>
      <w:r w:rsidR="00C035EA">
        <w:t>. ISBN 978-1-991080</w:t>
      </w:r>
      <w:r w:rsidR="007D1547">
        <w:t xml:space="preserve">-00-4. </w:t>
      </w:r>
      <w:hyperlink r:id="rId27" w:history="1">
        <w:r w:rsidR="007D4877" w:rsidRPr="007D4877">
          <w:rPr>
            <w:rStyle w:val="Hyperlink"/>
            <w:lang w:val="en-AU"/>
          </w:rPr>
          <w:t>MPI Specialty Species Booklet Online July23 (canopy.govt.nz)</w:t>
        </w:r>
      </w:hyperlink>
    </w:p>
    <w:p w14:paraId="2EBEA5B4" w14:textId="22A1CC70" w:rsidR="002A6E2D" w:rsidRPr="00BD6258" w:rsidRDefault="002A6E2D" w:rsidP="66CE9D02">
      <w:pPr>
        <w:pStyle w:val="EndNoteBibliography"/>
        <w:spacing w:line="259" w:lineRule="auto"/>
        <w:ind w:left="720" w:hanging="720"/>
      </w:pPr>
      <w:r>
        <w:t>Dovey S.</w:t>
      </w:r>
      <w:r w:rsidR="00F60FD1">
        <w:t>B.</w:t>
      </w:r>
      <w:r>
        <w:t xml:space="preserve">, &amp; Wakelin S.J. (2024) </w:t>
      </w:r>
      <w:r w:rsidR="00F60FD1" w:rsidRPr="00F60FD1">
        <w:t>Long-Term Average Carbon Stock Estimation Model</w:t>
      </w:r>
      <w:r w:rsidR="00F60FD1">
        <w:t xml:space="preserve">. </w:t>
      </w:r>
      <w:r w:rsidR="00F60FD1" w:rsidRPr="00F60FD1">
        <w:t>Unpublished contract report for the Ministry for the Environment, Scion, Rotorua.</w:t>
      </w:r>
    </w:p>
    <w:p w14:paraId="65487EC0" w14:textId="77777777" w:rsidR="00CB12C5" w:rsidRPr="00283C9A" w:rsidRDefault="00CB12C5" w:rsidP="00CB12C5">
      <w:pPr>
        <w:tabs>
          <w:tab w:val="left" w:pos="2655"/>
        </w:tabs>
        <w:ind w:left="709" w:hanging="709"/>
        <w:rPr>
          <w:rFonts w:cs="Arial"/>
          <w:szCs w:val="20"/>
        </w:rPr>
      </w:pPr>
      <w:r w:rsidRPr="00283C9A">
        <w:rPr>
          <w:rFonts w:cs="Arial"/>
          <w:szCs w:val="20"/>
        </w:rPr>
        <w:t>Intergovernmental Panel on Climate Change (IPCC). (2006). 2006 IPCC Guidelines for National Greenhouse Gas Inventories. Prepared by the National Greenhouse Gas Inventories Programme, Eggleston H.S., Buendia I., Miwa K., Ngara T. and Tana</w:t>
      </w:r>
      <w:r>
        <w:rPr>
          <w:rFonts w:cs="Arial"/>
          <w:szCs w:val="20"/>
        </w:rPr>
        <w:t>b</w:t>
      </w:r>
      <w:r w:rsidRPr="00283C9A">
        <w:rPr>
          <w:rFonts w:cs="Arial"/>
          <w:szCs w:val="20"/>
        </w:rPr>
        <w:t>e K. (eds). Published: IGES, Japan.</w:t>
      </w:r>
    </w:p>
    <w:p w14:paraId="293388F5" w14:textId="6CC1F48D" w:rsidR="00CB12C5" w:rsidRPr="00283C9A" w:rsidRDefault="00CB12C5" w:rsidP="00CB12C5">
      <w:pPr>
        <w:tabs>
          <w:tab w:val="left" w:pos="2655"/>
        </w:tabs>
        <w:ind w:left="709" w:hanging="709"/>
        <w:rPr>
          <w:rFonts w:cs="Arial"/>
          <w:color w:val="000000"/>
          <w:szCs w:val="20"/>
          <w:shd w:val="clear" w:color="auto" w:fill="FFFFFF"/>
        </w:rPr>
      </w:pPr>
      <w:r w:rsidRPr="00283C9A">
        <w:rPr>
          <w:rFonts w:cs="Arial"/>
          <w:szCs w:val="20"/>
        </w:rPr>
        <w:t>Intergovernmental Panel on Climate Change (IPCC).</w:t>
      </w:r>
      <w:r w:rsidRPr="00283C9A">
        <w:rPr>
          <w:rFonts w:cs="Arial"/>
          <w:color w:val="000000"/>
          <w:szCs w:val="20"/>
          <w:shd w:val="clear" w:color="auto" w:fill="FFFFFF"/>
        </w:rPr>
        <w:t xml:space="preserve"> (2014), 2013 Revised Supplementary Methods and Good Practice Guidance Arising from the Kyoto Protocol, Hiraishi, T., Krug, T., Tanabe, K., Srivastava, N., Baasansuren, J., Fukuda, M. and Troxler, T.G. (eds). Published: IPCC, Switzerland.</w:t>
      </w:r>
    </w:p>
    <w:p w14:paraId="3919E67C" w14:textId="0211C966" w:rsidR="00CB12C5" w:rsidRPr="00283C9A" w:rsidRDefault="00CB12C5" w:rsidP="00CB12C5">
      <w:pPr>
        <w:tabs>
          <w:tab w:val="left" w:pos="2655"/>
        </w:tabs>
        <w:ind w:left="709" w:hanging="709"/>
        <w:rPr>
          <w:rFonts w:cs="Arial"/>
          <w:szCs w:val="20"/>
        </w:rPr>
      </w:pPr>
      <w:r w:rsidRPr="00283C9A">
        <w:rPr>
          <w:rFonts w:cs="Arial"/>
          <w:szCs w:val="20"/>
        </w:rPr>
        <w:t>Intergovernmental Panel on Climate Change (IPCC). (2019), 2019 Refinement to the 2006 IPCC Guidelines for National Greenhouse Gas Inventories, Calvo Buendia, E., Tanabe, K., Kranjc, A., Baasansuren, J., Fukuda, M., Ngarize, S., Osako, A., Pyrozhenko, Y., Shermanau, P. and Federici, S. (eds). Published: IPCC, Switzerland.</w:t>
      </w:r>
    </w:p>
    <w:p w14:paraId="15A98557" w14:textId="5CD3492E" w:rsidR="00300075" w:rsidRDefault="00300075" w:rsidP="00300075">
      <w:pPr>
        <w:pStyle w:val="EndNoteBibliography"/>
        <w:ind w:left="720" w:hanging="720"/>
      </w:pPr>
      <w:r>
        <w:t xml:space="preserve">Maclaren, J.P. (2009). Douglas fir manual. Forest </w:t>
      </w:r>
      <w:r w:rsidR="00F178FF">
        <w:t>R</w:t>
      </w:r>
      <w:r>
        <w:t>esearch Institute Bulletin 237. New Zealand Forest Research Institute.</w:t>
      </w:r>
    </w:p>
    <w:p w14:paraId="2985B005" w14:textId="77777777" w:rsidR="00300075" w:rsidRDefault="00300075" w:rsidP="00300075">
      <w:pPr>
        <w:pStyle w:val="EndNoteBibliography"/>
        <w:ind w:left="720" w:hanging="720"/>
      </w:pPr>
      <w:r>
        <w:t xml:space="preserve">Manley, B.R., &amp; Evison, D. (2017). Quantifying the carbon in harvested wood products from logs exported from New Zealand. </w:t>
      </w:r>
      <w:r w:rsidRPr="00BD6258">
        <w:rPr>
          <w:i/>
          <w:iCs/>
        </w:rPr>
        <w:t>NZ Journal of Forestry</w:t>
      </w:r>
      <w:r>
        <w:t>, 62(3).</w:t>
      </w:r>
    </w:p>
    <w:p w14:paraId="7C7B4159" w14:textId="33E27C4B" w:rsidR="007D30DD" w:rsidRDefault="007D30DD" w:rsidP="007D30DD">
      <w:pPr>
        <w:pStyle w:val="EndNoteBibliography"/>
        <w:ind w:left="720" w:hanging="720"/>
      </w:pPr>
      <w:r w:rsidRPr="00862953">
        <w:t xml:space="preserve">Manley, B. 2018. Intentions of forest owners following harvest of post-1989 forests. MPI Technical Paper No. 2018/55. </w:t>
      </w:r>
      <w:r w:rsidRPr="007D30DD">
        <w:t>Prepared for Ministry for Primary Industries</w:t>
      </w:r>
      <w:r>
        <w:t>.</w:t>
      </w:r>
    </w:p>
    <w:p w14:paraId="0998AB28" w14:textId="77777777" w:rsidR="004A6C47" w:rsidRPr="004D6BB7" w:rsidRDefault="004A6C47" w:rsidP="004A6C47">
      <w:pPr>
        <w:tabs>
          <w:tab w:val="left" w:pos="2655"/>
        </w:tabs>
        <w:ind w:left="709" w:hanging="709"/>
        <w:rPr>
          <w:szCs w:val="20"/>
        </w:rPr>
      </w:pPr>
      <w:r w:rsidRPr="004D6BB7">
        <w:rPr>
          <w:rFonts w:cs="Arial"/>
          <w:szCs w:val="20"/>
        </w:rPr>
        <w:t xml:space="preserve">Margules Groome </w:t>
      </w:r>
      <w:r>
        <w:rPr>
          <w:rFonts w:cs="Arial"/>
          <w:szCs w:val="20"/>
        </w:rPr>
        <w:t>(</w:t>
      </w:r>
      <w:r w:rsidRPr="004D6BB7">
        <w:rPr>
          <w:rFonts w:cs="Arial"/>
          <w:szCs w:val="20"/>
        </w:rPr>
        <w:t>2021</w:t>
      </w:r>
      <w:r>
        <w:rPr>
          <w:rFonts w:cs="Arial"/>
          <w:szCs w:val="20"/>
        </w:rPr>
        <w:t>)</w:t>
      </w:r>
      <w:r w:rsidRPr="004D6BB7">
        <w:rPr>
          <w:rFonts w:cs="Arial"/>
          <w:szCs w:val="20"/>
        </w:rPr>
        <w:t xml:space="preserve">. Wood Availability Forecast – New Zealand 2021 to 2060. ISBN: 978-1-99-101914-1 (online). </w:t>
      </w:r>
      <w:hyperlink r:id="rId28" w:history="1">
        <w:r w:rsidRPr="004D6BB7">
          <w:rPr>
            <w:szCs w:val="20"/>
          </w:rPr>
          <w:t>https://www.mpi.govt.nz/dmsdocument/47671-Wood-Availability-Forecast-New-Zealand-2021-to-2060</w:t>
        </w:r>
      </w:hyperlink>
    </w:p>
    <w:p w14:paraId="75EFB9F8" w14:textId="0A5DFCEA" w:rsidR="00E21BBB" w:rsidRDefault="00E21BBB" w:rsidP="00E21BBB">
      <w:pPr>
        <w:pStyle w:val="EndNoteBibliography"/>
        <w:ind w:left="720" w:hanging="720"/>
      </w:pPr>
      <w:r w:rsidRPr="00B65760">
        <w:lastRenderedPageBreak/>
        <w:t>Ministry for the Environment. (2024</w:t>
      </w:r>
      <w:r w:rsidR="00D528D3">
        <w:t>a</w:t>
      </w:r>
      <w:r w:rsidRPr="00B65760">
        <w:t xml:space="preserve">). </w:t>
      </w:r>
      <w:r w:rsidRPr="00FB53B7">
        <w:rPr>
          <w:iCs/>
        </w:rPr>
        <w:t>New Zealand’s Greenhouse Gas Inventory 1990–20</w:t>
      </w:r>
      <w:r w:rsidR="00B67C71">
        <w:rPr>
          <w:iCs/>
        </w:rPr>
        <w:t>22</w:t>
      </w:r>
      <w:r w:rsidRPr="00B65760">
        <w:t xml:space="preserve"> </w:t>
      </w:r>
      <w:r w:rsidR="00B33B9E">
        <w:t xml:space="preserve">Volume 1. </w:t>
      </w:r>
      <w:r w:rsidRPr="00B65760">
        <w:t>Ministry for the Environment.</w:t>
      </w:r>
    </w:p>
    <w:p w14:paraId="7F845D53" w14:textId="1C1C0302" w:rsidR="00E21BBB" w:rsidRDefault="00D528D3" w:rsidP="00300075">
      <w:pPr>
        <w:pStyle w:val="EndNoteBibliography"/>
        <w:ind w:left="720" w:hanging="720"/>
      </w:pPr>
      <w:r w:rsidRPr="00B65760">
        <w:t>Ministry for the Environment. (</w:t>
      </w:r>
      <w:r w:rsidR="00441B31" w:rsidRPr="00B65760">
        <w:t>2024</w:t>
      </w:r>
      <w:r w:rsidR="00441B31">
        <w:t>b</w:t>
      </w:r>
      <w:r w:rsidRPr="00B65760">
        <w:t xml:space="preserve">). </w:t>
      </w:r>
      <w:r w:rsidRPr="00FB53B7">
        <w:rPr>
          <w:iCs/>
        </w:rPr>
        <w:t>New Zealand’s Greenhouse Gas Inventory 1990–20</w:t>
      </w:r>
      <w:r w:rsidR="00B67C71">
        <w:rPr>
          <w:iCs/>
        </w:rPr>
        <w:t>22</w:t>
      </w:r>
      <w:r w:rsidRPr="00B65760">
        <w:t xml:space="preserve"> </w:t>
      </w:r>
      <w:r w:rsidR="00B33B9E">
        <w:t>Volume 2 annexes</w:t>
      </w:r>
      <w:r w:rsidR="00DE6BE0">
        <w:t xml:space="preserve">. </w:t>
      </w:r>
      <w:r w:rsidRPr="00B65760">
        <w:t>Ministry for the Environment.</w:t>
      </w:r>
    </w:p>
    <w:p w14:paraId="0C5B55C1" w14:textId="32A91530" w:rsidR="00300075" w:rsidRDefault="00300075" w:rsidP="00300075">
      <w:pPr>
        <w:pStyle w:val="EndNoteBibliography"/>
        <w:ind w:left="720" w:hanging="720"/>
      </w:pPr>
      <w:r>
        <w:t>M</w:t>
      </w:r>
      <w:r w:rsidR="006F2D89">
        <w:t>inistry for Primary Industries</w:t>
      </w:r>
      <w:r>
        <w:t xml:space="preserve"> (2023). National exotic forest description as at 1 April 2022. Edition 39. Ministry for Primary Industries, Wellington.</w:t>
      </w:r>
    </w:p>
    <w:p w14:paraId="2871A0BF" w14:textId="77777777" w:rsidR="00300075" w:rsidRDefault="00300075" w:rsidP="00300075">
      <w:pPr>
        <w:pStyle w:val="EndNoteBibliography"/>
        <w:ind w:left="720" w:hanging="720"/>
      </w:pPr>
      <w:r>
        <w:t>Paul, T., &amp; Wakelin, S. J. (2011). Decay curve for planted forest harvest residues in LUCAS. Unpublished contract report for the Ministry for the Environment, Scion, Rotorua.</w:t>
      </w:r>
    </w:p>
    <w:p w14:paraId="6FD52FB8" w14:textId="6CDF0EEA" w:rsidR="00300075" w:rsidRDefault="003C2371" w:rsidP="003C2371">
      <w:pPr>
        <w:pStyle w:val="EndNoteBibliography"/>
        <w:ind w:left="720" w:hanging="720"/>
      </w:pPr>
      <w:r w:rsidRPr="003C2371">
        <w:t xml:space="preserve">Paul, T. S. H., Wakelin, S. J., &amp; Dodunski, C. (2024). </w:t>
      </w:r>
      <w:r w:rsidRPr="00D024C2">
        <w:t>The National Forest Inventory 2018-2022 analysis: Yield tables and carbon stocks in planted forests in New Zealand based on a five- year inventory cycle.</w:t>
      </w:r>
      <w:r w:rsidRPr="003C2371">
        <w:t xml:space="preserve"> Rotorua.</w:t>
      </w:r>
    </w:p>
    <w:p w14:paraId="427F0300" w14:textId="77777777" w:rsidR="00300075" w:rsidRDefault="00300075" w:rsidP="00300075">
      <w:pPr>
        <w:pStyle w:val="EndNoteBibliography"/>
        <w:ind w:left="720" w:hanging="720"/>
      </w:pPr>
      <w:r>
        <w:t>Wakelin, S.J. (2023). Annual updating of the Harvested Wood Products carbon accounting model. Unpublished contract report for the Ministry for the Environment. Scion. 31pp.</w:t>
      </w:r>
    </w:p>
    <w:p w14:paraId="181CCE6E" w14:textId="52557E4D" w:rsidR="002362E3" w:rsidRPr="009D1C22" w:rsidRDefault="00300075" w:rsidP="006247DA">
      <w:pPr>
        <w:pStyle w:val="EndNoteBibliography"/>
        <w:ind w:left="720" w:hanging="720"/>
      </w:pPr>
      <w:r>
        <w:t>Wakelin, S. J., &amp; Garrett, L. G. (2010). Biomass carbon loss from forest harvesting. Unpublished. Report for the Ministry for the Environment, Scion.</w:t>
      </w:r>
      <w:r w:rsidR="002362E3">
        <w:fldChar w:fldCharType="begin"/>
      </w:r>
      <w:r w:rsidR="002362E3" w:rsidRPr="005E4FC8">
        <w:instrText xml:space="preserve"> ADDIN EN.REFLIST </w:instrText>
      </w:r>
      <w:r w:rsidR="002362E3">
        <w:fldChar w:fldCharType="separate"/>
      </w:r>
    </w:p>
    <w:p w14:paraId="2428006B" w14:textId="77777777" w:rsidR="002362E3" w:rsidRDefault="002362E3" w:rsidP="002362E3">
      <w:pPr>
        <w:pStyle w:val="EndNoteBibliography"/>
        <w:ind w:left="720" w:hanging="720"/>
      </w:pPr>
      <w:r>
        <w:t xml:space="preserve">Wakelin, S. J., Manley, B. R., &amp; Dowling, L. J. (2017). </w:t>
      </w:r>
      <w:r w:rsidRPr="00D024C2">
        <w:t xml:space="preserve">Options for calculating the long-term average carbon stock in post-1989 forests. </w:t>
      </w:r>
      <w:r>
        <w:t>Unpublished. Ministry for Primary Industries (MPI), Internal Contract Report: Output 58646. Scion.</w:t>
      </w:r>
      <w:r>
        <w:fldChar w:fldCharType="end"/>
      </w:r>
    </w:p>
    <w:p w14:paraId="659FB085" w14:textId="744F6F0E" w:rsidR="00472A46" w:rsidRDefault="00472A46" w:rsidP="00472A46">
      <w:pPr>
        <w:pStyle w:val="EndNoteBibliography"/>
        <w:ind w:left="720" w:hanging="720"/>
      </w:pPr>
      <w:r>
        <w:t xml:space="preserve">Wakelin, S.J., Paul, T.S.H. (2024a). </w:t>
      </w:r>
      <w:r w:rsidRPr="008365EC">
        <w:t>Forest Reference Level for pre-1990 planted forests under the Paris Agreement</w:t>
      </w:r>
      <w:r>
        <w:t>. Unpublished contract report for the Ministry for the Environment. Scion. 55pp.</w:t>
      </w:r>
    </w:p>
    <w:p w14:paraId="31F7317E" w14:textId="47522981" w:rsidR="000070BF" w:rsidRPr="004D6BB7" w:rsidRDefault="000070BF" w:rsidP="000070BF">
      <w:pPr>
        <w:tabs>
          <w:tab w:val="left" w:pos="2655"/>
        </w:tabs>
        <w:ind w:left="709" w:hanging="709"/>
        <w:rPr>
          <w:rFonts w:cs="Arial"/>
          <w:szCs w:val="20"/>
        </w:rPr>
      </w:pPr>
      <w:r w:rsidRPr="004D6BB7">
        <w:rPr>
          <w:rFonts w:cs="Arial"/>
          <w:szCs w:val="20"/>
        </w:rPr>
        <w:t xml:space="preserve">Wakelin SJ, Paul TSH </w:t>
      </w:r>
      <w:r>
        <w:rPr>
          <w:rFonts w:cs="Arial"/>
          <w:szCs w:val="20"/>
        </w:rPr>
        <w:t>(</w:t>
      </w:r>
      <w:r w:rsidRPr="004D6BB7">
        <w:rPr>
          <w:rFonts w:cs="Arial"/>
          <w:szCs w:val="20"/>
        </w:rPr>
        <w:t>2024</w:t>
      </w:r>
      <w:r w:rsidR="00472A46">
        <w:rPr>
          <w:rFonts w:cs="Arial"/>
          <w:szCs w:val="20"/>
        </w:rPr>
        <w:t>b</w:t>
      </w:r>
      <w:r>
        <w:rPr>
          <w:rFonts w:cs="Arial"/>
          <w:szCs w:val="20"/>
        </w:rPr>
        <w:t>)</w:t>
      </w:r>
      <w:r w:rsidRPr="004D6BB7">
        <w:rPr>
          <w:rFonts w:cs="Arial"/>
          <w:szCs w:val="20"/>
        </w:rPr>
        <w:t>. Forest Reference Level for Pre-1990 Natural Forests under the Paris Agreement. Contract report prepared for the Ministry for the Environment. Scion.</w:t>
      </w:r>
    </w:p>
    <w:p w14:paraId="7AB0BB35" w14:textId="77777777" w:rsidR="00300075" w:rsidRDefault="00300075" w:rsidP="00300075">
      <w:pPr>
        <w:pStyle w:val="EndNoteBibliography"/>
        <w:ind w:left="720" w:hanging="720"/>
      </w:pPr>
      <w:r>
        <w:t>Wekesa, A., Manley, B., &amp; Evison, D. (2022). Improved data on harvested wood products. MPI Technical Paper No. 2023/02. Ministry for Primary Industries.</w:t>
      </w:r>
    </w:p>
    <w:p w14:paraId="60EF9C5C" w14:textId="2AF6C92C" w:rsidR="00F561B4" w:rsidRDefault="00D91394" w:rsidP="00B65760">
      <w:pPr>
        <w:pStyle w:val="EndNoteBibliography"/>
        <w:ind w:left="720" w:hanging="720"/>
      </w:pPr>
      <w:r w:rsidRPr="00B65760">
        <w:t>Wyse, S. V., Wilmshurst, J. M., Burns, B. R., &amp; Perry, G. L. W. (2018). New Zealand forest dynamics: a review of past and present vegetation responses to disturbance, and development of conceptual forest models. New Zealand Journal of Ecology, 42(2), 87–106. https://www.jstor.org/stable/26538101</w:t>
      </w:r>
    </w:p>
    <w:sectPr w:rsidR="00F561B4" w:rsidSect="003701B4">
      <w:headerReference w:type="default" r:id="rId29"/>
      <w:pgSz w:w="11906" w:h="16838" w:code="9"/>
      <w:pgMar w:top="1418" w:right="1418"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B260E" w14:textId="77777777" w:rsidR="009A2B26" w:rsidRDefault="009A2B26">
      <w:r>
        <w:separator/>
      </w:r>
    </w:p>
  </w:endnote>
  <w:endnote w:type="continuationSeparator" w:id="0">
    <w:p w14:paraId="5ECCB43B" w14:textId="77777777" w:rsidR="009A2B26" w:rsidRDefault="009A2B26">
      <w:r>
        <w:continuationSeparator/>
      </w:r>
    </w:p>
  </w:endnote>
  <w:endnote w:type="continuationNotice" w:id="1">
    <w:p w14:paraId="0AE0D64C" w14:textId="77777777" w:rsidR="009A2B26" w:rsidRDefault="009A2B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5" w14:textId="40F28D2D" w:rsidR="00FD1166" w:rsidRPr="007F7693" w:rsidRDefault="00FD1166" w:rsidP="007F7693">
    <w:pPr>
      <w:pStyle w:val="Footer"/>
      <w:ind w:right="360"/>
      <w:jc w:val="center"/>
      <w:rPr>
        <w:rFonts w:cs="Arial"/>
        <w:i w:val="0"/>
      </w:rPr>
    </w:pPr>
    <w:r w:rsidRPr="007F7693">
      <w:rPr>
        <w:rFonts w:cs="Arial"/>
        <w:i w:val="0"/>
      </w:rPr>
      <w:fldChar w:fldCharType="begin"/>
    </w:r>
    <w:r w:rsidRPr="007F7693">
      <w:rPr>
        <w:rFonts w:cs="Arial"/>
        <w:i w:val="0"/>
      </w:rPr>
      <w:instrText xml:space="preserve"> PAGE  \* Arabic  \* MERGEFORMAT </w:instrText>
    </w:r>
    <w:r w:rsidRPr="007F7693">
      <w:rPr>
        <w:rFonts w:cs="Arial"/>
        <w:i w:val="0"/>
      </w:rPr>
      <w:fldChar w:fldCharType="separate"/>
    </w:r>
    <w:r w:rsidR="00B8384B">
      <w:rPr>
        <w:rFonts w:cs="Arial"/>
        <w:i w:val="0"/>
        <w:noProof/>
      </w:rPr>
      <w:t>12</w:t>
    </w:r>
    <w:r w:rsidRPr="007F7693">
      <w:rPr>
        <w:rFonts w:cs="Arial"/>
        <w:i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0F3FA" w14:textId="061B32B6" w:rsidR="0070027D" w:rsidRPr="0070027D" w:rsidRDefault="0070027D" w:rsidP="0070027D">
    <w:pPr>
      <w:pStyle w:val="Footer"/>
      <w:jc w:val="center"/>
      <w:rPr>
        <w:i w:val="0"/>
      </w:rPr>
    </w:pPr>
    <w:r>
      <w:rPr>
        <w:i w:val="0"/>
      </w:rPr>
      <w:t>(</w:t>
    </w:r>
    <w:r w:rsidRPr="0070027D">
      <w:rPr>
        <w:i w:val="0"/>
      </w:rPr>
      <w:fldChar w:fldCharType="begin"/>
    </w:r>
    <w:r w:rsidRPr="0070027D">
      <w:rPr>
        <w:i w:val="0"/>
      </w:rPr>
      <w:instrText xml:space="preserve"> PAGE   \* MERGEFORMAT </w:instrText>
    </w:r>
    <w:r w:rsidRPr="0070027D">
      <w:rPr>
        <w:i w:val="0"/>
      </w:rPr>
      <w:fldChar w:fldCharType="separate"/>
    </w:r>
    <w:r w:rsidR="00B8384B">
      <w:rPr>
        <w:i w:val="0"/>
        <w:noProof/>
      </w:rPr>
      <w:t>ii</w:t>
    </w:r>
    <w:r w:rsidRPr="0070027D">
      <w:rPr>
        <w:i w:val="0"/>
        <w:noProof/>
      </w:rPr>
      <w:fldChar w:fldCharType="end"/>
    </w:r>
    <w:r>
      <w:rPr>
        <w:i w:val="0"/>
        <w:noProof/>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7" w14:textId="008744AE" w:rsidR="00FD1166" w:rsidRDefault="00FD1166" w:rsidP="00215890">
    <w:pPr>
      <w:pStyle w:val="Footer"/>
      <w:jc w:val="center"/>
      <w:rPr>
        <w:rFonts w:cs="Arial"/>
      </w:rP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B8384B">
      <w:rPr>
        <w:rStyle w:val="PageNumber"/>
        <w:rFonts w:cs="Arial"/>
        <w:noProof/>
      </w:rPr>
      <w:t>3</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A4453" w14:textId="77777777" w:rsidR="009A2B26" w:rsidRDefault="009A2B26">
      <w:r>
        <w:separator/>
      </w:r>
    </w:p>
  </w:footnote>
  <w:footnote w:type="continuationSeparator" w:id="0">
    <w:p w14:paraId="780175E1" w14:textId="77777777" w:rsidR="009A2B26" w:rsidRDefault="009A2B26">
      <w:r>
        <w:continuationSeparator/>
      </w:r>
    </w:p>
  </w:footnote>
  <w:footnote w:type="continuationNotice" w:id="1">
    <w:p w14:paraId="7FD99E50" w14:textId="77777777" w:rsidR="009A2B26" w:rsidRDefault="009A2B26"/>
  </w:footnote>
  <w:footnote w:id="2">
    <w:p w14:paraId="080FC5C5" w14:textId="276FC9A4" w:rsidR="00CB1C54" w:rsidRDefault="00CB1C54" w:rsidP="00CB1C54">
      <w:pPr>
        <w:pStyle w:val="FootnoteText"/>
      </w:pPr>
      <w:r>
        <w:rPr>
          <w:rStyle w:val="FootnoteReference"/>
        </w:rPr>
        <w:footnoteRef/>
      </w:r>
      <w:r>
        <w:t xml:space="preserve"> Unless conversions from “Other land” dominate, which is unlikely.</w:t>
      </w:r>
    </w:p>
  </w:footnote>
  <w:footnote w:id="3">
    <w:p w14:paraId="328110A8" w14:textId="50BA33C7" w:rsidR="009368C2" w:rsidRDefault="009368C2">
      <w:pPr>
        <w:pStyle w:val="FootnoteText"/>
      </w:pPr>
      <w:r>
        <w:rPr>
          <w:rStyle w:val="FootnoteReference"/>
        </w:rPr>
        <w:footnoteRef/>
      </w:r>
      <w:r>
        <w:t xml:space="preserve"> Percentages based on forest area in 2022 (MFE 2024</w:t>
      </w:r>
      <w:r w:rsidR="00781650">
        <w:t>a</w:t>
      </w:r>
      <w:r>
        <w:t>)</w:t>
      </w:r>
      <w:r w:rsidR="00616C53">
        <w:t xml:space="preserve"> and assuming that 6.1% of post-1989 </w:t>
      </w:r>
      <w:r w:rsidR="00616C53" w:rsidRPr="004D493C">
        <w:rPr>
          <w:u w:val="single"/>
        </w:rPr>
        <w:t>planted</w:t>
      </w:r>
      <w:r w:rsidR="00616C53">
        <w:t xml:space="preserve"> forest is permanent forest (</w:t>
      </w:r>
      <w:r w:rsidR="00143BF6">
        <w:t>Manley</w:t>
      </w:r>
      <w:r w:rsidR="002F292C">
        <w:t>,</w:t>
      </w:r>
      <w:r w:rsidR="00143BF6">
        <w:t xml:space="preserve"> 2018</w:t>
      </w:r>
      <w:r w:rsidR="00616C53">
        <w:t>)</w:t>
      </w:r>
      <w:r w:rsidR="00226D3F">
        <w:t xml:space="preserve">, equivalent to 5.3% of </w:t>
      </w:r>
      <w:r w:rsidR="001F64A6" w:rsidRPr="004D493C">
        <w:rPr>
          <w:u w:val="single"/>
        </w:rPr>
        <w:t>all</w:t>
      </w:r>
      <w:r w:rsidR="001F64A6">
        <w:t xml:space="preserve"> post-1989 forest</w:t>
      </w:r>
      <w:r w:rsidR="00616C53">
        <w:t>.</w:t>
      </w:r>
    </w:p>
  </w:footnote>
  <w:footnote w:id="4">
    <w:p w14:paraId="1F5F191C" w14:textId="7A374E86" w:rsidR="00FF1798" w:rsidRDefault="00FF1798">
      <w:pPr>
        <w:pStyle w:val="FootnoteText"/>
      </w:pPr>
      <w:r>
        <w:rPr>
          <w:rStyle w:val="FootnoteReference"/>
        </w:rPr>
        <w:footnoteRef/>
      </w:r>
      <w:r>
        <w:t xml:space="preserve"> </w:t>
      </w:r>
      <w:r w:rsidR="00D528D3">
        <w:t>Stocks for tall and regenerating forest in 2022 from MFE (2024b), weighted by areas from MFE (2024a)</w:t>
      </w:r>
    </w:p>
  </w:footnote>
  <w:footnote w:id="5">
    <w:p w14:paraId="1165168A" w14:textId="19D8BF84" w:rsidR="003D4FA8" w:rsidRDefault="003D4FA8">
      <w:pPr>
        <w:pStyle w:val="FootnoteText"/>
      </w:pPr>
      <w:r>
        <w:rPr>
          <w:rStyle w:val="FootnoteReference"/>
        </w:rPr>
        <w:footnoteRef/>
      </w:r>
      <w:r>
        <w:t xml:space="preserve"> Assuming the combined species post-1989 planted forest yield table (Paul et al 2024).</w:t>
      </w:r>
    </w:p>
  </w:footnote>
  <w:footnote w:id="6">
    <w:p w14:paraId="28329C49" w14:textId="77777777" w:rsidR="00B64CED" w:rsidRDefault="00B64CED" w:rsidP="00B64CED">
      <w:pPr>
        <w:pStyle w:val="FootnoteText"/>
      </w:pPr>
      <w:r w:rsidRPr="2744EF10">
        <w:rPr>
          <w:rStyle w:val="FootnoteReference"/>
        </w:rPr>
        <w:footnoteRef/>
      </w:r>
      <w:r>
        <w:t xml:space="preserve"> Note also that MS Excel always rounds 0.5 up for display purposes, and the Excel ROUND function by default will always round 0.5 and higher up, potentially leading to bias (as ideally 50% of the time 0.5 should be rounded down). However, it is unlikely that an LTA age would be calculated with a decimal place of exactly 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4513F" w14:textId="117B7B13" w:rsidR="004638CB" w:rsidRPr="004E0104" w:rsidRDefault="005B500B" w:rsidP="004E0104">
    <w:pPr>
      <w:pStyle w:val="Header"/>
    </w:pPr>
    <w:r w:rsidRPr="00B33F02">
      <w:rPr>
        <w:noProof/>
        <w:lang w:val="en-NZ" w:eastAsia="en-NZ"/>
      </w:rPr>
      <w:drawing>
        <wp:anchor distT="0" distB="0" distL="114300" distR="114300" simplePos="0" relativeHeight="251658240" behindDoc="0" locked="1" layoutInCell="1" allowOverlap="1" wp14:anchorId="7B921648" wp14:editId="546ACA42">
          <wp:simplePos x="0" y="0"/>
          <wp:positionH relativeFrom="margin">
            <wp:align>right</wp:align>
          </wp:positionH>
          <wp:positionV relativeFrom="page">
            <wp:posOffset>900430</wp:posOffset>
          </wp:positionV>
          <wp:extent cx="2523600" cy="608400"/>
          <wp:effectExtent l="0" t="0" r="0" b="1270"/>
          <wp:wrapSquare wrapText="bothSides"/>
          <wp:docPr id="550110071" name="Picture 55011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23600" cy="60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6" w14:textId="4C56243B" w:rsidR="00FD1166" w:rsidRDefault="00FD11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A" w14:textId="77777777" w:rsidR="00FD1166" w:rsidRDefault="00FD11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D23FF"/>
    <w:multiLevelType w:val="hybridMultilevel"/>
    <w:tmpl w:val="995A7746"/>
    <w:lvl w:ilvl="0" w:tplc="1409000F">
      <w:start w:val="1"/>
      <w:numFmt w:val="decimal"/>
      <w:lvlText w:val="%1."/>
      <w:lvlJc w:val="left"/>
      <w:pPr>
        <w:ind w:left="643" w:hanging="360"/>
      </w:pPr>
      <w:rPr>
        <w:rFonts w:hint="default"/>
      </w:rPr>
    </w:lvl>
    <w:lvl w:ilvl="1" w:tplc="14090019" w:tentative="1">
      <w:start w:val="1"/>
      <w:numFmt w:val="lowerLetter"/>
      <w:lvlText w:val="%2."/>
      <w:lvlJc w:val="left"/>
      <w:pPr>
        <w:ind w:left="1363" w:hanging="360"/>
      </w:pPr>
    </w:lvl>
    <w:lvl w:ilvl="2" w:tplc="1409001B" w:tentative="1">
      <w:start w:val="1"/>
      <w:numFmt w:val="lowerRoman"/>
      <w:lvlText w:val="%3."/>
      <w:lvlJc w:val="right"/>
      <w:pPr>
        <w:ind w:left="2083" w:hanging="180"/>
      </w:pPr>
    </w:lvl>
    <w:lvl w:ilvl="3" w:tplc="1409000F" w:tentative="1">
      <w:start w:val="1"/>
      <w:numFmt w:val="decimal"/>
      <w:lvlText w:val="%4."/>
      <w:lvlJc w:val="left"/>
      <w:pPr>
        <w:ind w:left="2803" w:hanging="360"/>
      </w:pPr>
    </w:lvl>
    <w:lvl w:ilvl="4" w:tplc="14090019" w:tentative="1">
      <w:start w:val="1"/>
      <w:numFmt w:val="lowerLetter"/>
      <w:lvlText w:val="%5."/>
      <w:lvlJc w:val="left"/>
      <w:pPr>
        <w:ind w:left="3523" w:hanging="360"/>
      </w:pPr>
    </w:lvl>
    <w:lvl w:ilvl="5" w:tplc="1409001B" w:tentative="1">
      <w:start w:val="1"/>
      <w:numFmt w:val="lowerRoman"/>
      <w:lvlText w:val="%6."/>
      <w:lvlJc w:val="right"/>
      <w:pPr>
        <w:ind w:left="4243" w:hanging="180"/>
      </w:pPr>
    </w:lvl>
    <w:lvl w:ilvl="6" w:tplc="1409000F" w:tentative="1">
      <w:start w:val="1"/>
      <w:numFmt w:val="decimal"/>
      <w:lvlText w:val="%7."/>
      <w:lvlJc w:val="left"/>
      <w:pPr>
        <w:ind w:left="4963" w:hanging="360"/>
      </w:pPr>
    </w:lvl>
    <w:lvl w:ilvl="7" w:tplc="14090019" w:tentative="1">
      <w:start w:val="1"/>
      <w:numFmt w:val="lowerLetter"/>
      <w:lvlText w:val="%8."/>
      <w:lvlJc w:val="left"/>
      <w:pPr>
        <w:ind w:left="5683" w:hanging="360"/>
      </w:pPr>
    </w:lvl>
    <w:lvl w:ilvl="8" w:tplc="1409001B" w:tentative="1">
      <w:start w:val="1"/>
      <w:numFmt w:val="lowerRoman"/>
      <w:lvlText w:val="%9."/>
      <w:lvlJc w:val="right"/>
      <w:pPr>
        <w:ind w:left="6403" w:hanging="180"/>
      </w:pPr>
    </w:lvl>
  </w:abstractNum>
  <w:abstractNum w:abstractNumId="1" w15:restartNumberingAfterBreak="0">
    <w:nsid w:val="03DF2983"/>
    <w:multiLevelType w:val="hybridMultilevel"/>
    <w:tmpl w:val="4E603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1D2D3F"/>
    <w:multiLevelType w:val="hybridMultilevel"/>
    <w:tmpl w:val="F426E46E"/>
    <w:lvl w:ilvl="0" w:tplc="63A66234">
      <w:start w:val="1"/>
      <w:numFmt w:val="upperLetter"/>
      <w:lvlText w:val="%1."/>
      <w:lvlJc w:val="left"/>
      <w:pPr>
        <w:ind w:left="465" w:hanging="360"/>
      </w:pPr>
      <w:rPr>
        <w:rFonts w:hint="default"/>
      </w:rPr>
    </w:lvl>
    <w:lvl w:ilvl="1" w:tplc="14090019" w:tentative="1">
      <w:start w:val="1"/>
      <w:numFmt w:val="lowerLetter"/>
      <w:lvlText w:val="%2."/>
      <w:lvlJc w:val="left"/>
      <w:pPr>
        <w:ind w:left="1185" w:hanging="360"/>
      </w:pPr>
    </w:lvl>
    <w:lvl w:ilvl="2" w:tplc="1409001B" w:tentative="1">
      <w:start w:val="1"/>
      <w:numFmt w:val="lowerRoman"/>
      <w:lvlText w:val="%3."/>
      <w:lvlJc w:val="right"/>
      <w:pPr>
        <w:ind w:left="1905" w:hanging="180"/>
      </w:pPr>
    </w:lvl>
    <w:lvl w:ilvl="3" w:tplc="1409000F" w:tentative="1">
      <w:start w:val="1"/>
      <w:numFmt w:val="decimal"/>
      <w:lvlText w:val="%4."/>
      <w:lvlJc w:val="left"/>
      <w:pPr>
        <w:ind w:left="2625" w:hanging="360"/>
      </w:pPr>
    </w:lvl>
    <w:lvl w:ilvl="4" w:tplc="14090019" w:tentative="1">
      <w:start w:val="1"/>
      <w:numFmt w:val="lowerLetter"/>
      <w:lvlText w:val="%5."/>
      <w:lvlJc w:val="left"/>
      <w:pPr>
        <w:ind w:left="3345" w:hanging="360"/>
      </w:pPr>
    </w:lvl>
    <w:lvl w:ilvl="5" w:tplc="1409001B" w:tentative="1">
      <w:start w:val="1"/>
      <w:numFmt w:val="lowerRoman"/>
      <w:lvlText w:val="%6."/>
      <w:lvlJc w:val="right"/>
      <w:pPr>
        <w:ind w:left="4065" w:hanging="180"/>
      </w:pPr>
    </w:lvl>
    <w:lvl w:ilvl="6" w:tplc="1409000F" w:tentative="1">
      <w:start w:val="1"/>
      <w:numFmt w:val="decimal"/>
      <w:lvlText w:val="%7."/>
      <w:lvlJc w:val="left"/>
      <w:pPr>
        <w:ind w:left="4785" w:hanging="360"/>
      </w:pPr>
    </w:lvl>
    <w:lvl w:ilvl="7" w:tplc="14090019" w:tentative="1">
      <w:start w:val="1"/>
      <w:numFmt w:val="lowerLetter"/>
      <w:lvlText w:val="%8."/>
      <w:lvlJc w:val="left"/>
      <w:pPr>
        <w:ind w:left="5505" w:hanging="360"/>
      </w:pPr>
    </w:lvl>
    <w:lvl w:ilvl="8" w:tplc="1409001B" w:tentative="1">
      <w:start w:val="1"/>
      <w:numFmt w:val="lowerRoman"/>
      <w:lvlText w:val="%9."/>
      <w:lvlJc w:val="right"/>
      <w:pPr>
        <w:ind w:left="6225" w:hanging="180"/>
      </w:pPr>
    </w:lvl>
  </w:abstractNum>
  <w:abstractNum w:abstractNumId="3" w15:restartNumberingAfterBreak="0">
    <w:nsid w:val="07B54D63"/>
    <w:multiLevelType w:val="hybridMultilevel"/>
    <w:tmpl w:val="B5F2A860"/>
    <w:lvl w:ilvl="0" w:tplc="188C20CC">
      <w:start w:val="1"/>
      <w:numFmt w:val="lowerRoman"/>
      <w:lvlText w:val="(%1)"/>
      <w:lvlJc w:val="left"/>
      <w:pPr>
        <w:ind w:left="1080" w:hanging="72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383389D"/>
    <w:multiLevelType w:val="hybridMultilevel"/>
    <w:tmpl w:val="8A38240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5B03146"/>
    <w:multiLevelType w:val="hybridMultilevel"/>
    <w:tmpl w:val="13BA1B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9533106"/>
    <w:multiLevelType w:val="hybridMultilevel"/>
    <w:tmpl w:val="07B2A984"/>
    <w:lvl w:ilvl="0" w:tplc="3DC41A86">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BE54C25"/>
    <w:multiLevelType w:val="hybridMultilevel"/>
    <w:tmpl w:val="CB04FA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F17607A"/>
    <w:multiLevelType w:val="hybridMultilevel"/>
    <w:tmpl w:val="D9260122"/>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9" w15:restartNumberingAfterBreak="0">
    <w:nsid w:val="206E5BC0"/>
    <w:multiLevelType w:val="hybridMultilevel"/>
    <w:tmpl w:val="9A5ADDA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28619AD"/>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23540354"/>
    <w:multiLevelType w:val="hybridMultilevel"/>
    <w:tmpl w:val="5F8AAF3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65B2626"/>
    <w:multiLevelType w:val="hybridMultilevel"/>
    <w:tmpl w:val="92F66C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7D3F25"/>
    <w:multiLevelType w:val="hybridMultilevel"/>
    <w:tmpl w:val="5BEE21D2"/>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14" w15:restartNumberingAfterBreak="0">
    <w:nsid w:val="3944207F"/>
    <w:multiLevelType w:val="hybridMultilevel"/>
    <w:tmpl w:val="EFB2035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A201638"/>
    <w:multiLevelType w:val="hybridMultilevel"/>
    <w:tmpl w:val="57607E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393877"/>
    <w:multiLevelType w:val="hybridMultilevel"/>
    <w:tmpl w:val="E45EA9F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E4D51C8"/>
    <w:multiLevelType w:val="hybridMultilevel"/>
    <w:tmpl w:val="56CAFB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FD92022"/>
    <w:multiLevelType w:val="hybridMultilevel"/>
    <w:tmpl w:val="F3D4A22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9" w15:restartNumberingAfterBreak="0">
    <w:nsid w:val="3FFE42CC"/>
    <w:multiLevelType w:val="hybridMultilevel"/>
    <w:tmpl w:val="B38208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3C670B"/>
    <w:multiLevelType w:val="hybridMultilevel"/>
    <w:tmpl w:val="E15ABCA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4CD3F0C"/>
    <w:multiLevelType w:val="hybridMultilevel"/>
    <w:tmpl w:val="5DB2CE9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94E71A9"/>
    <w:multiLevelType w:val="hybridMultilevel"/>
    <w:tmpl w:val="626C4D5E"/>
    <w:lvl w:ilvl="0" w:tplc="07083152">
      <w:start w:val="22"/>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15:restartNumberingAfterBreak="0">
    <w:nsid w:val="4B2E5608"/>
    <w:multiLevelType w:val="hybridMultilevel"/>
    <w:tmpl w:val="90FA70CA"/>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4" w15:restartNumberingAfterBreak="0">
    <w:nsid w:val="4BA95B68"/>
    <w:multiLevelType w:val="hybridMultilevel"/>
    <w:tmpl w:val="8DAC9DE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BC7570E"/>
    <w:multiLevelType w:val="hybridMultilevel"/>
    <w:tmpl w:val="ABCA11A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00B698D"/>
    <w:multiLevelType w:val="hybridMultilevel"/>
    <w:tmpl w:val="25801FE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7" w15:restartNumberingAfterBreak="0">
    <w:nsid w:val="503B20DF"/>
    <w:multiLevelType w:val="hybridMultilevel"/>
    <w:tmpl w:val="9620D0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07F5445"/>
    <w:multiLevelType w:val="hybridMultilevel"/>
    <w:tmpl w:val="19064FD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3D73543"/>
    <w:multiLevelType w:val="hybridMultilevel"/>
    <w:tmpl w:val="18F847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5F435D3"/>
    <w:multiLevelType w:val="hybridMultilevel"/>
    <w:tmpl w:val="2080111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1" w15:restartNumberingAfterBreak="0">
    <w:nsid w:val="5BAE7EC7"/>
    <w:multiLevelType w:val="hybridMultilevel"/>
    <w:tmpl w:val="913AF90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DBC44C3"/>
    <w:multiLevelType w:val="hybridMultilevel"/>
    <w:tmpl w:val="3800BBC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0160288"/>
    <w:multiLevelType w:val="multilevel"/>
    <w:tmpl w:val="FFFFFFFF"/>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2D66665"/>
    <w:multiLevelType w:val="hybridMultilevel"/>
    <w:tmpl w:val="ED5ED89A"/>
    <w:lvl w:ilvl="0" w:tplc="2D8E101C">
      <w:start w:val="1"/>
      <w:numFmt w:val="bullet"/>
      <w:lvlText w:val=""/>
      <w:lvlJc w:val="left"/>
      <w:pPr>
        <w:ind w:left="720" w:hanging="360"/>
      </w:pPr>
      <w:rPr>
        <w:rFonts w:ascii="Symbol" w:hAnsi="Symbol"/>
      </w:rPr>
    </w:lvl>
    <w:lvl w:ilvl="1" w:tplc="7D4E755C">
      <w:start w:val="1"/>
      <w:numFmt w:val="bullet"/>
      <w:lvlText w:val=""/>
      <w:lvlJc w:val="left"/>
      <w:pPr>
        <w:ind w:left="720" w:hanging="360"/>
      </w:pPr>
      <w:rPr>
        <w:rFonts w:ascii="Symbol" w:hAnsi="Symbol"/>
      </w:rPr>
    </w:lvl>
    <w:lvl w:ilvl="2" w:tplc="CC7AF466">
      <w:start w:val="1"/>
      <w:numFmt w:val="bullet"/>
      <w:lvlText w:val=""/>
      <w:lvlJc w:val="left"/>
      <w:pPr>
        <w:ind w:left="720" w:hanging="360"/>
      </w:pPr>
      <w:rPr>
        <w:rFonts w:ascii="Symbol" w:hAnsi="Symbol"/>
      </w:rPr>
    </w:lvl>
    <w:lvl w:ilvl="3" w:tplc="89BEC224">
      <w:start w:val="1"/>
      <w:numFmt w:val="bullet"/>
      <w:lvlText w:val=""/>
      <w:lvlJc w:val="left"/>
      <w:pPr>
        <w:ind w:left="720" w:hanging="360"/>
      </w:pPr>
      <w:rPr>
        <w:rFonts w:ascii="Symbol" w:hAnsi="Symbol"/>
      </w:rPr>
    </w:lvl>
    <w:lvl w:ilvl="4" w:tplc="8390A1E4">
      <w:start w:val="1"/>
      <w:numFmt w:val="bullet"/>
      <w:lvlText w:val=""/>
      <w:lvlJc w:val="left"/>
      <w:pPr>
        <w:ind w:left="720" w:hanging="360"/>
      </w:pPr>
      <w:rPr>
        <w:rFonts w:ascii="Symbol" w:hAnsi="Symbol"/>
      </w:rPr>
    </w:lvl>
    <w:lvl w:ilvl="5" w:tplc="13983248">
      <w:start w:val="1"/>
      <w:numFmt w:val="bullet"/>
      <w:lvlText w:val=""/>
      <w:lvlJc w:val="left"/>
      <w:pPr>
        <w:ind w:left="720" w:hanging="360"/>
      </w:pPr>
      <w:rPr>
        <w:rFonts w:ascii="Symbol" w:hAnsi="Symbol"/>
      </w:rPr>
    </w:lvl>
    <w:lvl w:ilvl="6" w:tplc="6D2A85CA">
      <w:start w:val="1"/>
      <w:numFmt w:val="bullet"/>
      <w:lvlText w:val=""/>
      <w:lvlJc w:val="left"/>
      <w:pPr>
        <w:ind w:left="720" w:hanging="360"/>
      </w:pPr>
      <w:rPr>
        <w:rFonts w:ascii="Symbol" w:hAnsi="Symbol"/>
      </w:rPr>
    </w:lvl>
    <w:lvl w:ilvl="7" w:tplc="37AC3430">
      <w:start w:val="1"/>
      <w:numFmt w:val="bullet"/>
      <w:lvlText w:val=""/>
      <w:lvlJc w:val="left"/>
      <w:pPr>
        <w:ind w:left="720" w:hanging="360"/>
      </w:pPr>
      <w:rPr>
        <w:rFonts w:ascii="Symbol" w:hAnsi="Symbol"/>
      </w:rPr>
    </w:lvl>
    <w:lvl w:ilvl="8" w:tplc="95DC93B4">
      <w:start w:val="1"/>
      <w:numFmt w:val="bullet"/>
      <w:lvlText w:val=""/>
      <w:lvlJc w:val="left"/>
      <w:pPr>
        <w:ind w:left="720" w:hanging="360"/>
      </w:pPr>
      <w:rPr>
        <w:rFonts w:ascii="Symbol" w:hAnsi="Symbol"/>
      </w:rPr>
    </w:lvl>
  </w:abstractNum>
  <w:abstractNum w:abstractNumId="35" w15:restartNumberingAfterBreak="0">
    <w:nsid w:val="631C69C1"/>
    <w:multiLevelType w:val="hybridMultilevel"/>
    <w:tmpl w:val="091E26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36" w15:restartNumberingAfterBreak="0">
    <w:nsid w:val="64CC3DDD"/>
    <w:multiLevelType w:val="hybridMultilevel"/>
    <w:tmpl w:val="2DFC7EBA"/>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7AD133B"/>
    <w:multiLevelType w:val="hybridMultilevel"/>
    <w:tmpl w:val="57607E9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68DB76CF"/>
    <w:multiLevelType w:val="hybridMultilevel"/>
    <w:tmpl w:val="F630256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6641FE0"/>
    <w:multiLevelType w:val="hybridMultilevel"/>
    <w:tmpl w:val="FFFFFFFF"/>
    <w:lvl w:ilvl="0" w:tplc="4CACBF60">
      <w:start w:val="1"/>
      <w:numFmt w:val="decimal"/>
      <w:lvlText w:val="%1."/>
      <w:lvlJc w:val="left"/>
      <w:pPr>
        <w:ind w:left="720" w:hanging="360"/>
      </w:pPr>
    </w:lvl>
    <w:lvl w:ilvl="1" w:tplc="622C97D0">
      <w:start w:val="1"/>
      <w:numFmt w:val="lowerLetter"/>
      <w:lvlText w:val="%2."/>
      <w:lvlJc w:val="left"/>
      <w:pPr>
        <w:ind w:left="1440" w:hanging="360"/>
      </w:pPr>
    </w:lvl>
    <w:lvl w:ilvl="2" w:tplc="799CC62E">
      <w:start w:val="1"/>
      <w:numFmt w:val="lowerRoman"/>
      <w:lvlText w:val="%3."/>
      <w:lvlJc w:val="right"/>
      <w:pPr>
        <w:ind w:left="2160" w:hanging="180"/>
      </w:pPr>
    </w:lvl>
    <w:lvl w:ilvl="3" w:tplc="8072057C">
      <w:start w:val="1"/>
      <w:numFmt w:val="decimal"/>
      <w:lvlText w:val="%4."/>
      <w:lvlJc w:val="left"/>
      <w:pPr>
        <w:ind w:left="2880" w:hanging="360"/>
      </w:pPr>
    </w:lvl>
    <w:lvl w:ilvl="4" w:tplc="CD6EB0D8">
      <w:start w:val="1"/>
      <w:numFmt w:val="lowerLetter"/>
      <w:lvlText w:val="%5."/>
      <w:lvlJc w:val="left"/>
      <w:pPr>
        <w:ind w:left="3600" w:hanging="360"/>
      </w:pPr>
    </w:lvl>
    <w:lvl w:ilvl="5" w:tplc="E65E4840">
      <w:start w:val="1"/>
      <w:numFmt w:val="lowerRoman"/>
      <w:lvlText w:val="%6."/>
      <w:lvlJc w:val="right"/>
      <w:pPr>
        <w:ind w:left="4320" w:hanging="180"/>
      </w:pPr>
    </w:lvl>
    <w:lvl w:ilvl="6" w:tplc="2F30CAEE">
      <w:start w:val="1"/>
      <w:numFmt w:val="decimal"/>
      <w:lvlText w:val="%7."/>
      <w:lvlJc w:val="left"/>
      <w:pPr>
        <w:ind w:left="5040" w:hanging="360"/>
      </w:pPr>
    </w:lvl>
    <w:lvl w:ilvl="7" w:tplc="B67A06F0">
      <w:start w:val="1"/>
      <w:numFmt w:val="lowerLetter"/>
      <w:lvlText w:val="%8."/>
      <w:lvlJc w:val="left"/>
      <w:pPr>
        <w:ind w:left="5760" w:hanging="360"/>
      </w:pPr>
    </w:lvl>
    <w:lvl w:ilvl="8" w:tplc="8B2C953C">
      <w:start w:val="1"/>
      <w:numFmt w:val="lowerRoman"/>
      <w:lvlText w:val="%9."/>
      <w:lvlJc w:val="right"/>
      <w:pPr>
        <w:ind w:left="6480" w:hanging="180"/>
      </w:pPr>
    </w:lvl>
  </w:abstractNum>
  <w:abstractNum w:abstractNumId="40" w15:restartNumberingAfterBreak="0">
    <w:nsid w:val="799C216E"/>
    <w:multiLevelType w:val="hybridMultilevel"/>
    <w:tmpl w:val="3022093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BA65771"/>
    <w:multiLevelType w:val="hybridMultilevel"/>
    <w:tmpl w:val="B3A421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E107310"/>
    <w:multiLevelType w:val="hybridMultilevel"/>
    <w:tmpl w:val="8C3EC0E6"/>
    <w:lvl w:ilvl="0" w:tplc="0CAEEBE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EFF629D"/>
    <w:multiLevelType w:val="hybridMultilevel"/>
    <w:tmpl w:val="C750C28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num w:numId="1" w16cid:durableId="1052119262">
    <w:abstractNumId w:val="39"/>
  </w:num>
  <w:num w:numId="2" w16cid:durableId="84811375">
    <w:abstractNumId w:val="4"/>
  </w:num>
  <w:num w:numId="3" w16cid:durableId="770509332">
    <w:abstractNumId w:val="31"/>
  </w:num>
  <w:num w:numId="4" w16cid:durableId="93861172">
    <w:abstractNumId w:val="19"/>
  </w:num>
  <w:num w:numId="5" w16cid:durableId="1648240422">
    <w:abstractNumId w:val="21"/>
  </w:num>
  <w:num w:numId="6" w16cid:durableId="169756244">
    <w:abstractNumId w:val="17"/>
  </w:num>
  <w:num w:numId="7" w16cid:durableId="2066298014">
    <w:abstractNumId w:val="18"/>
  </w:num>
  <w:num w:numId="8" w16cid:durableId="1191258763">
    <w:abstractNumId w:val="26"/>
  </w:num>
  <w:num w:numId="9" w16cid:durableId="1856269186">
    <w:abstractNumId w:val="7"/>
  </w:num>
  <w:num w:numId="10" w16cid:durableId="715083196">
    <w:abstractNumId w:val="41"/>
  </w:num>
  <w:num w:numId="11" w16cid:durableId="740446888">
    <w:abstractNumId w:val="0"/>
  </w:num>
  <w:num w:numId="12" w16cid:durableId="2030716829">
    <w:abstractNumId w:val="28"/>
  </w:num>
  <w:num w:numId="13" w16cid:durableId="651640254">
    <w:abstractNumId w:val="27"/>
  </w:num>
  <w:num w:numId="14" w16cid:durableId="186258410">
    <w:abstractNumId w:val="8"/>
  </w:num>
  <w:num w:numId="15" w16cid:durableId="1311012913">
    <w:abstractNumId w:val="24"/>
  </w:num>
  <w:num w:numId="16" w16cid:durableId="234438878">
    <w:abstractNumId w:val="29"/>
  </w:num>
  <w:num w:numId="17" w16cid:durableId="1359310246">
    <w:abstractNumId w:val="33"/>
  </w:num>
  <w:num w:numId="18" w16cid:durableId="151798753">
    <w:abstractNumId w:val="9"/>
  </w:num>
  <w:num w:numId="19" w16cid:durableId="1953973295">
    <w:abstractNumId w:val="38"/>
  </w:num>
  <w:num w:numId="20" w16cid:durableId="1489663176">
    <w:abstractNumId w:val="20"/>
  </w:num>
  <w:num w:numId="21" w16cid:durableId="1657031361">
    <w:abstractNumId w:val="1"/>
  </w:num>
  <w:num w:numId="22" w16cid:durableId="994987533">
    <w:abstractNumId w:val="40"/>
  </w:num>
  <w:num w:numId="23" w16cid:durableId="857547308">
    <w:abstractNumId w:val="11"/>
  </w:num>
  <w:num w:numId="24" w16cid:durableId="1614441286">
    <w:abstractNumId w:val="37"/>
  </w:num>
  <w:num w:numId="25" w16cid:durableId="178543433">
    <w:abstractNumId w:val="25"/>
  </w:num>
  <w:num w:numId="26" w16cid:durableId="64765434">
    <w:abstractNumId w:val="30"/>
  </w:num>
  <w:num w:numId="27" w16cid:durableId="1208881756">
    <w:abstractNumId w:val="43"/>
  </w:num>
  <w:num w:numId="28" w16cid:durableId="756440017">
    <w:abstractNumId w:val="32"/>
  </w:num>
  <w:num w:numId="29" w16cid:durableId="1201479278">
    <w:abstractNumId w:val="42"/>
  </w:num>
  <w:num w:numId="30" w16cid:durableId="679351282">
    <w:abstractNumId w:val="16"/>
  </w:num>
  <w:num w:numId="31" w16cid:durableId="1776825499">
    <w:abstractNumId w:val="34"/>
  </w:num>
  <w:num w:numId="32" w16cid:durableId="719866742">
    <w:abstractNumId w:val="12"/>
  </w:num>
  <w:num w:numId="33" w16cid:durableId="681323546">
    <w:abstractNumId w:val="6"/>
  </w:num>
  <w:num w:numId="34" w16cid:durableId="1003043635">
    <w:abstractNumId w:val="23"/>
  </w:num>
  <w:num w:numId="35" w16cid:durableId="2064712527">
    <w:abstractNumId w:val="13"/>
  </w:num>
  <w:num w:numId="36" w16cid:durableId="1113086397">
    <w:abstractNumId w:val="10"/>
  </w:num>
  <w:num w:numId="37" w16cid:durableId="1260530716">
    <w:abstractNumId w:val="14"/>
  </w:num>
  <w:num w:numId="38" w16cid:durableId="52317859">
    <w:abstractNumId w:val="5"/>
  </w:num>
  <w:num w:numId="39" w16cid:durableId="341276043">
    <w:abstractNumId w:val="36"/>
  </w:num>
  <w:num w:numId="40" w16cid:durableId="1087774379">
    <w:abstractNumId w:val="2"/>
  </w:num>
  <w:num w:numId="41" w16cid:durableId="1473059484">
    <w:abstractNumId w:val="22"/>
  </w:num>
  <w:num w:numId="42" w16cid:durableId="1065106021">
    <w:abstractNumId w:val="35"/>
  </w:num>
  <w:num w:numId="43" w16cid:durableId="194587138">
    <w:abstractNumId w:val="15"/>
  </w:num>
  <w:num w:numId="44" w16cid:durableId="1633553715">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at02trje259vefp29x5zrovdfee299wts9&quot;&gt;Carbon Team EndNote Library-Dupl&lt;record-ids&gt;&lt;item&gt;2387&lt;/item&gt;&lt;/record-ids&gt;&lt;/item&gt;&lt;/Libraries&gt;"/>
  </w:docVars>
  <w:rsids>
    <w:rsidRoot w:val="0069194E"/>
    <w:rsid w:val="0000014A"/>
    <w:rsid w:val="00000530"/>
    <w:rsid w:val="0000054F"/>
    <w:rsid w:val="000012D9"/>
    <w:rsid w:val="00001495"/>
    <w:rsid w:val="00001B58"/>
    <w:rsid w:val="00002278"/>
    <w:rsid w:val="00002509"/>
    <w:rsid w:val="00002589"/>
    <w:rsid w:val="000029FF"/>
    <w:rsid w:val="000034A7"/>
    <w:rsid w:val="00003800"/>
    <w:rsid w:val="0000392C"/>
    <w:rsid w:val="0000479F"/>
    <w:rsid w:val="00004E9E"/>
    <w:rsid w:val="00004FE4"/>
    <w:rsid w:val="00005C38"/>
    <w:rsid w:val="00006369"/>
    <w:rsid w:val="00006ABA"/>
    <w:rsid w:val="00006E98"/>
    <w:rsid w:val="00006FA4"/>
    <w:rsid w:val="00006FB9"/>
    <w:rsid w:val="000070BF"/>
    <w:rsid w:val="000075AE"/>
    <w:rsid w:val="00007AF0"/>
    <w:rsid w:val="00007B91"/>
    <w:rsid w:val="00007BB3"/>
    <w:rsid w:val="00007F65"/>
    <w:rsid w:val="0001081D"/>
    <w:rsid w:val="000108BF"/>
    <w:rsid w:val="0001091C"/>
    <w:rsid w:val="000111A0"/>
    <w:rsid w:val="0001146E"/>
    <w:rsid w:val="00011CB5"/>
    <w:rsid w:val="00012228"/>
    <w:rsid w:val="00012809"/>
    <w:rsid w:val="00012B83"/>
    <w:rsid w:val="00012CA5"/>
    <w:rsid w:val="00013565"/>
    <w:rsid w:val="000136BC"/>
    <w:rsid w:val="00013B5E"/>
    <w:rsid w:val="00013C8A"/>
    <w:rsid w:val="00013E4C"/>
    <w:rsid w:val="000146BC"/>
    <w:rsid w:val="0001517C"/>
    <w:rsid w:val="000155A0"/>
    <w:rsid w:val="00015B01"/>
    <w:rsid w:val="00015B6C"/>
    <w:rsid w:val="00015E15"/>
    <w:rsid w:val="000168A7"/>
    <w:rsid w:val="00016A6E"/>
    <w:rsid w:val="000171D3"/>
    <w:rsid w:val="000171E5"/>
    <w:rsid w:val="000173ED"/>
    <w:rsid w:val="000174F1"/>
    <w:rsid w:val="000176F6"/>
    <w:rsid w:val="00017AAE"/>
    <w:rsid w:val="00017AF1"/>
    <w:rsid w:val="00017C36"/>
    <w:rsid w:val="00017C8C"/>
    <w:rsid w:val="00017D5D"/>
    <w:rsid w:val="00017EAD"/>
    <w:rsid w:val="00020AB1"/>
    <w:rsid w:val="00021E92"/>
    <w:rsid w:val="0002232D"/>
    <w:rsid w:val="00022476"/>
    <w:rsid w:val="0002251F"/>
    <w:rsid w:val="00022604"/>
    <w:rsid w:val="00022801"/>
    <w:rsid w:val="000228E1"/>
    <w:rsid w:val="000230BC"/>
    <w:rsid w:val="0002379D"/>
    <w:rsid w:val="00023D71"/>
    <w:rsid w:val="00023E4B"/>
    <w:rsid w:val="00023F44"/>
    <w:rsid w:val="00024132"/>
    <w:rsid w:val="000249FD"/>
    <w:rsid w:val="00024CAC"/>
    <w:rsid w:val="000253E4"/>
    <w:rsid w:val="00025581"/>
    <w:rsid w:val="0002648C"/>
    <w:rsid w:val="00026588"/>
    <w:rsid w:val="00026A24"/>
    <w:rsid w:val="0002748E"/>
    <w:rsid w:val="0002797E"/>
    <w:rsid w:val="00027E68"/>
    <w:rsid w:val="00030104"/>
    <w:rsid w:val="000306CD"/>
    <w:rsid w:val="000308B1"/>
    <w:rsid w:val="000308E2"/>
    <w:rsid w:val="0003095D"/>
    <w:rsid w:val="00031458"/>
    <w:rsid w:val="000314AD"/>
    <w:rsid w:val="000316FA"/>
    <w:rsid w:val="00031A33"/>
    <w:rsid w:val="00032455"/>
    <w:rsid w:val="00033366"/>
    <w:rsid w:val="000333D0"/>
    <w:rsid w:val="0003435B"/>
    <w:rsid w:val="0003480E"/>
    <w:rsid w:val="00034942"/>
    <w:rsid w:val="000355A3"/>
    <w:rsid w:val="0003567D"/>
    <w:rsid w:val="000359C3"/>
    <w:rsid w:val="00035B2F"/>
    <w:rsid w:val="00035FA4"/>
    <w:rsid w:val="00036407"/>
    <w:rsid w:val="000365C7"/>
    <w:rsid w:val="00036C4C"/>
    <w:rsid w:val="000371C1"/>
    <w:rsid w:val="00037A8A"/>
    <w:rsid w:val="000401CC"/>
    <w:rsid w:val="000405B0"/>
    <w:rsid w:val="00040B7E"/>
    <w:rsid w:val="00040CF9"/>
    <w:rsid w:val="00040D67"/>
    <w:rsid w:val="00040FD6"/>
    <w:rsid w:val="0004116C"/>
    <w:rsid w:val="0004163B"/>
    <w:rsid w:val="00041AEA"/>
    <w:rsid w:val="00041CA4"/>
    <w:rsid w:val="00041E15"/>
    <w:rsid w:val="000422BD"/>
    <w:rsid w:val="00042630"/>
    <w:rsid w:val="00042932"/>
    <w:rsid w:val="00042E00"/>
    <w:rsid w:val="00042F7B"/>
    <w:rsid w:val="0004347A"/>
    <w:rsid w:val="00043677"/>
    <w:rsid w:val="000436FF"/>
    <w:rsid w:val="00043BA3"/>
    <w:rsid w:val="00044481"/>
    <w:rsid w:val="00044965"/>
    <w:rsid w:val="000449D8"/>
    <w:rsid w:val="000454F2"/>
    <w:rsid w:val="0004560C"/>
    <w:rsid w:val="000457E6"/>
    <w:rsid w:val="000457F0"/>
    <w:rsid w:val="00045A33"/>
    <w:rsid w:val="00045A5E"/>
    <w:rsid w:val="00045CE9"/>
    <w:rsid w:val="00045D5D"/>
    <w:rsid w:val="00045D72"/>
    <w:rsid w:val="00045EBD"/>
    <w:rsid w:val="00045EFD"/>
    <w:rsid w:val="000462AB"/>
    <w:rsid w:val="00046491"/>
    <w:rsid w:val="00046FBF"/>
    <w:rsid w:val="00047257"/>
    <w:rsid w:val="0004737A"/>
    <w:rsid w:val="00047535"/>
    <w:rsid w:val="00047BA1"/>
    <w:rsid w:val="00050A4B"/>
    <w:rsid w:val="00050C3C"/>
    <w:rsid w:val="000515B2"/>
    <w:rsid w:val="000515FE"/>
    <w:rsid w:val="00051BC4"/>
    <w:rsid w:val="00051F29"/>
    <w:rsid w:val="00052158"/>
    <w:rsid w:val="00052DE2"/>
    <w:rsid w:val="00052DF9"/>
    <w:rsid w:val="00052F41"/>
    <w:rsid w:val="000531E5"/>
    <w:rsid w:val="0005338B"/>
    <w:rsid w:val="00053498"/>
    <w:rsid w:val="00053508"/>
    <w:rsid w:val="0005399E"/>
    <w:rsid w:val="000539F1"/>
    <w:rsid w:val="00053A48"/>
    <w:rsid w:val="00053A9C"/>
    <w:rsid w:val="00054031"/>
    <w:rsid w:val="000541D2"/>
    <w:rsid w:val="000542DB"/>
    <w:rsid w:val="00054904"/>
    <w:rsid w:val="00054B4C"/>
    <w:rsid w:val="00054D1D"/>
    <w:rsid w:val="00054DC9"/>
    <w:rsid w:val="00054E3D"/>
    <w:rsid w:val="00054FCD"/>
    <w:rsid w:val="0005586F"/>
    <w:rsid w:val="00055A9F"/>
    <w:rsid w:val="00055F10"/>
    <w:rsid w:val="000563E0"/>
    <w:rsid w:val="00056CE6"/>
    <w:rsid w:val="00056D3C"/>
    <w:rsid w:val="0005755C"/>
    <w:rsid w:val="00057B4D"/>
    <w:rsid w:val="00057FE5"/>
    <w:rsid w:val="000602D0"/>
    <w:rsid w:val="0006037A"/>
    <w:rsid w:val="00060B9D"/>
    <w:rsid w:val="00061938"/>
    <w:rsid w:val="00061A13"/>
    <w:rsid w:val="00062534"/>
    <w:rsid w:val="0006281C"/>
    <w:rsid w:val="000628DC"/>
    <w:rsid w:val="00062A4F"/>
    <w:rsid w:val="00062E84"/>
    <w:rsid w:val="00063463"/>
    <w:rsid w:val="0006375B"/>
    <w:rsid w:val="00063925"/>
    <w:rsid w:val="00063A5B"/>
    <w:rsid w:val="00063CD7"/>
    <w:rsid w:val="0006405C"/>
    <w:rsid w:val="00064075"/>
    <w:rsid w:val="000649DF"/>
    <w:rsid w:val="00064F79"/>
    <w:rsid w:val="0006505D"/>
    <w:rsid w:val="00065085"/>
    <w:rsid w:val="000656CC"/>
    <w:rsid w:val="000657A2"/>
    <w:rsid w:val="00065D94"/>
    <w:rsid w:val="0006617E"/>
    <w:rsid w:val="000667C6"/>
    <w:rsid w:val="000667EC"/>
    <w:rsid w:val="000668AE"/>
    <w:rsid w:val="00066AE7"/>
    <w:rsid w:val="00066AF8"/>
    <w:rsid w:val="00066CA5"/>
    <w:rsid w:val="00066DC1"/>
    <w:rsid w:val="00067626"/>
    <w:rsid w:val="00067D5B"/>
    <w:rsid w:val="00070100"/>
    <w:rsid w:val="0007020D"/>
    <w:rsid w:val="000706C0"/>
    <w:rsid w:val="00070ADB"/>
    <w:rsid w:val="00070EB7"/>
    <w:rsid w:val="000713FC"/>
    <w:rsid w:val="000721C4"/>
    <w:rsid w:val="0007224B"/>
    <w:rsid w:val="00072258"/>
    <w:rsid w:val="00072298"/>
    <w:rsid w:val="00072637"/>
    <w:rsid w:val="000727E0"/>
    <w:rsid w:val="00072831"/>
    <w:rsid w:val="00073428"/>
    <w:rsid w:val="0007373D"/>
    <w:rsid w:val="00073EB4"/>
    <w:rsid w:val="0007413C"/>
    <w:rsid w:val="000741FC"/>
    <w:rsid w:val="00074224"/>
    <w:rsid w:val="00074327"/>
    <w:rsid w:val="0007453B"/>
    <w:rsid w:val="000745E0"/>
    <w:rsid w:val="00074A47"/>
    <w:rsid w:val="00074C98"/>
    <w:rsid w:val="00074DB9"/>
    <w:rsid w:val="000753E0"/>
    <w:rsid w:val="000755BF"/>
    <w:rsid w:val="00075B65"/>
    <w:rsid w:val="00076134"/>
    <w:rsid w:val="0007660D"/>
    <w:rsid w:val="00076F5E"/>
    <w:rsid w:val="0007729D"/>
    <w:rsid w:val="00077354"/>
    <w:rsid w:val="00077399"/>
    <w:rsid w:val="00077AF0"/>
    <w:rsid w:val="00077F8B"/>
    <w:rsid w:val="00080096"/>
    <w:rsid w:val="000804C7"/>
    <w:rsid w:val="00080561"/>
    <w:rsid w:val="00080567"/>
    <w:rsid w:val="00080F45"/>
    <w:rsid w:val="00080FA2"/>
    <w:rsid w:val="000815A1"/>
    <w:rsid w:val="00081690"/>
    <w:rsid w:val="00082452"/>
    <w:rsid w:val="00082AFC"/>
    <w:rsid w:val="0008308D"/>
    <w:rsid w:val="00083732"/>
    <w:rsid w:val="0008373D"/>
    <w:rsid w:val="0008384B"/>
    <w:rsid w:val="00084063"/>
    <w:rsid w:val="00084075"/>
    <w:rsid w:val="0008434C"/>
    <w:rsid w:val="000844B6"/>
    <w:rsid w:val="00084F68"/>
    <w:rsid w:val="00085390"/>
    <w:rsid w:val="00085399"/>
    <w:rsid w:val="00085B5F"/>
    <w:rsid w:val="00085B84"/>
    <w:rsid w:val="00085D69"/>
    <w:rsid w:val="00085E62"/>
    <w:rsid w:val="00085E78"/>
    <w:rsid w:val="00086053"/>
    <w:rsid w:val="00086156"/>
    <w:rsid w:val="00086D94"/>
    <w:rsid w:val="00086E57"/>
    <w:rsid w:val="00087671"/>
    <w:rsid w:val="0009006E"/>
    <w:rsid w:val="000907EA"/>
    <w:rsid w:val="00090CAA"/>
    <w:rsid w:val="00090CBE"/>
    <w:rsid w:val="000919C4"/>
    <w:rsid w:val="000924DF"/>
    <w:rsid w:val="000924EB"/>
    <w:rsid w:val="00092602"/>
    <w:rsid w:val="00092D1E"/>
    <w:rsid w:val="000936E9"/>
    <w:rsid w:val="00093A40"/>
    <w:rsid w:val="000942A5"/>
    <w:rsid w:val="00094385"/>
    <w:rsid w:val="00094830"/>
    <w:rsid w:val="00095485"/>
    <w:rsid w:val="0009555C"/>
    <w:rsid w:val="00095EB5"/>
    <w:rsid w:val="0009641D"/>
    <w:rsid w:val="00096C1B"/>
    <w:rsid w:val="00096DEA"/>
    <w:rsid w:val="000977AF"/>
    <w:rsid w:val="00097E4B"/>
    <w:rsid w:val="000A0000"/>
    <w:rsid w:val="000A001A"/>
    <w:rsid w:val="000A001B"/>
    <w:rsid w:val="000A058A"/>
    <w:rsid w:val="000A05D2"/>
    <w:rsid w:val="000A069D"/>
    <w:rsid w:val="000A0B7A"/>
    <w:rsid w:val="000A1100"/>
    <w:rsid w:val="000A13EF"/>
    <w:rsid w:val="000A18E9"/>
    <w:rsid w:val="000A1CBC"/>
    <w:rsid w:val="000A2784"/>
    <w:rsid w:val="000A2A3A"/>
    <w:rsid w:val="000A2E50"/>
    <w:rsid w:val="000A3A63"/>
    <w:rsid w:val="000A3D55"/>
    <w:rsid w:val="000A4171"/>
    <w:rsid w:val="000A41FA"/>
    <w:rsid w:val="000A4846"/>
    <w:rsid w:val="000A4B33"/>
    <w:rsid w:val="000A5229"/>
    <w:rsid w:val="000A5A59"/>
    <w:rsid w:val="000A5C98"/>
    <w:rsid w:val="000A604D"/>
    <w:rsid w:val="000A6124"/>
    <w:rsid w:val="000A63F9"/>
    <w:rsid w:val="000A6843"/>
    <w:rsid w:val="000A6D40"/>
    <w:rsid w:val="000A6E20"/>
    <w:rsid w:val="000A6FBA"/>
    <w:rsid w:val="000A723D"/>
    <w:rsid w:val="000A736E"/>
    <w:rsid w:val="000A7DCA"/>
    <w:rsid w:val="000B0588"/>
    <w:rsid w:val="000B0A61"/>
    <w:rsid w:val="000B0A6A"/>
    <w:rsid w:val="000B0CAF"/>
    <w:rsid w:val="000B116E"/>
    <w:rsid w:val="000B1472"/>
    <w:rsid w:val="000B1628"/>
    <w:rsid w:val="000B1B6F"/>
    <w:rsid w:val="000B1D00"/>
    <w:rsid w:val="000B1F87"/>
    <w:rsid w:val="000B216C"/>
    <w:rsid w:val="000B25DB"/>
    <w:rsid w:val="000B25EB"/>
    <w:rsid w:val="000B2F2D"/>
    <w:rsid w:val="000B392B"/>
    <w:rsid w:val="000B3A8C"/>
    <w:rsid w:val="000B4761"/>
    <w:rsid w:val="000B476F"/>
    <w:rsid w:val="000B5233"/>
    <w:rsid w:val="000B5733"/>
    <w:rsid w:val="000B6198"/>
    <w:rsid w:val="000B63F7"/>
    <w:rsid w:val="000B6DCE"/>
    <w:rsid w:val="000B6F66"/>
    <w:rsid w:val="000B7515"/>
    <w:rsid w:val="000B752A"/>
    <w:rsid w:val="000B79B6"/>
    <w:rsid w:val="000C0488"/>
    <w:rsid w:val="000C049A"/>
    <w:rsid w:val="000C0980"/>
    <w:rsid w:val="000C09BB"/>
    <w:rsid w:val="000C0BEE"/>
    <w:rsid w:val="000C0E30"/>
    <w:rsid w:val="000C0F3E"/>
    <w:rsid w:val="000C1505"/>
    <w:rsid w:val="000C16B4"/>
    <w:rsid w:val="000C1A0E"/>
    <w:rsid w:val="000C1CC4"/>
    <w:rsid w:val="000C1F73"/>
    <w:rsid w:val="000C2368"/>
    <w:rsid w:val="000C23F7"/>
    <w:rsid w:val="000C2853"/>
    <w:rsid w:val="000C2E21"/>
    <w:rsid w:val="000C303F"/>
    <w:rsid w:val="000C3112"/>
    <w:rsid w:val="000C355A"/>
    <w:rsid w:val="000C362C"/>
    <w:rsid w:val="000C373D"/>
    <w:rsid w:val="000C3C63"/>
    <w:rsid w:val="000C3D17"/>
    <w:rsid w:val="000C40A5"/>
    <w:rsid w:val="000C44A3"/>
    <w:rsid w:val="000C4704"/>
    <w:rsid w:val="000C50C2"/>
    <w:rsid w:val="000C5881"/>
    <w:rsid w:val="000C5A7A"/>
    <w:rsid w:val="000C5F72"/>
    <w:rsid w:val="000C60B8"/>
    <w:rsid w:val="000C641C"/>
    <w:rsid w:val="000C64D8"/>
    <w:rsid w:val="000C65FA"/>
    <w:rsid w:val="000C6DC0"/>
    <w:rsid w:val="000C70EC"/>
    <w:rsid w:val="000C718E"/>
    <w:rsid w:val="000C77D8"/>
    <w:rsid w:val="000C7C17"/>
    <w:rsid w:val="000D00B4"/>
    <w:rsid w:val="000D0588"/>
    <w:rsid w:val="000D09F4"/>
    <w:rsid w:val="000D0E05"/>
    <w:rsid w:val="000D1137"/>
    <w:rsid w:val="000D1202"/>
    <w:rsid w:val="000D121C"/>
    <w:rsid w:val="000D1450"/>
    <w:rsid w:val="000D1755"/>
    <w:rsid w:val="000D176D"/>
    <w:rsid w:val="000D1C31"/>
    <w:rsid w:val="000D2019"/>
    <w:rsid w:val="000D26AB"/>
    <w:rsid w:val="000D2BE0"/>
    <w:rsid w:val="000D3DB9"/>
    <w:rsid w:val="000D461E"/>
    <w:rsid w:val="000D4950"/>
    <w:rsid w:val="000D4F5D"/>
    <w:rsid w:val="000D5E11"/>
    <w:rsid w:val="000D649D"/>
    <w:rsid w:val="000D688F"/>
    <w:rsid w:val="000D69B8"/>
    <w:rsid w:val="000D6AC0"/>
    <w:rsid w:val="000D73D3"/>
    <w:rsid w:val="000D7593"/>
    <w:rsid w:val="000D7BE6"/>
    <w:rsid w:val="000D7ED0"/>
    <w:rsid w:val="000E012E"/>
    <w:rsid w:val="000E0285"/>
    <w:rsid w:val="000E0547"/>
    <w:rsid w:val="000E065D"/>
    <w:rsid w:val="000E0906"/>
    <w:rsid w:val="000E0F7D"/>
    <w:rsid w:val="000E110E"/>
    <w:rsid w:val="000E12B4"/>
    <w:rsid w:val="000E135A"/>
    <w:rsid w:val="000E13F3"/>
    <w:rsid w:val="000E1ACD"/>
    <w:rsid w:val="000E1FC3"/>
    <w:rsid w:val="000E3FFA"/>
    <w:rsid w:val="000E40E2"/>
    <w:rsid w:val="000E48C0"/>
    <w:rsid w:val="000E4B23"/>
    <w:rsid w:val="000E4B8D"/>
    <w:rsid w:val="000E4BDB"/>
    <w:rsid w:val="000E4F11"/>
    <w:rsid w:val="000E53DC"/>
    <w:rsid w:val="000E54B9"/>
    <w:rsid w:val="000E56FF"/>
    <w:rsid w:val="000E5DF2"/>
    <w:rsid w:val="000E5F00"/>
    <w:rsid w:val="000E6276"/>
    <w:rsid w:val="000E65EA"/>
    <w:rsid w:val="000E6B06"/>
    <w:rsid w:val="000E6BB3"/>
    <w:rsid w:val="000E6E3A"/>
    <w:rsid w:val="000E6F36"/>
    <w:rsid w:val="000E719A"/>
    <w:rsid w:val="000E765D"/>
    <w:rsid w:val="000E7CD4"/>
    <w:rsid w:val="000F01E3"/>
    <w:rsid w:val="000F02E8"/>
    <w:rsid w:val="000F0614"/>
    <w:rsid w:val="000F1193"/>
    <w:rsid w:val="000F18B4"/>
    <w:rsid w:val="000F1ACC"/>
    <w:rsid w:val="000F1B35"/>
    <w:rsid w:val="000F23C0"/>
    <w:rsid w:val="000F263B"/>
    <w:rsid w:val="000F28AF"/>
    <w:rsid w:val="000F32E8"/>
    <w:rsid w:val="000F356C"/>
    <w:rsid w:val="000F3D4D"/>
    <w:rsid w:val="000F3FD7"/>
    <w:rsid w:val="000F42B8"/>
    <w:rsid w:val="000F439E"/>
    <w:rsid w:val="000F43FE"/>
    <w:rsid w:val="000F4E17"/>
    <w:rsid w:val="000F5717"/>
    <w:rsid w:val="000F5C31"/>
    <w:rsid w:val="000F5D7B"/>
    <w:rsid w:val="000F63E6"/>
    <w:rsid w:val="000F6753"/>
    <w:rsid w:val="000F7232"/>
    <w:rsid w:val="000F78DF"/>
    <w:rsid w:val="00100010"/>
    <w:rsid w:val="001000D2"/>
    <w:rsid w:val="00100B7A"/>
    <w:rsid w:val="00101965"/>
    <w:rsid w:val="00101EAE"/>
    <w:rsid w:val="00102059"/>
    <w:rsid w:val="0010214C"/>
    <w:rsid w:val="001021B2"/>
    <w:rsid w:val="00102BB3"/>
    <w:rsid w:val="00102C88"/>
    <w:rsid w:val="0010316F"/>
    <w:rsid w:val="00103265"/>
    <w:rsid w:val="0010331E"/>
    <w:rsid w:val="00103CFD"/>
    <w:rsid w:val="00104288"/>
    <w:rsid w:val="00104D67"/>
    <w:rsid w:val="00105951"/>
    <w:rsid w:val="0010608E"/>
    <w:rsid w:val="001063D3"/>
    <w:rsid w:val="00107152"/>
    <w:rsid w:val="00107336"/>
    <w:rsid w:val="0010767F"/>
    <w:rsid w:val="001076BF"/>
    <w:rsid w:val="00107EDB"/>
    <w:rsid w:val="00107EFF"/>
    <w:rsid w:val="00110AB7"/>
    <w:rsid w:val="00110AC0"/>
    <w:rsid w:val="001110AD"/>
    <w:rsid w:val="001111F8"/>
    <w:rsid w:val="00111BA7"/>
    <w:rsid w:val="001120A4"/>
    <w:rsid w:val="001126AD"/>
    <w:rsid w:val="00112A7A"/>
    <w:rsid w:val="00112C7A"/>
    <w:rsid w:val="00112F57"/>
    <w:rsid w:val="0011379F"/>
    <w:rsid w:val="00113D44"/>
    <w:rsid w:val="0011433C"/>
    <w:rsid w:val="00114359"/>
    <w:rsid w:val="001149C6"/>
    <w:rsid w:val="001150E0"/>
    <w:rsid w:val="00115F4C"/>
    <w:rsid w:val="00116091"/>
    <w:rsid w:val="0011610F"/>
    <w:rsid w:val="0011612A"/>
    <w:rsid w:val="0011617B"/>
    <w:rsid w:val="0011626D"/>
    <w:rsid w:val="001166AC"/>
    <w:rsid w:val="00116977"/>
    <w:rsid w:val="001169FE"/>
    <w:rsid w:val="001170E2"/>
    <w:rsid w:val="001201E6"/>
    <w:rsid w:val="0012047D"/>
    <w:rsid w:val="00120792"/>
    <w:rsid w:val="00120B2E"/>
    <w:rsid w:val="00120D78"/>
    <w:rsid w:val="00120E5A"/>
    <w:rsid w:val="00121040"/>
    <w:rsid w:val="00121117"/>
    <w:rsid w:val="001214B6"/>
    <w:rsid w:val="00121A58"/>
    <w:rsid w:val="00121DED"/>
    <w:rsid w:val="00121E08"/>
    <w:rsid w:val="00122090"/>
    <w:rsid w:val="00122119"/>
    <w:rsid w:val="00122485"/>
    <w:rsid w:val="001227A4"/>
    <w:rsid w:val="00122EB1"/>
    <w:rsid w:val="0012347A"/>
    <w:rsid w:val="001234E4"/>
    <w:rsid w:val="00123A73"/>
    <w:rsid w:val="001240EA"/>
    <w:rsid w:val="00124533"/>
    <w:rsid w:val="0012472F"/>
    <w:rsid w:val="00125185"/>
    <w:rsid w:val="001254C5"/>
    <w:rsid w:val="00126154"/>
    <w:rsid w:val="00126293"/>
    <w:rsid w:val="001262B0"/>
    <w:rsid w:val="0012676E"/>
    <w:rsid w:val="00126BCA"/>
    <w:rsid w:val="00127174"/>
    <w:rsid w:val="001273EA"/>
    <w:rsid w:val="0013013D"/>
    <w:rsid w:val="00130243"/>
    <w:rsid w:val="001309A2"/>
    <w:rsid w:val="00131191"/>
    <w:rsid w:val="0013157E"/>
    <w:rsid w:val="00131693"/>
    <w:rsid w:val="0013216E"/>
    <w:rsid w:val="001323C6"/>
    <w:rsid w:val="00132E01"/>
    <w:rsid w:val="0013314D"/>
    <w:rsid w:val="001332C0"/>
    <w:rsid w:val="00133531"/>
    <w:rsid w:val="0013424F"/>
    <w:rsid w:val="001351F1"/>
    <w:rsid w:val="00135795"/>
    <w:rsid w:val="0013580D"/>
    <w:rsid w:val="00135A04"/>
    <w:rsid w:val="00135B28"/>
    <w:rsid w:val="00135D05"/>
    <w:rsid w:val="00136683"/>
    <w:rsid w:val="00136C13"/>
    <w:rsid w:val="00136E2E"/>
    <w:rsid w:val="00137D06"/>
    <w:rsid w:val="00137E99"/>
    <w:rsid w:val="00140058"/>
    <w:rsid w:val="0014044D"/>
    <w:rsid w:val="00140DC9"/>
    <w:rsid w:val="001415A3"/>
    <w:rsid w:val="00141F0C"/>
    <w:rsid w:val="00141F30"/>
    <w:rsid w:val="0014293D"/>
    <w:rsid w:val="00142A2D"/>
    <w:rsid w:val="00142FDC"/>
    <w:rsid w:val="001437C6"/>
    <w:rsid w:val="00143891"/>
    <w:rsid w:val="00143B8A"/>
    <w:rsid w:val="00143BF6"/>
    <w:rsid w:val="00143E9E"/>
    <w:rsid w:val="00144450"/>
    <w:rsid w:val="001444FD"/>
    <w:rsid w:val="001447DC"/>
    <w:rsid w:val="0014480D"/>
    <w:rsid w:val="001448DB"/>
    <w:rsid w:val="00144BFA"/>
    <w:rsid w:val="00145325"/>
    <w:rsid w:val="00145392"/>
    <w:rsid w:val="001466B1"/>
    <w:rsid w:val="0014684E"/>
    <w:rsid w:val="001468CA"/>
    <w:rsid w:val="00146E88"/>
    <w:rsid w:val="0014700E"/>
    <w:rsid w:val="0014729C"/>
    <w:rsid w:val="0014732E"/>
    <w:rsid w:val="001473A4"/>
    <w:rsid w:val="001474B1"/>
    <w:rsid w:val="001474F8"/>
    <w:rsid w:val="0014774C"/>
    <w:rsid w:val="001477F3"/>
    <w:rsid w:val="00147EB0"/>
    <w:rsid w:val="001508DF"/>
    <w:rsid w:val="00150BD7"/>
    <w:rsid w:val="00150CF6"/>
    <w:rsid w:val="00151124"/>
    <w:rsid w:val="001512CF"/>
    <w:rsid w:val="00151520"/>
    <w:rsid w:val="001524C7"/>
    <w:rsid w:val="00152600"/>
    <w:rsid w:val="00152751"/>
    <w:rsid w:val="001527EA"/>
    <w:rsid w:val="001531E6"/>
    <w:rsid w:val="00153641"/>
    <w:rsid w:val="0015397E"/>
    <w:rsid w:val="001540C2"/>
    <w:rsid w:val="0015436E"/>
    <w:rsid w:val="0015438C"/>
    <w:rsid w:val="001544D5"/>
    <w:rsid w:val="0015460B"/>
    <w:rsid w:val="00154838"/>
    <w:rsid w:val="00154A00"/>
    <w:rsid w:val="0015552F"/>
    <w:rsid w:val="00155726"/>
    <w:rsid w:val="0015580E"/>
    <w:rsid w:val="001559B0"/>
    <w:rsid w:val="00155A73"/>
    <w:rsid w:val="0015667D"/>
    <w:rsid w:val="00156793"/>
    <w:rsid w:val="00156ED7"/>
    <w:rsid w:val="0015719F"/>
    <w:rsid w:val="00157481"/>
    <w:rsid w:val="00157629"/>
    <w:rsid w:val="001600FE"/>
    <w:rsid w:val="001609D0"/>
    <w:rsid w:val="0016104C"/>
    <w:rsid w:val="001610AE"/>
    <w:rsid w:val="00161114"/>
    <w:rsid w:val="00161E11"/>
    <w:rsid w:val="0016209B"/>
    <w:rsid w:val="00162111"/>
    <w:rsid w:val="0016225A"/>
    <w:rsid w:val="001622FE"/>
    <w:rsid w:val="001623B0"/>
    <w:rsid w:val="00162451"/>
    <w:rsid w:val="00162686"/>
    <w:rsid w:val="00162D76"/>
    <w:rsid w:val="00163529"/>
    <w:rsid w:val="0016397B"/>
    <w:rsid w:val="00163C53"/>
    <w:rsid w:val="0016403E"/>
    <w:rsid w:val="00164D53"/>
    <w:rsid w:val="00165791"/>
    <w:rsid w:val="00165796"/>
    <w:rsid w:val="00165FE1"/>
    <w:rsid w:val="00166011"/>
    <w:rsid w:val="00166070"/>
    <w:rsid w:val="00166218"/>
    <w:rsid w:val="00166C93"/>
    <w:rsid w:val="00166DD9"/>
    <w:rsid w:val="00167180"/>
    <w:rsid w:val="001672DF"/>
    <w:rsid w:val="001677B3"/>
    <w:rsid w:val="0016780B"/>
    <w:rsid w:val="00167B25"/>
    <w:rsid w:val="00167DF7"/>
    <w:rsid w:val="00170072"/>
    <w:rsid w:val="001702EE"/>
    <w:rsid w:val="001715A8"/>
    <w:rsid w:val="00171618"/>
    <w:rsid w:val="00171A83"/>
    <w:rsid w:val="00171B0A"/>
    <w:rsid w:val="00171BC4"/>
    <w:rsid w:val="00171C90"/>
    <w:rsid w:val="00171F4D"/>
    <w:rsid w:val="00172041"/>
    <w:rsid w:val="00172B02"/>
    <w:rsid w:val="0017377B"/>
    <w:rsid w:val="00173A18"/>
    <w:rsid w:val="00173F25"/>
    <w:rsid w:val="0017499A"/>
    <w:rsid w:val="00174D70"/>
    <w:rsid w:val="00175580"/>
    <w:rsid w:val="0017571D"/>
    <w:rsid w:val="001762A3"/>
    <w:rsid w:val="001766BF"/>
    <w:rsid w:val="001766C0"/>
    <w:rsid w:val="0017697B"/>
    <w:rsid w:val="00176E0E"/>
    <w:rsid w:val="00177183"/>
    <w:rsid w:val="0017727A"/>
    <w:rsid w:val="001774EC"/>
    <w:rsid w:val="00177601"/>
    <w:rsid w:val="00177D45"/>
    <w:rsid w:val="00177DA4"/>
    <w:rsid w:val="0018018E"/>
    <w:rsid w:val="00180654"/>
    <w:rsid w:val="00180846"/>
    <w:rsid w:val="00180962"/>
    <w:rsid w:val="00180D98"/>
    <w:rsid w:val="001812BE"/>
    <w:rsid w:val="00181F09"/>
    <w:rsid w:val="0018226F"/>
    <w:rsid w:val="001822C7"/>
    <w:rsid w:val="0018231C"/>
    <w:rsid w:val="00182500"/>
    <w:rsid w:val="00182A56"/>
    <w:rsid w:val="00182BCB"/>
    <w:rsid w:val="00182C62"/>
    <w:rsid w:val="00182CB7"/>
    <w:rsid w:val="00182DF2"/>
    <w:rsid w:val="00183977"/>
    <w:rsid w:val="00183A96"/>
    <w:rsid w:val="00183BE3"/>
    <w:rsid w:val="00183F92"/>
    <w:rsid w:val="001840AE"/>
    <w:rsid w:val="001841B8"/>
    <w:rsid w:val="001841FD"/>
    <w:rsid w:val="00184531"/>
    <w:rsid w:val="00184A8B"/>
    <w:rsid w:val="00184DFE"/>
    <w:rsid w:val="00184F81"/>
    <w:rsid w:val="0018544B"/>
    <w:rsid w:val="00185470"/>
    <w:rsid w:val="001859E2"/>
    <w:rsid w:val="00185AEC"/>
    <w:rsid w:val="00186649"/>
    <w:rsid w:val="0018691C"/>
    <w:rsid w:val="0018784B"/>
    <w:rsid w:val="00190449"/>
    <w:rsid w:val="001904E0"/>
    <w:rsid w:val="0019066F"/>
    <w:rsid w:val="00190A02"/>
    <w:rsid w:val="00190C12"/>
    <w:rsid w:val="001914C7"/>
    <w:rsid w:val="00191A0D"/>
    <w:rsid w:val="0019258E"/>
    <w:rsid w:val="00192729"/>
    <w:rsid w:val="0019275C"/>
    <w:rsid w:val="00192780"/>
    <w:rsid w:val="00192D20"/>
    <w:rsid w:val="00192E44"/>
    <w:rsid w:val="0019320A"/>
    <w:rsid w:val="00194828"/>
    <w:rsid w:val="00194A12"/>
    <w:rsid w:val="00194A13"/>
    <w:rsid w:val="00194A9B"/>
    <w:rsid w:val="001951B2"/>
    <w:rsid w:val="0019573A"/>
    <w:rsid w:val="001957C8"/>
    <w:rsid w:val="00195CE7"/>
    <w:rsid w:val="0019688B"/>
    <w:rsid w:val="001969C9"/>
    <w:rsid w:val="00196E6A"/>
    <w:rsid w:val="00197221"/>
    <w:rsid w:val="00197279"/>
    <w:rsid w:val="00197283"/>
    <w:rsid w:val="00197586"/>
    <w:rsid w:val="00197FF0"/>
    <w:rsid w:val="001A0031"/>
    <w:rsid w:val="001A053B"/>
    <w:rsid w:val="001A071C"/>
    <w:rsid w:val="001A0879"/>
    <w:rsid w:val="001A0B47"/>
    <w:rsid w:val="001A12AA"/>
    <w:rsid w:val="001A15CE"/>
    <w:rsid w:val="001A17BF"/>
    <w:rsid w:val="001A2221"/>
    <w:rsid w:val="001A2A17"/>
    <w:rsid w:val="001A31FA"/>
    <w:rsid w:val="001A36F1"/>
    <w:rsid w:val="001A378B"/>
    <w:rsid w:val="001A39EC"/>
    <w:rsid w:val="001A3DC2"/>
    <w:rsid w:val="001A4472"/>
    <w:rsid w:val="001A465E"/>
    <w:rsid w:val="001A473D"/>
    <w:rsid w:val="001A5585"/>
    <w:rsid w:val="001A5828"/>
    <w:rsid w:val="001A5DB6"/>
    <w:rsid w:val="001A66BF"/>
    <w:rsid w:val="001A690E"/>
    <w:rsid w:val="001A6D41"/>
    <w:rsid w:val="001A7249"/>
    <w:rsid w:val="001A7378"/>
    <w:rsid w:val="001A7BC2"/>
    <w:rsid w:val="001A7E9F"/>
    <w:rsid w:val="001B06B3"/>
    <w:rsid w:val="001B0A5F"/>
    <w:rsid w:val="001B13E5"/>
    <w:rsid w:val="001B1441"/>
    <w:rsid w:val="001B1ACE"/>
    <w:rsid w:val="001B1F2F"/>
    <w:rsid w:val="001B225B"/>
    <w:rsid w:val="001B22ED"/>
    <w:rsid w:val="001B2942"/>
    <w:rsid w:val="001B2ADB"/>
    <w:rsid w:val="001B2F10"/>
    <w:rsid w:val="001B2FD6"/>
    <w:rsid w:val="001B32CA"/>
    <w:rsid w:val="001B3771"/>
    <w:rsid w:val="001B3A1E"/>
    <w:rsid w:val="001B3F68"/>
    <w:rsid w:val="001B4269"/>
    <w:rsid w:val="001B46FD"/>
    <w:rsid w:val="001B4725"/>
    <w:rsid w:val="001B4777"/>
    <w:rsid w:val="001B4C8C"/>
    <w:rsid w:val="001B4CBE"/>
    <w:rsid w:val="001B5166"/>
    <w:rsid w:val="001B52EF"/>
    <w:rsid w:val="001B56ED"/>
    <w:rsid w:val="001B5C1B"/>
    <w:rsid w:val="001B5C47"/>
    <w:rsid w:val="001B5E5A"/>
    <w:rsid w:val="001B60C7"/>
    <w:rsid w:val="001B66CE"/>
    <w:rsid w:val="001B682D"/>
    <w:rsid w:val="001B770A"/>
    <w:rsid w:val="001C0385"/>
    <w:rsid w:val="001C0659"/>
    <w:rsid w:val="001C12B1"/>
    <w:rsid w:val="001C13EB"/>
    <w:rsid w:val="001C1A80"/>
    <w:rsid w:val="001C1BA5"/>
    <w:rsid w:val="001C203E"/>
    <w:rsid w:val="001C2161"/>
    <w:rsid w:val="001C21F4"/>
    <w:rsid w:val="001C23AA"/>
    <w:rsid w:val="001C250A"/>
    <w:rsid w:val="001C3248"/>
    <w:rsid w:val="001C3EE3"/>
    <w:rsid w:val="001C3F66"/>
    <w:rsid w:val="001C419C"/>
    <w:rsid w:val="001C41F1"/>
    <w:rsid w:val="001C423A"/>
    <w:rsid w:val="001C423C"/>
    <w:rsid w:val="001C4564"/>
    <w:rsid w:val="001C4622"/>
    <w:rsid w:val="001C51C7"/>
    <w:rsid w:val="001C5E4A"/>
    <w:rsid w:val="001C5F26"/>
    <w:rsid w:val="001C612B"/>
    <w:rsid w:val="001C673E"/>
    <w:rsid w:val="001C682F"/>
    <w:rsid w:val="001C7105"/>
    <w:rsid w:val="001C77D7"/>
    <w:rsid w:val="001C7932"/>
    <w:rsid w:val="001C7E68"/>
    <w:rsid w:val="001D070E"/>
    <w:rsid w:val="001D0830"/>
    <w:rsid w:val="001D09E2"/>
    <w:rsid w:val="001D0FE8"/>
    <w:rsid w:val="001D18A4"/>
    <w:rsid w:val="001D1CF8"/>
    <w:rsid w:val="001D1E03"/>
    <w:rsid w:val="001D2114"/>
    <w:rsid w:val="001D3D25"/>
    <w:rsid w:val="001D4182"/>
    <w:rsid w:val="001D504B"/>
    <w:rsid w:val="001D5213"/>
    <w:rsid w:val="001D5534"/>
    <w:rsid w:val="001D56DC"/>
    <w:rsid w:val="001D5E9D"/>
    <w:rsid w:val="001D629A"/>
    <w:rsid w:val="001D6856"/>
    <w:rsid w:val="001D68FD"/>
    <w:rsid w:val="001D728F"/>
    <w:rsid w:val="001D7A42"/>
    <w:rsid w:val="001D7D8A"/>
    <w:rsid w:val="001E03AA"/>
    <w:rsid w:val="001E07B9"/>
    <w:rsid w:val="001E0C73"/>
    <w:rsid w:val="001E0E29"/>
    <w:rsid w:val="001E1517"/>
    <w:rsid w:val="001E1F90"/>
    <w:rsid w:val="001E20AA"/>
    <w:rsid w:val="001E226F"/>
    <w:rsid w:val="001E24AD"/>
    <w:rsid w:val="001E26C2"/>
    <w:rsid w:val="001E27A7"/>
    <w:rsid w:val="001E2B3D"/>
    <w:rsid w:val="001E2F37"/>
    <w:rsid w:val="001E2F3C"/>
    <w:rsid w:val="001E3445"/>
    <w:rsid w:val="001E37CB"/>
    <w:rsid w:val="001E3A34"/>
    <w:rsid w:val="001E4198"/>
    <w:rsid w:val="001E4606"/>
    <w:rsid w:val="001E4C57"/>
    <w:rsid w:val="001E515A"/>
    <w:rsid w:val="001E51F8"/>
    <w:rsid w:val="001E52F3"/>
    <w:rsid w:val="001E5395"/>
    <w:rsid w:val="001E54B9"/>
    <w:rsid w:val="001E55D9"/>
    <w:rsid w:val="001E58CC"/>
    <w:rsid w:val="001E5AD2"/>
    <w:rsid w:val="001E65ED"/>
    <w:rsid w:val="001E66FA"/>
    <w:rsid w:val="001E68BD"/>
    <w:rsid w:val="001E6B2A"/>
    <w:rsid w:val="001E77AE"/>
    <w:rsid w:val="001E7B07"/>
    <w:rsid w:val="001E7E23"/>
    <w:rsid w:val="001E7F62"/>
    <w:rsid w:val="001F02F1"/>
    <w:rsid w:val="001F0AAE"/>
    <w:rsid w:val="001F0FB1"/>
    <w:rsid w:val="001F138E"/>
    <w:rsid w:val="001F2347"/>
    <w:rsid w:val="001F24E9"/>
    <w:rsid w:val="001F2A78"/>
    <w:rsid w:val="001F2C4B"/>
    <w:rsid w:val="001F3219"/>
    <w:rsid w:val="001F328C"/>
    <w:rsid w:val="001F3A4E"/>
    <w:rsid w:val="001F4A60"/>
    <w:rsid w:val="001F4D8A"/>
    <w:rsid w:val="001F4FE2"/>
    <w:rsid w:val="001F5391"/>
    <w:rsid w:val="001F55AF"/>
    <w:rsid w:val="001F586C"/>
    <w:rsid w:val="001F5A99"/>
    <w:rsid w:val="001F5AE3"/>
    <w:rsid w:val="001F5CFE"/>
    <w:rsid w:val="001F5FC8"/>
    <w:rsid w:val="001F647F"/>
    <w:rsid w:val="001F64A6"/>
    <w:rsid w:val="001F64AB"/>
    <w:rsid w:val="001F6A7B"/>
    <w:rsid w:val="001F721B"/>
    <w:rsid w:val="001F722D"/>
    <w:rsid w:val="001F7DB1"/>
    <w:rsid w:val="001F7FC7"/>
    <w:rsid w:val="00200523"/>
    <w:rsid w:val="0020068D"/>
    <w:rsid w:val="002007AD"/>
    <w:rsid w:val="00200B9B"/>
    <w:rsid w:val="00200D1D"/>
    <w:rsid w:val="00200F55"/>
    <w:rsid w:val="002013A0"/>
    <w:rsid w:val="002016DB"/>
    <w:rsid w:val="002018FD"/>
    <w:rsid w:val="002023DC"/>
    <w:rsid w:val="00202DF1"/>
    <w:rsid w:val="00203082"/>
    <w:rsid w:val="0020343E"/>
    <w:rsid w:val="0020354F"/>
    <w:rsid w:val="00203597"/>
    <w:rsid w:val="00203882"/>
    <w:rsid w:val="0020454B"/>
    <w:rsid w:val="00204685"/>
    <w:rsid w:val="002046EC"/>
    <w:rsid w:val="00204749"/>
    <w:rsid w:val="00204A96"/>
    <w:rsid w:val="0020595D"/>
    <w:rsid w:val="00205B6F"/>
    <w:rsid w:val="0020651B"/>
    <w:rsid w:val="002067AB"/>
    <w:rsid w:val="00206EE6"/>
    <w:rsid w:val="00207180"/>
    <w:rsid w:val="002075EA"/>
    <w:rsid w:val="00207E43"/>
    <w:rsid w:val="00207ECA"/>
    <w:rsid w:val="002105DB"/>
    <w:rsid w:val="00210B32"/>
    <w:rsid w:val="00210CDB"/>
    <w:rsid w:val="00210D67"/>
    <w:rsid w:val="002113B8"/>
    <w:rsid w:val="00211D07"/>
    <w:rsid w:val="002120FA"/>
    <w:rsid w:val="00212236"/>
    <w:rsid w:val="00212501"/>
    <w:rsid w:val="00212E15"/>
    <w:rsid w:val="00213247"/>
    <w:rsid w:val="002132B0"/>
    <w:rsid w:val="00213B96"/>
    <w:rsid w:val="00213C28"/>
    <w:rsid w:val="00213D19"/>
    <w:rsid w:val="00213D77"/>
    <w:rsid w:val="00214145"/>
    <w:rsid w:val="00214596"/>
    <w:rsid w:val="00214790"/>
    <w:rsid w:val="002147A9"/>
    <w:rsid w:val="00215193"/>
    <w:rsid w:val="0021542E"/>
    <w:rsid w:val="00215598"/>
    <w:rsid w:val="00215841"/>
    <w:rsid w:val="00215890"/>
    <w:rsid w:val="00215B28"/>
    <w:rsid w:val="00216263"/>
    <w:rsid w:val="0021683E"/>
    <w:rsid w:val="00216EA8"/>
    <w:rsid w:val="00217015"/>
    <w:rsid w:val="00217090"/>
    <w:rsid w:val="002170FC"/>
    <w:rsid w:val="002178E2"/>
    <w:rsid w:val="00217DF7"/>
    <w:rsid w:val="00217E9D"/>
    <w:rsid w:val="002203D4"/>
    <w:rsid w:val="0022073E"/>
    <w:rsid w:val="00220B53"/>
    <w:rsid w:val="00220EAB"/>
    <w:rsid w:val="0022195E"/>
    <w:rsid w:val="002219B2"/>
    <w:rsid w:val="002219D6"/>
    <w:rsid w:val="00221A7D"/>
    <w:rsid w:val="00221B58"/>
    <w:rsid w:val="00221C8C"/>
    <w:rsid w:val="00222674"/>
    <w:rsid w:val="0022272D"/>
    <w:rsid w:val="00222D49"/>
    <w:rsid w:val="00223382"/>
    <w:rsid w:val="002237D2"/>
    <w:rsid w:val="0022394C"/>
    <w:rsid w:val="00223A6C"/>
    <w:rsid w:val="00223B21"/>
    <w:rsid w:val="00223CAD"/>
    <w:rsid w:val="00223F35"/>
    <w:rsid w:val="00224156"/>
    <w:rsid w:val="00224541"/>
    <w:rsid w:val="00224A6F"/>
    <w:rsid w:val="00224ADA"/>
    <w:rsid w:val="0022522D"/>
    <w:rsid w:val="002257C6"/>
    <w:rsid w:val="00225994"/>
    <w:rsid w:val="002259AF"/>
    <w:rsid w:val="00225C96"/>
    <w:rsid w:val="00225CC9"/>
    <w:rsid w:val="00225D12"/>
    <w:rsid w:val="00225E7E"/>
    <w:rsid w:val="002262A5"/>
    <w:rsid w:val="002268E9"/>
    <w:rsid w:val="00226B8E"/>
    <w:rsid w:val="00226D3F"/>
    <w:rsid w:val="002272FD"/>
    <w:rsid w:val="0022761A"/>
    <w:rsid w:val="002277E5"/>
    <w:rsid w:val="00227A59"/>
    <w:rsid w:val="00227DA9"/>
    <w:rsid w:val="0022F86F"/>
    <w:rsid w:val="002305FA"/>
    <w:rsid w:val="00230D50"/>
    <w:rsid w:val="0023129F"/>
    <w:rsid w:val="00231349"/>
    <w:rsid w:val="002315A4"/>
    <w:rsid w:val="00231D5C"/>
    <w:rsid w:val="00232494"/>
    <w:rsid w:val="002324BC"/>
    <w:rsid w:val="00232706"/>
    <w:rsid w:val="0023275E"/>
    <w:rsid w:val="00232836"/>
    <w:rsid w:val="002329A5"/>
    <w:rsid w:val="00233317"/>
    <w:rsid w:val="0023340E"/>
    <w:rsid w:val="00233BA9"/>
    <w:rsid w:val="00233D4D"/>
    <w:rsid w:val="00233F89"/>
    <w:rsid w:val="00234B3F"/>
    <w:rsid w:val="00235421"/>
    <w:rsid w:val="00235B62"/>
    <w:rsid w:val="00235D63"/>
    <w:rsid w:val="00235F61"/>
    <w:rsid w:val="0023603A"/>
    <w:rsid w:val="002362E3"/>
    <w:rsid w:val="0023685D"/>
    <w:rsid w:val="00236A1F"/>
    <w:rsid w:val="00236CFB"/>
    <w:rsid w:val="00236D27"/>
    <w:rsid w:val="0023713D"/>
    <w:rsid w:val="0023723F"/>
    <w:rsid w:val="00237DA1"/>
    <w:rsid w:val="0024033E"/>
    <w:rsid w:val="00240500"/>
    <w:rsid w:val="00240623"/>
    <w:rsid w:val="00240826"/>
    <w:rsid w:val="002409F8"/>
    <w:rsid w:val="00240B8A"/>
    <w:rsid w:val="002411F3"/>
    <w:rsid w:val="00241376"/>
    <w:rsid w:val="00241610"/>
    <w:rsid w:val="0024192A"/>
    <w:rsid w:val="00241CE6"/>
    <w:rsid w:val="00242710"/>
    <w:rsid w:val="00242B1C"/>
    <w:rsid w:val="0024304E"/>
    <w:rsid w:val="00243518"/>
    <w:rsid w:val="0024377D"/>
    <w:rsid w:val="00243A74"/>
    <w:rsid w:val="00243A9A"/>
    <w:rsid w:val="00243AC1"/>
    <w:rsid w:val="00243ACC"/>
    <w:rsid w:val="00243EEB"/>
    <w:rsid w:val="00244161"/>
    <w:rsid w:val="00244D91"/>
    <w:rsid w:val="00244FE4"/>
    <w:rsid w:val="0024502C"/>
    <w:rsid w:val="002456C0"/>
    <w:rsid w:val="00245C8D"/>
    <w:rsid w:val="00246135"/>
    <w:rsid w:val="00246D51"/>
    <w:rsid w:val="002473E4"/>
    <w:rsid w:val="002474AE"/>
    <w:rsid w:val="0025052D"/>
    <w:rsid w:val="002507BA"/>
    <w:rsid w:val="00251A51"/>
    <w:rsid w:val="002521A6"/>
    <w:rsid w:val="002523B3"/>
    <w:rsid w:val="00252AB7"/>
    <w:rsid w:val="00252CBB"/>
    <w:rsid w:val="00252D44"/>
    <w:rsid w:val="0025303A"/>
    <w:rsid w:val="002536BE"/>
    <w:rsid w:val="002536E1"/>
    <w:rsid w:val="00253B02"/>
    <w:rsid w:val="00253B0F"/>
    <w:rsid w:val="00253B14"/>
    <w:rsid w:val="00253DF1"/>
    <w:rsid w:val="0025418D"/>
    <w:rsid w:val="00254288"/>
    <w:rsid w:val="00254341"/>
    <w:rsid w:val="00254621"/>
    <w:rsid w:val="00254776"/>
    <w:rsid w:val="00254D7D"/>
    <w:rsid w:val="00254E90"/>
    <w:rsid w:val="0025575E"/>
    <w:rsid w:val="00255A43"/>
    <w:rsid w:val="00256491"/>
    <w:rsid w:val="00256A0F"/>
    <w:rsid w:val="00257051"/>
    <w:rsid w:val="0025731D"/>
    <w:rsid w:val="00257A25"/>
    <w:rsid w:val="00257AB2"/>
    <w:rsid w:val="00257BD9"/>
    <w:rsid w:val="002601C8"/>
    <w:rsid w:val="00260A05"/>
    <w:rsid w:val="00260B45"/>
    <w:rsid w:val="00260FC4"/>
    <w:rsid w:val="00260FFE"/>
    <w:rsid w:val="002610C4"/>
    <w:rsid w:val="00261304"/>
    <w:rsid w:val="00261307"/>
    <w:rsid w:val="00261C0F"/>
    <w:rsid w:val="00261C1C"/>
    <w:rsid w:val="00261FE0"/>
    <w:rsid w:val="00262147"/>
    <w:rsid w:val="002622E0"/>
    <w:rsid w:val="0026299F"/>
    <w:rsid w:val="00262B94"/>
    <w:rsid w:val="00262D0F"/>
    <w:rsid w:val="00263329"/>
    <w:rsid w:val="00263898"/>
    <w:rsid w:val="002639FE"/>
    <w:rsid w:val="00263C0B"/>
    <w:rsid w:val="00263F66"/>
    <w:rsid w:val="00264006"/>
    <w:rsid w:val="0026407D"/>
    <w:rsid w:val="00264B50"/>
    <w:rsid w:val="00264C0A"/>
    <w:rsid w:val="00264C74"/>
    <w:rsid w:val="00264DC8"/>
    <w:rsid w:val="0026534C"/>
    <w:rsid w:val="00265734"/>
    <w:rsid w:val="00265E9E"/>
    <w:rsid w:val="00267261"/>
    <w:rsid w:val="002679C3"/>
    <w:rsid w:val="00267E5E"/>
    <w:rsid w:val="00270506"/>
    <w:rsid w:val="00270C37"/>
    <w:rsid w:val="00270DA0"/>
    <w:rsid w:val="00270E53"/>
    <w:rsid w:val="00270F06"/>
    <w:rsid w:val="00270FAD"/>
    <w:rsid w:val="002710E8"/>
    <w:rsid w:val="00271918"/>
    <w:rsid w:val="00271EF4"/>
    <w:rsid w:val="0027251C"/>
    <w:rsid w:val="0027256F"/>
    <w:rsid w:val="002729EB"/>
    <w:rsid w:val="00272A63"/>
    <w:rsid w:val="00272B07"/>
    <w:rsid w:val="00272B0A"/>
    <w:rsid w:val="00272B2D"/>
    <w:rsid w:val="00273148"/>
    <w:rsid w:val="00273628"/>
    <w:rsid w:val="00273D95"/>
    <w:rsid w:val="00274029"/>
    <w:rsid w:val="0027408A"/>
    <w:rsid w:val="002740BA"/>
    <w:rsid w:val="00274341"/>
    <w:rsid w:val="00274AD5"/>
    <w:rsid w:val="00275102"/>
    <w:rsid w:val="00275514"/>
    <w:rsid w:val="0027558D"/>
    <w:rsid w:val="0027558F"/>
    <w:rsid w:val="002755E1"/>
    <w:rsid w:val="00275725"/>
    <w:rsid w:val="002757C8"/>
    <w:rsid w:val="00275C34"/>
    <w:rsid w:val="0027640E"/>
    <w:rsid w:val="00276771"/>
    <w:rsid w:val="00276B3F"/>
    <w:rsid w:val="00276EEA"/>
    <w:rsid w:val="00277142"/>
    <w:rsid w:val="00277787"/>
    <w:rsid w:val="00277E25"/>
    <w:rsid w:val="00280424"/>
    <w:rsid w:val="00280470"/>
    <w:rsid w:val="002806DE"/>
    <w:rsid w:val="00280ADD"/>
    <w:rsid w:val="00280FCA"/>
    <w:rsid w:val="00281575"/>
    <w:rsid w:val="002815E0"/>
    <w:rsid w:val="00281790"/>
    <w:rsid w:val="00281A43"/>
    <w:rsid w:val="00281B59"/>
    <w:rsid w:val="00281BD6"/>
    <w:rsid w:val="002826F4"/>
    <w:rsid w:val="00282705"/>
    <w:rsid w:val="00282F11"/>
    <w:rsid w:val="00283583"/>
    <w:rsid w:val="00284529"/>
    <w:rsid w:val="00284613"/>
    <w:rsid w:val="00284767"/>
    <w:rsid w:val="002847AA"/>
    <w:rsid w:val="00284D64"/>
    <w:rsid w:val="00284DF6"/>
    <w:rsid w:val="00284EA1"/>
    <w:rsid w:val="00284EB4"/>
    <w:rsid w:val="0028511B"/>
    <w:rsid w:val="00285144"/>
    <w:rsid w:val="002854DA"/>
    <w:rsid w:val="0028552B"/>
    <w:rsid w:val="0028556B"/>
    <w:rsid w:val="0028574B"/>
    <w:rsid w:val="00285C9A"/>
    <w:rsid w:val="00285D98"/>
    <w:rsid w:val="002860ED"/>
    <w:rsid w:val="0028621C"/>
    <w:rsid w:val="0028677F"/>
    <w:rsid w:val="002870E0"/>
    <w:rsid w:val="00287B4B"/>
    <w:rsid w:val="00287C13"/>
    <w:rsid w:val="00290212"/>
    <w:rsid w:val="0029078A"/>
    <w:rsid w:val="0029081C"/>
    <w:rsid w:val="00291377"/>
    <w:rsid w:val="002916DB"/>
    <w:rsid w:val="00292208"/>
    <w:rsid w:val="00292372"/>
    <w:rsid w:val="002929D0"/>
    <w:rsid w:val="002932F1"/>
    <w:rsid w:val="0029343C"/>
    <w:rsid w:val="00293D13"/>
    <w:rsid w:val="002940E8"/>
    <w:rsid w:val="00294777"/>
    <w:rsid w:val="0029496E"/>
    <w:rsid w:val="00294FC9"/>
    <w:rsid w:val="00295128"/>
    <w:rsid w:val="002951D8"/>
    <w:rsid w:val="00295CFB"/>
    <w:rsid w:val="00295FC8"/>
    <w:rsid w:val="0029618B"/>
    <w:rsid w:val="002961E0"/>
    <w:rsid w:val="002974AE"/>
    <w:rsid w:val="00297639"/>
    <w:rsid w:val="002977A8"/>
    <w:rsid w:val="00297C08"/>
    <w:rsid w:val="00297EFB"/>
    <w:rsid w:val="002A0705"/>
    <w:rsid w:val="002A08ED"/>
    <w:rsid w:val="002A19A0"/>
    <w:rsid w:val="002A1AEA"/>
    <w:rsid w:val="002A215E"/>
    <w:rsid w:val="002A27AB"/>
    <w:rsid w:val="002A2CFC"/>
    <w:rsid w:val="002A2EEE"/>
    <w:rsid w:val="002A33EB"/>
    <w:rsid w:val="002A39EC"/>
    <w:rsid w:val="002A3B29"/>
    <w:rsid w:val="002A3DC7"/>
    <w:rsid w:val="002A3EE3"/>
    <w:rsid w:val="002A407D"/>
    <w:rsid w:val="002A40CB"/>
    <w:rsid w:val="002A4108"/>
    <w:rsid w:val="002A41D4"/>
    <w:rsid w:val="002A45AB"/>
    <w:rsid w:val="002A45F7"/>
    <w:rsid w:val="002A4DA7"/>
    <w:rsid w:val="002A5181"/>
    <w:rsid w:val="002A55CC"/>
    <w:rsid w:val="002A5B52"/>
    <w:rsid w:val="002A5EE4"/>
    <w:rsid w:val="002A6E2D"/>
    <w:rsid w:val="002A6E9C"/>
    <w:rsid w:val="002A7058"/>
    <w:rsid w:val="002A739E"/>
    <w:rsid w:val="002A743A"/>
    <w:rsid w:val="002A7444"/>
    <w:rsid w:val="002A7F18"/>
    <w:rsid w:val="002B0294"/>
    <w:rsid w:val="002B04B9"/>
    <w:rsid w:val="002B080E"/>
    <w:rsid w:val="002B0F35"/>
    <w:rsid w:val="002B1466"/>
    <w:rsid w:val="002B1BD4"/>
    <w:rsid w:val="002B2435"/>
    <w:rsid w:val="002B2697"/>
    <w:rsid w:val="002B281B"/>
    <w:rsid w:val="002B323B"/>
    <w:rsid w:val="002B3244"/>
    <w:rsid w:val="002B3D68"/>
    <w:rsid w:val="002B3F7C"/>
    <w:rsid w:val="002B410B"/>
    <w:rsid w:val="002B418F"/>
    <w:rsid w:val="002B4398"/>
    <w:rsid w:val="002B4782"/>
    <w:rsid w:val="002B4BB7"/>
    <w:rsid w:val="002B4BC7"/>
    <w:rsid w:val="002B4CAC"/>
    <w:rsid w:val="002B4FDB"/>
    <w:rsid w:val="002B5070"/>
    <w:rsid w:val="002B51A0"/>
    <w:rsid w:val="002B599B"/>
    <w:rsid w:val="002B61E9"/>
    <w:rsid w:val="002B6741"/>
    <w:rsid w:val="002B675A"/>
    <w:rsid w:val="002B6C79"/>
    <w:rsid w:val="002B6FF0"/>
    <w:rsid w:val="002B73EF"/>
    <w:rsid w:val="002B75C0"/>
    <w:rsid w:val="002B7B7E"/>
    <w:rsid w:val="002B7DC0"/>
    <w:rsid w:val="002C0CCD"/>
    <w:rsid w:val="002C19A2"/>
    <w:rsid w:val="002C1BA7"/>
    <w:rsid w:val="002C2260"/>
    <w:rsid w:val="002C23C4"/>
    <w:rsid w:val="002C2773"/>
    <w:rsid w:val="002C2AD9"/>
    <w:rsid w:val="002C2B78"/>
    <w:rsid w:val="002C2CC5"/>
    <w:rsid w:val="002C2CD7"/>
    <w:rsid w:val="002C3028"/>
    <w:rsid w:val="002C3493"/>
    <w:rsid w:val="002C359A"/>
    <w:rsid w:val="002C3717"/>
    <w:rsid w:val="002C385E"/>
    <w:rsid w:val="002C3913"/>
    <w:rsid w:val="002C48CA"/>
    <w:rsid w:val="002C4A36"/>
    <w:rsid w:val="002C4CB6"/>
    <w:rsid w:val="002C4DAB"/>
    <w:rsid w:val="002C5620"/>
    <w:rsid w:val="002C5810"/>
    <w:rsid w:val="002C5C41"/>
    <w:rsid w:val="002C73BD"/>
    <w:rsid w:val="002C7543"/>
    <w:rsid w:val="002C78AC"/>
    <w:rsid w:val="002C7989"/>
    <w:rsid w:val="002C7B6C"/>
    <w:rsid w:val="002C7C9B"/>
    <w:rsid w:val="002D0E3F"/>
    <w:rsid w:val="002D0E58"/>
    <w:rsid w:val="002D1029"/>
    <w:rsid w:val="002D1301"/>
    <w:rsid w:val="002D142A"/>
    <w:rsid w:val="002D1861"/>
    <w:rsid w:val="002D18D8"/>
    <w:rsid w:val="002D1ADE"/>
    <w:rsid w:val="002D1F03"/>
    <w:rsid w:val="002D2336"/>
    <w:rsid w:val="002D24E7"/>
    <w:rsid w:val="002D2A07"/>
    <w:rsid w:val="002D2B58"/>
    <w:rsid w:val="002D2E1C"/>
    <w:rsid w:val="002D3692"/>
    <w:rsid w:val="002D36ED"/>
    <w:rsid w:val="002D3DF4"/>
    <w:rsid w:val="002D4189"/>
    <w:rsid w:val="002D46F8"/>
    <w:rsid w:val="002D483E"/>
    <w:rsid w:val="002D4E04"/>
    <w:rsid w:val="002D4E1C"/>
    <w:rsid w:val="002D51E8"/>
    <w:rsid w:val="002D5A7D"/>
    <w:rsid w:val="002D5F84"/>
    <w:rsid w:val="002D6056"/>
    <w:rsid w:val="002D6608"/>
    <w:rsid w:val="002D6AC6"/>
    <w:rsid w:val="002D6EA1"/>
    <w:rsid w:val="002D6ED8"/>
    <w:rsid w:val="002D6F3C"/>
    <w:rsid w:val="002D76A9"/>
    <w:rsid w:val="002D7704"/>
    <w:rsid w:val="002D7AE9"/>
    <w:rsid w:val="002D7C86"/>
    <w:rsid w:val="002E0168"/>
    <w:rsid w:val="002E06D2"/>
    <w:rsid w:val="002E0944"/>
    <w:rsid w:val="002E0CBC"/>
    <w:rsid w:val="002E172B"/>
    <w:rsid w:val="002E1F8A"/>
    <w:rsid w:val="002E20CD"/>
    <w:rsid w:val="002E22C9"/>
    <w:rsid w:val="002E303E"/>
    <w:rsid w:val="002E33A2"/>
    <w:rsid w:val="002E386B"/>
    <w:rsid w:val="002E3CDA"/>
    <w:rsid w:val="002E3EC5"/>
    <w:rsid w:val="002E4203"/>
    <w:rsid w:val="002E47EF"/>
    <w:rsid w:val="002E4A9A"/>
    <w:rsid w:val="002E4E47"/>
    <w:rsid w:val="002E5237"/>
    <w:rsid w:val="002E53F3"/>
    <w:rsid w:val="002E556B"/>
    <w:rsid w:val="002E56ED"/>
    <w:rsid w:val="002E577B"/>
    <w:rsid w:val="002E58A3"/>
    <w:rsid w:val="002E5906"/>
    <w:rsid w:val="002E64AF"/>
    <w:rsid w:val="002E71E7"/>
    <w:rsid w:val="002E7715"/>
    <w:rsid w:val="002E7AB8"/>
    <w:rsid w:val="002E7D17"/>
    <w:rsid w:val="002E7DB2"/>
    <w:rsid w:val="002F05EE"/>
    <w:rsid w:val="002F075B"/>
    <w:rsid w:val="002F0D53"/>
    <w:rsid w:val="002F1155"/>
    <w:rsid w:val="002F165D"/>
    <w:rsid w:val="002F2192"/>
    <w:rsid w:val="002F24CB"/>
    <w:rsid w:val="002F292C"/>
    <w:rsid w:val="002F2977"/>
    <w:rsid w:val="002F2F7C"/>
    <w:rsid w:val="002F377E"/>
    <w:rsid w:val="002F4693"/>
    <w:rsid w:val="002F46B4"/>
    <w:rsid w:val="002F4E84"/>
    <w:rsid w:val="002F4F22"/>
    <w:rsid w:val="002F4FBD"/>
    <w:rsid w:val="002F59D5"/>
    <w:rsid w:val="002F5AFD"/>
    <w:rsid w:val="002F5C07"/>
    <w:rsid w:val="002F5F34"/>
    <w:rsid w:val="002F611D"/>
    <w:rsid w:val="002F67A8"/>
    <w:rsid w:val="002F769C"/>
    <w:rsid w:val="002F7CA3"/>
    <w:rsid w:val="00300075"/>
    <w:rsid w:val="00300C2C"/>
    <w:rsid w:val="00300E31"/>
    <w:rsid w:val="00301149"/>
    <w:rsid w:val="003012EE"/>
    <w:rsid w:val="003013B8"/>
    <w:rsid w:val="0030142A"/>
    <w:rsid w:val="003016E5"/>
    <w:rsid w:val="00301725"/>
    <w:rsid w:val="003020C0"/>
    <w:rsid w:val="00302DE6"/>
    <w:rsid w:val="00303BAC"/>
    <w:rsid w:val="00303C8B"/>
    <w:rsid w:val="00304069"/>
    <w:rsid w:val="00304291"/>
    <w:rsid w:val="003046BB"/>
    <w:rsid w:val="003046FB"/>
    <w:rsid w:val="00304739"/>
    <w:rsid w:val="003048E3"/>
    <w:rsid w:val="00304F5C"/>
    <w:rsid w:val="0030521B"/>
    <w:rsid w:val="003057FF"/>
    <w:rsid w:val="0030603B"/>
    <w:rsid w:val="00306109"/>
    <w:rsid w:val="00306A15"/>
    <w:rsid w:val="003075EC"/>
    <w:rsid w:val="00307B48"/>
    <w:rsid w:val="00307F6A"/>
    <w:rsid w:val="003103AB"/>
    <w:rsid w:val="003106C6"/>
    <w:rsid w:val="00310AC5"/>
    <w:rsid w:val="00310D10"/>
    <w:rsid w:val="00310D28"/>
    <w:rsid w:val="00310D36"/>
    <w:rsid w:val="00310D6C"/>
    <w:rsid w:val="003113E3"/>
    <w:rsid w:val="00311409"/>
    <w:rsid w:val="00311430"/>
    <w:rsid w:val="00311448"/>
    <w:rsid w:val="00311898"/>
    <w:rsid w:val="00311956"/>
    <w:rsid w:val="00311C97"/>
    <w:rsid w:val="00311D83"/>
    <w:rsid w:val="00311F53"/>
    <w:rsid w:val="0031214E"/>
    <w:rsid w:val="003124EA"/>
    <w:rsid w:val="003127BC"/>
    <w:rsid w:val="00312D11"/>
    <w:rsid w:val="00312E3D"/>
    <w:rsid w:val="003145C8"/>
    <w:rsid w:val="00314843"/>
    <w:rsid w:val="00314A1C"/>
    <w:rsid w:val="00314CB8"/>
    <w:rsid w:val="00314DCF"/>
    <w:rsid w:val="00315497"/>
    <w:rsid w:val="00315815"/>
    <w:rsid w:val="003160EF"/>
    <w:rsid w:val="00316608"/>
    <w:rsid w:val="0031697D"/>
    <w:rsid w:val="00316C25"/>
    <w:rsid w:val="00316D93"/>
    <w:rsid w:val="0031701A"/>
    <w:rsid w:val="00317722"/>
    <w:rsid w:val="00320B64"/>
    <w:rsid w:val="0032157D"/>
    <w:rsid w:val="00321583"/>
    <w:rsid w:val="00321730"/>
    <w:rsid w:val="00321DCF"/>
    <w:rsid w:val="00321E7B"/>
    <w:rsid w:val="0032224D"/>
    <w:rsid w:val="00322A06"/>
    <w:rsid w:val="003232C9"/>
    <w:rsid w:val="003234B6"/>
    <w:rsid w:val="00324043"/>
    <w:rsid w:val="003240B0"/>
    <w:rsid w:val="003246EB"/>
    <w:rsid w:val="00324775"/>
    <w:rsid w:val="00324982"/>
    <w:rsid w:val="00324D74"/>
    <w:rsid w:val="00326020"/>
    <w:rsid w:val="00326253"/>
    <w:rsid w:val="003270E4"/>
    <w:rsid w:val="003278A3"/>
    <w:rsid w:val="0033019A"/>
    <w:rsid w:val="00330294"/>
    <w:rsid w:val="0033036C"/>
    <w:rsid w:val="003307AB"/>
    <w:rsid w:val="00330B12"/>
    <w:rsid w:val="00330B3F"/>
    <w:rsid w:val="00330BBA"/>
    <w:rsid w:val="00330C13"/>
    <w:rsid w:val="00330CA2"/>
    <w:rsid w:val="00330CBA"/>
    <w:rsid w:val="0033199D"/>
    <w:rsid w:val="00331DAC"/>
    <w:rsid w:val="00331FD4"/>
    <w:rsid w:val="00332085"/>
    <w:rsid w:val="003321E7"/>
    <w:rsid w:val="0033233F"/>
    <w:rsid w:val="003328AF"/>
    <w:rsid w:val="00332976"/>
    <w:rsid w:val="00332C61"/>
    <w:rsid w:val="00332DCB"/>
    <w:rsid w:val="0033333C"/>
    <w:rsid w:val="0033346F"/>
    <w:rsid w:val="0033376B"/>
    <w:rsid w:val="003339D8"/>
    <w:rsid w:val="00333B5C"/>
    <w:rsid w:val="00333FF3"/>
    <w:rsid w:val="0033519F"/>
    <w:rsid w:val="003353CC"/>
    <w:rsid w:val="00335493"/>
    <w:rsid w:val="00335C40"/>
    <w:rsid w:val="00335F20"/>
    <w:rsid w:val="00336D28"/>
    <w:rsid w:val="00336FA6"/>
    <w:rsid w:val="0033707E"/>
    <w:rsid w:val="00337319"/>
    <w:rsid w:val="0033748D"/>
    <w:rsid w:val="00337C2B"/>
    <w:rsid w:val="00340214"/>
    <w:rsid w:val="003404BD"/>
    <w:rsid w:val="003409A7"/>
    <w:rsid w:val="00340C6B"/>
    <w:rsid w:val="0034128C"/>
    <w:rsid w:val="00341417"/>
    <w:rsid w:val="003415D5"/>
    <w:rsid w:val="003421EF"/>
    <w:rsid w:val="00342508"/>
    <w:rsid w:val="00342703"/>
    <w:rsid w:val="0034286F"/>
    <w:rsid w:val="003430CA"/>
    <w:rsid w:val="00343935"/>
    <w:rsid w:val="00343B7B"/>
    <w:rsid w:val="00343E3D"/>
    <w:rsid w:val="00343F8E"/>
    <w:rsid w:val="00344D18"/>
    <w:rsid w:val="00344E29"/>
    <w:rsid w:val="00344E64"/>
    <w:rsid w:val="00344FAF"/>
    <w:rsid w:val="00345086"/>
    <w:rsid w:val="003459BB"/>
    <w:rsid w:val="00345A7E"/>
    <w:rsid w:val="00345D53"/>
    <w:rsid w:val="00346213"/>
    <w:rsid w:val="003464B7"/>
    <w:rsid w:val="003464E7"/>
    <w:rsid w:val="0034676F"/>
    <w:rsid w:val="00346994"/>
    <w:rsid w:val="00346EBC"/>
    <w:rsid w:val="00347542"/>
    <w:rsid w:val="003477D4"/>
    <w:rsid w:val="0034792E"/>
    <w:rsid w:val="00347978"/>
    <w:rsid w:val="003479C9"/>
    <w:rsid w:val="00347AE3"/>
    <w:rsid w:val="00347CC3"/>
    <w:rsid w:val="00347E26"/>
    <w:rsid w:val="00347E4F"/>
    <w:rsid w:val="0034CEA2"/>
    <w:rsid w:val="0035005B"/>
    <w:rsid w:val="003503E1"/>
    <w:rsid w:val="0035092F"/>
    <w:rsid w:val="00350963"/>
    <w:rsid w:val="00350CA0"/>
    <w:rsid w:val="00350F06"/>
    <w:rsid w:val="00351240"/>
    <w:rsid w:val="0035145B"/>
    <w:rsid w:val="0035157F"/>
    <w:rsid w:val="00351A25"/>
    <w:rsid w:val="00351AE6"/>
    <w:rsid w:val="003527AF"/>
    <w:rsid w:val="00352A4B"/>
    <w:rsid w:val="003534EF"/>
    <w:rsid w:val="00353B34"/>
    <w:rsid w:val="00353C95"/>
    <w:rsid w:val="00353DE0"/>
    <w:rsid w:val="003544CA"/>
    <w:rsid w:val="00354B65"/>
    <w:rsid w:val="00354D39"/>
    <w:rsid w:val="00354DCA"/>
    <w:rsid w:val="00355A49"/>
    <w:rsid w:val="00355D15"/>
    <w:rsid w:val="00355DB6"/>
    <w:rsid w:val="00355DEE"/>
    <w:rsid w:val="003562BC"/>
    <w:rsid w:val="00356775"/>
    <w:rsid w:val="00356952"/>
    <w:rsid w:val="003571AC"/>
    <w:rsid w:val="00357A7B"/>
    <w:rsid w:val="0036000F"/>
    <w:rsid w:val="00360057"/>
    <w:rsid w:val="003606E1"/>
    <w:rsid w:val="0036138E"/>
    <w:rsid w:val="003618F1"/>
    <w:rsid w:val="00361A74"/>
    <w:rsid w:val="003623F2"/>
    <w:rsid w:val="0036270D"/>
    <w:rsid w:val="003634A9"/>
    <w:rsid w:val="00363E65"/>
    <w:rsid w:val="003640EE"/>
    <w:rsid w:val="00364797"/>
    <w:rsid w:val="00364A82"/>
    <w:rsid w:val="00364D59"/>
    <w:rsid w:val="003651C6"/>
    <w:rsid w:val="00365212"/>
    <w:rsid w:val="003655A3"/>
    <w:rsid w:val="003658FD"/>
    <w:rsid w:val="00365C01"/>
    <w:rsid w:val="00365C88"/>
    <w:rsid w:val="00365F58"/>
    <w:rsid w:val="003666F9"/>
    <w:rsid w:val="00366D9F"/>
    <w:rsid w:val="003670CC"/>
    <w:rsid w:val="00367140"/>
    <w:rsid w:val="0036732E"/>
    <w:rsid w:val="0036762D"/>
    <w:rsid w:val="003677E8"/>
    <w:rsid w:val="003701B4"/>
    <w:rsid w:val="00370B39"/>
    <w:rsid w:val="00370C1D"/>
    <w:rsid w:val="00370E94"/>
    <w:rsid w:val="00371581"/>
    <w:rsid w:val="00371776"/>
    <w:rsid w:val="00371C4D"/>
    <w:rsid w:val="00371E1C"/>
    <w:rsid w:val="00371F48"/>
    <w:rsid w:val="00371F84"/>
    <w:rsid w:val="003722F7"/>
    <w:rsid w:val="00372361"/>
    <w:rsid w:val="00372577"/>
    <w:rsid w:val="003728D0"/>
    <w:rsid w:val="00372942"/>
    <w:rsid w:val="003735CD"/>
    <w:rsid w:val="0037376C"/>
    <w:rsid w:val="00374794"/>
    <w:rsid w:val="00374B9F"/>
    <w:rsid w:val="00374E93"/>
    <w:rsid w:val="003754D4"/>
    <w:rsid w:val="00375BA9"/>
    <w:rsid w:val="00375C1B"/>
    <w:rsid w:val="00375C1D"/>
    <w:rsid w:val="00375FF0"/>
    <w:rsid w:val="00376240"/>
    <w:rsid w:val="0037663C"/>
    <w:rsid w:val="003767D3"/>
    <w:rsid w:val="00376A6B"/>
    <w:rsid w:val="00376E50"/>
    <w:rsid w:val="00376FC5"/>
    <w:rsid w:val="003770DB"/>
    <w:rsid w:val="00377609"/>
    <w:rsid w:val="00377856"/>
    <w:rsid w:val="00377D22"/>
    <w:rsid w:val="00377EFE"/>
    <w:rsid w:val="00380292"/>
    <w:rsid w:val="003805F6"/>
    <w:rsid w:val="00380DF5"/>
    <w:rsid w:val="003819A5"/>
    <w:rsid w:val="003827ED"/>
    <w:rsid w:val="00383416"/>
    <w:rsid w:val="0038372D"/>
    <w:rsid w:val="00383861"/>
    <w:rsid w:val="00383AF0"/>
    <w:rsid w:val="00384048"/>
    <w:rsid w:val="00384128"/>
    <w:rsid w:val="00384772"/>
    <w:rsid w:val="003847B0"/>
    <w:rsid w:val="00384E6C"/>
    <w:rsid w:val="0038500A"/>
    <w:rsid w:val="003856D5"/>
    <w:rsid w:val="003857DF"/>
    <w:rsid w:val="00385F5F"/>
    <w:rsid w:val="00386815"/>
    <w:rsid w:val="00387A3A"/>
    <w:rsid w:val="003900FD"/>
    <w:rsid w:val="003904DD"/>
    <w:rsid w:val="003904E2"/>
    <w:rsid w:val="003907A1"/>
    <w:rsid w:val="00390F74"/>
    <w:rsid w:val="003913AB"/>
    <w:rsid w:val="003916B6"/>
    <w:rsid w:val="003916EB"/>
    <w:rsid w:val="003919C8"/>
    <w:rsid w:val="00391C28"/>
    <w:rsid w:val="00391C81"/>
    <w:rsid w:val="003922B1"/>
    <w:rsid w:val="00392AB2"/>
    <w:rsid w:val="00392BDD"/>
    <w:rsid w:val="003930A2"/>
    <w:rsid w:val="0039358F"/>
    <w:rsid w:val="00393831"/>
    <w:rsid w:val="00393AD7"/>
    <w:rsid w:val="00394018"/>
    <w:rsid w:val="00394CB8"/>
    <w:rsid w:val="00394ED5"/>
    <w:rsid w:val="003951EA"/>
    <w:rsid w:val="00395258"/>
    <w:rsid w:val="00395C22"/>
    <w:rsid w:val="00395EEF"/>
    <w:rsid w:val="003965B6"/>
    <w:rsid w:val="003965B7"/>
    <w:rsid w:val="00396D1B"/>
    <w:rsid w:val="00396ED6"/>
    <w:rsid w:val="003A0049"/>
    <w:rsid w:val="003A1114"/>
    <w:rsid w:val="003A1BFF"/>
    <w:rsid w:val="003A1CE1"/>
    <w:rsid w:val="003A1D1D"/>
    <w:rsid w:val="003A21C5"/>
    <w:rsid w:val="003A2309"/>
    <w:rsid w:val="003A230F"/>
    <w:rsid w:val="003A25A9"/>
    <w:rsid w:val="003A26AD"/>
    <w:rsid w:val="003A2B6B"/>
    <w:rsid w:val="003A34D2"/>
    <w:rsid w:val="003A3AE3"/>
    <w:rsid w:val="003A3B93"/>
    <w:rsid w:val="003A3EA0"/>
    <w:rsid w:val="003A3F34"/>
    <w:rsid w:val="003A3F4D"/>
    <w:rsid w:val="003A407E"/>
    <w:rsid w:val="003A430E"/>
    <w:rsid w:val="003A45B7"/>
    <w:rsid w:val="003A4865"/>
    <w:rsid w:val="003A4F76"/>
    <w:rsid w:val="003A50F1"/>
    <w:rsid w:val="003A5284"/>
    <w:rsid w:val="003A5A8B"/>
    <w:rsid w:val="003A5CFE"/>
    <w:rsid w:val="003A6276"/>
    <w:rsid w:val="003A6B38"/>
    <w:rsid w:val="003A6C25"/>
    <w:rsid w:val="003A722A"/>
    <w:rsid w:val="003A728B"/>
    <w:rsid w:val="003A7CA9"/>
    <w:rsid w:val="003B067C"/>
    <w:rsid w:val="003B08DC"/>
    <w:rsid w:val="003B0D94"/>
    <w:rsid w:val="003B11E2"/>
    <w:rsid w:val="003B137D"/>
    <w:rsid w:val="003B1539"/>
    <w:rsid w:val="003B18D8"/>
    <w:rsid w:val="003B18DF"/>
    <w:rsid w:val="003B195A"/>
    <w:rsid w:val="003B21D0"/>
    <w:rsid w:val="003B2E2E"/>
    <w:rsid w:val="003B45D9"/>
    <w:rsid w:val="003B4840"/>
    <w:rsid w:val="003B4919"/>
    <w:rsid w:val="003B4EBC"/>
    <w:rsid w:val="003B58E7"/>
    <w:rsid w:val="003B591E"/>
    <w:rsid w:val="003B5CC0"/>
    <w:rsid w:val="003B608B"/>
    <w:rsid w:val="003B6183"/>
    <w:rsid w:val="003B6941"/>
    <w:rsid w:val="003B72CE"/>
    <w:rsid w:val="003B7914"/>
    <w:rsid w:val="003B7E01"/>
    <w:rsid w:val="003C0999"/>
    <w:rsid w:val="003C101A"/>
    <w:rsid w:val="003C13C2"/>
    <w:rsid w:val="003C159C"/>
    <w:rsid w:val="003C17D5"/>
    <w:rsid w:val="003C1FC1"/>
    <w:rsid w:val="003C1FE9"/>
    <w:rsid w:val="003C2371"/>
    <w:rsid w:val="003C28CF"/>
    <w:rsid w:val="003C2B7B"/>
    <w:rsid w:val="003C2CF4"/>
    <w:rsid w:val="003C3202"/>
    <w:rsid w:val="003C39C6"/>
    <w:rsid w:val="003C3CD8"/>
    <w:rsid w:val="003C3F4E"/>
    <w:rsid w:val="003C43A3"/>
    <w:rsid w:val="003C57A6"/>
    <w:rsid w:val="003C57F6"/>
    <w:rsid w:val="003C58CC"/>
    <w:rsid w:val="003C640D"/>
    <w:rsid w:val="003C66C0"/>
    <w:rsid w:val="003C6780"/>
    <w:rsid w:val="003C6B65"/>
    <w:rsid w:val="003C6D0E"/>
    <w:rsid w:val="003C71BD"/>
    <w:rsid w:val="003C744F"/>
    <w:rsid w:val="003C78EE"/>
    <w:rsid w:val="003C7BC9"/>
    <w:rsid w:val="003C7DF5"/>
    <w:rsid w:val="003D0550"/>
    <w:rsid w:val="003D0FB0"/>
    <w:rsid w:val="003D1035"/>
    <w:rsid w:val="003D13B8"/>
    <w:rsid w:val="003D1A7D"/>
    <w:rsid w:val="003D1B1B"/>
    <w:rsid w:val="003D249A"/>
    <w:rsid w:val="003D254A"/>
    <w:rsid w:val="003D2BDF"/>
    <w:rsid w:val="003D2D19"/>
    <w:rsid w:val="003D2ED9"/>
    <w:rsid w:val="003D2FEF"/>
    <w:rsid w:val="003D3207"/>
    <w:rsid w:val="003D335B"/>
    <w:rsid w:val="003D3915"/>
    <w:rsid w:val="003D400F"/>
    <w:rsid w:val="003D43DD"/>
    <w:rsid w:val="003D454C"/>
    <w:rsid w:val="003D48AC"/>
    <w:rsid w:val="003D48ED"/>
    <w:rsid w:val="003D4FA8"/>
    <w:rsid w:val="003D5EED"/>
    <w:rsid w:val="003D5FF4"/>
    <w:rsid w:val="003D6442"/>
    <w:rsid w:val="003D667A"/>
    <w:rsid w:val="003D69F4"/>
    <w:rsid w:val="003D6CA6"/>
    <w:rsid w:val="003D7628"/>
    <w:rsid w:val="003D7810"/>
    <w:rsid w:val="003D7857"/>
    <w:rsid w:val="003D78CC"/>
    <w:rsid w:val="003D79CA"/>
    <w:rsid w:val="003E0647"/>
    <w:rsid w:val="003E09C8"/>
    <w:rsid w:val="003E0B75"/>
    <w:rsid w:val="003E0E73"/>
    <w:rsid w:val="003E0FCC"/>
    <w:rsid w:val="003E182A"/>
    <w:rsid w:val="003E183F"/>
    <w:rsid w:val="003E1840"/>
    <w:rsid w:val="003E198A"/>
    <w:rsid w:val="003E1B3B"/>
    <w:rsid w:val="003E1C4F"/>
    <w:rsid w:val="003E23C9"/>
    <w:rsid w:val="003E2803"/>
    <w:rsid w:val="003E3297"/>
    <w:rsid w:val="003E34AF"/>
    <w:rsid w:val="003E383A"/>
    <w:rsid w:val="003E3A3F"/>
    <w:rsid w:val="003E3ACA"/>
    <w:rsid w:val="003E3BDF"/>
    <w:rsid w:val="003E4316"/>
    <w:rsid w:val="003E4626"/>
    <w:rsid w:val="003E4E19"/>
    <w:rsid w:val="003E5311"/>
    <w:rsid w:val="003E53CD"/>
    <w:rsid w:val="003E54AB"/>
    <w:rsid w:val="003E5905"/>
    <w:rsid w:val="003E5B2B"/>
    <w:rsid w:val="003E63D7"/>
    <w:rsid w:val="003E6A2A"/>
    <w:rsid w:val="003E6C14"/>
    <w:rsid w:val="003E6D46"/>
    <w:rsid w:val="003E6E49"/>
    <w:rsid w:val="003E720C"/>
    <w:rsid w:val="003E7541"/>
    <w:rsid w:val="003E75DF"/>
    <w:rsid w:val="003E75E8"/>
    <w:rsid w:val="003E7798"/>
    <w:rsid w:val="003F018C"/>
    <w:rsid w:val="003F0B87"/>
    <w:rsid w:val="003F1034"/>
    <w:rsid w:val="003F18C9"/>
    <w:rsid w:val="003F1A3C"/>
    <w:rsid w:val="003F409C"/>
    <w:rsid w:val="003F4245"/>
    <w:rsid w:val="003F4516"/>
    <w:rsid w:val="003F454D"/>
    <w:rsid w:val="003F4BFD"/>
    <w:rsid w:val="003F581B"/>
    <w:rsid w:val="003F6C50"/>
    <w:rsid w:val="003F6E2F"/>
    <w:rsid w:val="003F6F02"/>
    <w:rsid w:val="003F6F87"/>
    <w:rsid w:val="003F7752"/>
    <w:rsid w:val="003F79FA"/>
    <w:rsid w:val="003F7DF4"/>
    <w:rsid w:val="0040058A"/>
    <w:rsid w:val="00400B34"/>
    <w:rsid w:val="00400B3C"/>
    <w:rsid w:val="004013A6"/>
    <w:rsid w:val="00401637"/>
    <w:rsid w:val="004016D1"/>
    <w:rsid w:val="00401AF8"/>
    <w:rsid w:val="00401D11"/>
    <w:rsid w:val="00401EDC"/>
    <w:rsid w:val="0040222E"/>
    <w:rsid w:val="00403372"/>
    <w:rsid w:val="0040339C"/>
    <w:rsid w:val="004036D6"/>
    <w:rsid w:val="0040617C"/>
    <w:rsid w:val="00406D48"/>
    <w:rsid w:val="00406F45"/>
    <w:rsid w:val="00407125"/>
    <w:rsid w:val="00407370"/>
    <w:rsid w:val="004074B1"/>
    <w:rsid w:val="00407D46"/>
    <w:rsid w:val="00407FD1"/>
    <w:rsid w:val="004100B2"/>
    <w:rsid w:val="004103FF"/>
    <w:rsid w:val="00410B24"/>
    <w:rsid w:val="00411165"/>
    <w:rsid w:val="00411C89"/>
    <w:rsid w:val="00411D42"/>
    <w:rsid w:val="00411FC5"/>
    <w:rsid w:val="004122D0"/>
    <w:rsid w:val="00412395"/>
    <w:rsid w:val="0041285C"/>
    <w:rsid w:val="00412EB9"/>
    <w:rsid w:val="00413A89"/>
    <w:rsid w:val="00413DA3"/>
    <w:rsid w:val="0041407F"/>
    <w:rsid w:val="004140DA"/>
    <w:rsid w:val="004141C9"/>
    <w:rsid w:val="004143A1"/>
    <w:rsid w:val="0041479B"/>
    <w:rsid w:val="004147FA"/>
    <w:rsid w:val="004148A8"/>
    <w:rsid w:val="0041509E"/>
    <w:rsid w:val="004159AD"/>
    <w:rsid w:val="00415E2A"/>
    <w:rsid w:val="00416039"/>
    <w:rsid w:val="004160C8"/>
    <w:rsid w:val="004161FE"/>
    <w:rsid w:val="004162EB"/>
    <w:rsid w:val="0041646E"/>
    <w:rsid w:val="00417715"/>
    <w:rsid w:val="0041794B"/>
    <w:rsid w:val="00417F0A"/>
    <w:rsid w:val="0042019F"/>
    <w:rsid w:val="004208A0"/>
    <w:rsid w:val="00420A77"/>
    <w:rsid w:val="00420F2D"/>
    <w:rsid w:val="00421430"/>
    <w:rsid w:val="0042168F"/>
    <w:rsid w:val="00421756"/>
    <w:rsid w:val="00422721"/>
    <w:rsid w:val="00422DB1"/>
    <w:rsid w:val="0042303B"/>
    <w:rsid w:val="004232F4"/>
    <w:rsid w:val="0042428F"/>
    <w:rsid w:val="004242F3"/>
    <w:rsid w:val="004242FB"/>
    <w:rsid w:val="0042449E"/>
    <w:rsid w:val="0042462C"/>
    <w:rsid w:val="004246BF"/>
    <w:rsid w:val="00424816"/>
    <w:rsid w:val="00424BB3"/>
    <w:rsid w:val="004252A4"/>
    <w:rsid w:val="004259F1"/>
    <w:rsid w:val="00426084"/>
    <w:rsid w:val="0042620A"/>
    <w:rsid w:val="004263F6"/>
    <w:rsid w:val="00426541"/>
    <w:rsid w:val="0042674F"/>
    <w:rsid w:val="004267CF"/>
    <w:rsid w:val="00426AD9"/>
    <w:rsid w:val="00426FB8"/>
    <w:rsid w:val="0042748C"/>
    <w:rsid w:val="00427996"/>
    <w:rsid w:val="00427CD0"/>
    <w:rsid w:val="00427F44"/>
    <w:rsid w:val="0043078C"/>
    <w:rsid w:val="00430889"/>
    <w:rsid w:val="00430960"/>
    <w:rsid w:val="00430A27"/>
    <w:rsid w:val="004314E6"/>
    <w:rsid w:val="00431826"/>
    <w:rsid w:val="00432194"/>
    <w:rsid w:val="00432970"/>
    <w:rsid w:val="00432BDD"/>
    <w:rsid w:val="00433014"/>
    <w:rsid w:val="004331F4"/>
    <w:rsid w:val="00433742"/>
    <w:rsid w:val="0043378A"/>
    <w:rsid w:val="004343FB"/>
    <w:rsid w:val="00435132"/>
    <w:rsid w:val="00435591"/>
    <w:rsid w:val="004357CA"/>
    <w:rsid w:val="00435FCC"/>
    <w:rsid w:val="00435FF8"/>
    <w:rsid w:val="00436539"/>
    <w:rsid w:val="004369EC"/>
    <w:rsid w:val="00436CA7"/>
    <w:rsid w:val="00437310"/>
    <w:rsid w:val="00437361"/>
    <w:rsid w:val="004376CA"/>
    <w:rsid w:val="00437852"/>
    <w:rsid w:val="004378FE"/>
    <w:rsid w:val="00437CA5"/>
    <w:rsid w:val="00440C25"/>
    <w:rsid w:val="00440E06"/>
    <w:rsid w:val="0044146C"/>
    <w:rsid w:val="00441773"/>
    <w:rsid w:val="004417F4"/>
    <w:rsid w:val="00441B31"/>
    <w:rsid w:val="00441FD9"/>
    <w:rsid w:val="00442421"/>
    <w:rsid w:val="00442657"/>
    <w:rsid w:val="00442A5C"/>
    <w:rsid w:val="00442B65"/>
    <w:rsid w:val="00443067"/>
    <w:rsid w:val="004435A1"/>
    <w:rsid w:val="0044361C"/>
    <w:rsid w:val="004437CA"/>
    <w:rsid w:val="004438E2"/>
    <w:rsid w:val="00443923"/>
    <w:rsid w:val="00443DEC"/>
    <w:rsid w:val="00444A8C"/>
    <w:rsid w:val="00444AFD"/>
    <w:rsid w:val="00444C6A"/>
    <w:rsid w:val="00445409"/>
    <w:rsid w:val="004457A3"/>
    <w:rsid w:val="00445A57"/>
    <w:rsid w:val="00445A64"/>
    <w:rsid w:val="00445F4B"/>
    <w:rsid w:val="004461E3"/>
    <w:rsid w:val="00446304"/>
    <w:rsid w:val="004466B8"/>
    <w:rsid w:val="00446B3B"/>
    <w:rsid w:val="00446E59"/>
    <w:rsid w:val="0044706B"/>
    <w:rsid w:val="00447426"/>
    <w:rsid w:val="004474A3"/>
    <w:rsid w:val="0044785A"/>
    <w:rsid w:val="00447A41"/>
    <w:rsid w:val="00450096"/>
    <w:rsid w:val="00450998"/>
    <w:rsid w:val="004512EA"/>
    <w:rsid w:val="00451654"/>
    <w:rsid w:val="00451D53"/>
    <w:rsid w:val="00452398"/>
    <w:rsid w:val="004524F7"/>
    <w:rsid w:val="004528A4"/>
    <w:rsid w:val="0045303F"/>
    <w:rsid w:val="00453291"/>
    <w:rsid w:val="00453366"/>
    <w:rsid w:val="004538B4"/>
    <w:rsid w:val="00453FF9"/>
    <w:rsid w:val="0045408C"/>
    <w:rsid w:val="00454300"/>
    <w:rsid w:val="0045524E"/>
    <w:rsid w:val="004557BE"/>
    <w:rsid w:val="00455A18"/>
    <w:rsid w:val="00455D8C"/>
    <w:rsid w:val="00455DC7"/>
    <w:rsid w:val="00456C20"/>
    <w:rsid w:val="00456DCD"/>
    <w:rsid w:val="0045712A"/>
    <w:rsid w:val="00457831"/>
    <w:rsid w:val="00460247"/>
    <w:rsid w:val="00460486"/>
    <w:rsid w:val="00460B97"/>
    <w:rsid w:val="00460D1D"/>
    <w:rsid w:val="00461664"/>
    <w:rsid w:val="0046197E"/>
    <w:rsid w:val="00461A1C"/>
    <w:rsid w:val="00461D57"/>
    <w:rsid w:val="00462672"/>
    <w:rsid w:val="0046297E"/>
    <w:rsid w:val="00463146"/>
    <w:rsid w:val="004632F2"/>
    <w:rsid w:val="004632FB"/>
    <w:rsid w:val="00463463"/>
    <w:rsid w:val="004635F3"/>
    <w:rsid w:val="0046385B"/>
    <w:rsid w:val="004638CB"/>
    <w:rsid w:val="00463E88"/>
    <w:rsid w:val="00464008"/>
    <w:rsid w:val="0046468C"/>
    <w:rsid w:val="0046482A"/>
    <w:rsid w:val="00465230"/>
    <w:rsid w:val="0046580E"/>
    <w:rsid w:val="0046583B"/>
    <w:rsid w:val="00465858"/>
    <w:rsid w:val="00465922"/>
    <w:rsid w:val="00465FC6"/>
    <w:rsid w:val="00466FB0"/>
    <w:rsid w:val="00467277"/>
    <w:rsid w:val="0046764A"/>
    <w:rsid w:val="0046790C"/>
    <w:rsid w:val="00467974"/>
    <w:rsid w:val="00467C0D"/>
    <w:rsid w:val="00467D28"/>
    <w:rsid w:val="00467F1A"/>
    <w:rsid w:val="00467F80"/>
    <w:rsid w:val="00470429"/>
    <w:rsid w:val="00470C21"/>
    <w:rsid w:val="00470F71"/>
    <w:rsid w:val="00471BFD"/>
    <w:rsid w:val="0047229C"/>
    <w:rsid w:val="004725F5"/>
    <w:rsid w:val="00472932"/>
    <w:rsid w:val="00472969"/>
    <w:rsid w:val="00472A46"/>
    <w:rsid w:val="00472A5A"/>
    <w:rsid w:val="00472D1E"/>
    <w:rsid w:val="0047328F"/>
    <w:rsid w:val="004732DB"/>
    <w:rsid w:val="004733D4"/>
    <w:rsid w:val="0047374F"/>
    <w:rsid w:val="00473B37"/>
    <w:rsid w:val="0047414D"/>
    <w:rsid w:val="004745C3"/>
    <w:rsid w:val="00474CB6"/>
    <w:rsid w:val="00474F6C"/>
    <w:rsid w:val="00475B23"/>
    <w:rsid w:val="00475C88"/>
    <w:rsid w:val="0047637C"/>
    <w:rsid w:val="004763C5"/>
    <w:rsid w:val="00476AC7"/>
    <w:rsid w:val="00477D6A"/>
    <w:rsid w:val="00480220"/>
    <w:rsid w:val="004802D1"/>
    <w:rsid w:val="00480511"/>
    <w:rsid w:val="00480D04"/>
    <w:rsid w:val="004812BA"/>
    <w:rsid w:val="00481823"/>
    <w:rsid w:val="00481ABD"/>
    <w:rsid w:val="00482015"/>
    <w:rsid w:val="004824B7"/>
    <w:rsid w:val="004826B2"/>
    <w:rsid w:val="00482DBF"/>
    <w:rsid w:val="00482E5B"/>
    <w:rsid w:val="00482F84"/>
    <w:rsid w:val="0048369D"/>
    <w:rsid w:val="00483E12"/>
    <w:rsid w:val="004842B3"/>
    <w:rsid w:val="0048479B"/>
    <w:rsid w:val="00484830"/>
    <w:rsid w:val="00484A3D"/>
    <w:rsid w:val="00484B6F"/>
    <w:rsid w:val="00484C21"/>
    <w:rsid w:val="00484C5D"/>
    <w:rsid w:val="004852C6"/>
    <w:rsid w:val="00485707"/>
    <w:rsid w:val="0048579E"/>
    <w:rsid w:val="00485C52"/>
    <w:rsid w:val="00486079"/>
    <w:rsid w:val="00486AB8"/>
    <w:rsid w:val="004871CB"/>
    <w:rsid w:val="00487539"/>
    <w:rsid w:val="00487703"/>
    <w:rsid w:val="00487EB4"/>
    <w:rsid w:val="0048D114"/>
    <w:rsid w:val="00490009"/>
    <w:rsid w:val="0049011B"/>
    <w:rsid w:val="0049016E"/>
    <w:rsid w:val="00490172"/>
    <w:rsid w:val="00490417"/>
    <w:rsid w:val="00490786"/>
    <w:rsid w:val="00490BF3"/>
    <w:rsid w:val="00490F55"/>
    <w:rsid w:val="0049242E"/>
    <w:rsid w:val="004925FE"/>
    <w:rsid w:val="00492868"/>
    <w:rsid w:val="00492AF1"/>
    <w:rsid w:val="00492B3A"/>
    <w:rsid w:val="004930C6"/>
    <w:rsid w:val="00493116"/>
    <w:rsid w:val="004931B9"/>
    <w:rsid w:val="004931CA"/>
    <w:rsid w:val="00494179"/>
    <w:rsid w:val="004946C0"/>
    <w:rsid w:val="00494821"/>
    <w:rsid w:val="0049523B"/>
    <w:rsid w:val="00495462"/>
    <w:rsid w:val="004956AE"/>
    <w:rsid w:val="004957C3"/>
    <w:rsid w:val="00496622"/>
    <w:rsid w:val="00496AE5"/>
    <w:rsid w:val="00497EF6"/>
    <w:rsid w:val="00497F4C"/>
    <w:rsid w:val="004A048A"/>
    <w:rsid w:val="004A0495"/>
    <w:rsid w:val="004A0621"/>
    <w:rsid w:val="004A078B"/>
    <w:rsid w:val="004A099D"/>
    <w:rsid w:val="004A09EB"/>
    <w:rsid w:val="004A0DD8"/>
    <w:rsid w:val="004A1281"/>
    <w:rsid w:val="004A17A6"/>
    <w:rsid w:val="004A195E"/>
    <w:rsid w:val="004A19E9"/>
    <w:rsid w:val="004A1B96"/>
    <w:rsid w:val="004A1BCF"/>
    <w:rsid w:val="004A22D9"/>
    <w:rsid w:val="004A2A7D"/>
    <w:rsid w:val="004A2BF7"/>
    <w:rsid w:val="004A2F10"/>
    <w:rsid w:val="004A33A7"/>
    <w:rsid w:val="004A37E7"/>
    <w:rsid w:val="004A454E"/>
    <w:rsid w:val="004A4964"/>
    <w:rsid w:val="004A5003"/>
    <w:rsid w:val="004A5608"/>
    <w:rsid w:val="004A56D9"/>
    <w:rsid w:val="004A574C"/>
    <w:rsid w:val="004A59AA"/>
    <w:rsid w:val="004A5B47"/>
    <w:rsid w:val="004A5DCD"/>
    <w:rsid w:val="004A6578"/>
    <w:rsid w:val="004A68A6"/>
    <w:rsid w:val="004A695D"/>
    <w:rsid w:val="004A6C06"/>
    <w:rsid w:val="004A6C47"/>
    <w:rsid w:val="004A6C76"/>
    <w:rsid w:val="004A6D0D"/>
    <w:rsid w:val="004A73F6"/>
    <w:rsid w:val="004A74FA"/>
    <w:rsid w:val="004A7D12"/>
    <w:rsid w:val="004B0007"/>
    <w:rsid w:val="004B0281"/>
    <w:rsid w:val="004B02A7"/>
    <w:rsid w:val="004B079B"/>
    <w:rsid w:val="004B09BA"/>
    <w:rsid w:val="004B0CBE"/>
    <w:rsid w:val="004B1380"/>
    <w:rsid w:val="004B1532"/>
    <w:rsid w:val="004B1655"/>
    <w:rsid w:val="004B17E4"/>
    <w:rsid w:val="004B192F"/>
    <w:rsid w:val="004B1EBF"/>
    <w:rsid w:val="004B38F6"/>
    <w:rsid w:val="004B3B19"/>
    <w:rsid w:val="004B3C02"/>
    <w:rsid w:val="004B406A"/>
    <w:rsid w:val="004B4164"/>
    <w:rsid w:val="004B4286"/>
    <w:rsid w:val="004B4841"/>
    <w:rsid w:val="004B4D4F"/>
    <w:rsid w:val="004B4E76"/>
    <w:rsid w:val="004B5091"/>
    <w:rsid w:val="004B5297"/>
    <w:rsid w:val="004B570C"/>
    <w:rsid w:val="004B5978"/>
    <w:rsid w:val="004B6215"/>
    <w:rsid w:val="004B6507"/>
    <w:rsid w:val="004B6AD1"/>
    <w:rsid w:val="004B7F12"/>
    <w:rsid w:val="004C0161"/>
    <w:rsid w:val="004C0355"/>
    <w:rsid w:val="004C0792"/>
    <w:rsid w:val="004C09D0"/>
    <w:rsid w:val="004C0B78"/>
    <w:rsid w:val="004C190F"/>
    <w:rsid w:val="004C1BB8"/>
    <w:rsid w:val="004C24DC"/>
    <w:rsid w:val="004C2CBB"/>
    <w:rsid w:val="004C3129"/>
    <w:rsid w:val="004C3202"/>
    <w:rsid w:val="004C34A2"/>
    <w:rsid w:val="004C374A"/>
    <w:rsid w:val="004C3A11"/>
    <w:rsid w:val="004C3D2D"/>
    <w:rsid w:val="004C3E12"/>
    <w:rsid w:val="004C3F28"/>
    <w:rsid w:val="004C40AF"/>
    <w:rsid w:val="004C44A6"/>
    <w:rsid w:val="004C45CA"/>
    <w:rsid w:val="004C49DB"/>
    <w:rsid w:val="004C4A05"/>
    <w:rsid w:val="004C4D1F"/>
    <w:rsid w:val="004C54F4"/>
    <w:rsid w:val="004C5602"/>
    <w:rsid w:val="004C59C5"/>
    <w:rsid w:val="004C5FFF"/>
    <w:rsid w:val="004C64AC"/>
    <w:rsid w:val="004C6C07"/>
    <w:rsid w:val="004C6C46"/>
    <w:rsid w:val="004C6CF7"/>
    <w:rsid w:val="004C7E1D"/>
    <w:rsid w:val="004D011D"/>
    <w:rsid w:val="004D039D"/>
    <w:rsid w:val="004D052D"/>
    <w:rsid w:val="004D0BA4"/>
    <w:rsid w:val="004D0BD2"/>
    <w:rsid w:val="004D13AC"/>
    <w:rsid w:val="004D150D"/>
    <w:rsid w:val="004D1691"/>
    <w:rsid w:val="004D21BA"/>
    <w:rsid w:val="004D22EC"/>
    <w:rsid w:val="004D2434"/>
    <w:rsid w:val="004D2A03"/>
    <w:rsid w:val="004D2A1A"/>
    <w:rsid w:val="004D2B33"/>
    <w:rsid w:val="004D2BA9"/>
    <w:rsid w:val="004D2FF3"/>
    <w:rsid w:val="004D3152"/>
    <w:rsid w:val="004D3373"/>
    <w:rsid w:val="004D3DAD"/>
    <w:rsid w:val="004D4203"/>
    <w:rsid w:val="004D42D9"/>
    <w:rsid w:val="004D4569"/>
    <w:rsid w:val="004D4813"/>
    <w:rsid w:val="004D493C"/>
    <w:rsid w:val="004D5189"/>
    <w:rsid w:val="004D520D"/>
    <w:rsid w:val="004D587B"/>
    <w:rsid w:val="004D591F"/>
    <w:rsid w:val="004D5CFC"/>
    <w:rsid w:val="004D603F"/>
    <w:rsid w:val="004D6135"/>
    <w:rsid w:val="004D6635"/>
    <w:rsid w:val="004D6645"/>
    <w:rsid w:val="004D675F"/>
    <w:rsid w:val="004D76F8"/>
    <w:rsid w:val="004D7ACD"/>
    <w:rsid w:val="004D7F26"/>
    <w:rsid w:val="004E0104"/>
    <w:rsid w:val="004E043B"/>
    <w:rsid w:val="004E04B8"/>
    <w:rsid w:val="004E0723"/>
    <w:rsid w:val="004E0B4D"/>
    <w:rsid w:val="004E0CCB"/>
    <w:rsid w:val="004E18F5"/>
    <w:rsid w:val="004E22E8"/>
    <w:rsid w:val="004E2806"/>
    <w:rsid w:val="004E2A80"/>
    <w:rsid w:val="004E2E96"/>
    <w:rsid w:val="004E3156"/>
    <w:rsid w:val="004E31B2"/>
    <w:rsid w:val="004E327E"/>
    <w:rsid w:val="004E33FB"/>
    <w:rsid w:val="004E35F6"/>
    <w:rsid w:val="004E4AEB"/>
    <w:rsid w:val="004E53E8"/>
    <w:rsid w:val="004E5496"/>
    <w:rsid w:val="004E56AB"/>
    <w:rsid w:val="004E5962"/>
    <w:rsid w:val="004E5AC1"/>
    <w:rsid w:val="004E5C78"/>
    <w:rsid w:val="004E5EB2"/>
    <w:rsid w:val="004E6010"/>
    <w:rsid w:val="004E60D8"/>
    <w:rsid w:val="004E619B"/>
    <w:rsid w:val="004E6287"/>
    <w:rsid w:val="004E645C"/>
    <w:rsid w:val="004E689A"/>
    <w:rsid w:val="004E6A2E"/>
    <w:rsid w:val="004E6AA1"/>
    <w:rsid w:val="004E737D"/>
    <w:rsid w:val="004E766C"/>
    <w:rsid w:val="004E79C1"/>
    <w:rsid w:val="004E7E2F"/>
    <w:rsid w:val="004F024E"/>
    <w:rsid w:val="004F03A4"/>
    <w:rsid w:val="004F0535"/>
    <w:rsid w:val="004F0729"/>
    <w:rsid w:val="004F0A89"/>
    <w:rsid w:val="004F0D59"/>
    <w:rsid w:val="004F1A4F"/>
    <w:rsid w:val="004F2741"/>
    <w:rsid w:val="004F282F"/>
    <w:rsid w:val="004F2859"/>
    <w:rsid w:val="004F2C4A"/>
    <w:rsid w:val="004F2D8B"/>
    <w:rsid w:val="004F2F98"/>
    <w:rsid w:val="004F35CC"/>
    <w:rsid w:val="004F36F4"/>
    <w:rsid w:val="004F3931"/>
    <w:rsid w:val="004F3B71"/>
    <w:rsid w:val="004F3D34"/>
    <w:rsid w:val="004F44AA"/>
    <w:rsid w:val="004F46B3"/>
    <w:rsid w:val="004F472C"/>
    <w:rsid w:val="004F4D42"/>
    <w:rsid w:val="004F4E92"/>
    <w:rsid w:val="004F4E9C"/>
    <w:rsid w:val="004F5C29"/>
    <w:rsid w:val="004F5C81"/>
    <w:rsid w:val="004F6171"/>
    <w:rsid w:val="004F6502"/>
    <w:rsid w:val="004F65AA"/>
    <w:rsid w:val="004F67E7"/>
    <w:rsid w:val="004F7459"/>
    <w:rsid w:val="004F7E02"/>
    <w:rsid w:val="0050022E"/>
    <w:rsid w:val="00500A98"/>
    <w:rsid w:val="00500EC4"/>
    <w:rsid w:val="00501367"/>
    <w:rsid w:val="00501A39"/>
    <w:rsid w:val="00501B57"/>
    <w:rsid w:val="00502075"/>
    <w:rsid w:val="00502DDF"/>
    <w:rsid w:val="00502E6C"/>
    <w:rsid w:val="005032B4"/>
    <w:rsid w:val="0050336A"/>
    <w:rsid w:val="00503A6A"/>
    <w:rsid w:val="00503C46"/>
    <w:rsid w:val="005041A5"/>
    <w:rsid w:val="0050430F"/>
    <w:rsid w:val="00504784"/>
    <w:rsid w:val="00504947"/>
    <w:rsid w:val="00504C42"/>
    <w:rsid w:val="005059BF"/>
    <w:rsid w:val="0050649B"/>
    <w:rsid w:val="005065C4"/>
    <w:rsid w:val="00506A0B"/>
    <w:rsid w:val="00506A61"/>
    <w:rsid w:val="00506B62"/>
    <w:rsid w:val="00506C5F"/>
    <w:rsid w:val="00506CDF"/>
    <w:rsid w:val="00507148"/>
    <w:rsid w:val="00507644"/>
    <w:rsid w:val="0050777A"/>
    <w:rsid w:val="00507D13"/>
    <w:rsid w:val="00510250"/>
    <w:rsid w:val="0051038C"/>
    <w:rsid w:val="0051076A"/>
    <w:rsid w:val="005119CD"/>
    <w:rsid w:val="00511C43"/>
    <w:rsid w:val="00511DFE"/>
    <w:rsid w:val="00512B6B"/>
    <w:rsid w:val="0051383C"/>
    <w:rsid w:val="00513985"/>
    <w:rsid w:val="00513DEA"/>
    <w:rsid w:val="0051414F"/>
    <w:rsid w:val="005143A4"/>
    <w:rsid w:val="005149B2"/>
    <w:rsid w:val="00514D41"/>
    <w:rsid w:val="005153DB"/>
    <w:rsid w:val="00515693"/>
    <w:rsid w:val="005169D6"/>
    <w:rsid w:val="00516E77"/>
    <w:rsid w:val="00516FEB"/>
    <w:rsid w:val="005171FE"/>
    <w:rsid w:val="00517B23"/>
    <w:rsid w:val="005201D7"/>
    <w:rsid w:val="00520240"/>
    <w:rsid w:val="0052033D"/>
    <w:rsid w:val="0052042D"/>
    <w:rsid w:val="005204A5"/>
    <w:rsid w:val="005205B8"/>
    <w:rsid w:val="005209C8"/>
    <w:rsid w:val="005209E7"/>
    <w:rsid w:val="00521304"/>
    <w:rsid w:val="0052146A"/>
    <w:rsid w:val="005216F0"/>
    <w:rsid w:val="005223BE"/>
    <w:rsid w:val="005228FE"/>
    <w:rsid w:val="00522943"/>
    <w:rsid w:val="00522996"/>
    <w:rsid w:val="00522E58"/>
    <w:rsid w:val="00523112"/>
    <w:rsid w:val="005231D6"/>
    <w:rsid w:val="00523472"/>
    <w:rsid w:val="00523A3D"/>
    <w:rsid w:val="00523B57"/>
    <w:rsid w:val="005242E7"/>
    <w:rsid w:val="0052447E"/>
    <w:rsid w:val="005244D1"/>
    <w:rsid w:val="005245A7"/>
    <w:rsid w:val="0052547C"/>
    <w:rsid w:val="00525FF9"/>
    <w:rsid w:val="0052619A"/>
    <w:rsid w:val="0052643B"/>
    <w:rsid w:val="00526807"/>
    <w:rsid w:val="0052680B"/>
    <w:rsid w:val="00526BEA"/>
    <w:rsid w:val="00526E20"/>
    <w:rsid w:val="005271EE"/>
    <w:rsid w:val="00527694"/>
    <w:rsid w:val="00527744"/>
    <w:rsid w:val="0052774F"/>
    <w:rsid w:val="00527B36"/>
    <w:rsid w:val="00527DC5"/>
    <w:rsid w:val="00530000"/>
    <w:rsid w:val="00530794"/>
    <w:rsid w:val="005307CA"/>
    <w:rsid w:val="0053145E"/>
    <w:rsid w:val="00531C00"/>
    <w:rsid w:val="00531D4F"/>
    <w:rsid w:val="0053226D"/>
    <w:rsid w:val="005326F1"/>
    <w:rsid w:val="005329B6"/>
    <w:rsid w:val="00532B3A"/>
    <w:rsid w:val="00532DA0"/>
    <w:rsid w:val="005333D6"/>
    <w:rsid w:val="0053398B"/>
    <w:rsid w:val="0053399E"/>
    <w:rsid w:val="005339A4"/>
    <w:rsid w:val="00533F7D"/>
    <w:rsid w:val="00534F15"/>
    <w:rsid w:val="005352E0"/>
    <w:rsid w:val="00535456"/>
    <w:rsid w:val="00535CB0"/>
    <w:rsid w:val="00535EC3"/>
    <w:rsid w:val="005361D3"/>
    <w:rsid w:val="0053640D"/>
    <w:rsid w:val="00536A0D"/>
    <w:rsid w:val="00536AAE"/>
    <w:rsid w:val="00536B23"/>
    <w:rsid w:val="00536B58"/>
    <w:rsid w:val="00536D24"/>
    <w:rsid w:val="0053729F"/>
    <w:rsid w:val="0053730E"/>
    <w:rsid w:val="00537A7A"/>
    <w:rsid w:val="00537D62"/>
    <w:rsid w:val="00540839"/>
    <w:rsid w:val="00540A0E"/>
    <w:rsid w:val="00540E87"/>
    <w:rsid w:val="00541035"/>
    <w:rsid w:val="0054138C"/>
    <w:rsid w:val="0054169D"/>
    <w:rsid w:val="00541B0D"/>
    <w:rsid w:val="00541F5C"/>
    <w:rsid w:val="00542003"/>
    <w:rsid w:val="005421DA"/>
    <w:rsid w:val="005422CB"/>
    <w:rsid w:val="00542C7B"/>
    <w:rsid w:val="0054306D"/>
    <w:rsid w:val="0054377E"/>
    <w:rsid w:val="00543DC9"/>
    <w:rsid w:val="005443C3"/>
    <w:rsid w:val="00544512"/>
    <w:rsid w:val="0054463E"/>
    <w:rsid w:val="00545265"/>
    <w:rsid w:val="005456C9"/>
    <w:rsid w:val="00545F69"/>
    <w:rsid w:val="0054665E"/>
    <w:rsid w:val="00546CE4"/>
    <w:rsid w:val="00546D0F"/>
    <w:rsid w:val="00547500"/>
    <w:rsid w:val="00550819"/>
    <w:rsid w:val="00550AD7"/>
    <w:rsid w:val="00550B42"/>
    <w:rsid w:val="00550B7E"/>
    <w:rsid w:val="0055125D"/>
    <w:rsid w:val="00551279"/>
    <w:rsid w:val="00551450"/>
    <w:rsid w:val="005516B6"/>
    <w:rsid w:val="00551A3E"/>
    <w:rsid w:val="00551FE5"/>
    <w:rsid w:val="00552620"/>
    <w:rsid w:val="00553058"/>
    <w:rsid w:val="0055341D"/>
    <w:rsid w:val="0055382A"/>
    <w:rsid w:val="00554344"/>
    <w:rsid w:val="00554F82"/>
    <w:rsid w:val="00554F99"/>
    <w:rsid w:val="005550D3"/>
    <w:rsid w:val="0055536A"/>
    <w:rsid w:val="0055612E"/>
    <w:rsid w:val="005573A7"/>
    <w:rsid w:val="00557978"/>
    <w:rsid w:val="00557D42"/>
    <w:rsid w:val="00560618"/>
    <w:rsid w:val="0056069B"/>
    <w:rsid w:val="005611C7"/>
    <w:rsid w:val="00561867"/>
    <w:rsid w:val="0056209F"/>
    <w:rsid w:val="005620E5"/>
    <w:rsid w:val="00562223"/>
    <w:rsid w:val="005628C1"/>
    <w:rsid w:val="00562992"/>
    <w:rsid w:val="00562A58"/>
    <w:rsid w:val="00562A5A"/>
    <w:rsid w:val="00562A72"/>
    <w:rsid w:val="00562AC4"/>
    <w:rsid w:val="00562B7C"/>
    <w:rsid w:val="00562BD0"/>
    <w:rsid w:val="00562E18"/>
    <w:rsid w:val="0056309A"/>
    <w:rsid w:val="0056325E"/>
    <w:rsid w:val="005633C5"/>
    <w:rsid w:val="005634B7"/>
    <w:rsid w:val="00563531"/>
    <w:rsid w:val="00563B4B"/>
    <w:rsid w:val="00563BAA"/>
    <w:rsid w:val="00563BFE"/>
    <w:rsid w:val="00563C15"/>
    <w:rsid w:val="00563D35"/>
    <w:rsid w:val="005641F4"/>
    <w:rsid w:val="005644AF"/>
    <w:rsid w:val="005646EE"/>
    <w:rsid w:val="00564F70"/>
    <w:rsid w:val="00565590"/>
    <w:rsid w:val="0056566E"/>
    <w:rsid w:val="005656E9"/>
    <w:rsid w:val="00565B86"/>
    <w:rsid w:val="00565D21"/>
    <w:rsid w:val="0056618D"/>
    <w:rsid w:val="00566933"/>
    <w:rsid w:val="00566C48"/>
    <w:rsid w:val="00567110"/>
    <w:rsid w:val="005673F2"/>
    <w:rsid w:val="005676C6"/>
    <w:rsid w:val="00567BB1"/>
    <w:rsid w:val="00567C79"/>
    <w:rsid w:val="0056A473"/>
    <w:rsid w:val="0057017E"/>
    <w:rsid w:val="0057022A"/>
    <w:rsid w:val="005704EF"/>
    <w:rsid w:val="00570734"/>
    <w:rsid w:val="00570744"/>
    <w:rsid w:val="005713AE"/>
    <w:rsid w:val="00571B67"/>
    <w:rsid w:val="0057236F"/>
    <w:rsid w:val="005726CE"/>
    <w:rsid w:val="00572C38"/>
    <w:rsid w:val="00572C73"/>
    <w:rsid w:val="00572CA7"/>
    <w:rsid w:val="005733BF"/>
    <w:rsid w:val="00573581"/>
    <w:rsid w:val="005735E3"/>
    <w:rsid w:val="005735E5"/>
    <w:rsid w:val="005736D4"/>
    <w:rsid w:val="005737D9"/>
    <w:rsid w:val="0057416B"/>
    <w:rsid w:val="005744CD"/>
    <w:rsid w:val="005744E5"/>
    <w:rsid w:val="00574F57"/>
    <w:rsid w:val="00575261"/>
    <w:rsid w:val="005757D6"/>
    <w:rsid w:val="00575A5A"/>
    <w:rsid w:val="005763B6"/>
    <w:rsid w:val="0057722F"/>
    <w:rsid w:val="00577803"/>
    <w:rsid w:val="00577981"/>
    <w:rsid w:val="00577BDD"/>
    <w:rsid w:val="00577F84"/>
    <w:rsid w:val="0058012B"/>
    <w:rsid w:val="005807E8"/>
    <w:rsid w:val="00581294"/>
    <w:rsid w:val="005816DF"/>
    <w:rsid w:val="00581C1A"/>
    <w:rsid w:val="00581F39"/>
    <w:rsid w:val="00582430"/>
    <w:rsid w:val="00582608"/>
    <w:rsid w:val="00582C2D"/>
    <w:rsid w:val="00582F8B"/>
    <w:rsid w:val="00583A1A"/>
    <w:rsid w:val="00583ADB"/>
    <w:rsid w:val="00583F87"/>
    <w:rsid w:val="00584134"/>
    <w:rsid w:val="00584FA5"/>
    <w:rsid w:val="0058507A"/>
    <w:rsid w:val="005852BD"/>
    <w:rsid w:val="005853C6"/>
    <w:rsid w:val="005853DB"/>
    <w:rsid w:val="00585C39"/>
    <w:rsid w:val="00586AD5"/>
    <w:rsid w:val="00586BC5"/>
    <w:rsid w:val="00586C50"/>
    <w:rsid w:val="00586EFF"/>
    <w:rsid w:val="00586FC5"/>
    <w:rsid w:val="00587398"/>
    <w:rsid w:val="0058762E"/>
    <w:rsid w:val="005876E4"/>
    <w:rsid w:val="00587725"/>
    <w:rsid w:val="00587BEF"/>
    <w:rsid w:val="005900E0"/>
    <w:rsid w:val="00590361"/>
    <w:rsid w:val="005906A6"/>
    <w:rsid w:val="00590964"/>
    <w:rsid w:val="00590C23"/>
    <w:rsid w:val="005911A1"/>
    <w:rsid w:val="0059145E"/>
    <w:rsid w:val="0059232B"/>
    <w:rsid w:val="005924D7"/>
    <w:rsid w:val="005925D2"/>
    <w:rsid w:val="00592FE0"/>
    <w:rsid w:val="00593C72"/>
    <w:rsid w:val="00594B38"/>
    <w:rsid w:val="00594C30"/>
    <w:rsid w:val="00594D0F"/>
    <w:rsid w:val="005950CA"/>
    <w:rsid w:val="0059563D"/>
    <w:rsid w:val="00595871"/>
    <w:rsid w:val="005958CB"/>
    <w:rsid w:val="005958E3"/>
    <w:rsid w:val="0059661C"/>
    <w:rsid w:val="00596696"/>
    <w:rsid w:val="00596F04"/>
    <w:rsid w:val="005973C7"/>
    <w:rsid w:val="005975A6"/>
    <w:rsid w:val="00597931"/>
    <w:rsid w:val="00597E0C"/>
    <w:rsid w:val="005A0144"/>
    <w:rsid w:val="005A07E5"/>
    <w:rsid w:val="005A0D74"/>
    <w:rsid w:val="005A0FF9"/>
    <w:rsid w:val="005A1D03"/>
    <w:rsid w:val="005A1D4E"/>
    <w:rsid w:val="005A1F75"/>
    <w:rsid w:val="005A230C"/>
    <w:rsid w:val="005A2397"/>
    <w:rsid w:val="005A23E0"/>
    <w:rsid w:val="005A25FA"/>
    <w:rsid w:val="005A2918"/>
    <w:rsid w:val="005A2ECF"/>
    <w:rsid w:val="005A315D"/>
    <w:rsid w:val="005A35F2"/>
    <w:rsid w:val="005A39D7"/>
    <w:rsid w:val="005A3BC1"/>
    <w:rsid w:val="005A4963"/>
    <w:rsid w:val="005A57A2"/>
    <w:rsid w:val="005A5C82"/>
    <w:rsid w:val="005A5D45"/>
    <w:rsid w:val="005A5EBA"/>
    <w:rsid w:val="005A603B"/>
    <w:rsid w:val="005A63B6"/>
    <w:rsid w:val="005A659B"/>
    <w:rsid w:val="005A67D3"/>
    <w:rsid w:val="005A6D6F"/>
    <w:rsid w:val="005A72C6"/>
    <w:rsid w:val="005A73B1"/>
    <w:rsid w:val="005A745A"/>
    <w:rsid w:val="005A74BF"/>
    <w:rsid w:val="005B01A7"/>
    <w:rsid w:val="005B0322"/>
    <w:rsid w:val="005B0F7D"/>
    <w:rsid w:val="005B129B"/>
    <w:rsid w:val="005B1549"/>
    <w:rsid w:val="005B1888"/>
    <w:rsid w:val="005B1DC8"/>
    <w:rsid w:val="005B21E5"/>
    <w:rsid w:val="005B23CE"/>
    <w:rsid w:val="005B256E"/>
    <w:rsid w:val="005B25B9"/>
    <w:rsid w:val="005B27D7"/>
    <w:rsid w:val="005B28B0"/>
    <w:rsid w:val="005B28DE"/>
    <w:rsid w:val="005B2E70"/>
    <w:rsid w:val="005B2EA8"/>
    <w:rsid w:val="005B361C"/>
    <w:rsid w:val="005B364B"/>
    <w:rsid w:val="005B366D"/>
    <w:rsid w:val="005B36C8"/>
    <w:rsid w:val="005B39A7"/>
    <w:rsid w:val="005B3A82"/>
    <w:rsid w:val="005B3C64"/>
    <w:rsid w:val="005B4228"/>
    <w:rsid w:val="005B42AB"/>
    <w:rsid w:val="005B46EE"/>
    <w:rsid w:val="005B4B5B"/>
    <w:rsid w:val="005B500B"/>
    <w:rsid w:val="005B53DE"/>
    <w:rsid w:val="005B5ADC"/>
    <w:rsid w:val="005B5AE4"/>
    <w:rsid w:val="005B5DAE"/>
    <w:rsid w:val="005B5DB3"/>
    <w:rsid w:val="005B6129"/>
    <w:rsid w:val="005B6266"/>
    <w:rsid w:val="005B6406"/>
    <w:rsid w:val="005B6F72"/>
    <w:rsid w:val="005B7059"/>
    <w:rsid w:val="005B71C2"/>
    <w:rsid w:val="005B7E01"/>
    <w:rsid w:val="005B7F5A"/>
    <w:rsid w:val="005C0669"/>
    <w:rsid w:val="005C0887"/>
    <w:rsid w:val="005C0AAD"/>
    <w:rsid w:val="005C0CAE"/>
    <w:rsid w:val="005C12A5"/>
    <w:rsid w:val="005C13FE"/>
    <w:rsid w:val="005C1428"/>
    <w:rsid w:val="005C159A"/>
    <w:rsid w:val="005C175D"/>
    <w:rsid w:val="005C278D"/>
    <w:rsid w:val="005C3009"/>
    <w:rsid w:val="005C34EA"/>
    <w:rsid w:val="005C3BA7"/>
    <w:rsid w:val="005C3DB1"/>
    <w:rsid w:val="005C3E63"/>
    <w:rsid w:val="005C4507"/>
    <w:rsid w:val="005C4955"/>
    <w:rsid w:val="005C4B62"/>
    <w:rsid w:val="005C570A"/>
    <w:rsid w:val="005C5C7E"/>
    <w:rsid w:val="005C5DF6"/>
    <w:rsid w:val="005C6056"/>
    <w:rsid w:val="005C61B0"/>
    <w:rsid w:val="005C6244"/>
    <w:rsid w:val="005C65EA"/>
    <w:rsid w:val="005C69E6"/>
    <w:rsid w:val="005C6A20"/>
    <w:rsid w:val="005C6DC1"/>
    <w:rsid w:val="005C77B6"/>
    <w:rsid w:val="005C7ECF"/>
    <w:rsid w:val="005D05FB"/>
    <w:rsid w:val="005D1451"/>
    <w:rsid w:val="005D198B"/>
    <w:rsid w:val="005D2445"/>
    <w:rsid w:val="005D382E"/>
    <w:rsid w:val="005D49A3"/>
    <w:rsid w:val="005D4B5E"/>
    <w:rsid w:val="005D50E4"/>
    <w:rsid w:val="005D5525"/>
    <w:rsid w:val="005D598A"/>
    <w:rsid w:val="005D599B"/>
    <w:rsid w:val="005D59D8"/>
    <w:rsid w:val="005D5CDF"/>
    <w:rsid w:val="005D689F"/>
    <w:rsid w:val="005D6BE7"/>
    <w:rsid w:val="005D71E8"/>
    <w:rsid w:val="005D73FC"/>
    <w:rsid w:val="005D7900"/>
    <w:rsid w:val="005D7932"/>
    <w:rsid w:val="005E005E"/>
    <w:rsid w:val="005E0384"/>
    <w:rsid w:val="005E06E2"/>
    <w:rsid w:val="005E0DA1"/>
    <w:rsid w:val="005E0E8D"/>
    <w:rsid w:val="005E0EBC"/>
    <w:rsid w:val="005E189B"/>
    <w:rsid w:val="005E1D1D"/>
    <w:rsid w:val="005E26AD"/>
    <w:rsid w:val="005E3261"/>
    <w:rsid w:val="005E38CB"/>
    <w:rsid w:val="005E3B8C"/>
    <w:rsid w:val="005E3D58"/>
    <w:rsid w:val="005E3E5B"/>
    <w:rsid w:val="005E47EE"/>
    <w:rsid w:val="005E492C"/>
    <w:rsid w:val="005E497C"/>
    <w:rsid w:val="005E4A46"/>
    <w:rsid w:val="005E4BC5"/>
    <w:rsid w:val="005E4FC8"/>
    <w:rsid w:val="005E5383"/>
    <w:rsid w:val="005E5FDB"/>
    <w:rsid w:val="005E6128"/>
    <w:rsid w:val="005E612D"/>
    <w:rsid w:val="005E63FF"/>
    <w:rsid w:val="005E6592"/>
    <w:rsid w:val="005E6827"/>
    <w:rsid w:val="005E6DEB"/>
    <w:rsid w:val="005E7330"/>
    <w:rsid w:val="005E7541"/>
    <w:rsid w:val="005E7630"/>
    <w:rsid w:val="005E775E"/>
    <w:rsid w:val="005E7BA4"/>
    <w:rsid w:val="005E7C63"/>
    <w:rsid w:val="005E7D79"/>
    <w:rsid w:val="005F0215"/>
    <w:rsid w:val="005F1155"/>
    <w:rsid w:val="005F171F"/>
    <w:rsid w:val="005F26AF"/>
    <w:rsid w:val="005F275B"/>
    <w:rsid w:val="005F2BB5"/>
    <w:rsid w:val="005F308C"/>
    <w:rsid w:val="005F31C4"/>
    <w:rsid w:val="005F39A2"/>
    <w:rsid w:val="005F409A"/>
    <w:rsid w:val="005F4F35"/>
    <w:rsid w:val="005F5879"/>
    <w:rsid w:val="005F59A4"/>
    <w:rsid w:val="005F5F76"/>
    <w:rsid w:val="005F61BF"/>
    <w:rsid w:val="005F6295"/>
    <w:rsid w:val="005F66F3"/>
    <w:rsid w:val="005F678C"/>
    <w:rsid w:val="005F6948"/>
    <w:rsid w:val="005F7478"/>
    <w:rsid w:val="005F74B4"/>
    <w:rsid w:val="005F7BFE"/>
    <w:rsid w:val="00600BFC"/>
    <w:rsid w:val="00600D05"/>
    <w:rsid w:val="00600E85"/>
    <w:rsid w:val="0060119B"/>
    <w:rsid w:val="006019CF"/>
    <w:rsid w:val="006019F1"/>
    <w:rsid w:val="00601EA9"/>
    <w:rsid w:val="00603A9E"/>
    <w:rsid w:val="00604534"/>
    <w:rsid w:val="006046BC"/>
    <w:rsid w:val="00605154"/>
    <w:rsid w:val="00605FAF"/>
    <w:rsid w:val="006063A3"/>
    <w:rsid w:val="0060680B"/>
    <w:rsid w:val="006069CF"/>
    <w:rsid w:val="00606DAF"/>
    <w:rsid w:val="00607117"/>
    <w:rsid w:val="006071B8"/>
    <w:rsid w:val="006074A1"/>
    <w:rsid w:val="006079B5"/>
    <w:rsid w:val="006079C2"/>
    <w:rsid w:val="00607CC6"/>
    <w:rsid w:val="006100A1"/>
    <w:rsid w:val="00610851"/>
    <w:rsid w:val="00610DC8"/>
    <w:rsid w:val="0061101E"/>
    <w:rsid w:val="0061134A"/>
    <w:rsid w:val="0061152F"/>
    <w:rsid w:val="00611720"/>
    <w:rsid w:val="00611AB2"/>
    <w:rsid w:val="00611BF8"/>
    <w:rsid w:val="00611DAF"/>
    <w:rsid w:val="00612697"/>
    <w:rsid w:val="00612B63"/>
    <w:rsid w:val="00612D61"/>
    <w:rsid w:val="006132F0"/>
    <w:rsid w:val="0061436B"/>
    <w:rsid w:val="0061488C"/>
    <w:rsid w:val="00614CA7"/>
    <w:rsid w:val="00614F46"/>
    <w:rsid w:val="006153F2"/>
    <w:rsid w:val="006156C9"/>
    <w:rsid w:val="00615B16"/>
    <w:rsid w:val="00615E7B"/>
    <w:rsid w:val="00616056"/>
    <w:rsid w:val="006164EE"/>
    <w:rsid w:val="006166EA"/>
    <w:rsid w:val="00616944"/>
    <w:rsid w:val="00616C48"/>
    <w:rsid w:val="00616C53"/>
    <w:rsid w:val="00616D9E"/>
    <w:rsid w:val="00617405"/>
    <w:rsid w:val="00617979"/>
    <w:rsid w:val="00617BF9"/>
    <w:rsid w:val="00617E31"/>
    <w:rsid w:val="00620316"/>
    <w:rsid w:val="006224C9"/>
    <w:rsid w:val="00622AE3"/>
    <w:rsid w:val="00622BB4"/>
    <w:rsid w:val="00622EA5"/>
    <w:rsid w:val="0062311C"/>
    <w:rsid w:val="006233C0"/>
    <w:rsid w:val="006239F1"/>
    <w:rsid w:val="00623DA4"/>
    <w:rsid w:val="006247DA"/>
    <w:rsid w:val="00624F3A"/>
    <w:rsid w:val="006254C6"/>
    <w:rsid w:val="006254DB"/>
    <w:rsid w:val="00625AAA"/>
    <w:rsid w:val="0062608A"/>
    <w:rsid w:val="006264B3"/>
    <w:rsid w:val="00626866"/>
    <w:rsid w:val="006268F6"/>
    <w:rsid w:val="00626A83"/>
    <w:rsid w:val="00626DCD"/>
    <w:rsid w:val="006279D0"/>
    <w:rsid w:val="00627B18"/>
    <w:rsid w:val="00627BCB"/>
    <w:rsid w:val="00627C43"/>
    <w:rsid w:val="00627C8A"/>
    <w:rsid w:val="00630333"/>
    <w:rsid w:val="006305CB"/>
    <w:rsid w:val="00630661"/>
    <w:rsid w:val="006306F6"/>
    <w:rsid w:val="0063099D"/>
    <w:rsid w:val="00630DCD"/>
    <w:rsid w:val="00631452"/>
    <w:rsid w:val="00631958"/>
    <w:rsid w:val="00631D36"/>
    <w:rsid w:val="00632B1B"/>
    <w:rsid w:val="00632F47"/>
    <w:rsid w:val="00633066"/>
    <w:rsid w:val="006336A9"/>
    <w:rsid w:val="00633730"/>
    <w:rsid w:val="00633820"/>
    <w:rsid w:val="0063423F"/>
    <w:rsid w:val="00634863"/>
    <w:rsid w:val="0063540D"/>
    <w:rsid w:val="00635D0E"/>
    <w:rsid w:val="00636195"/>
    <w:rsid w:val="006362BA"/>
    <w:rsid w:val="00636397"/>
    <w:rsid w:val="006365C5"/>
    <w:rsid w:val="00636E42"/>
    <w:rsid w:val="006370B8"/>
    <w:rsid w:val="00637D53"/>
    <w:rsid w:val="00637E2A"/>
    <w:rsid w:val="00640337"/>
    <w:rsid w:val="00640798"/>
    <w:rsid w:val="0064081E"/>
    <w:rsid w:val="00640915"/>
    <w:rsid w:val="00640D43"/>
    <w:rsid w:val="00640EB2"/>
    <w:rsid w:val="00640FB5"/>
    <w:rsid w:val="0064137B"/>
    <w:rsid w:val="006413F0"/>
    <w:rsid w:val="0064144E"/>
    <w:rsid w:val="0064156B"/>
    <w:rsid w:val="006422E5"/>
    <w:rsid w:val="006423FC"/>
    <w:rsid w:val="006428F6"/>
    <w:rsid w:val="00642C9A"/>
    <w:rsid w:val="0064316A"/>
    <w:rsid w:val="0064350D"/>
    <w:rsid w:val="00643DE4"/>
    <w:rsid w:val="00643E1E"/>
    <w:rsid w:val="00643F73"/>
    <w:rsid w:val="00644796"/>
    <w:rsid w:val="006448F8"/>
    <w:rsid w:val="006459E2"/>
    <w:rsid w:val="00647024"/>
    <w:rsid w:val="006476B7"/>
    <w:rsid w:val="00647B89"/>
    <w:rsid w:val="00647C6C"/>
    <w:rsid w:val="00650CA8"/>
    <w:rsid w:val="00650E09"/>
    <w:rsid w:val="0065102D"/>
    <w:rsid w:val="006511EF"/>
    <w:rsid w:val="0065127D"/>
    <w:rsid w:val="0065165D"/>
    <w:rsid w:val="00651862"/>
    <w:rsid w:val="00651A36"/>
    <w:rsid w:val="0065209D"/>
    <w:rsid w:val="00652117"/>
    <w:rsid w:val="00652461"/>
    <w:rsid w:val="00653331"/>
    <w:rsid w:val="006535E4"/>
    <w:rsid w:val="006539AC"/>
    <w:rsid w:val="00654A4C"/>
    <w:rsid w:val="006557DB"/>
    <w:rsid w:val="006558C1"/>
    <w:rsid w:val="00655A29"/>
    <w:rsid w:val="00655C7A"/>
    <w:rsid w:val="006562BA"/>
    <w:rsid w:val="0065670E"/>
    <w:rsid w:val="00656781"/>
    <w:rsid w:val="00656F31"/>
    <w:rsid w:val="00657107"/>
    <w:rsid w:val="00657F62"/>
    <w:rsid w:val="006605E2"/>
    <w:rsid w:val="00660A1C"/>
    <w:rsid w:val="00660FE2"/>
    <w:rsid w:val="0066101B"/>
    <w:rsid w:val="00661C23"/>
    <w:rsid w:val="00662295"/>
    <w:rsid w:val="006624E4"/>
    <w:rsid w:val="0066298C"/>
    <w:rsid w:val="00662BF9"/>
    <w:rsid w:val="00662E69"/>
    <w:rsid w:val="006638A9"/>
    <w:rsid w:val="0066398C"/>
    <w:rsid w:val="00663A34"/>
    <w:rsid w:val="00663BA7"/>
    <w:rsid w:val="0066475C"/>
    <w:rsid w:val="00664CF6"/>
    <w:rsid w:val="006661D6"/>
    <w:rsid w:val="006663D7"/>
    <w:rsid w:val="0066652C"/>
    <w:rsid w:val="00666611"/>
    <w:rsid w:val="00666F95"/>
    <w:rsid w:val="00667E11"/>
    <w:rsid w:val="00667EAF"/>
    <w:rsid w:val="00667FD3"/>
    <w:rsid w:val="006700DF"/>
    <w:rsid w:val="006702EF"/>
    <w:rsid w:val="006708E3"/>
    <w:rsid w:val="00670AF3"/>
    <w:rsid w:val="00670F28"/>
    <w:rsid w:val="006710CF"/>
    <w:rsid w:val="006712BF"/>
    <w:rsid w:val="00671666"/>
    <w:rsid w:val="0067174A"/>
    <w:rsid w:val="0067191B"/>
    <w:rsid w:val="00671F2F"/>
    <w:rsid w:val="006724F4"/>
    <w:rsid w:val="0067273E"/>
    <w:rsid w:val="00672D5D"/>
    <w:rsid w:val="0067331B"/>
    <w:rsid w:val="006740E4"/>
    <w:rsid w:val="006743CB"/>
    <w:rsid w:val="006747CC"/>
    <w:rsid w:val="0067487B"/>
    <w:rsid w:val="00674BD3"/>
    <w:rsid w:val="00675084"/>
    <w:rsid w:val="006750DB"/>
    <w:rsid w:val="006756F2"/>
    <w:rsid w:val="00675F63"/>
    <w:rsid w:val="00675FE8"/>
    <w:rsid w:val="00676453"/>
    <w:rsid w:val="00676596"/>
    <w:rsid w:val="006769A8"/>
    <w:rsid w:val="00676AEE"/>
    <w:rsid w:val="0067726E"/>
    <w:rsid w:val="0067749C"/>
    <w:rsid w:val="0067757E"/>
    <w:rsid w:val="006776A8"/>
    <w:rsid w:val="00680112"/>
    <w:rsid w:val="00680C86"/>
    <w:rsid w:val="00680FA5"/>
    <w:rsid w:val="0068143A"/>
    <w:rsid w:val="00681B22"/>
    <w:rsid w:val="00681D09"/>
    <w:rsid w:val="0068213D"/>
    <w:rsid w:val="0068291F"/>
    <w:rsid w:val="00682B78"/>
    <w:rsid w:val="00682F14"/>
    <w:rsid w:val="00682FF8"/>
    <w:rsid w:val="006834CF"/>
    <w:rsid w:val="00684249"/>
    <w:rsid w:val="00684523"/>
    <w:rsid w:val="006846EA"/>
    <w:rsid w:val="00684CA0"/>
    <w:rsid w:val="0068509A"/>
    <w:rsid w:val="006851BB"/>
    <w:rsid w:val="0068534E"/>
    <w:rsid w:val="00685C6A"/>
    <w:rsid w:val="006864AA"/>
    <w:rsid w:val="0068699B"/>
    <w:rsid w:val="0068701C"/>
    <w:rsid w:val="006870C1"/>
    <w:rsid w:val="00687102"/>
    <w:rsid w:val="00687BF7"/>
    <w:rsid w:val="00687F41"/>
    <w:rsid w:val="006901BD"/>
    <w:rsid w:val="006907A7"/>
    <w:rsid w:val="00690818"/>
    <w:rsid w:val="00690D4B"/>
    <w:rsid w:val="00691541"/>
    <w:rsid w:val="00691838"/>
    <w:rsid w:val="0069194E"/>
    <w:rsid w:val="00691D0D"/>
    <w:rsid w:val="00691E12"/>
    <w:rsid w:val="006925A0"/>
    <w:rsid w:val="006927F3"/>
    <w:rsid w:val="00692834"/>
    <w:rsid w:val="00692985"/>
    <w:rsid w:val="00692C83"/>
    <w:rsid w:val="0069340E"/>
    <w:rsid w:val="00693E15"/>
    <w:rsid w:val="00693ECF"/>
    <w:rsid w:val="0069405A"/>
    <w:rsid w:val="006941DC"/>
    <w:rsid w:val="006942F3"/>
    <w:rsid w:val="006947CB"/>
    <w:rsid w:val="00694F82"/>
    <w:rsid w:val="006954DA"/>
    <w:rsid w:val="00695F76"/>
    <w:rsid w:val="0069623B"/>
    <w:rsid w:val="00696444"/>
    <w:rsid w:val="00696713"/>
    <w:rsid w:val="00696948"/>
    <w:rsid w:val="00696E67"/>
    <w:rsid w:val="00697118"/>
    <w:rsid w:val="0069743F"/>
    <w:rsid w:val="00697B4D"/>
    <w:rsid w:val="00697B75"/>
    <w:rsid w:val="00697E12"/>
    <w:rsid w:val="006A0350"/>
    <w:rsid w:val="006A07D3"/>
    <w:rsid w:val="006A0F64"/>
    <w:rsid w:val="006A1218"/>
    <w:rsid w:val="006A1378"/>
    <w:rsid w:val="006A1527"/>
    <w:rsid w:val="006A1979"/>
    <w:rsid w:val="006A1DD8"/>
    <w:rsid w:val="006A218D"/>
    <w:rsid w:val="006A22F9"/>
    <w:rsid w:val="006A27B2"/>
    <w:rsid w:val="006A3AFF"/>
    <w:rsid w:val="006A4578"/>
    <w:rsid w:val="006A4D38"/>
    <w:rsid w:val="006A5032"/>
    <w:rsid w:val="006A5513"/>
    <w:rsid w:val="006A575D"/>
    <w:rsid w:val="006A64C9"/>
    <w:rsid w:val="006A7729"/>
    <w:rsid w:val="006A77C8"/>
    <w:rsid w:val="006A79AD"/>
    <w:rsid w:val="006A7B1B"/>
    <w:rsid w:val="006A7D93"/>
    <w:rsid w:val="006B039B"/>
    <w:rsid w:val="006B03DB"/>
    <w:rsid w:val="006B05A9"/>
    <w:rsid w:val="006B074B"/>
    <w:rsid w:val="006B07BE"/>
    <w:rsid w:val="006B0C7C"/>
    <w:rsid w:val="006B13F3"/>
    <w:rsid w:val="006B1863"/>
    <w:rsid w:val="006B19A8"/>
    <w:rsid w:val="006B1A50"/>
    <w:rsid w:val="006B1B26"/>
    <w:rsid w:val="006B2888"/>
    <w:rsid w:val="006B2CE4"/>
    <w:rsid w:val="006B313B"/>
    <w:rsid w:val="006B36CC"/>
    <w:rsid w:val="006B396E"/>
    <w:rsid w:val="006B3A84"/>
    <w:rsid w:val="006B3D38"/>
    <w:rsid w:val="006B4031"/>
    <w:rsid w:val="006B474F"/>
    <w:rsid w:val="006B4AE8"/>
    <w:rsid w:val="006B53B1"/>
    <w:rsid w:val="006B55E6"/>
    <w:rsid w:val="006B57ED"/>
    <w:rsid w:val="006B5820"/>
    <w:rsid w:val="006B5989"/>
    <w:rsid w:val="006B5B21"/>
    <w:rsid w:val="006B5DDC"/>
    <w:rsid w:val="006B5F18"/>
    <w:rsid w:val="006B605D"/>
    <w:rsid w:val="006B62ED"/>
    <w:rsid w:val="006B66E0"/>
    <w:rsid w:val="006B69C5"/>
    <w:rsid w:val="006B69CC"/>
    <w:rsid w:val="006B6BDF"/>
    <w:rsid w:val="006B6D70"/>
    <w:rsid w:val="006B7025"/>
    <w:rsid w:val="006B7498"/>
    <w:rsid w:val="006B7DAB"/>
    <w:rsid w:val="006B7EC3"/>
    <w:rsid w:val="006C06E1"/>
    <w:rsid w:val="006C09FA"/>
    <w:rsid w:val="006C0ABD"/>
    <w:rsid w:val="006C0E46"/>
    <w:rsid w:val="006C0ECC"/>
    <w:rsid w:val="006C17EA"/>
    <w:rsid w:val="006C1FBA"/>
    <w:rsid w:val="006C20E3"/>
    <w:rsid w:val="006C23D1"/>
    <w:rsid w:val="006C27C4"/>
    <w:rsid w:val="006C293F"/>
    <w:rsid w:val="006C2A01"/>
    <w:rsid w:val="006C2B23"/>
    <w:rsid w:val="006C2FF9"/>
    <w:rsid w:val="006C374B"/>
    <w:rsid w:val="006C3839"/>
    <w:rsid w:val="006C3E45"/>
    <w:rsid w:val="006C3F07"/>
    <w:rsid w:val="006C49F7"/>
    <w:rsid w:val="006C4B3E"/>
    <w:rsid w:val="006C509A"/>
    <w:rsid w:val="006C5882"/>
    <w:rsid w:val="006C5CA2"/>
    <w:rsid w:val="006C5E3B"/>
    <w:rsid w:val="006C5EAC"/>
    <w:rsid w:val="006C609B"/>
    <w:rsid w:val="006C6877"/>
    <w:rsid w:val="006C6B8C"/>
    <w:rsid w:val="006C6E96"/>
    <w:rsid w:val="006C7335"/>
    <w:rsid w:val="006C75E7"/>
    <w:rsid w:val="006C7785"/>
    <w:rsid w:val="006D0264"/>
    <w:rsid w:val="006D038C"/>
    <w:rsid w:val="006D0911"/>
    <w:rsid w:val="006D0BCB"/>
    <w:rsid w:val="006D0BDC"/>
    <w:rsid w:val="006D0BE0"/>
    <w:rsid w:val="006D0E0A"/>
    <w:rsid w:val="006D0E32"/>
    <w:rsid w:val="006D17C1"/>
    <w:rsid w:val="006D192B"/>
    <w:rsid w:val="006D19FF"/>
    <w:rsid w:val="006D2C41"/>
    <w:rsid w:val="006D2DA9"/>
    <w:rsid w:val="006D2ECB"/>
    <w:rsid w:val="006D32A7"/>
    <w:rsid w:val="006D33F8"/>
    <w:rsid w:val="006D3771"/>
    <w:rsid w:val="006D3A8A"/>
    <w:rsid w:val="006D3B82"/>
    <w:rsid w:val="006D3D09"/>
    <w:rsid w:val="006D3D59"/>
    <w:rsid w:val="006D4303"/>
    <w:rsid w:val="006D45C6"/>
    <w:rsid w:val="006D5343"/>
    <w:rsid w:val="006D5467"/>
    <w:rsid w:val="006D5754"/>
    <w:rsid w:val="006D5958"/>
    <w:rsid w:val="006D5BC1"/>
    <w:rsid w:val="006D5D67"/>
    <w:rsid w:val="006D5E78"/>
    <w:rsid w:val="006D63A5"/>
    <w:rsid w:val="006D647D"/>
    <w:rsid w:val="006D6530"/>
    <w:rsid w:val="006D6D04"/>
    <w:rsid w:val="006D6D82"/>
    <w:rsid w:val="006D6F67"/>
    <w:rsid w:val="006D71A8"/>
    <w:rsid w:val="006D7711"/>
    <w:rsid w:val="006D7E71"/>
    <w:rsid w:val="006E0062"/>
    <w:rsid w:val="006E04F2"/>
    <w:rsid w:val="006E09FC"/>
    <w:rsid w:val="006E0B80"/>
    <w:rsid w:val="006E123B"/>
    <w:rsid w:val="006E1F36"/>
    <w:rsid w:val="006E241F"/>
    <w:rsid w:val="006E2892"/>
    <w:rsid w:val="006E2C76"/>
    <w:rsid w:val="006E2E76"/>
    <w:rsid w:val="006E313D"/>
    <w:rsid w:val="006E321A"/>
    <w:rsid w:val="006E34C9"/>
    <w:rsid w:val="006E35C8"/>
    <w:rsid w:val="006E3726"/>
    <w:rsid w:val="006E37FF"/>
    <w:rsid w:val="006E3929"/>
    <w:rsid w:val="006E3C97"/>
    <w:rsid w:val="006E4221"/>
    <w:rsid w:val="006E46FA"/>
    <w:rsid w:val="006E4A58"/>
    <w:rsid w:val="006E548C"/>
    <w:rsid w:val="006E54B8"/>
    <w:rsid w:val="006E5C5A"/>
    <w:rsid w:val="006E5D81"/>
    <w:rsid w:val="006E6881"/>
    <w:rsid w:val="006E6EF9"/>
    <w:rsid w:val="006E796F"/>
    <w:rsid w:val="006E7BD7"/>
    <w:rsid w:val="006E7D97"/>
    <w:rsid w:val="006F025B"/>
    <w:rsid w:val="006F04F6"/>
    <w:rsid w:val="006F0598"/>
    <w:rsid w:val="006F0605"/>
    <w:rsid w:val="006F07DF"/>
    <w:rsid w:val="006F0F60"/>
    <w:rsid w:val="006F155C"/>
    <w:rsid w:val="006F19F2"/>
    <w:rsid w:val="006F1D4C"/>
    <w:rsid w:val="006F2C8C"/>
    <w:rsid w:val="006F2D89"/>
    <w:rsid w:val="006F2F19"/>
    <w:rsid w:val="006F3359"/>
    <w:rsid w:val="006F35EC"/>
    <w:rsid w:val="006F3A03"/>
    <w:rsid w:val="006F3BB3"/>
    <w:rsid w:val="006F3E19"/>
    <w:rsid w:val="006F405A"/>
    <w:rsid w:val="006F46FC"/>
    <w:rsid w:val="006F4918"/>
    <w:rsid w:val="006F5414"/>
    <w:rsid w:val="006F5C86"/>
    <w:rsid w:val="006F5F01"/>
    <w:rsid w:val="006F6064"/>
    <w:rsid w:val="006F6373"/>
    <w:rsid w:val="006F6C6A"/>
    <w:rsid w:val="006F715F"/>
    <w:rsid w:val="006F71AB"/>
    <w:rsid w:val="006F71C1"/>
    <w:rsid w:val="006F73F0"/>
    <w:rsid w:val="006F7550"/>
    <w:rsid w:val="006F75AF"/>
    <w:rsid w:val="006F7614"/>
    <w:rsid w:val="006F7654"/>
    <w:rsid w:val="006F7B41"/>
    <w:rsid w:val="0070027D"/>
    <w:rsid w:val="0070084F"/>
    <w:rsid w:val="007016B0"/>
    <w:rsid w:val="00701791"/>
    <w:rsid w:val="00701829"/>
    <w:rsid w:val="0070226B"/>
    <w:rsid w:val="00702913"/>
    <w:rsid w:val="00702922"/>
    <w:rsid w:val="00702C3A"/>
    <w:rsid w:val="00702EE0"/>
    <w:rsid w:val="00703372"/>
    <w:rsid w:val="00704222"/>
    <w:rsid w:val="007044B0"/>
    <w:rsid w:val="00704577"/>
    <w:rsid w:val="0070487B"/>
    <w:rsid w:val="007048D8"/>
    <w:rsid w:val="00704E03"/>
    <w:rsid w:val="0070533F"/>
    <w:rsid w:val="007054AE"/>
    <w:rsid w:val="007055BC"/>
    <w:rsid w:val="007057E7"/>
    <w:rsid w:val="00706144"/>
    <w:rsid w:val="007061A8"/>
    <w:rsid w:val="0070664A"/>
    <w:rsid w:val="007066A8"/>
    <w:rsid w:val="00706931"/>
    <w:rsid w:val="007071D2"/>
    <w:rsid w:val="00707282"/>
    <w:rsid w:val="00710018"/>
    <w:rsid w:val="00710794"/>
    <w:rsid w:val="007107A5"/>
    <w:rsid w:val="00711EE4"/>
    <w:rsid w:val="007126B9"/>
    <w:rsid w:val="00712848"/>
    <w:rsid w:val="00712BDC"/>
    <w:rsid w:val="00713147"/>
    <w:rsid w:val="007133EC"/>
    <w:rsid w:val="007139D0"/>
    <w:rsid w:val="00713E58"/>
    <w:rsid w:val="00714F41"/>
    <w:rsid w:val="007154FA"/>
    <w:rsid w:val="0071562F"/>
    <w:rsid w:val="007156E4"/>
    <w:rsid w:val="00715BF2"/>
    <w:rsid w:val="00715E28"/>
    <w:rsid w:val="0071600D"/>
    <w:rsid w:val="00716178"/>
    <w:rsid w:val="0071649D"/>
    <w:rsid w:val="00716638"/>
    <w:rsid w:val="0071677C"/>
    <w:rsid w:val="00716921"/>
    <w:rsid w:val="00716D72"/>
    <w:rsid w:val="0071717A"/>
    <w:rsid w:val="00717980"/>
    <w:rsid w:val="00717B40"/>
    <w:rsid w:val="00717BDF"/>
    <w:rsid w:val="00717BF2"/>
    <w:rsid w:val="0072010F"/>
    <w:rsid w:val="007201F3"/>
    <w:rsid w:val="00720CCF"/>
    <w:rsid w:val="007210E7"/>
    <w:rsid w:val="00721360"/>
    <w:rsid w:val="007214F6"/>
    <w:rsid w:val="0072200A"/>
    <w:rsid w:val="00722388"/>
    <w:rsid w:val="00722471"/>
    <w:rsid w:val="00722583"/>
    <w:rsid w:val="00722B21"/>
    <w:rsid w:val="00722B8E"/>
    <w:rsid w:val="00722CFA"/>
    <w:rsid w:val="007233DC"/>
    <w:rsid w:val="007234D9"/>
    <w:rsid w:val="00723A2B"/>
    <w:rsid w:val="00724B01"/>
    <w:rsid w:val="00724B13"/>
    <w:rsid w:val="00725AAC"/>
    <w:rsid w:val="00725D35"/>
    <w:rsid w:val="00726125"/>
    <w:rsid w:val="00726331"/>
    <w:rsid w:val="00726445"/>
    <w:rsid w:val="00726514"/>
    <w:rsid w:val="0072665A"/>
    <w:rsid w:val="00726842"/>
    <w:rsid w:val="00726958"/>
    <w:rsid w:val="00726A83"/>
    <w:rsid w:val="00726C77"/>
    <w:rsid w:val="0072739E"/>
    <w:rsid w:val="007303A5"/>
    <w:rsid w:val="00731103"/>
    <w:rsid w:val="00731205"/>
    <w:rsid w:val="00731295"/>
    <w:rsid w:val="00731837"/>
    <w:rsid w:val="007319B9"/>
    <w:rsid w:val="00732615"/>
    <w:rsid w:val="007327D9"/>
    <w:rsid w:val="00733097"/>
    <w:rsid w:val="00733176"/>
    <w:rsid w:val="0073355B"/>
    <w:rsid w:val="00733974"/>
    <w:rsid w:val="007340FE"/>
    <w:rsid w:val="00734742"/>
    <w:rsid w:val="00735896"/>
    <w:rsid w:val="00735FF5"/>
    <w:rsid w:val="00736080"/>
    <w:rsid w:val="007361FA"/>
    <w:rsid w:val="007363B1"/>
    <w:rsid w:val="00736436"/>
    <w:rsid w:val="00736517"/>
    <w:rsid w:val="00736B1F"/>
    <w:rsid w:val="0073739D"/>
    <w:rsid w:val="007378FA"/>
    <w:rsid w:val="00737AEC"/>
    <w:rsid w:val="00737D62"/>
    <w:rsid w:val="00737EB1"/>
    <w:rsid w:val="007409CA"/>
    <w:rsid w:val="007409F8"/>
    <w:rsid w:val="00740D90"/>
    <w:rsid w:val="007412DF"/>
    <w:rsid w:val="0074159D"/>
    <w:rsid w:val="00741630"/>
    <w:rsid w:val="007422DF"/>
    <w:rsid w:val="00742339"/>
    <w:rsid w:val="007423F3"/>
    <w:rsid w:val="0074290E"/>
    <w:rsid w:val="00742BC6"/>
    <w:rsid w:val="00743B01"/>
    <w:rsid w:val="00744C8C"/>
    <w:rsid w:val="00745196"/>
    <w:rsid w:val="00745600"/>
    <w:rsid w:val="00745735"/>
    <w:rsid w:val="007457F8"/>
    <w:rsid w:val="00745D54"/>
    <w:rsid w:val="00745EBC"/>
    <w:rsid w:val="00745F28"/>
    <w:rsid w:val="007464B0"/>
    <w:rsid w:val="00746B1D"/>
    <w:rsid w:val="00746BE2"/>
    <w:rsid w:val="00746C36"/>
    <w:rsid w:val="00746EBF"/>
    <w:rsid w:val="00746FDD"/>
    <w:rsid w:val="00747077"/>
    <w:rsid w:val="007471C5"/>
    <w:rsid w:val="00747904"/>
    <w:rsid w:val="00750416"/>
    <w:rsid w:val="0075048D"/>
    <w:rsid w:val="00750B52"/>
    <w:rsid w:val="00750DC8"/>
    <w:rsid w:val="00750F83"/>
    <w:rsid w:val="007510D6"/>
    <w:rsid w:val="00751C86"/>
    <w:rsid w:val="00752752"/>
    <w:rsid w:val="00752832"/>
    <w:rsid w:val="0075297F"/>
    <w:rsid w:val="007529D1"/>
    <w:rsid w:val="00752E79"/>
    <w:rsid w:val="0075329A"/>
    <w:rsid w:val="007533FE"/>
    <w:rsid w:val="0075356D"/>
    <w:rsid w:val="00753B68"/>
    <w:rsid w:val="0075504B"/>
    <w:rsid w:val="007552B5"/>
    <w:rsid w:val="00755466"/>
    <w:rsid w:val="00755490"/>
    <w:rsid w:val="007555A3"/>
    <w:rsid w:val="00755762"/>
    <w:rsid w:val="00755843"/>
    <w:rsid w:val="00755AFE"/>
    <w:rsid w:val="007560E8"/>
    <w:rsid w:val="00756337"/>
    <w:rsid w:val="00756398"/>
    <w:rsid w:val="00756468"/>
    <w:rsid w:val="00756539"/>
    <w:rsid w:val="0075669D"/>
    <w:rsid w:val="007569F7"/>
    <w:rsid w:val="00756FA0"/>
    <w:rsid w:val="00757A68"/>
    <w:rsid w:val="00757A95"/>
    <w:rsid w:val="00757C74"/>
    <w:rsid w:val="00757EB3"/>
    <w:rsid w:val="0076057E"/>
    <w:rsid w:val="007605C9"/>
    <w:rsid w:val="00760DAE"/>
    <w:rsid w:val="00761B57"/>
    <w:rsid w:val="00761BE4"/>
    <w:rsid w:val="00761CF5"/>
    <w:rsid w:val="00761D1C"/>
    <w:rsid w:val="00761EBE"/>
    <w:rsid w:val="0076227D"/>
    <w:rsid w:val="00762F4B"/>
    <w:rsid w:val="007631D0"/>
    <w:rsid w:val="00763502"/>
    <w:rsid w:val="007635BB"/>
    <w:rsid w:val="00763AC1"/>
    <w:rsid w:val="00763CAD"/>
    <w:rsid w:val="007640DF"/>
    <w:rsid w:val="00764A85"/>
    <w:rsid w:val="00764F18"/>
    <w:rsid w:val="00765480"/>
    <w:rsid w:val="00765526"/>
    <w:rsid w:val="00765AFF"/>
    <w:rsid w:val="00765C0A"/>
    <w:rsid w:val="00765D50"/>
    <w:rsid w:val="00765EC1"/>
    <w:rsid w:val="00765ECB"/>
    <w:rsid w:val="00766007"/>
    <w:rsid w:val="007660D1"/>
    <w:rsid w:val="007661F0"/>
    <w:rsid w:val="0076648B"/>
    <w:rsid w:val="0076651E"/>
    <w:rsid w:val="0076736D"/>
    <w:rsid w:val="00767755"/>
    <w:rsid w:val="00767DFD"/>
    <w:rsid w:val="007701B0"/>
    <w:rsid w:val="00770436"/>
    <w:rsid w:val="0077090A"/>
    <w:rsid w:val="00770BD3"/>
    <w:rsid w:val="00770DAB"/>
    <w:rsid w:val="00770DDC"/>
    <w:rsid w:val="007711DC"/>
    <w:rsid w:val="0077153F"/>
    <w:rsid w:val="00771588"/>
    <w:rsid w:val="00771C14"/>
    <w:rsid w:val="00771FF3"/>
    <w:rsid w:val="0077227E"/>
    <w:rsid w:val="0077238F"/>
    <w:rsid w:val="007723CD"/>
    <w:rsid w:val="00772BE5"/>
    <w:rsid w:val="00772CEF"/>
    <w:rsid w:val="007730E3"/>
    <w:rsid w:val="00773294"/>
    <w:rsid w:val="0077342D"/>
    <w:rsid w:val="0077353A"/>
    <w:rsid w:val="007736F2"/>
    <w:rsid w:val="0077384F"/>
    <w:rsid w:val="00773A58"/>
    <w:rsid w:val="00773D8A"/>
    <w:rsid w:val="0077438B"/>
    <w:rsid w:val="00774811"/>
    <w:rsid w:val="007748EA"/>
    <w:rsid w:val="00774D2E"/>
    <w:rsid w:val="00774E79"/>
    <w:rsid w:val="0077501F"/>
    <w:rsid w:val="007757DC"/>
    <w:rsid w:val="00776259"/>
    <w:rsid w:val="00776D3C"/>
    <w:rsid w:val="00776F46"/>
    <w:rsid w:val="007771BA"/>
    <w:rsid w:val="007776AD"/>
    <w:rsid w:val="0078037D"/>
    <w:rsid w:val="0078063B"/>
    <w:rsid w:val="00780864"/>
    <w:rsid w:val="00780F0B"/>
    <w:rsid w:val="007813E4"/>
    <w:rsid w:val="00781650"/>
    <w:rsid w:val="007818DE"/>
    <w:rsid w:val="00782388"/>
    <w:rsid w:val="00782A16"/>
    <w:rsid w:val="00782C5E"/>
    <w:rsid w:val="00782ED7"/>
    <w:rsid w:val="00782F81"/>
    <w:rsid w:val="00783E74"/>
    <w:rsid w:val="007842BF"/>
    <w:rsid w:val="00784C4E"/>
    <w:rsid w:val="00784CF2"/>
    <w:rsid w:val="00784E03"/>
    <w:rsid w:val="00784EBB"/>
    <w:rsid w:val="00784FCD"/>
    <w:rsid w:val="00784FD8"/>
    <w:rsid w:val="0078530A"/>
    <w:rsid w:val="0078579E"/>
    <w:rsid w:val="007859F1"/>
    <w:rsid w:val="00785BD6"/>
    <w:rsid w:val="00785CF2"/>
    <w:rsid w:val="00785F9C"/>
    <w:rsid w:val="00786A66"/>
    <w:rsid w:val="007874C4"/>
    <w:rsid w:val="0078779E"/>
    <w:rsid w:val="007879AC"/>
    <w:rsid w:val="00787A2E"/>
    <w:rsid w:val="00787AD9"/>
    <w:rsid w:val="00787DB4"/>
    <w:rsid w:val="00787FCF"/>
    <w:rsid w:val="00790027"/>
    <w:rsid w:val="007902F9"/>
    <w:rsid w:val="007909B2"/>
    <w:rsid w:val="007909FF"/>
    <w:rsid w:val="0079101A"/>
    <w:rsid w:val="0079139A"/>
    <w:rsid w:val="00791498"/>
    <w:rsid w:val="00791C72"/>
    <w:rsid w:val="00791CE5"/>
    <w:rsid w:val="007925C7"/>
    <w:rsid w:val="007928E1"/>
    <w:rsid w:val="00792C5A"/>
    <w:rsid w:val="00792EDF"/>
    <w:rsid w:val="00793666"/>
    <w:rsid w:val="0079393C"/>
    <w:rsid w:val="00794063"/>
    <w:rsid w:val="00794618"/>
    <w:rsid w:val="00794708"/>
    <w:rsid w:val="00794769"/>
    <w:rsid w:val="00794875"/>
    <w:rsid w:val="00794B41"/>
    <w:rsid w:val="00794B71"/>
    <w:rsid w:val="00794BB8"/>
    <w:rsid w:val="00794C60"/>
    <w:rsid w:val="007953C5"/>
    <w:rsid w:val="007955AA"/>
    <w:rsid w:val="00796736"/>
    <w:rsid w:val="00796A99"/>
    <w:rsid w:val="00796ABB"/>
    <w:rsid w:val="00796F27"/>
    <w:rsid w:val="0079763D"/>
    <w:rsid w:val="00797B8B"/>
    <w:rsid w:val="00797D2E"/>
    <w:rsid w:val="007A0531"/>
    <w:rsid w:val="007A0CA2"/>
    <w:rsid w:val="007A17C2"/>
    <w:rsid w:val="007A1A0F"/>
    <w:rsid w:val="007A1EB8"/>
    <w:rsid w:val="007A27E6"/>
    <w:rsid w:val="007A298A"/>
    <w:rsid w:val="007A2C41"/>
    <w:rsid w:val="007A33E3"/>
    <w:rsid w:val="007A3E31"/>
    <w:rsid w:val="007A40F9"/>
    <w:rsid w:val="007A420E"/>
    <w:rsid w:val="007A43E2"/>
    <w:rsid w:val="007A4B34"/>
    <w:rsid w:val="007A4CA9"/>
    <w:rsid w:val="007A4CE8"/>
    <w:rsid w:val="007A4F3E"/>
    <w:rsid w:val="007A519C"/>
    <w:rsid w:val="007A51A0"/>
    <w:rsid w:val="007A58DB"/>
    <w:rsid w:val="007A6475"/>
    <w:rsid w:val="007A64A7"/>
    <w:rsid w:val="007A6A7F"/>
    <w:rsid w:val="007A6FB6"/>
    <w:rsid w:val="007A74AF"/>
    <w:rsid w:val="007A784A"/>
    <w:rsid w:val="007A7B59"/>
    <w:rsid w:val="007A7E84"/>
    <w:rsid w:val="007A7F31"/>
    <w:rsid w:val="007B0362"/>
    <w:rsid w:val="007B0D68"/>
    <w:rsid w:val="007B0D8B"/>
    <w:rsid w:val="007B0DE9"/>
    <w:rsid w:val="007B0E64"/>
    <w:rsid w:val="007B1123"/>
    <w:rsid w:val="007B1611"/>
    <w:rsid w:val="007B195C"/>
    <w:rsid w:val="007B1968"/>
    <w:rsid w:val="007B1DFD"/>
    <w:rsid w:val="007B1FEE"/>
    <w:rsid w:val="007B32C5"/>
    <w:rsid w:val="007B3688"/>
    <w:rsid w:val="007B39BD"/>
    <w:rsid w:val="007B3F61"/>
    <w:rsid w:val="007B4400"/>
    <w:rsid w:val="007B4613"/>
    <w:rsid w:val="007B4811"/>
    <w:rsid w:val="007B48BF"/>
    <w:rsid w:val="007B4B57"/>
    <w:rsid w:val="007B4CBE"/>
    <w:rsid w:val="007B51D7"/>
    <w:rsid w:val="007B68A6"/>
    <w:rsid w:val="007B6A2C"/>
    <w:rsid w:val="007B71F7"/>
    <w:rsid w:val="007B73DF"/>
    <w:rsid w:val="007B7481"/>
    <w:rsid w:val="007B7B69"/>
    <w:rsid w:val="007B7C97"/>
    <w:rsid w:val="007B7E62"/>
    <w:rsid w:val="007C066D"/>
    <w:rsid w:val="007C0CC7"/>
    <w:rsid w:val="007C147B"/>
    <w:rsid w:val="007C19B5"/>
    <w:rsid w:val="007C1B07"/>
    <w:rsid w:val="007C21EC"/>
    <w:rsid w:val="007C2825"/>
    <w:rsid w:val="007C28E4"/>
    <w:rsid w:val="007C2D15"/>
    <w:rsid w:val="007C2F68"/>
    <w:rsid w:val="007C364C"/>
    <w:rsid w:val="007C3723"/>
    <w:rsid w:val="007C39E4"/>
    <w:rsid w:val="007C3E87"/>
    <w:rsid w:val="007C4018"/>
    <w:rsid w:val="007C42F5"/>
    <w:rsid w:val="007C4B8C"/>
    <w:rsid w:val="007C54DD"/>
    <w:rsid w:val="007C5768"/>
    <w:rsid w:val="007C592F"/>
    <w:rsid w:val="007C5A0F"/>
    <w:rsid w:val="007C5E54"/>
    <w:rsid w:val="007C611C"/>
    <w:rsid w:val="007C62CD"/>
    <w:rsid w:val="007C647F"/>
    <w:rsid w:val="007C68F8"/>
    <w:rsid w:val="007C6A21"/>
    <w:rsid w:val="007C6EAC"/>
    <w:rsid w:val="007C731D"/>
    <w:rsid w:val="007C74BF"/>
    <w:rsid w:val="007C773E"/>
    <w:rsid w:val="007D0699"/>
    <w:rsid w:val="007D0750"/>
    <w:rsid w:val="007D0C84"/>
    <w:rsid w:val="007D100D"/>
    <w:rsid w:val="007D10AF"/>
    <w:rsid w:val="007D116E"/>
    <w:rsid w:val="007D1180"/>
    <w:rsid w:val="007D1547"/>
    <w:rsid w:val="007D201F"/>
    <w:rsid w:val="007D2086"/>
    <w:rsid w:val="007D265B"/>
    <w:rsid w:val="007D27CB"/>
    <w:rsid w:val="007D2B4F"/>
    <w:rsid w:val="007D2B60"/>
    <w:rsid w:val="007D30DD"/>
    <w:rsid w:val="007D36F1"/>
    <w:rsid w:val="007D3F4F"/>
    <w:rsid w:val="007D3FEA"/>
    <w:rsid w:val="007D4189"/>
    <w:rsid w:val="007D423B"/>
    <w:rsid w:val="007D4877"/>
    <w:rsid w:val="007D4C24"/>
    <w:rsid w:val="007D4D2C"/>
    <w:rsid w:val="007D52AA"/>
    <w:rsid w:val="007D561E"/>
    <w:rsid w:val="007D57CE"/>
    <w:rsid w:val="007D5999"/>
    <w:rsid w:val="007D616D"/>
    <w:rsid w:val="007D6204"/>
    <w:rsid w:val="007D6509"/>
    <w:rsid w:val="007D66B2"/>
    <w:rsid w:val="007D6B91"/>
    <w:rsid w:val="007D71D5"/>
    <w:rsid w:val="007D72DA"/>
    <w:rsid w:val="007D7FC5"/>
    <w:rsid w:val="007E090B"/>
    <w:rsid w:val="007E0BBF"/>
    <w:rsid w:val="007E0D1F"/>
    <w:rsid w:val="007E0FA9"/>
    <w:rsid w:val="007E1009"/>
    <w:rsid w:val="007E1752"/>
    <w:rsid w:val="007E1920"/>
    <w:rsid w:val="007E1928"/>
    <w:rsid w:val="007E1969"/>
    <w:rsid w:val="007E1A3A"/>
    <w:rsid w:val="007E207E"/>
    <w:rsid w:val="007E2111"/>
    <w:rsid w:val="007E211C"/>
    <w:rsid w:val="007E21B2"/>
    <w:rsid w:val="007E2755"/>
    <w:rsid w:val="007E28A2"/>
    <w:rsid w:val="007E2F82"/>
    <w:rsid w:val="007E33AB"/>
    <w:rsid w:val="007E3AA3"/>
    <w:rsid w:val="007E3EC4"/>
    <w:rsid w:val="007E407E"/>
    <w:rsid w:val="007E40A6"/>
    <w:rsid w:val="007E4B73"/>
    <w:rsid w:val="007E53D5"/>
    <w:rsid w:val="007E59D6"/>
    <w:rsid w:val="007E5F46"/>
    <w:rsid w:val="007E6615"/>
    <w:rsid w:val="007E6AA5"/>
    <w:rsid w:val="007E6C7D"/>
    <w:rsid w:val="007E6F84"/>
    <w:rsid w:val="007E7519"/>
    <w:rsid w:val="007E75DA"/>
    <w:rsid w:val="007E79DB"/>
    <w:rsid w:val="007E7E59"/>
    <w:rsid w:val="007F0C51"/>
    <w:rsid w:val="007F0F73"/>
    <w:rsid w:val="007F1982"/>
    <w:rsid w:val="007F1C51"/>
    <w:rsid w:val="007F2122"/>
    <w:rsid w:val="007F22D2"/>
    <w:rsid w:val="007F233B"/>
    <w:rsid w:val="007F33E0"/>
    <w:rsid w:val="007F3451"/>
    <w:rsid w:val="007F34DE"/>
    <w:rsid w:val="007F378B"/>
    <w:rsid w:val="007F39F1"/>
    <w:rsid w:val="007F3BAD"/>
    <w:rsid w:val="007F435C"/>
    <w:rsid w:val="007F45B7"/>
    <w:rsid w:val="007F57E8"/>
    <w:rsid w:val="007F585A"/>
    <w:rsid w:val="007F5A62"/>
    <w:rsid w:val="007F5F17"/>
    <w:rsid w:val="007F60C2"/>
    <w:rsid w:val="007F616A"/>
    <w:rsid w:val="007F6254"/>
    <w:rsid w:val="007F69F5"/>
    <w:rsid w:val="007F6DA8"/>
    <w:rsid w:val="007F7693"/>
    <w:rsid w:val="007F78FD"/>
    <w:rsid w:val="007F7A20"/>
    <w:rsid w:val="007F7C2F"/>
    <w:rsid w:val="0080052B"/>
    <w:rsid w:val="00800915"/>
    <w:rsid w:val="008011CB"/>
    <w:rsid w:val="00801608"/>
    <w:rsid w:val="00801D6F"/>
    <w:rsid w:val="00801F54"/>
    <w:rsid w:val="00801F68"/>
    <w:rsid w:val="00801F86"/>
    <w:rsid w:val="008021B7"/>
    <w:rsid w:val="0080226B"/>
    <w:rsid w:val="0080293B"/>
    <w:rsid w:val="00802BEA"/>
    <w:rsid w:val="00802CBE"/>
    <w:rsid w:val="00802D71"/>
    <w:rsid w:val="00803C46"/>
    <w:rsid w:val="00803CCF"/>
    <w:rsid w:val="00803FC8"/>
    <w:rsid w:val="00804239"/>
    <w:rsid w:val="00804528"/>
    <w:rsid w:val="008046F6"/>
    <w:rsid w:val="008048DB"/>
    <w:rsid w:val="00804C73"/>
    <w:rsid w:val="00805A8B"/>
    <w:rsid w:val="00805B56"/>
    <w:rsid w:val="00806279"/>
    <w:rsid w:val="00806428"/>
    <w:rsid w:val="008065AE"/>
    <w:rsid w:val="00806895"/>
    <w:rsid w:val="00806B08"/>
    <w:rsid w:val="00806E19"/>
    <w:rsid w:val="008070F5"/>
    <w:rsid w:val="008077C6"/>
    <w:rsid w:val="0080788B"/>
    <w:rsid w:val="008100E5"/>
    <w:rsid w:val="00810780"/>
    <w:rsid w:val="00810931"/>
    <w:rsid w:val="00810AAF"/>
    <w:rsid w:val="00810EB3"/>
    <w:rsid w:val="00811066"/>
    <w:rsid w:val="008110BA"/>
    <w:rsid w:val="00811CF1"/>
    <w:rsid w:val="00811D10"/>
    <w:rsid w:val="00812A8A"/>
    <w:rsid w:val="00813078"/>
    <w:rsid w:val="00813227"/>
    <w:rsid w:val="00813AD3"/>
    <w:rsid w:val="00813CEC"/>
    <w:rsid w:val="00813DA8"/>
    <w:rsid w:val="0081411B"/>
    <w:rsid w:val="0081426F"/>
    <w:rsid w:val="00814BF2"/>
    <w:rsid w:val="0081512E"/>
    <w:rsid w:val="00815DC1"/>
    <w:rsid w:val="00815FF4"/>
    <w:rsid w:val="00816421"/>
    <w:rsid w:val="0081650D"/>
    <w:rsid w:val="00816532"/>
    <w:rsid w:val="0081663A"/>
    <w:rsid w:val="008166B2"/>
    <w:rsid w:val="00816798"/>
    <w:rsid w:val="00816874"/>
    <w:rsid w:val="00816A87"/>
    <w:rsid w:val="00816B3B"/>
    <w:rsid w:val="008178D7"/>
    <w:rsid w:val="00817957"/>
    <w:rsid w:val="00817B00"/>
    <w:rsid w:val="00817D5F"/>
    <w:rsid w:val="00820104"/>
    <w:rsid w:val="008202A6"/>
    <w:rsid w:val="008209B5"/>
    <w:rsid w:val="0082120C"/>
    <w:rsid w:val="008213CD"/>
    <w:rsid w:val="0082152E"/>
    <w:rsid w:val="00821845"/>
    <w:rsid w:val="00821877"/>
    <w:rsid w:val="0082194C"/>
    <w:rsid w:val="00821A95"/>
    <w:rsid w:val="00821DBB"/>
    <w:rsid w:val="00821F4A"/>
    <w:rsid w:val="0082227E"/>
    <w:rsid w:val="008231E1"/>
    <w:rsid w:val="008232D9"/>
    <w:rsid w:val="008232E2"/>
    <w:rsid w:val="008235CF"/>
    <w:rsid w:val="00823641"/>
    <w:rsid w:val="00823C1B"/>
    <w:rsid w:val="00823FB7"/>
    <w:rsid w:val="00824401"/>
    <w:rsid w:val="008246EF"/>
    <w:rsid w:val="00824E0C"/>
    <w:rsid w:val="00824F5A"/>
    <w:rsid w:val="0082549D"/>
    <w:rsid w:val="00825CDB"/>
    <w:rsid w:val="00826349"/>
    <w:rsid w:val="008264F8"/>
    <w:rsid w:val="008267A3"/>
    <w:rsid w:val="008268BF"/>
    <w:rsid w:val="008276E1"/>
    <w:rsid w:val="00827B7A"/>
    <w:rsid w:val="00830747"/>
    <w:rsid w:val="008307DD"/>
    <w:rsid w:val="00830BC2"/>
    <w:rsid w:val="00830CC7"/>
    <w:rsid w:val="008313BE"/>
    <w:rsid w:val="00831646"/>
    <w:rsid w:val="00831777"/>
    <w:rsid w:val="00831AB4"/>
    <w:rsid w:val="00831ADA"/>
    <w:rsid w:val="00831CCF"/>
    <w:rsid w:val="00832043"/>
    <w:rsid w:val="00832E61"/>
    <w:rsid w:val="00832EAB"/>
    <w:rsid w:val="00832EFE"/>
    <w:rsid w:val="00832F18"/>
    <w:rsid w:val="008337C9"/>
    <w:rsid w:val="00833969"/>
    <w:rsid w:val="00833D6D"/>
    <w:rsid w:val="00834356"/>
    <w:rsid w:val="008344E5"/>
    <w:rsid w:val="00834A36"/>
    <w:rsid w:val="00834BD0"/>
    <w:rsid w:val="00834D6E"/>
    <w:rsid w:val="00834F3C"/>
    <w:rsid w:val="00835362"/>
    <w:rsid w:val="00835737"/>
    <w:rsid w:val="00835A71"/>
    <w:rsid w:val="00835AF3"/>
    <w:rsid w:val="00835D67"/>
    <w:rsid w:val="00835EFC"/>
    <w:rsid w:val="0083602B"/>
    <w:rsid w:val="008362BB"/>
    <w:rsid w:val="008365EC"/>
    <w:rsid w:val="008368D8"/>
    <w:rsid w:val="00837530"/>
    <w:rsid w:val="0083764A"/>
    <w:rsid w:val="00837CBD"/>
    <w:rsid w:val="00840C89"/>
    <w:rsid w:val="00840CBC"/>
    <w:rsid w:val="00841055"/>
    <w:rsid w:val="008411D8"/>
    <w:rsid w:val="0084161E"/>
    <w:rsid w:val="00841C97"/>
    <w:rsid w:val="00841E0B"/>
    <w:rsid w:val="00842147"/>
    <w:rsid w:val="0084221C"/>
    <w:rsid w:val="00842482"/>
    <w:rsid w:val="00842A7C"/>
    <w:rsid w:val="00842C56"/>
    <w:rsid w:val="008431A1"/>
    <w:rsid w:val="0084332A"/>
    <w:rsid w:val="0084340D"/>
    <w:rsid w:val="00843EA2"/>
    <w:rsid w:val="00843F0C"/>
    <w:rsid w:val="008445E3"/>
    <w:rsid w:val="00844F97"/>
    <w:rsid w:val="00845491"/>
    <w:rsid w:val="008454AB"/>
    <w:rsid w:val="00845966"/>
    <w:rsid w:val="008460CD"/>
    <w:rsid w:val="00846228"/>
    <w:rsid w:val="008464A3"/>
    <w:rsid w:val="008467EC"/>
    <w:rsid w:val="008469F5"/>
    <w:rsid w:val="00846EA9"/>
    <w:rsid w:val="00847A98"/>
    <w:rsid w:val="00847B6D"/>
    <w:rsid w:val="00847BC4"/>
    <w:rsid w:val="008509AD"/>
    <w:rsid w:val="00850A9B"/>
    <w:rsid w:val="00851314"/>
    <w:rsid w:val="0085139A"/>
    <w:rsid w:val="0085158E"/>
    <w:rsid w:val="00852C49"/>
    <w:rsid w:val="00852F50"/>
    <w:rsid w:val="00853239"/>
    <w:rsid w:val="00853422"/>
    <w:rsid w:val="0085375F"/>
    <w:rsid w:val="00853C85"/>
    <w:rsid w:val="008540D8"/>
    <w:rsid w:val="008541EA"/>
    <w:rsid w:val="008544FA"/>
    <w:rsid w:val="0085455E"/>
    <w:rsid w:val="00854D0C"/>
    <w:rsid w:val="00854DED"/>
    <w:rsid w:val="0085513F"/>
    <w:rsid w:val="00855333"/>
    <w:rsid w:val="0085537F"/>
    <w:rsid w:val="008553B8"/>
    <w:rsid w:val="0085569F"/>
    <w:rsid w:val="0085578A"/>
    <w:rsid w:val="00855BB3"/>
    <w:rsid w:val="008567EC"/>
    <w:rsid w:val="00856A93"/>
    <w:rsid w:val="008572A3"/>
    <w:rsid w:val="00857716"/>
    <w:rsid w:val="0085796A"/>
    <w:rsid w:val="00857991"/>
    <w:rsid w:val="00860E71"/>
    <w:rsid w:val="00861E6F"/>
    <w:rsid w:val="00862953"/>
    <w:rsid w:val="00862A95"/>
    <w:rsid w:val="00862B75"/>
    <w:rsid w:val="00862F79"/>
    <w:rsid w:val="008631E6"/>
    <w:rsid w:val="008635D6"/>
    <w:rsid w:val="00863685"/>
    <w:rsid w:val="008636BC"/>
    <w:rsid w:val="00863B2E"/>
    <w:rsid w:val="00864256"/>
    <w:rsid w:val="008642CA"/>
    <w:rsid w:val="008645A1"/>
    <w:rsid w:val="00864911"/>
    <w:rsid w:val="00864D93"/>
    <w:rsid w:val="00865221"/>
    <w:rsid w:val="008656FF"/>
    <w:rsid w:val="0086624D"/>
    <w:rsid w:val="0086641A"/>
    <w:rsid w:val="008664A8"/>
    <w:rsid w:val="00866824"/>
    <w:rsid w:val="008668BC"/>
    <w:rsid w:val="00866C0D"/>
    <w:rsid w:val="00867154"/>
    <w:rsid w:val="00867331"/>
    <w:rsid w:val="008675EA"/>
    <w:rsid w:val="00867BC6"/>
    <w:rsid w:val="00867C5A"/>
    <w:rsid w:val="00867C6A"/>
    <w:rsid w:val="00870216"/>
    <w:rsid w:val="00870A87"/>
    <w:rsid w:val="00870FDD"/>
    <w:rsid w:val="00871090"/>
    <w:rsid w:val="00871691"/>
    <w:rsid w:val="00871A8B"/>
    <w:rsid w:val="00871D37"/>
    <w:rsid w:val="00871D88"/>
    <w:rsid w:val="0087210D"/>
    <w:rsid w:val="00872982"/>
    <w:rsid w:val="00872FFD"/>
    <w:rsid w:val="00873EFB"/>
    <w:rsid w:val="00874153"/>
    <w:rsid w:val="00874326"/>
    <w:rsid w:val="0087486F"/>
    <w:rsid w:val="00874E39"/>
    <w:rsid w:val="008764BA"/>
    <w:rsid w:val="00876AE5"/>
    <w:rsid w:val="00876B36"/>
    <w:rsid w:val="008773B8"/>
    <w:rsid w:val="008774FC"/>
    <w:rsid w:val="00877620"/>
    <w:rsid w:val="0088003D"/>
    <w:rsid w:val="008801FE"/>
    <w:rsid w:val="00880286"/>
    <w:rsid w:val="008804D3"/>
    <w:rsid w:val="00880529"/>
    <w:rsid w:val="00880644"/>
    <w:rsid w:val="008808E2"/>
    <w:rsid w:val="00880D64"/>
    <w:rsid w:val="00881614"/>
    <w:rsid w:val="00881E5C"/>
    <w:rsid w:val="00881E7B"/>
    <w:rsid w:val="0088221D"/>
    <w:rsid w:val="00882447"/>
    <w:rsid w:val="00882A97"/>
    <w:rsid w:val="00882CB1"/>
    <w:rsid w:val="00882E06"/>
    <w:rsid w:val="0088301D"/>
    <w:rsid w:val="00883C0A"/>
    <w:rsid w:val="00884050"/>
    <w:rsid w:val="00884218"/>
    <w:rsid w:val="00884394"/>
    <w:rsid w:val="00884528"/>
    <w:rsid w:val="00884810"/>
    <w:rsid w:val="00884B54"/>
    <w:rsid w:val="00884C51"/>
    <w:rsid w:val="00884EED"/>
    <w:rsid w:val="008853C4"/>
    <w:rsid w:val="008857D6"/>
    <w:rsid w:val="008857F6"/>
    <w:rsid w:val="00885A22"/>
    <w:rsid w:val="00885CFF"/>
    <w:rsid w:val="008863FE"/>
    <w:rsid w:val="00886886"/>
    <w:rsid w:val="00886970"/>
    <w:rsid w:val="00887472"/>
    <w:rsid w:val="008876FE"/>
    <w:rsid w:val="00887844"/>
    <w:rsid w:val="008878E0"/>
    <w:rsid w:val="008879B2"/>
    <w:rsid w:val="00887B91"/>
    <w:rsid w:val="008904D2"/>
    <w:rsid w:val="00890E56"/>
    <w:rsid w:val="008911B1"/>
    <w:rsid w:val="00892A92"/>
    <w:rsid w:val="00892BF3"/>
    <w:rsid w:val="00892DA9"/>
    <w:rsid w:val="00893F26"/>
    <w:rsid w:val="00893F39"/>
    <w:rsid w:val="00894568"/>
    <w:rsid w:val="008946AC"/>
    <w:rsid w:val="0089508F"/>
    <w:rsid w:val="0089553A"/>
    <w:rsid w:val="008956F7"/>
    <w:rsid w:val="00895C66"/>
    <w:rsid w:val="00896019"/>
    <w:rsid w:val="008965F8"/>
    <w:rsid w:val="0089693A"/>
    <w:rsid w:val="00897451"/>
    <w:rsid w:val="00897D65"/>
    <w:rsid w:val="00897F14"/>
    <w:rsid w:val="008A01E4"/>
    <w:rsid w:val="008A0863"/>
    <w:rsid w:val="008A0A26"/>
    <w:rsid w:val="008A0FA2"/>
    <w:rsid w:val="008A0FB6"/>
    <w:rsid w:val="008A1ACB"/>
    <w:rsid w:val="008A1FAA"/>
    <w:rsid w:val="008A2306"/>
    <w:rsid w:val="008A23D4"/>
    <w:rsid w:val="008A2696"/>
    <w:rsid w:val="008A2914"/>
    <w:rsid w:val="008A29CA"/>
    <w:rsid w:val="008A375B"/>
    <w:rsid w:val="008A398A"/>
    <w:rsid w:val="008A3B5A"/>
    <w:rsid w:val="008A3C19"/>
    <w:rsid w:val="008A3D41"/>
    <w:rsid w:val="008A3DC5"/>
    <w:rsid w:val="008A4179"/>
    <w:rsid w:val="008A4406"/>
    <w:rsid w:val="008A499E"/>
    <w:rsid w:val="008A5305"/>
    <w:rsid w:val="008A5F92"/>
    <w:rsid w:val="008A65D4"/>
    <w:rsid w:val="008A6AC5"/>
    <w:rsid w:val="008A6D71"/>
    <w:rsid w:val="008A781F"/>
    <w:rsid w:val="008A7C41"/>
    <w:rsid w:val="008A7C72"/>
    <w:rsid w:val="008B0073"/>
    <w:rsid w:val="008B0439"/>
    <w:rsid w:val="008B0475"/>
    <w:rsid w:val="008B08AD"/>
    <w:rsid w:val="008B1127"/>
    <w:rsid w:val="008B14D7"/>
    <w:rsid w:val="008B1B52"/>
    <w:rsid w:val="008B1E9B"/>
    <w:rsid w:val="008B214F"/>
    <w:rsid w:val="008B21CE"/>
    <w:rsid w:val="008B4089"/>
    <w:rsid w:val="008B43F4"/>
    <w:rsid w:val="008B4EF7"/>
    <w:rsid w:val="008B5808"/>
    <w:rsid w:val="008B5C3A"/>
    <w:rsid w:val="008B68A3"/>
    <w:rsid w:val="008B69D3"/>
    <w:rsid w:val="008B70E5"/>
    <w:rsid w:val="008B73FF"/>
    <w:rsid w:val="008B76B2"/>
    <w:rsid w:val="008B783F"/>
    <w:rsid w:val="008B7969"/>
    <w:rsid w:val="008B7B11"/>
    <w:rsid w:val="008B7DC4"/>
    <w:rsid w:val="008B7E18"/>
    <w:rsid w:val="008C008E"/>
    <w:rsid w:val="008C08A5"/>
    <w:rsid w:val="008C0A58"/>
    <w:rsid w:val="008C0EAC"/>
    <w:rsid w:val="008C0F4B"/>
    <w:rsid w:val="008C1758"/>
    <w:rsid w:val="008C1AB2"/>
    <w:rsid w:val="008C1B25"/>
    <w:rsid w:val="008C1C9B"/>
    <w:rsid w:val="008C2BC9"/>
    <w:rsid w:val="008C2C9B"/>
    <w:rsid w:val="008C2F62"/>
    <w:rsid w:val="008C3D2C"/>
    <w:rsid w:val="008C4054"/>
    <w:rsid w:val="008C4AC2"/>
    <w:rsid w:val="008C4C35"/>
    <w:rsid w:val="008C4EFD"/>
    <w:rsid w:val="008C502C"/>
    <w:rsid w:val="008C5054"/>
    <w:rsid w:val="008C51BC"/>
    <w:rsid w:val="008C5389"/>
    <w:rsid w:val="008C55A1"/>
    <w:rsid w:val="008C600E"/>
    <w:rsid w:val="008C697A"/>
    <w:rsid w:val="008C6F24"/>
    <w:rsid w:val="008C7166"/>
    <w:rsid w:val="008C761C"/>
    <w:rsid w:val="008C7A9F"/>
    <w:rsid w:val="008C7E47"/>
    <w:rsid w:val="008D12C0"/>
    <w:rsid w:val="008D12E2"/>
    <w:rsid w:val="008D17F8"/>
    <w:rsid w:val="008D1A0C"/>
    <w:rsid w:val="008D1F83"/>
    <w:rsid w:val="008D3240"/>
    <w:rsid w:val="008D3396"/>
    <w:rsid w:val="008D383C"/>
    <w:rsid w:val="008D41CB"/>
    <w:rsid w:val="008D49C6"/>
    <w:rsid w:val="008D4E00"/>
    <w:rsid w:val="008D4E10"/>
    <w:rsid w:val="008D5564"/>
    <w:rsid w:val="008D5A19"/>
    <w:rsid w:val="008D5E8D"/>
    <w:rsid w:val="008D66D5"/>
    <w:rsid w:val="008D694B"/>
    <w:rsid w:val="008D6ADE"/>
    <w:rsid w:val="008D6D46"/>
    <w:rsid w:val="008E00E1"/>
    <w:rsid w:val="008E0553"/>
    <w:rsid w:val="008E063B"/>
    <w:rsid w:val="008E0B7F"/>
    <w:rsid w:val="008E0D61"/>
    <w:rsid w:val="008E0E6F"/>
    <w:rsid w:val="008E1FDC"/>
    <w:rsid w:val="008E23E6"/>
    <w:rsid w:val="008E2548"/>
    <w:rsid w:val="008E2954"/>
    <w:rsid w:val="008E2A15"/>
    <w:rsid w:val="008E2D35"/>
    <w:rsid w:val="008E3400"/>
    <w:rsid w:val="008E3F52"/>
    <w:rsid w:val="008E418A"/>
    <w:rsid w:val="008E43D1"/>
    <w:rsid w:val="008E48C8"/>
    <w:rsid w:val="008E4BFA"/>
    <w:rsid w:val="008E4D90"/>
    <w:rsid w:val="008E4E8B"/>
    <w:rsid w:val="008E5004"/>
    <w:rsid w:val="008E57C7"/>
    <w:rsid w:val="008E5DF6"/>
    <w:rsid w:val="008E6321"/>
    <w:rsid w:val="008E634F"/>
    <w:rsid w:val="008E6409"/>
    <w:rsid w:val="008E6471"/>
    <w:rsid w:val="008E648B"/>
    <w:rsid w:val="008E6760"/>
    <w:rsid w:val="008E689F"/>
    <w:rsid w:val="008E708B"/>
    <w:rsid w:val="008E7864"/>
    <w:rsid w:val="008E7A22"/>
    <w:rsid w:val="008E7BD9"/>
    <w:rsid w:val="008E7C0F"/>
    <w:rsid w:val="008F02D4"/>
    <w:rsid w:val="008F02D5"/>
    <w:rsid w:val="008F02E9"/>
    <w:rsid w:val="008F0A77"/>
    <w:rsid w:val="008F1626"/>
    <w:rsid w:val="008F17A7"/>
    <w:rsid w:val="008F1A5D"/>
    <w:rsid w:val="008F22CF"/>
    <w:rsid w:val="008F256F"/>
    <w:rsid w:val="008F26DA"/>
    <w:rsid w:val="008F3C74"/>
    <w:rsid w:val="008F4019"/>
    <w:rsid w:val="008F40CB"/>
    <w:rsid w:val="008F4672"/>
    <w:rsid w:val="008F4A26"/>
    <w:rsid w:val="008F4AC7"/>
    <w:rsid w:val="008F4DC1"/>
    <w:rsid w:val="008F4F7E"/>
    <w:rsid w:val="008F509A"/>
    <w:rsid w:val="008F6C47"/>
    <w:rsid w:val="008F70A8"/>
    <w:rsid w:val="008F7607"/>
    <w:rsid w:val="008F7ECE"/>
    <w:rsid w:val="008F7FC0"/>
    <w:rsid w:val="009001A9"/>
    <w:rsid w:val="0090042F"/>
    <w:rsid w:val="0090045E"/>
    <w:rsid w:val="00900775"/>
    <w:rsid w:val="00900A44"/>
    <w:rsid w:val="00900C47"/>
    <w:rsid w:val="00900CC8"/>
    <w:rsid w:val="00900D96"/>
    <w:rsid w:val="009014AD"/>
    <w:rsid w:val="00902251"/>
    <w:rsid w:val="009027DB"/>
    <w:rsid w:val="00902863"/>
    <w:rsid w:val="00902DDE"/>
    <w:rsid w:val="009030E2"/>
    <w:rsid w:val="009032E4"/>
    <w:rsid w:val="009033DE"/>
    <w:rsid w:val="00903FE3"/>
    <w:rsid w:val="009044A4"/>
    <w:rsid w:val="009048B7"/>
    <w:rsid w:val="00904A17"/>
    <w:rsid w:val="00904AE0"/>
    <w:rsid w:val="00904B5B"/>
    <w:rsid w:val="00904CE3"/>
    <w:rsid w:val="00904E6C"/>
    <w:rsid w:val="00904E88"/>
    <w:rsid w:val="00905146"/>
    <w:rsid w:val="00905892"/>
    <w:rsid w:val="00905F10"/>
    <w:rsid w:val="00906730"/>
    <w:rsid w:val="00906B1B"/>
    <w:rsid w:val="0090712D"/>
    <w:rsid w:val="009073C4"/>
    <w:rsid w:val="00907802"/>
    <w:rsid w:val="0090784A"/>
    <w:rsid w:val="00907917"/>
    <w:rsid w:val="009101DA"/>
    <w:rsid w:val="0091044A"/>
    <w:rsid w:val="00910C62"/>
    <w:rsid w:val="0091121D"/>
    <w:rsid w:val="00911C96"/>
    <w:rsid w:val="00911E90"/>
    <w:rsid w:val="00912876"/>
    <w:rsid w:val="009128D3"/>
    <w:rsid w:val="00912A19"/>
    <w:rsid w:val="00912A99"/>
    <w:rsid w:val="00912ECA"/>
    <w:rsid w:val="00913D27"/>
    <w:rsid w:val="0091407B"/>
    <w:rsid w:val="0091515E"/>
    <w:rsid w:val="009151D8"/>
    <w:rsid w:val="009152FC"/>
    <w:rsid w:val="00915432"/>
    <w:rsid w:val="009156CB"/>
    <w:rsid w:val="00915903"/>
    <w:rsid w:val="00915B6E"/>
    <w:rsid w:val="00915B8E"/>
    <w:rsid w:val="009161DE"/>
    <w:rsid w:val="009168C1"/>
    <w:rsid w:val="00916E08"/>
    <w:rsid w:val="00916F65"/>
    <w:rsid w:val="00917300"/>
    <w:rsid w:val="0091761C"/>
    <w:rsid w:val="0091795E"/>
    <w:rsid w:val="00920016"/>
    <w:rsid w:val="00920231"/>
    <w:rsid w:val="009202A1"/>
    <w:rsid w:val="009204E0"/>
    <w:rsid w:val="009207A4"/>
    <w:rsid w:val="009209B1"/>
    <w:rsid w:val="00920D97"/>
    <w:rsid w:val="009212C7"/>
    <w:rsid w:val="009218BF"/>
    <w:rsid w:val="00921D3D"/>
    <w:rsid w:val="00922234"/>
    <w:rsid w:val="00922759"/>
    <w:rsid w:val="00922A11"/>
    <w:rsid w:val="009231F5"/>
    <w:rsid w:val="00923203"/>
    <w:rsid w:val="009235EC"/>
    <w:rsid w:val="00923755"/>
    <w:rsid w:val="00923CED"/>
    <w:rsid w:val="00924374"/>
    <w:rsid w:val="00924538"/>
    <w:rsid w:val="00924A0E"/>
    <w:rsid w:val="00924A69"/>
    <w:rsid w:val="00924E19"/>
    <w:rsid w:val="0092503A"/>
    <w:rsid w:val="00925539"/>
    <w:rsid w:val="009259F6"/>
    <w:rsid w:val="00925A99"/>
    <w:rsid w:val="00925ABA"/>
    <w:rsid w:val="00925BC0"/>
    <w:rsid w:val="00925E0F"/>
    <w:rsid w:val="009264F2"/>
    <w:rsid w:val="00926678"/>
    <w:rsid w:val="00926921"/>
    <w:rsid w:val="0092730B"/>
    <w:rsid w:val="0092796E"/>
    <w:rsid w:val="00930582"/>
    <w:rsid w:val="009306A8"/>
    <w:rsid w:val="00930AFF"/>
    <w:rsid w:val="009312C8"/>
    <w:rsid w:val="00931D80"/>
    <w:rsid w:val="0093206C"/>
    <w:rsid w:val="00932735"/>
    <w:rsid w:val="00932C20"/>
    <w:rsid w:val="00932E83"/>
    <w:rsid w:val="00933094"/>
    <w:rsid w:val="0093344B"/>
    <w:rsid w:val="009336F4"/>
    <w:rsid w:val="00933F6C"/>
    <w:rsid w:val="009347E3"/>
    <w:rsid w:val="0093562E"/>
    <w:rsid w:val="0093594D"/>
    <w:rsid w:val="009368C2"/>
    <w:rsid w:val="0093713F"/>
    <w:rsid w:val="009374B2"/>
    <w:rsid w:val="00937DC5"/>
    <w:rsid w:val="00940566"/>
    <w:rsid w:val="00940D7C"/>
    <w:rsid w:val="009411DC"/>
    <w:rsid w:val="009412F4"/>
    <w:rsid w:val="0094133B"/>
    <w:rsid w:val="0094136A"/>
    <w:rsid w:val="00941B0E"/>
    <w:rsid w:val="00941BE3"/>
    <w:rsid w:val="00941D4D"/>
    <w:rsid w:val="00941DB8"/>
    <w:rsid w:val="00941FD5"/>
    <w:rsid w:val="009423C1"/>
    <w:rsid w:val="009425F1"/>
    <w:rsid w:val="00942759"/>
    <w:rsid w:val="00942FBB"/>
    <w:rsid w:val="00943122"/>
    <w:rsid w:val="009431BC"/>
    <w:rsid w:val="0094320C"/>
    <w:rsid w:val="009432E2"/>
    <w:rsid w:val="00943D52"/>
    <w:rsid w:val="009444BA"/>
    <w:rsid w:val="00944549"/>
    <w:rsid w:val="00944607"/>
    <w:rsid w:val="0094515D"/>
    <w:rsid w:val="00945251"/>
    <w:rsid w:val="00945475"/>
    <w:rsid w:val="00945718"/>
    <w:rsid w:val="009465A0"/>
    <w:rsid w:val="009467F5"/>
    <w:rsid w:val="00947225"/>
    <w:rsid w:val="009506D6"/>
    <w:rsid w:val="0095076B"/>
    <w:rsid w:val="00950D5D"/>
    <w:rsid w:val="0095125F"/>
    <w:rsid w:val="0095151A"/>
    <w:rsid w:val="009515E3"/>
    <w:rsid w:val="00951859"/>
    <w:rsid w:val="00951E03"/>
    <w:rsid w:val="00951EF2"/>
    <w:rsid w:val="00952100"/>
    <w:rsid w:val="00952686"/>
    <w:rsid w:val="00952A9C"/>
    <w:rsid w:val="009530DC"/>
    <w:rsid w:val="0095360C"/>
    <w:rsid w:val="00953710"/>
    <w:rsid w:val="009537DA"/>
    <w:rsid w:val="00953AC2"/>
    <w:rsid w:val="00953BFB"/>
    <w:rsid w:val="009540F1"/>
    <w:rsid w:val="00954494"/>
    <w:rsid w:val="00954AC1"/>
    <w:rsid w:val="00954CDE"/>
    <w:rsid w:val="0095555A"/>
    <w:rsid w:val="00955D38"/>
    <w:rsid w:val="00955F31"/>
    <w:rsid w:val="009561A6"/>
    <w:rsid w:val="009561FD"/>
    <w:rsid w:val="00956A80"/>
    <w:rsid w:val="00956D9A"/>
    <w:rsid w:val="00956DE8"/>
    <w:rsid w:val="00956E60"/>
    <w:rsid w:val="0095784F"/>
    <w:rsid w:val="00960531"/>
    <w:rsid w:val="00960BB6"/>
    <w:rsid w:val="00961082"/>
    <w:rsid w:val="009611A3"/>
    <w:rsid w:val="0096144A"/>
    <w:rsid w:val="009618F9"/>
    <w:rsid w:val="00961921"/>
    <w:rsid w:val="00961941"/>
    <w:rsid w:val="009619CF"/>
    <w:rsid w:val="00961A5D"/>
    <w:rsid w:val="009621BB"/>
    <w:rsid w:val="00962432"/>
    <w:rsid w:val="0096256D"/>
    <w:rsid w:val="0096262E"/>
    <w:rsid w:val="0096279A"/>
    <w:rsid w:val="00962AD7"/>
    <w:rsid w:val="0096386D"/>
    <w:rsid w:val="00963AF9"/>
    <w:rsid w:val="00963EBC"/>
    <w:rsid w:val="009643EE"/>
    <w:rsid w:val="009644D0"/>
    <w:rsid w:val="00964829"/>
    <w:rsid w:val="00964B7D"/>
    <w:rsid w:val="00964CDA"/>
    <w:rsid w:val="00964D2E"/>
    <w:rsid w:val="0096597A"/>
    <w:rsid w:val="00965A27"/>
    <w:rsid w:val="00965B96"/>
    <w:rsid w:val="00966430"/>
    <w:rsid w:val="00966480"/>
    <w:rsid w:val="00967100"/>
    <w:rsid w:val="00967715"/>
    <w:rsid w:val="00967BAE"/>
    <w:rsid w:val="00967EF2"/>
    <w:rsid w:val="00970946"/>
    <w:rsid w:val="0097231D"/>
    <w:rsid w:val="009724C2"/>
    <w:rsid w:val="00972750"/>
    <w:rsid w:val="0097334C"/>
    <w:rsid w:val="0097375A"/>
    <w:rsid w:val="00973793"/>
    <w:rsid w:val="0097394F"/>
    <w:rsid w:val="00973C41"/>
    <w:rsid w:val="00973E92"/>
    <w:rsid w:val="00973F1C"/>
    <w:rsid w:val="009759FE"/>
    <w:rsid w:val="00975B3F"/>
    <w:rsid w:val="00975EC5"/>
    <w:rsid w:val="009760B4"/>
    <w:rsid w:val="00976768"/>
    <w:rsid w:val="00976E11"/>
    <w:rsid w:val="0097719C"/>
    <w:rsid w:val="00977715"/>
    <w:rsid w:val="00977958"/>
    <w:rsid w:val="00977AA0"/>
    <w:rsid w:val="00977CA5"/>
    <w:rsid w:val="00977CF7"/>
    <w:rsid w:val="00977F34"/>
    <w:rsid w:val="0098011E"/>
    <w:rsid w:val="009801CE"/>
    <w:rsid w:val="009801EF"/>
    <w:rsid w:val="00980A30"/>
    <w:rsid w:val="00980ACC"/>
    <w:rsid w:val="00980AFA"/>
    <w:rsid w:val="00980C46"/>
    <w:rsid w:val="00981135"/>
    <w:rsid w:val="0098138A"/>
    <w:rsid w:val="009814AA"/>
    <w:rsid w:val="00981CC3"/>
    <w:rsid w:val="00981E66"/>
    <w:rsid w:val="00981EC2"/>
    <w:rsid w:val="0098222B"/>
    <w:rsid w:val="00982691"/>
    <w:rsid w:val="00982698"/>
    <w:rsid w:val="00982971"/>
    <w:rsid w:val="009829C9"/>
    <w:rsid w:val="00982B64"/>
    <w:rsid w:val="00983738"/>
    <w:rsid w:val="00983A34"/>
    <w:rsid w:val="00983D66"/>
    <w:rsid w:val="00984534"/>
    <w:rsid w:val="00984944"/>
    <w:rsid w:val="00984948"/>
    <w:rsid w:val="00984AEE"/>
    <w:rsid w:val="00984B57"/>
    <w:rsid w:val="00984BF7"/>
    <w:rsid w:val="00984E09"/>
    <w:rsid w:val="009850D2"/>
    <w:rsid w:val="009855F0"/>
    <w:rsid w:val="0098620A"/>
    <w:rsid w:val="00986615"/>
    <w:rsid w:val="00987047"/>
    <w:rsid w:val="009872BD"/>
    <w:rsid w:val="009872FC"/>
    <w:rsid w:val="009878AC"/>
    <w:rsid w:val="00990329"/>
    <w:rsid w:val="00990822"/>
    <w:rsid w:val="00990A61"/>
    <w:rsid w:val="00990CF6"/>
    <w:rsid w:val="00990FEF"/>
    <w:rsid w:val="0099207A"/>
    <w:rsid w:val="00992939"/>
    <w:rsid w:val="00993053"/>
    <w:rsid w:val="0099383C"/>
    <w:rsid w:val="0099391A"/>
    <w:rsid w:val="00993AB9"/>
    <w:rsid w:val="00993AFA"/>
    <w:rsid w:val="00993D08"/>
    <w:rsid w:val="00995021"/>
    <w:rsid w:val="0099593E"/>
    <w:rsid w:val="00995A50"/>
    <w:rsid w:val="009964EF"/>
    <w:rsid w:val="009964FC"/>
    <w:rsid w:val="009966CD"/>
    <w:rsid w:val="0099699A"/>
    <w:rsid w:val="00996C87"/>
    <w:rsid w:val="00997778"/>
    <w:rsid w:val="009978C6"/>
    <w:rsid w:val="00997BB6"/>
    <w:rsid w:val="009A00C5"/>
    <w:rsid w:val="009A02C4"/>
    <w:rsid w:val="009A068B"/>
    <w:rsid w:val="009A087C"/>
    <w:rsid w:val="009A114A"/>
    <w:rsid w:val="009A1ACA"/>
    <w:rsid w:val="009A1B54"/>
    <w:rsid w:val="009A1D72"/>
    <w:rsid w:val="009A247E"/>
    <w:rsid w:val="009A26CD"/>
    <w:rsid w:val="009A2B26"/>
    <w:rsid w:val="009A2CC8"/>
    <w:rsid w:val="009A2F36"/>
    <w:rsid w:val="009A4121"/>
    <w:rsid w:val="009A460E"/>
    <w:rsid w:val="009A4D9F"/>
    <w:rsid w:val="009A5EB8"/>
    <w:rsid w:val="009A6231"/>
    <w:rsid w:val="009A6239"/>
    <w:rsid w:val="009A67BB"/>
    <w:rsid w:val="009A6880"/>
    <w:rsid w:val="009A6D88"/>
    <w:rsid w:val="009A6DD4"/>
    <w:rsid w:val="009A7364"/>
    <w:rsid w:val="009A77BF"/>
    <w:rsid w:val="009A7FDF"/>
    <w:rsid w:val="009B02CD"/>
    <w:rsid w:val="009B0835"/>
    <w:rsid w:val="009B0951"/>
    <w:rsid w:val="009B09F3"/>
    <w:rsid w:val="009B0D6A"/>
    <w:rsid w:val="009B1A7B"/>
    <w:rsid w:val="009B1F49"/>
    <w:rsid w:val="009B2369"/>
    <w:rsid w:val="009B2823"/>
    <w:rsid w:val="009B312E"/>
    <w:rsid w:val="009B3241"/>
    <w:rsid w:val="009B32E0"/>
    <w:rsid w:val="009B3324"/>
    <w:rsid w:val="009B33CF"/>
    <w:rsid w:val="009B389D"/>
    <w:rsid w:val="009B39BC"/>
    <w:rsid w:val="009B3C9E"/>
    <w:rsid w:val="009B40BF"/>
    <w:rsid w:val="009B42C5"/>
    <w:rsid w:val="009B45B3"/>
    <w:rsid w:val="009B4BE9"/>
    <w:rsid w:val="009B4D99"/>
    <w:rsid w:val="009B55C6"/>
    <w:rsid w:val="009B55EF"/>
    <w:rsid w:val="009B5C7A"/>
    <w:rsid w:val="009B62D3"/>
    <w:rsid w:val="009B701E"/>
    <w:rsid w:val="009B776A"/>
    <w:rsid w:val="009B7AF7"/>
    <w:rsid w:val="009B7B91"/>
    <w:rsid w:val="009C028D"/>
    <w:rsid w:val="009C0542"/>
    <w:rsid w:val="009C0A02"/>
    <w:rsid w:val="009C0C2C"/>
    <w:rsid w:val="009C0E70"/>
    <w:rsid w:val="009C14FA"/>
    <w:rsid w:val="009C1762"/>
    <w:rsid w:val="009C1DAA"/>
    <w:rsid w:val="009C2647"/>
    <w:rsid w:val="009C2DEC"/>
    <w:rsid w:val="009C3128"/>
    <w:rsid w:val="009C371A"/>
    <w:rsid w:val="009C38D0"/>
    <w:rsid w:val="009C3E40"/>
    <w:rsid w:val="009C428C"/>
    <w:rsid w:val="009C4AF5"/>
    <w:rsid w:val="009C59C7"/>
    <w:rsid w:val="009C5AF7"/>
    <w:rsid w:val="009C5BFC"/>
    <w:rsid w:val="009C6052"/>
    <w:rsid w:val="009C6311"/>
    <w:rsid w:val="009C6831"/>
    <w:rsid w:val="009C7659"/>
    <w:rsid w:val="009C77CC"/>
    <w:rsid w:val="009D00C8"/>
    <w:rsid w:val="009D023E"/>
    <w:rsid w:val="009D1C22"/>
    <w:rsid w:val="009D1C7C"/>
    <w:rsid w:val="009D1CD3"/>
    <w:rsid w:val="009D201F"/>
    <w:rsid w:val="009D23B5"/>
    <w:rsid w:val="009D257B"/>
    <w:rsid w:val="009D2B71"/>
    <w:rsid w:val="009D2BC0"/>
    <w:rsid w:val="009D2CE5"/>
    <w:rsid w:val="009D2D45"/>
    <w:rsid w:val="009D3262"/>
    <w:rsid w:val="009D3621"/>
    <w:rsid w:val="009D37EC"/>
    <w:rsid w:val="009D3BE0"/>
    <w:rsid w:val="009D3CE2"/>
    <w:rsid w:val="009D3D51"/>
    <w:rsid w:val="009D42B9"/>
    <w:rsid w:val="009D4564"/>
    <w:rsid w:val="009D5EBA"/>
    <w:rsid w:val="009D5F98"/>
    <w:rsid w:val="009D6834"/>
    <w:rsid w:val="009D6B58"/>
    <w:rsid w:val="009D6BD3"/>
    <w:rsid w:val="009D6C0D"/>
    <w:rsid w:val="009D6C27"/>
    <w:rsid w:val="009D761A"/>
    <w:rsid w:val="009D76A3"/>
    <w:rsid w:val="009E0131"/>
    <w:rsid w:val="009E0536"/>
    <w:rsid w:val="009E0942"/>
    <w:rsid w:val="009E13D7"/>
    <w:rsid w:val="009E13E7"/>
    <w:rsid w:val="009E1783"/>
    <w:rsid w:val="009E19F1"/>
    <w:rsid w:val="009E1B76"/>
    <w:rsid w:val="009E1D89"/>
    <w:rsid w:val="009E28BE"/>
    <w:rsid w:val="009E29CE"/>
    <w:rsid w:val="009E2FEB"/>
    <w:rsid w:val="009E3266"/>
    <w:rsid w:val="009E380A"/>
    <w:rsid w:val="009E4017"/>
    <w:rsid w:val="009E413A"/>
    <w:rsid w:val="009E452B"/>
    <w:rsid w:val="009E47AF"/>
    <w:rsid w:val="009E4D20"/>
    <w:rsid w:val="009E4D2B"/>
    <w:rsid w:val="009E6278"/>
    <w:rsid w:val="009E62E1"/>
    <w:rsid w:val="009E6542"/>
    <w:rsid w:val="009E6F63"/>
    <w:rsid w:val="009E7240"/>
    <w:rsid w:val="009E7700"/>
    <w:rsid w:val="009E79FB"/>
    <w:rsid w:val="009E7B8B"/>
    <w:rsid w:val="009F0020"/>
    <w:rsid w:val="009F058F"/>
    <w:rsid w:val="009F06A2"/>
    <w:rsid w:val="009F0AEE"/>
    <w:rsid w:val="009F0C9A"/>
    <w:rsid w:val="009F0E96"/>
    <w:rsid w:val="009F18CE"/>
    <w:rsid w:val="009F1A01"/>
    <w:rsid w:val="009F1BBE"/>
    <w:rsid w:val="009F2241"/>
    <w:rsid w:val="009F2311"/>
    <w:rsid w:val="009F291F"/>
    <w:rsid w:val="009F3132"/>
    <w:rsid w:val="009F3172"/>
    <w:rsid w:val="009F33F3"/>
    <w:rsid w:val="009F3501"/>
    <w:rsid w:val="009F3E7C"/>
    <w:rsid w:val="009F447F"/>
    <w:rsid w:val="009F4636"/>
    <w:rsid w:val="009F4A7B"/>
    <w:rsid w:val="009F4A96"/>
    <w:rsid w:val="009F5228"/>
    <w:rsid w:val="009F60D0"/>
    <w:rsid w:val="009F63BC"/>
    <w:rsid w:val="009F64D2"/>
    <w:rsid w:val="009F6695"/>
    <w:rsid w:val="009F6AD8"/>
    <w:rsid w:val="009F6B46"/>
    <w:rsid w:val="009F6D8C"/>
    <w:rsid w:val="009F6F1B"/>
    <w:rsid w:val="009F7332"/>
    <w:rsid w:val="009F73D3"/>
    <w:rsid w:val="009F7539"/>
    <w:rsid w:val="009F7562"/>
    <w:rsid w:val="009F759D"/>
    <w:rsid w:val="009F76D0"/>
    <w:rsid w:val="009F7719"/>
    <w:rsid w:val="009F7968"/>
    <w:rsid w:val="009F7F83"/>
    <w:rsid w:val="00A001CE"/>
    <w:rsid w:val="00A00AD7"/>
    <w:rsid w:val="00A00D5B"/>
    <w:rsid w:val="00A00EAA"/>
    <w:rsid w:val="00A00F9E"/>
    <w:rsid w:val="00A00FBD"/>
    <w:rsid w:val="00A01185"/>
    <w:rsid w:val="00A014B2"/>
    <w:rsid w:val="00A01801"/>
    <w:rsid w:val="00A01945"/>
    <w:rsid w:val="00A01B81"/>
    <w:rsid w:val="00A01BA6"/>
    <w:rsid w:val="00A01BE3"/>
    <w:rsid w:val="00A01E7E"/>
    <w:rsid w:val="00A01E9B"/>
    <w:rsid w:val="00A03FC2"/>
    <w:rsid w:val="00A04440"/>
    <w:rsid w:val="00A04FEC"/>
    <w:rsid w:val="00A04FF9"/>
    <w:rsid w:val="00A050E5"/>
    <w:rsid w:val="00A0524D"/>
    <w:rsid w:val="00A05424"/>
    <w:rsid w:val="00A05E10"/>
    <w:rsid w:val="00A06022"/>
    <w:rsid w:val="00A063A1"/>
    <w:rsid w:val="00A064BB"/>
    <w:rsid w:val="00A06A41"/>
    <w:rsid w:val="00A06BBE"/>
    <w:rsid w:val="00A07538"/>
    <w:rsid w:val="00A07A03"/>
    <w:rsid w:val="00A07C81"/>
    <w:rsid w:val="00A10543"/>
    <w:rsid w:val="00A107C1"/>
    <w:rsid w:val="00A10AAA"/>
    <w:rsid w:val="00A10BD4"/>
    <w:rsid w:val="00A11099"/>
    <w:rsid w:val="00A116DB"/>
    <w:rsid w:val="00A11781"/>
    <w:rsid w:val="00A11AA5"/>
    <w:rsid w:val="00A11E60"/>
    <w:rsid w:val="00A12597"/>
    <w:rsid w:val="00A12FDB"/>
    <w:rsid w:val="00A131A4"/>
    <w:rsid w:val="00A1333D"/>
    <w:rsid w:val="00A13FFC"/>
    <w:rsid w:val="00A1436E"/>
    <w:rsid w:val="00A152E4"/>
    <w:rsid w:val="00A15646"/>
    <w:rsid w:val="00A157EB"/>
    <w:rsid w:val="00A15969"/>
    <w:rsid w:val="00A15BEA"/>
    <w:rsid w:val="00A15C71"/>
    <w:rsid w:val="00A16603"/>
    <w:rsid w:val="00A16716"/>
    <w:rsid w:val="00A1739B"/>
    <w:rsid w:val="00A200DC"/>
    <w:rsid w:val="00A200EE"/>
    <w:rsid w:val="00A202E3"/>
    <w:rsid w:val="00A2036D"/>
    <w:rsid w:val="00A20408"/>
    <w:rsid w:val="00A20447"/>
    <w:rsid w:val="00A20708"/>
    <w:rsid w:val="00A216DF"/>
    <w:rsid w:val="00A22173"/>
    <w:rsid w:val="00A2253C"/>
    <w:rsid w:val="00A226BA"/>
    <w:rsid w:val="00A227DC"/>
    <w:rsid w:val="00A22BE8"/>
    <w:rsid w:val="00A22D91"/>
    <w:rsid w:val="00A22FD0"/>
    <w:rsid w:val="00A231F2"/>
    <w:rsid w:val="00A23325"/>
    <w:rsid w:val="00A238B1"/>
    <w:rsid w:val="00A2480D"/>
    <w:rsid w:val="00A24A2F"/>
    <w:rsid w:val="00A253F4"/>
    <w:rsid w:val="00A25637"/>
    <w:rsid w:val="00A25924"/>
    <w:rsid w:val="00A25E68"/>
    <w:rsid w:val="00A26357"/>
    <w:rsid w:val="00A2659F"/>
    <w:rsid w:val="00A2663B"/>
    <w:rsid w:val="00A26794"/>
    <w:rsid w:val="00A268B5"/>
    <w:rsid w:val="00A272EF"/>
    <w:rsid w:val="00A3024B"/>
    <w:rsid w:val="00A30931"/>
    <w:rsid w:val="00A30C2E"/>
    <w:rsid w:val="00A30CDE"/>
    <w:rsid w:val="00A31119"/>
    <w:rsid w:val="00A316B7"/>
    <w:rsid w:val="00A31B96"/>
    <w:rsid w:val="00A32097"/>
    <w:rsid w:val="00A32294"/>
    <w:rsid w:val="00A323CD"/>
    <w:rsid w:val="00A325FB"/>
    <w:rsid w:val="00A33749"/>
    <w:rsid w:val="00A33990"/>
    <w:rsid w:val="00A33B50"/>
    <w:rsid w:val="00A33C91"/>
    <w:rsid w:val="00A347C5"/>
    <w:rsid w:val="00A348D8"/>
    <w:rsid w:val="00A34BB7"/>
    <w:rsid w:val="00A34BF0"/>
    <w:rsid w:val="00A34C12"/>
    <w:rsid w:val="00A34C91"/>
    <w:rsid w:val="00A3518B"/>
    <w:rsid w:val="00A359A0"/>
    <w:rsid w:val="00A35E0A"/>
    <w:rsid w:val="00A35F7A"/>
    <w:rsid w:val="00A362CC"/>
    <w:rsid w:val="00A36DA4"/>
    <w:rsid w:val="00A3741F"/>
    <w:rsid w:val="00A37451"/>
    <w:rsid w:val="00A3790F"/>
    <w:rsid w:val="00A37E56"/>
    <w:rsid w:val="00A404CD"/>
    <w:rsid w:val="00A406BC"/>
    <w:rsid w:val="00A406DB"/>
    <w:rsid w:val="00A4087C"/>
    <w:rsid w:val="00A40EA8"/>
    <w:rsid w:val="00A41131"/>
    <w:rsid w:val="00A41FD0"/>
    <w:rsid w:val="00A4207C"/>
    <w:rsid w:val="00A42DD5"/>
    <w:rsid w:val="00A43059"/>
    <w:rsid w:val="00A434A3"/>
    <w:rsid w:val="00A43C4E"/>
    <w:rsid w:val="00A43C9F"/>
    <w:rsid w:val="00A441F6"/>
    <w:rsid w:val="00A44200"/>
    <w:rsid w:val="00A443C9"/>
    <w:rsid w:val="00A446A0"/>
    <w:rsid w:val="00A4480B"/>
    <w:rsid w:val="00A44A85"/>
    <w:rsid w:val="00A44D30"/>
    <w:rsid w:val="00A45006"/>
    <w:rsid w:val="00A45162"/>
    <w:rsid w:val="00A45359"/>
    <w:rsid w:val="00A461B0"/>
    <w:rsid w:val="00A46838"/>
    <w:rsid w:val="00A46890"/>
    <w:rsid w:val="00A46CD7"/>
    <w:rsid w:val="00A470AF"/>
    <w:rsid w:val="00A47E37"/>
    <w:rsid w:val="00A50137"/>
    <w:rsid w:val="00A50264"/>
    <w:rsid w:val="00A5050E"/>
    <w:rsid w:val="00A5078E"/>
    <w:rsid w:val="00A51332"/>
    <w:rsid w:val="00A51D74"/>
    <w:rsid w:val="00A5256C"/>
    <w:rsid w:val="00A528F1"/>
    <w:rsid w:val="00A52D72"/>
    <w:rsid w:val="00A52F58"/>
    <w:rsid w:val="00A52F69"/>
    <w:rsid w:val="00A5315E"/>
    <w:rsid w:val="00A53EA8"/>
    <w:rsid w:val="00A53F1A"/>
    <w:rsid w:val="00A542CC"/>
    <w:rsid w:val="00A546C6"/>
    <w:rsid w:val="00A54CBA"/>
    <w:rsid w:val="00A54FAC"/>
    <w:rsid w:val="00A55357"/>
    <w:rsid w:val="00A56270"/>
    <w:rsid w:val="00A56D89"/>
    <w:rsid w:val="00A56FF8"/>
    <w:rsid w:val="00A570F6"/>
    <w:rsid w:val="00A57722"/>
    <w:rsid w:val="00A60778"/>
    <w:rsid w:val="00A60B0C"/>
    <w:rsid w:val="00A6108A"/>
    <w:rsid w:val="00A612A0"/>
    <w:rsid w:val="00A61347"/>
    <w:rsid w:val="00A61DE5"/>
    <w:rsid w:val="00A621A4"/>
    <w:rsid w:val="00A62833"/>
    <w:rsid w:val="00A632F8"/>
    <w:rsid w:val="00A637B3"/>
    <w:rsid w:val="00A637DD"/>
    <w:rsid w:val="00A637DF"/>
    <w:rsid w:val="00A63BA8"/>
    <w:rsid w:val="00A63F52"/>
    <w:rsid w:val="00A64375"/>
    <w:rsid w:val="00A64607"/>
    <w:rsid w:val="00A6478B"/>
    <w:rsid w:val="00A649DE"/>
    <w:rsid w:val="00A64B73"/>
    <w:rsid w:val="00A65039"/>
    <w:rsid w:val="00A650B2"/>
    <w:rsid w:val="00A650CC"/>
    <w:rsid w:val="00A65A68"/>
    <w:rsid w:val="00A66773"/>
    <w:rsid w:val="00A667A4"/>
    <w:rsid w:val="00A670DE"/>
    <w:rsid w:val="00A672CC"/>
    <w:rsid w:val="00A67A5D"/>
    <w:rsid w:val="00A704E0"/>
    <w:rsid w:val="00A70681"/>
    <w:rsid w:val="00A708DD"/>
    <w:rsid w:val="00A70DF8"/>
    <w:rsid w:val="00A70E7F"/>
    <w:rsid w:val="00A70EB7"/>
    <w:rsid w:val="00A70FA8"/>
    <w:rsid w:val="00A70FB4"/>
    <w:rsid w:val="00A7171D"/>
    <w:rsid w:val="00A71760"/>
    <w:rsid w:val="00A717C2"/>
    <w:rsid w:val="00A71DED"/>
    <w:rsid w:val="00A71E05"/>
    <w:rsid w:val="00A729CE"/>
    <w:rsid w:val="00A72F86"/>
    <w:rsid w:val="00A73073"/>
    <w:rsid w:val="00A73296"/>
    <w:rsid w:val="00A7396F"/>
    <w:rsid w:val="00A73A1A"/>
    <w:rsid w:val="00A73A27"/>
    <w:rsid w:val="00A73D2A"/>
    <w:rsid w:val="00A7494A"/>
    <w:rsid w:val="00A74BAA"/>
    <w:rsid w:val="00A75ADC"/>
    <w:rsid w:val="00A75E16"/>
    <w:rsid w:val="00A76417"/>
    <w:rsid w:val="00A76893"/>
    <w:rsid w:val="00A77590"/>
    <w:rsid w:val="00A776D2"/>
    <w:rsid w:val="00A77F53"/>
    <w:rsid w:val="00A800BB"/>
    <w:rsid w:val="00A80616"/>
    <w:rsid w:val="00A80676"/>
    <w:rsid w:val="00A82069"/>
    <w:rsid w:val="00A8218E"/>
    <w:rsid w:val="00A82535"/>
    <w:rsid w:val="00A8259F"/>
    <w:rsid w:val="00A827E6"/>
    <w:rsid w:val="00A82FA6"/>
    <w:rsid w:val="00A836AD"/>
    <w:rsid w:val="00A837E8"/>
    <w:rsid w:val="00A843E3"/>
    <w:rsid w:val="00A847BD"/>
    <w:rsid w:val="00A853DB"/>
    <w:rsid w:val="00A853DD"/>
    <w:rsid w:val="00A85BFB"/>
    <w:rsid w:val="00A864A0"/>
    <w:rsid w:val="00A865EB"/>
    <w:rsid w:val="00A8671F"/>
    <w:rsid w:val="00A86991"/>
    <w:rsid w:val="00A86EA7"/>
    <w:rsid w:val="00A87459"/>
    <w:rsid w:val="00A87828"/>
    <w:rsid w:val="00A878A5"/>
    <w:rsid w:val="00A87988"/>
    <w:rsid w:val="00A879C9"/>
    <w:rsid w:val="00A87C7D"/>
    <w:rsid w:val="00A9002E"/>
    <w:rsid w:val="00A90DAC"/>
    <w:rsid w:val="00A90E4C"/>
    <w:rsid w:val="00A910B2"/>
    <w:rsid w:val="00A910E3"/>
    <w:rsid w:val="00A918AE"/>
    <w:rsid w:val="00A91B17"/>
    <w:rsid w:val="00A91E3C"/>
    <w:rsid w:val="00A9226C"/>
    <w:rsid w:val="00A93343"/>
    <w:rsid w:val="00A9345B"/>
    <w:rsid w:val="00A935BE"/>
    <w:rsid w:val="00A93AC0"/>
    <w:rsid w:val="00A93C7E"/>
    <w:rsid w:val="00A942DD"/>
    <w:rsid w:val="00A947D8"/>
    <w:rsid w:val="00A94F76"/>
    <w:rsid w:val="00A95116"/>
    <w:rsid w:val="00A955F5"/>
    <w:rsid w:val="00A95A28"/>
    <w:rsid w:val="00A95B26"/>
    <w:rsid w:val="00A95F13"/>
    <w:rsid w:val="00A95F1B"/>
    <w:rsid w:val="00A95F79"/>
    <w:rsid w:val="00A962DF"/>
    <w:rsid w:val="00A96ABF"/>
    <w:rsid w:val="00A96BC1"/>
    <w:rsid w:val="00A97260"/>
    <w:rsid w:val="00A97483"/>
    <w:rsid w:val="00A97ECB"/>
    <w:rsid w:val="00A97F3A"/>
    <w:rsid w:val="00AA0227"/>
    <w:rsid w:val="00AA035E"/>
    <w:rsid w:val="00AA0832"/>
    <w:rsid w:val="00AA0A54"/>
    <w:rsid w:val="00AA0B25"/>
    <w:rsid w:val="00AA0DD7"/>
    <w:rsid w:val="00AA1039"/>
    <w:rsid w:val="00AA1404"/>
    <w:rsid w:val="00AA1652"/>
    <w:rsid w:val="00AA176C"/>
    <w:rsid w:val="00AA1798"/>
    <w:rsid w:val="00AA1889"/>
    <w:rsid w:val="00AA261B"/>
    <w:rsid w:val="00AA2644"/>
    <w:rsid w:val="00AA26AB"/>
    <w:rsid w:val="00AA2793"/>
    <w:rsid w:val="00AA27C0"/>
    <w:rsid w:val="00AA2ACB"/>
    <w:rsid w:val="00AA3347"/>
    <w:rsid w:val="00AA3F62"/>
    <w:rsid w:val="00AA49AD"/>
    <w:rsid w:val="00AA510A"/>
    <w:rsid w:val="00AA51B3"/>
    <w:rsid w:val="00AA56BE"/>
    <w:rsid w:val="00AA5DC7"/>
    <w:rsid w:val="00AA5E8C"/>
    <w:rsid w:val="00AA605A"/>
    <w:rsid w:val="00AA6064"/>
    <w:rsid w:val="00AA625A"/>
    <w:rsid w:val="00AA693E"/>
    <w:rsid w:val="00AA6CB1"/>
    <w:rsid w:val="00AA6FB9"/>
    <w:rsid w:val="00AA775B"/>
    <w:rsid w:val="00AA7D24"/>
    <w:rsid w:val="00AB03C7"/>
    <w:rsid w:val="00AB04E7"/>
    <w:rsid w:val="00AB06DC"/>
    <w:rsid w:val="00AB0724"/>
    <w:rsid w:val="00AB0817"/>
    <w:rsid w:val="00AB08FC"/>
    <w:rsid w:val="00AB0FA1"/>
    <w:rsid w:val="00AB1322"/>
    <w:rsid w:val="00AB132D"/>
    <w:rsid w:val="00AB1368"/>
    <w:rsid w:val="00AB1AA3"/>
    <w:rsid w:val="00AB1FA8"/>
    <w:rsid w:val="00AB2153"/>
    <w:rsid w:val="00AB2262"/>
    <w:rsid w:val="00AB26A0"/>
    <w:rsid w:val="00AB2A12"/>
    <w:rsid w:val="00AB2A52"/>
    <w:rsid w:val="00AB2B92"/>
    <w:rsid w:val="00AB2C64"/>
    <w:rsid w:val="00AB2F94"/>
    <w:rsid w:val="00AB35BA"/>
    <w:rsid w:val="00AB3A69"/>
    <w:rsid w:val="00AB3C91"/>
    <w:rsid w:val="00AB3E9E"/>
    <w:rsid w:val="00AB40E4"/>
    <w:rsid w:val="00AB48CF"/>
    <w:rsid w:val="00AB4921"/>
    <w:rsid w:val="00AB4D4B"/>
    <w:rsid w:val="00AB51F9"/>
    <w:rsid w:val="00AB53CE"/>
    <w:rsid w:val="00AB5C5D"/>
    <w:rsid w:val="00AB5E39"/>
    <w:rsid w:val="00AB6935"/>
    <w:rsid w:val="00AB6AFB"/>
    <w:rsid w:val="00AB6FA2"/>
    <w:rsid w:val="00AB71BC"/>
    <w:rsid w:val="00AB7278"/>
    <w:rsid w:val="00AB7490"/>
    <w:rsid w:val="00AB7631"/>
    <w:rsid w:val="00AB7669"/>
    <w:rsid w:val="00AB7882"/>
    <w:rsid w:val="00AB78AA"/>
    <w:rsid w:val="00AB7F32"/>
    <w:rsid w:val="00AC002B"/>
    <w:rsid w:val="00AC033D"/>
    <w:rsid w:val="00AC04CB"/>
    <w:rsid w:val="00AC051D"/>
    <w:rsid w:val="00AC11B0"/>
    <w:rsid w:val="00AC16FD"/>
    <w:rsid w:val="00AC18AE"/>
    <w:rsid w:val="00AC1D8B"/>
    <w:rsid w:val="00AC20FB"/>
    <w:rsid w:val="00AC2129"/>
    <w:rsid w:val="00AC25EB"/>
    <w:rsid w:val="00AC27DE"/>
    <w:rsid w:val="00AC2D38"/>
    <w:rsid w:val="00AC30A5"/>
    <w:rsid w:val="00AC31A8"/>
    <w:rsid w:val="00AC36B1"/>
    <w:rsid w:val="00AC3A6F"/>
    <w:rsid w:val="00AC3B69"/>
    <w:rsid w:val="00AC4EC9"/>
    <w:rsid w:val="00AC5602"/>
    <w:rsid w:val="00AC5847"/>
    <w:rsid w:val="00AC588D"/>
    <w:rsid w:val="00AC5AD8"/>
    <w:rsid w:val="00AC5B14"/>
    <w:rsid w:val="00AC5B84"/>
    <w:rsid w:val="00AC5BD6"/>
    <w:rsid w:val="00AC5C93"/>
    <w:rsid w:val="00AC5DB3"/>
    <w:rsid w:val="00AC66BC"/>
    <w:rsid w:val="00AC67F2"/>
    <w:rsid w:val="00AC6999"/>
    <w:rsid w:val="00AC6F05"/>
    <w:rsid w:val="00AC6F63"/>
    <w:rsid w:val="00AC7231"/>
    <w:rsid w:val="00AC77F0"/>
    <w:rsid w:val="00AC78D5"/>
    <w:rsid w:val="00AD0052"/>
    <w:rsid w:val="00AD00F0"/>
    <w:rsid w:val="00AD0419"/>
    <w:rsid w:val="00AD0541"/>
    <w:rsid w:val="00AD059A"/>
    <w:rsid w:val="00AD0EB4"/>
    <w:rsid w:val="00AD115E"/>
    <w:rsid w:val="00AD18AD"/>
    <w:rsid w:val="00AD1D7C"/>
    <w:rsid w:val="00AD2093"/>
    <w:rsid w:val="00AD21B4"/>
    <w:rsid w:val="00AD2A8D"/>
    <w:rsid w:val="00AD2D38"/>
    <w:rsid w:val="00AD2FFB"/>
    <w:rsid w:val="00AD37F0"/>
    <w:rsid w:val="00AD3B83"/>
    <w:rsid w:val="00AD3C2B"/>
    <w:rsid w:val="00AD3DB4"/>
    <w:rsid w:val="00AD3F39"/>
    <w:rsid w:val="00AD4625"/>
    <w:rsid w:val="00AD4A14"/>
    <w:rsid w:val="00AD4BB1"/>
    <w:rsid w:val="00AD4EE7"/>
    <w:rsid w:val="00AD4EFB"/>
    <w:rsid w:val="00AD4F97"/>
    <w:rsid w:val="00AD5341"/>
    <w:rsid w:val="00AD55DF"/>
    <w:rsid w:val="00AD5974"/>
    <w:rsid w:val="00AD5E12"/>
    <w:rsid w:val="00AD6073"/>
    <w:rsid w:val="00AD6760"/>
    <w:rsid w:val="00AD6B6B"/>
    <w:rsid w:val="00AD70C2"/>
    <w:rsid w:val="00AD7EFA"/>
    <w:rsid w:val="00AE060E"/>
    <w:rsid w:val="00AE064C"/>
    <w:rsid w:val="00AE0707"/>
    <w:rsid w:val="00AE0788"/>
    <w:rsid w:val="00AE0900"/>
    <w:rsid w:val="00AE0C34"/>
    <w:rsid w:val="00AE17CE"/>
    <w:rsid w:val="00AE2294"/>
    <w:rsid w:val="00AE2655"/>
    <w:rsid w:val="00AE28CD"/>
    <w:rsid w:val="00AE2928"/>
    <w:rsid w:val="00AE2C38"/>
    <w:rsid w:val="00AE39C9"/>
    <w:rsid w:val="00AE3CAD"/>
    <w:rsid w:val="00AE3EE7"/>
    <w:rsid w:val="00AE3EFB"/>
    <w:rsid w:val="00AE3F31"/>
    <w:rsid w:val="00AE3FDE"/>
    <w:rsid w:val="00AE4A82"/>
    <w:rsid w:val="00AE4FAB"/>
    <w:rsid w:val="00AE5153"/>
    <w:rsid w:val="00AE58EA"/>
    <w:rsid w:val="00AE614B"/>
    <w:rsid w:val="00AE630A"/>
    <w:rsid w:val="00AE64D4"/>
    <w:rsid w:val="00AE65F8"/>
    <w:rsid w:val="00AE7C1B"/>
    <w:rsid w:val="00AE7C72"/>
    <w:rsid w:val="00AF00F7"/>
    <w:rsid w:val="00AF0358"/>
    <w:rsid w:val="00AF07FE"/>
    <w:rsid w:val="00AF0B59"/>
    <w:rsid w:val="00AF13E9"/>
    <w:rsid w:val="00AF16A1"/>
    <w:rsid w:val="00AF17F2"/>
    <w:rsid w:val="00AF193F"/>
    <w:rsid w:val="00AF1A49"/>
    <w:rsid w:val="00AF1FEB"/>
    <w:rsid w:val="00AF245B"/>
    <w:rsid w:val="00AF2733"/>
    <w:rsid w:val="00AF28D4"/>
    <w:rsid w:val="00AF2D4D"/>
    <w:rsid w:val="00AF2E4A"/>
    <w:rsid w:val="00AF34AD"/>
    <w:rsid w:val="00AF369E"/>
    <w:rsid w:val="00AF3CCF"/>
    <w:rsid w:val="00AF3E16"/>
    <w:rsid w:val="00AF4045"/>
    <w:rsid w:val="00AF4544"/>
    <w:rsid w:val="00AF482A"/>
    <w:rsid w:val="00AF533D"/>
    <w:rsid w:val="00AF53FD"/>
    <w:rsid w:val="00AF58E7"/>
    <w:rsid w:val="00AF6061"/>
    <w:rsid w:val="00AF624A"/>
    <w:rsid w:val="00AF654C"/>
    <w:rsid w:val="00AF658E"/>
    <w:rsid w:val="00AF6669"/>
    <w:rsid w:val="00AF6D00"/>
    <w:rsid w:val="00AF6E5F"/>
    <w:rsid w:val="00AF6EF9"/>
    <w:rsid w:val="00AF749E"/>
    <w:rsid w:val="00B002E6"/>
    <w:rsid w:val="00B01345"/>
    <w:rsid w:val="00B013B2"/>
    <w:rsid w:val="00B013EE"/>
    <w:rsid w:val="00B01691"/>
    <w:rsid w:val="00B0183A"/>
    <w:rsid w:val="00B01952"/>
    <w:rsid w:val="00B01A74"/>
    <w:rsid w:val="00B0210B"/>
    <w:rsid w:val="00B0242C"/>
    <w:rsid w:val="00B02458"/>
    <w:rsid w:val="00B02797"/>
    <w:rsid w:val="00B02A14"/>
    <w:rsid w:val="00B03372"/>
    <w:rsid w:val="00B035DA"/>
    <w:rsid w:val="00B03BC3"/>
    <w:rsid w:val="00B03CF1"/>
    <w:rsid w:val="00B03D63"/>
    <w:rsid w:val="00B04162"/>
    <w:rsid w:val="00B0421E"/>
    <w:rsid w:val="00B04289"/>
    <w:rsid w:val="00B04643"/>
    <w:rsid w:val="00B04A6B"/>
    <w:rsid w:val="00B04B77"/>
    <w:rsid w:val="00B04BBB"/>
    <w:rsid w:val="00B04F36"/>
    <w:rsid w:val="00B04F65"/>
    <w:rsid w:val="00B05212"/>
    <w:rsid w:val="00B0522D"/>
    <w:rsid w:val="00B05401"/>
    <w:rsid w:val="00B05733"/>
    <w:rsid w:val="00B05AEF"/>
    <w:rsid w:val="00B05B38"/>
    <w:rsid w:val="00B05C87"/>
    <w:rsid w:val="00B06C63"/>
    <w:rsid w:val="00B06C87"/>
    <w:rsid w:val="00B06E99"/>
    <w:rsid w:val="00B06E9C"/>
    <w:rsid w:val="00B076D6"/>
    <w:rsid w:val="00B10006"/>
    <w:rsid w:val="00B10417"/>
    <w:rsid w:val="00B10651"/>
    <w:rsid w:val="00B10E45"/>
    <w:rsid w:val="00B11255"/>
    <w:rsid w:val="00B1189F"/>
    <w:rsid w:val="00B11948"/>
    <w:rsid w:val="00B126D5"/>
    <w:rsid w:val="00B126FB"/>
    <w:rsid w:val="00B1286D"/>
    <w:rsid w:val="00B12E7B"/>
    <w:rsid w:val="00B1301D"/>
    <w:rsid w:val="00B13123"/>
    <w:rsid w:val="00B13509"/>
    <w:rsid w:val="00B14033"/>
    <w:rsid w:val="00B141C8"/>
    <w:rsid w:val="00B142F6"/>
    <w:rsid w:val="00B14742"/>
    <w:rsid w:val="00B14A0F"/>
    <w:rsid w:val="00B14D24"/>
    <w:rsid w:val="00B15449"/>
    <w:rsid w:val="00B154C0"/>
    <w:rsid w:val="00B15E2F"/>
    <w:rsid w:val="00B163BA"/>
    <w:rsid w:val="00B16534"/>
    <w:rsid w:val="00B166C9"/>
    <w:rsid w:val="00B16FEE"/>
    <w:rsid w:val="00B176DD"/>
    <w:rsid w:val="00B176F8"/>
    <w:rsid w:val="00B178BE"/>
    <w:rsid w:val="00B17ABF"/>
    <w:rsid w:val="00B17CE7"/>
    <w:rsid w:val="00B2025E"/>
    <w:rsid w:val="00B205DD"/>
    <w:rsid w:val="00B20A2E"/>
    <w:rsid w:val="00B210D5"/>
    <w:rsid w:val="00B21815"/>
    <w:rsid w:val="00B21EA8"/>
    <w:rsid w:val="00B21FE2"/>
    <w:rsid w:val="00B22201"/>
    <w:rsid w:val="00B22213"/>
    <w:rsid w:val="00B222D7"/>
    <w:rsid w:val="00B227FB"/>
    <w:rsid w:val="00B22AE3"/>
    <w:rsid w:val="00B23396"/>
    <w:rsid w:val="00B233CC"/>
    <w:rsid w:val="00B24C5C"/>
    <w:rsid w:val="00B25B29"/>
    <w:rsid w:val="00B25F18"/>
    <w:rsid w:val="00B26C0F"/>
    <w:rsid w:val="00B26DCD"/>
    <w:rsid w:val="00B26EBF"/>
    <w:rsid w:val="00B30444"/>
    <w:rsid w:val="00B31274"/>
    <w:rsid w:val="00B31539"/>
    <w:rsid w:val="00B316E7"/>
    <w:rsid w:val="00B32ABE"/>
    <w:rsid w:val="00B32D2C"/>
    <w:rsid w:val="00B33045"/>
    <w:rsid w:val="00B33784"/>
    <w:rsid w:val="00B33B9E"/>
    <w:rsid w:val="00B33DD8"/>
    <w:rsid w:val="00B33E24"/>
    <w:rsid w:val="00B347DC"/>
    <w:rsid w:val="00B34A45"/>
    <w:rsid w:val="00B34D74"/>
    <w:rsid w:val="00B34F45"/>
    <w:rsid w:val="00B3544F"/>
    <w:rsid w:val="00B35458"/>
    <w:rsid w:val="00B35581"/>
    <w:rsid w:val="00B356AB"/>
    <w:rsid w:val="00B357C7"/>
    <w:rsid w:val="00B3593B"/>
    <w:rsid w:val="00B360F8"/>
    <w:rsid w:val="00B361DC"/>
    <w:rsid w:val="00B36687"/>
    <w:rsid w:val="00B37122"/>
    <w:rsid w:val="00B37EBF"/>
    <w:rsid w:val="00B40429"/>
    <w:rsid w:val="00B40B6B"/>
    <w:rsid w:val="00B40C86"/>
    <w:rsid w:val="00B4153B"/>
    <w:rsid w:val="00B41805"/>
    <w:rsid w:val="00B41EBC"/>
    <w:rsid w:val="00B41F86"/>
    <w:rsid w:val="00B426BE"/>
    <w:rsid w:val="00B42981"/>
    <w:rsid w:val="00B42E0D"/>
    <w:rsid w:val="00B43802"/>
    <w:rsid w:val="00B43C0A"/>
    <w:rsid w:val="00B43C36"/>
    <w:rsid w:val="00B44250"/>
    <w:rsid w:val="00B449C4"/>
    <w:rsid w:val="00B44A5B"/>
    <w:rsid w:val="00B44AAB"/>
    <w:rsid w:val="00B44AF8"/>
    <w:rsid w:val="00B4561F"/>
    <w:rsid w:val="00B456B0"/>
    <w:rsid w:val="00B45BB5"/>
    <w:rsid w:val="00B45C30"/>
    <w:rsid w:val="00B45DCC"/>
    <w:rsid w:val="00B4600E"/>
    <w:rsid w:val="00B464EE"/>
    <w:rsid w:val="00B46767"/>
    <w:rsid w:val="00B46CFA"/>
    <w:rsid w:val="00B46EB2"/>
    <w:rsid w:val="00B47510"/>
    <w:rsid w:val="00B478CE"/>
    <w:rsid w:val="00B47982"/>
    <w:rsid w:val="00B47D3E"/>
    <w:rsid w:val="00B50011"/>
    <w:rsid w:val="00B504AE"/>
    <w:rsid w:val="00B507F7"/>
    <w:rsid w:val="00B50D9F"/>
    <w:rsid w:val="00B517DB"/>
    <w:rsid w:val="00B51CF5"/>
    <w:rsid w:val="00B52125"/>
    <w:rsid w:val="00B5252A"/>
    <w:rsid w:val="00B52CF6"/>
    <w:rsid w:val="00B53308"/>
    <w:rsid w:val="00B5354D"/>
    <w:rsid w:val="00B53838"/>
    <w:rsid w:val="00B53A34"/>
    <w:rsid w:val="00B54271"/>
    <w:rsid w:val="00B54A0E"/>
    <w:rsid w:val="00B54BC7"/>
    <w:rsid w:val="00B550C2"/>
    <w:rsid w:val="00B55228"/>
    <w:rsid w:val="00B55A82"/>
    <w:rsid w:val="00B55B87"/>
    <w:rsid w:val="00B55C72"/>
    <w:rsid w:val="00B56287"/>
    <w:rsid w:val="00B57632"/>
    <w:rsid w:val="00B5789D"/>
    <w:rsid w:val="00B57B9A"/>
    <w:rsid w:val="00B57CAF"/>
    <w:rsid w:val="00B57DB5"/>
    <w:rsid w:val="00B57E19"/>
    <w:rsid w:val="00B6078B"/>
    <w:rsid w:val="00B608DB"/>
    <w:rsid w:val="00B60F82"/>
    <w:rsid w:val="00B6115A"/>
    <w:rsid w:val="00B612E6"/>
    <w:rsid w:val="00B61657"/>
    <w:rsid w:val="00B61A7A"/>
    <w:rsid w:val="00B61F30"/>
    <w:rsid w:val="00B61FFB"/>
    <w:rsid w:val="00B62744"/>
    <w:rsid w:val="00B62B4B"/>
    <w:rsid w:val="00B63869"/>
    <w:rsid w:val="00B639D5"/>
    <w:rsid w:val="00B63A9F"/>
    <w:rsid w:val="00B63B7F"/>
    <w:rsid w:val="00B64373"/>
    <w:rsid w:val="00B64CED"/>
    <w:rsid w:val="00B64FC6"/>
    <w:rsid w:val="00B6500D"/>
    <w:rsid w:val="00B65760"/>
    <w:rsid w:val="00B65876"/>
    <w:rsid w:val="00B659B4"/>
    <w:rsid w:val="00B65C2E"/>
    <w:rsid w:val="00B6618C"/>
    <w:rsid w:val="00B6637B"/>
    <w:rsid w:val="00B66673"/>
    <w:rsid w:val="00B66C7D"/>
    <w:rsid w:val="00B66DFE"/>
    <w:rsid w:val="00B67B73"/>
    <w:rsid w:val="00B67C71"/>
    <w:rsid w:val="00B7003B"/>
    <w:rsid w:val="00B70844"/>
    <w:rsid w:val="00B7155C"/>
    <w:rsid w:val="00B7187A"/>
    <w:rsid w:val="00B71A37"/>
    <w:rsid w:val="00B71D29"/>
    <w:rsid w:val="00B7204B"/>
    <w:rsid w:val="00B721C9"/>
    <w:rsid w:val="00B72628"/>
    <w:rsid w:val="00B727B8"/>
    <w:rsid w:val="00B733B4"/>
    <w:rsid w:val="00B73481"/>
    <w:rsid w:val="00B73AFE"/>
    <w:rsid w:val="00B73CDE"/>
    <w:rsid w:val="00B7415D"/>
    <w:rsid w:val="00B7462D"/>
    <w:rsid w:val="00B747A2"/>
    <w:rsid w:val="00B74B8F"/>
    <w:rsid w:val="00B74DC2"/>
    <w:rsid w:val="00B752A7"/>
    <w:rsid w:val="00B757B1"/>
    <w:rsid w:val="00B759D2"/>
    <w:rsid w:val="00B75F4D"/>
    <w:rsid w:val="00B75FE5"/>
    <w:rsid w:val="00B76253"/>
    <w:rsid w:val="00B763A2"/>
    <w:rsid w:val="00B76F36"/>
    <w:rsid w:val="00B7703D"/>
    <w:rsid w:val="00B7773C"/>
    <w:rsid w:val="00B8004F"/>
    <w:rsid w:val="00B80542"/>
    <w:rsid w:val="00B80DD5"/>
    <w:rsid w:val="00B8119A"/>
    <w:rsid w:val="00B813F7"/>
    <w:rsid w:val="00B814B5"/>
    <w:rsid w:val="00B81501"/>
    <w:rsid w:val="00B81674"/>
    <w:rsid w:val="00B81C40"/>
    <w:rsid w:val="00B82327"/>
    <w:rsid w:val="00B82354"/>
    <w:rsid w:val="00B831CB"/>
    <w:rsid w:val="00B831E9"/>
    <w:rsid w:val="00B8384B"/>
    <w:rsid w:val="00B83E54"/>
    <w:rsid w:val="00B83F84"/>
    <w:rsid w:val="00B846AE"/>
    <w:rsid w:val="00B847A1"/>
    <w:rsid w:val="00B84896"/>
    <w:rsid w:val="00B84ABB"/>
    <w:rsid w:val="00B85920"/>
    <w:rsid w:val="00B860D5"/>
    <w:rsid w:val="00B86B96"/>
    <w:rsid w:val="00B86BFF"/>
    <w:rsid w:val="00B870E8"/>
    <w:rsid w:val="00B874EB"/>
    <w:rsid w:val="00B87774"/>
    <w:rsid w:val="00B877CD"/>
    <w:rsid w:val="00B87B6D"/>
    <w:rsid w:val="00B902D1"/>
    <w:rsid w:val="00B9052A"/>
    <w:rsid w:val="00B914A9"/>
    <w:rsid w:val="00B91B0B"/>
    <w:rsid w:val="00B91B5C"/>
    <w:rsid w:val="00B9246D"/>
    <w:rsid w:val="00B92CC3"/>
    <w:rsid w:val="00B9347F"/>
    <w:rsid w:val="00B93AAC"/>
    <w:rsid w:val="00B93BCD"/>
    <w:rsid w:val="00B93C4C"/>
    <w:rsid w:val="00B94247"/>
    <w:rsid w:val="00B946C8"/>
    <w:rsid w:val="00B95FDF"/>
    <w:rsid w:val="00B96245"/>
    <w:rsid w:val="00B965EC"/>
    <w:rsid w:val="00B96B8F"/>
    <w:rsid w:val="00B96BB5"/>
    <w:rsid w:val="00B96DA4"/>
    <w:rsid w:val="00B96EB2"/>
    <w:rsid w:val="00B971A0"/>
    <w:rsid w:val="00B975F5"/>
    <w:rsid w:val="00B97832"/>
    <w:rsid w:val="00B9792B"/>
    <w:rsid w:val="00B979AE"/>
    <w:rsid w:val="00B97B28"/>
    <w:rsid w:val="00B97B48"/>
    <w:rsid w:val="00B97E53"/>
    <w:rsid w:val="00BA04CC"/>
    <w:rsid w:val="00BA04D9"/>
    <w:rsid w:val="00BA0D0D"/>
    <w:rsid w:val="00BA0EC1"/>
    <w:rsid w:val="00BA1072"/>
    <w:rsid w:val="00BA17BA"/>
    <w:rsid w:val="00BA1A6F"/>
    <w:rsid w:val="00BA1A90"/>
    <w:rsid w:val="00BA1D21"/>
    <w:rsid w:val="00BA2327"/>
    <w:rsid w:val="00BA299C"/>
    <w:rsid w:val="00BA2BA2"/>
    <w:rsid w:val="00BA2BD3"/>
    <w:rsid w:val="00BA3230"/>
    <w:rsid w:val="00BA36E4"/>
    <w:rsid w:val="00BA3724"/>
    <w:rsid w:val="00BA3B55"/>
    <w:rsid w:val="00BA3BF1"/>
    <w:rsid w:val="00BA4702"/>
    <w:rsid w:val="00BA4BE3"/>
    <w:rsid w:val="00BA4CD5"/>
    <w:rsid w:val="00BA4F0C"/>
    <w:rsid w:val="00BA5897"/>
    <w:rsid w:val="00BA5DF0"/>
    <w:rsid w:val="00BA5FDF"/>
    <w:rsid w:val="00BA6B56"/>
    <w:rsid w:val="00BA6C18"/>
    <w:rsid w:val="00BA6F1F"/>
    <w:rsid w:val="00BA6FA9"/>
    <w:rsid w:val="00BA7F6E"/>
    <w:rsid w:val="00BB0480"/>
    <w:rsid w:val="00BB0653"/>
    <w:rsid w:val="00BB0CF4"/>
    <w:rsid w:val="00BB0ECC"/>
    <w:rsid w:val="00BB104B"/>
    <w:rsid w:val="00BB10B2"/>
    <w:rsid w:val="00BB120B"/>
    <w:rsid w:val="00BB1821"/>
    <w:rsid w:val="00BB1E40"/>
    <w:rsid w:val="00BB267B"/>
    <w:rsid w:val="00BB2AAF"/>
    <w:rsid w:val="00BB2B92"/>
    <w:rsid w:val="00BB2EA9"/>
    <w:rsid w:val="00BB3451"/>
    <w:rsid w:val="00BB35AF"/>
    <w:rsid w:val="00BB3C93"/>
    <w:rsid w:val="00BB4224"/>
    <w:rsid w:val="00BB4332"/>
    <w:rsid w:val="00BB4C07"/>
    <w:rsid w:val="00BB4C5A"/>
    <w:rsid w:val="00BB500A"/>
    <w:rsid w:val="00BB5317"/>
    <w:rsid w:val="00BB5CAC"/>
    <w:rsid w:val="00BB61B0"/>
    <w:rsid w:val="00BB625C"/>
    <w:rsid w:val="00BB6302"/>
    <w:rsid w:val="00BB67A5"/>
    <w:rsid w:val="00BB6973"/>
    <w:rsid w:val="00BB6BEA"/>
    <w:rsid w:val="00BB6D24"/>
    <w:rsid w:val="00BB7498"/>
    <w:rsid w:val="00BB792E"/>
    <w:rsid w:val="00BB79ED"/>
    <w:rsid w:val="00BB7BF3"/>
    <w:rsid w:val="00BB7C7B"/>
    <w:rsid w:val="00BC019F"/>
    <w:rsid w:val="00BC01F6"/>
    <w:rsid w:val="00BC0D7B"/>
    <w:rsid w:val="00BC0F0C"/>
    <w:rsid w:val="00BC0FD4"/>
    <w:rsid w:val="00BC0FF0"/>
    <w:rsid w:val="00BC1072"/>
    <w:rsid w:val="00BC198C"/>
    <w:rsid w:val="00BC1C8A"/>
    <w:rsid w:val="00BC245B"/>
    <w:rsid w:val="00BC251D"/>
    <w:rsid w:val="00BC2A70"/>
    <w:rsid w:val="00BC2BBD"/>
    <w:rsid w:val="00BC2DD2"/>
    <w:rsid w:val="00BC3132"/>
    <w:rsid w:val="00BC3A25"/>
    <w:rsid w:val="00BC461C"/>
    <w:rsid w:val="00BC4E62"/>
    <w:rsid w:val="00BC5235"/>
    <w:rsid w:val="00BC58D0"/>
    <w:rsid w:val="00BC5B26"/>
    <w:rsid w:val="00BC5F45"/>
    <w:rsid w:val="00BC5F6D"/>
    <w:rsid w:val="00BC6ACB"/>
    <w:rsid w:val="00BC6EB4"/>
    <w:rsid w:val="00BC7661"/>
    <w:rsid w:val="00BC7A02"/>
    <w:rsid w:val="00BC7D8C"/>
    <w:rsid w:val="00BC7E19"/>
    <w:rsid w:val="00BD0132"/>
    <w:rsid w:val="00BD06DA"/>
    <w:rsid w:val="00BD123F"/>
    <w:rsid w:val="00BD1452"/>
    <w:rsid w:val="00BD1A58"/>
    <w:rsid w:val="00BD1CBC"/>
    <w:rsid w:val="00BD208C"/>
    <w:rsid w:val="00BD21E0"/>
    <w:rsid w:val="00BD29AD"/>
    <w:rsid w:val="00BD2B76"/>
    <w:rsid w:val="00BD3092"/>
    <w:rsid w:val="00BD3319"/>
    <w:rsid w:val="00BD33B1"/>
    <w:rsid w:val="00BD3C8B"/>
    <w:rsid w:val="00BD3E0B"/>
    <w:rsid w:val="00BD4117"/>
    <w:rsid w:val="00BD4A1D"/>
    <w:rsid w:val="00BD4B37"/>
    <w:rsid w:val="00BD4D06"/>
    <w:rsid w:val="00BD502B"/>
    <w:rsid w:val="00BD546F"/>
    <w:rsid w:val="00BD601F"/>
    <w:rsid w:val="00BD656B"/>
    <w:rsid w:val="00BD67D4"/>
    <w:rsid w:val="00BD6A2E"/>
    <w:rsid w:val="00BD726F"/>
    <w:rsid w:val="00BD750D"/>
    <w:rsid w:val="00BD7C60"/>
    <w:rsid w:val="00BE004F"/>
    <w:rsid w:val="00BE0198"/>
    <w:rsid w:val="00BE0546"/>
    <w:rsid w:val="00BE0C0F"/>
    <w:rsid w:val="00BE0CC3"/>
    <w:rsid w:val="00BE1AD5"/>
    <w:rsid w:val="00BE1D3F"/>
    <w:rsid w:val="00BE2B91"/>
    <w:rsid w:val="00BE2D75"/>
    <w:rsid w:val="00BE30BD"/>
    <w:rsid w:val="00BE31CA"/>
    <w:rsid w:val="00BE389D"/>
    <w:rsid w:val="00BE3A2A"/>
    <w:rsid w:val="00BE41B4"/>
    <w:rsid w:val="00BE426A"/>
    <w:rsid w:val="00BE448B"/>
    <w:rsid w:val="00BE44F9"/>
    <w:rsid w:val="00BE4B6A"/>
    <w:rsid w:val="00BE4CC5"/>
    <w:rsid w:val="00BE526A"/>
    <w:rsid w:val="00BE548C"/>
    <w:rsid w:val="00BE5767"/>
    <w:rsid w:val="00BE5A50"/>
    <w:rsid w:val="00BE5C44"/>
    <w:rsid w:val="00BE5ED6"/>
    <w:rsid w:val="00BE60C7"/>
    <w:rsid w:val="00BE60F0"/>
    <w:rsid w:val="00BE671C"/>
    <w:rsid w:val="00BE6882"/>
    <w:rsid w:val="00BE6967"/>
    <w:rsid w:val="00BE6977"/>
    <w:rsid w:val="00BE69B4"/>
    <w:rsid w:val="00BE69BC"/>
    <w:rsid w:val="00BE706C"/>
    <w:rsid w:val="00BE72F1"/>
    <w:rsid w:val="00BE7DF1"/>
    <w:rsid w:val="00BF0541"/>
    <w:rsid w:val="00BF0A85"/>
    <w:rsid w:val="00BF0EE0"/>
    <w:rsid w:val="00BF11C2"/>
    <w:rsid w:val="00BF1C1D"/>
    <w:rsid w:val="00BF1DF0"/>
    <w:rsid w:val="00BF203C"/>
    <w:rsid w:val="00BF216B"/>
    <w:rsid w:val="00BF223B"/>
    <w:rsid w:val="00BF2411"/>
    <w:rsid w:val="00BF24EC"/>
    <w:rsid w:val="00BF2894"/>
    <w:rsid w:val="00BF29F0"/>
    <w:rsid w:val="00BF2F1D"/>
    <w:rsid w:val="00BF32B1"/>
    <w:rsid w:val="00BF3622"/>
    <w:rsid w:val="00BF39D2"/>
    <w:rsid w:val="00BF3B0A"/>
    <w:rsid w:val="00BF412C"/>
    <w:rsid w:val="00BF4271"/>
    <w:rsid w:val="00BF458D"/>
    <w:rsid w:val="00BF4936"/>
    <w:rsid w:val="00BF49BF"/>
    <w:rsid w:val="00BF5188"/>
    <w:rsid w:val="00BF51FE"/>
    <w:rsid w:val="00BF53AD"/>
    <w:rsid w:val="00BF56EC"/>
    <w:rsid w:val="00BF6309"/>
    <w:rsid w:val="00BF683E"/>
    <w:rsid w:val="00BF6917"/>
    <w:rsid w:val="00BF6A4C"/>
    <w:rsid w:val="00BF6E65"/>
    <w:rsid w:val="00BF6F50"/>
    <w:rsid w:val="00BF7359"/>
    <w:rsid w:val="00BF7863"/>
    <w:rsid w:val="00BF78DA"/>
    <w:rsid w:val="00BF7ADE"/>
    <w:rsid w:val="00BF7E50"/>
    <w:rsid w:val="00C0005C"/>
    <w:rsid w:val="00C00147"/>
    <w:rsid w:val="00C003D6"/>
    <w:rsid w:val="00C00566"/>
    <w:rsid w:val="00C00AD1"/>
    <w:rsid w:val="00C00B6A"/>
    <w:rsid w:val="00C00BB5"/>
    <w:rsid w:val="00C00EDF"/>
    <w:rsid w:val="00C01076"/>
    <w:rsid w:val="00C01125"/>
    <w:rsid w:val="00C01D75"/>
    <w:rsid w:val="00C02299"/>
    <w:rsid w:val="00C02E4E"/>
    <w:rsid w:val="00C02FBE"/>
    <w:rsid w:val="00C035EA"/>
    <w:rsid w:val="00C036A4"/>
    <w:rsid w:val="00C03C4A"/>
    <w:rsid w:val="00C03F47"/>
    <w:rsid w:val="00C04956"/>
    <w:rsid w:val="00C049E2"/>
    <w:rsid w:val="00C04ED7"/>
    <w:rsid w:val="00C05A7D"/>
    <w:rsid w:val="00C05BA4"/>
    <w:rsid w:val="00C0605A"/>
    <w:rsid w:val="00C06221"/>
    <w:rsid w:val="00C0678A"/>
    <w:rsid w:val="00C06A2D"/>
    <w:rsid w:val="00C06F49"/>
    <w:rsid w:val="00C07B28"/>
    <w:rsid w:val="00C07BB1"/>
    <w:rsid w:val="00C101F3"/>
    <w:rsid w:val="00C1022D"/>
    <w:rsid w:val="00C10A30"/>
    <w:rsid w:val="00C10E39"/>
    <w:rsid w:val="00C111F3"/>
    <w:rsid w:val="00C1133B"/>
    <w:rsid w:val="00C11412"/>
    <w:rsid w:val="00C11453"/>
    <w:rsid w:val="00C12159"/>
    <w:rsid w:val="00C12514"/>
    <w:rsid w:val="00C12943"/>
    <w:rsid w:val="00C13189"/>
    <w:rsid w:val="00C13253"/>
    <w:rsid w:val="00C132C1"/>
    <w:rsid w:val="00C13383"/>
    <w:rsid w:val="00C13502"/>
    <w:rsid w:val="00C13BFE"/>
    <w:rsid w:val="00C13CF6"/>
    <w:rsid w:val="00C141D4"/>
    <w:rsid w:val="00C14446"/>
    <w:rsid w:val="00C144B3"/>
    <w:rsid w:val="00C14898"/>
    <w:rsid w:val="00C1577E"/>
    <w:rsid w:val="00C15933"/>
    <w:rsid w:val="00C15B1E"/>
    <w:rsid w:val="00C15B78"/>
    <w:rsid w:val="00C15FA0"/>
    <w:rsid w:val="00C160A4"/>
    <w:rsid w:val="00C164E0"/>
    <w:rsid w:val="00C16626"/>
    <w:rsid w:val="00C1663F"/>
    <w:rsid w:val="00C1669C"/>
    <w:rsid w:val="00C1690B"/>
    <w:rsid w:val="00C16931"/>
    <w:rsid w:val="00C16B41"/>
    <w:rsid w:val="00C16B48"/>
    <w:rsid w:val="00C16C7D"/>
    <w:rsid w:val="00C16CA6"/>
    <w:rsid w:val="00C17223"/>
    <w:rsid w:val="00C1725B"/>
    <w:rsid w:val="00C172FC"/>
    <w:rsid w:val="00C176C6"/>
    <w:rsid w:val="00C176F5"/>
    <w:rsid w:val="00C17C61"/>
    <w:rsid w:val="00C17E7D"/>
    <w:rsid w:val="00C203ED"/>
    <w:rsid w:val="00C20424"/>
    <w:rsid w:val="00C21813"/>
    <w:rsid w:val="00C21EA5"/>
    <w:rsid w:val="00C22871"/>
    <w:rsid w:val="00C235E0"/>
    <w:rsid w:val="00C2432D"/>
    <w:rsid w:val="00C245A1"/>
    <w:rsid w:val="00C2481F"/>
    <w:rsid w:val="00C24BA2"/>
    <w:rsid w:val="00C24FFE"/>
    <w:rsid w:val="00C2509E"/>
    <w:rsid w:val="00C25DA8"/>
    <w:rsid w:val="00C262B5"/>
    <w:rsid w:val="00C2643F"/>
    <w:rsid w:val="00C26B20"/>
    <w:rsid w:val="00C26DCC"/>
    <w:rsid w:val="00C275A6"/>
    <w:rsid w:val="00C27AF4"/>
    <w:rsid w:val="00C3021B"/>
    <w:rsid w:val="00C30343"/>
    <w:rsid w:val="00C30490"/>
    <w:rsid w:val="00C307CF"/>
    <w:rsid w:val="00C308DA"/>
    <w:rsid w:val="00C30E65"/>
    <w:rsid w:val="00C3127F"/>
    <w:rsid w:val="00C31385"/>
    <w:rsid w:val="00C3191A"/>
    <w:rsid w:val="00C31F2E"/>
    <w:rsid w:val="00C31F8D"/>
    <w:rsid w:val="00C32097"/>
    <w:rsid w:val="00C3211F"/>
    <w:rsid w:val="00C321FD"/>
    <w:rsid w:val="00C32201"/>
    <w:rsid w:val="00C3265D"/>
    <w:rsid w:val="00C3275E"/>
    <w:rsid w:val="00C32B05"/>
    <w:rsid w:val="00C32D46"/>
    <w:rsid w:val="00C33027"/>
    <w:rsid w:val="00C3304A"/>
    <w:rsid w:val="00C33A9B"/>
    <w:rsid w:val="00C346DB"/>
    <w:rsid w:val="00C34D0F"/>
    <w:rsid w:val="00C352C6"/>
    <w:rsid w:val="00C360AC"/>
    <w:rsid w:val="00C36198"/>
    <w:rsid w:val="00C3633C"/>
    <w:rsid w:val="00C363AD"/>
    <w:rsid w:val="00C36F20"/>
    <w:rsid w:val="00C36F7A"/>
    <w:rsid w:val="00C37074"/>
    <w:rsid w:val="00C37314"/>
    <w:rsid w:val="00C374D3"/>
    <w:rsid w:val="00C37528"/>
    <w:rsid w:val="00C37599"/>
    <w:rsid w:val="00C37896"/>
    <w:rsid w:val="00C409DB"/>
    <w:rsid w:val="00C40CAA"/>
    <w:rsid w:val="00C40D1F"/>
    <w:rsid w:val="00C40D72"/>
    <w:rsid w:val="00C41423"/>
    <w:rsid w:val="00C41599"/>
    <w:rsid w:val="00C41A21"/>
    <w:rsid w:val="00C41A90"/>
    <w:rsid w:val="00C41ACD"/>
    <w:rsid w:val="00C41AD1"/>
    <w:rsid w:val="00C41DB4"/>
    <w:rsid w:val="00C4224B"/>
    <w:rsid w:val="00C42290"/>
    <w:rsid w:val="00C424DE"/>
    <w:rsid w:val="00C429AA"/>
    <w:rsid w:val="00C429F6"/>
    <w:rsid w:val="00C42B42"/>
    <w:rsid w:val="00C42C26"/>
    <w:rsid w:val="00C42D18"/>
    <w:rsid w:val="00C42EC2"/>
    <w:rsid w:val="00C4343A"/>
    <w:rsid w:val="00C43CB0"/>
    <w:rsid w:val="00C43D65"/>
    <w:rsid w:val="00C448E5"/>
    <w:rsid w:val="00C44A10"/>
    <w:rsid w:val="00C44E03"/>
    <w:rsid w:val="00C45357"/>
    <w:rsid w:val="00C45DBF"/>
    <w:rsid w:val="00C46355"/>
    <w:rsid w:val="00C4664F"/>
    <w:rsid w:val="00C469AE"/>
    <w:rsid w:val="00C46B98"/>
    <w:rsid w:val="00C46DB4"/>
    <w:rsid w:val="00C46E07"/>
    <w:rsid w:val="00C4751E"/>
    <w:rsid w:val="00C47F0F"/>
    <w:rsid w:val="00C47F10"/>
    <w:rsid w:val="00C50A08"/>
    <w:rsid w:val="00C5119F"/>
    <w:rsid w:val="00C51C47"/>
    <w:rsid w:val="00C526E5"/>
    <w:rsid w:val="00C52B81"/>
    <w:rsid w:val="00C52EC0"/>
    <w:rsid w:val="00C54411"/>
    <w:rsid w:val="00C546BE"/>
    <w:rsid w:val="00C54AEA"/>
    <w:rsid w:val="00C54B5C"/>
    <w:rsid w:val="00C5537C"/>
    <w:rsid w:val="00C55383"/>
    <w:rsid w:val="00C556EF"/>
    <w:rsid w:val="00C55935"/>
    <w:rsid w:val="00C561FB"/>
    <w:rsid w:val="00C56399"/>
    <w:rsid w:val="00C56596"/>
    <w:rsid w:val="00C568DF"/>
    <w:rsid w:val="00C56CB6"/>
    <w:rsid w:val="00C56F75"/>
    <w:rsid w:val="00C57077"/>
    <w:rsid w:val="00C5762B"/>
    <w:rsid w:val="00C57A7A"/>
    <w:rsid w:val="00C57C60"/>
    <w:rsid w:val="00C57CFB"/>
    <w:rsid w:val="00C57E94"/>
    <w:rsid w:val="00C60064"/>
    <w:rsid w:val="00C6047A"/>
    <w:rsid w:val="00C60673"/>
    <w:rsid w:val="00C60689"/>
    <w:rsid w:val="00C606C6"/>
    <w:rsid w:val="00C6077E"/>
    <w:rsid w:val="00C62039"/>
    <w:rsid w:val="00C6266D"/>
    <w:rsid w:val="00C6298F"/>
    <w:rsid w:val="00C62DFA"/>
    <w:rsid w:val="00C62F60"/>
    <w:rsid w:val="00C62F61"/>
    <w:rsid w:val="00C630C1"/>
    <w:rsid w:val="00C6393B"/>
    <w:rsid w:val="00C639C9"/>
    <w:rsid w:val="00C63B27"/>
    <w:rsid w:val="00C63E32"/>
    <w:rsid w:val="00C64355"/>
    <w:rsid w:val="00C645AA"/>
    <w:rsid w:val="00C646F6"/>
    <w:rsid w:val="00C6529D"/>
    <w:rsid w:val="00C654F2"/>
    <w:rsid w:val="00C65764"/>
    <w:rsid w:val="00C6596A"/>
    <w:rsid w:val="00C65A44"/>
    <w:rsid w:val="00C66052"/>
    <w:rsid w:val="00C6639D"/>
    <w:rsid w:val="00C66774"/>
    <w:rsid w:val="00C66FE0"/>
    <w:rsid w:val="00C6700E"/>
    <w:rsid w:val="00C673C8"/>
    <w:rsid w:val="00C67660"/>
    <w:rsid w:val="00C67767"/>
    <w:rsid w:val="00C67A36"/>
    <w:rsid w:val="00C67C81"/>
    <w:rsid w:val="00C704B2"/>
    <w:rsid w:val="00C704CE"/>
    <w:rsid w:val="00C704F0"/>
    <w:rsid w:val="00C708A3"/>
    <w:rsid w:val="00C70A7C"/>
    <w:rsid w:val="00C70D28"/>
    <w:rsid w:val="00C70F14"/>
    <w:rsid w:val="00C7161C"/>
    <w:rsid w:val="00C71991"/>
    <w:rsid w:val="00C71A3D"/>
    <w:rsid w:val="00C71F8E"/>
    <w:rsid w:val="00C73744"/>
    <w:rsid w:val="00C73EAB"/>
    <w:rsid w:val="00C73EC4"/>
    <w:rsid w:val="00C74873"/>
    <w:rsid w:val="00C74E64"/>
    <w:rsid w:val="00C74F97"/>
    <w:rsid w:val="00C75A39"/>
    <w:rsid w:val="00C75CA4"/>
    <w:rsid w:val="00C75F0F"/>
    <w:rsid w:val="00C75F41"/>
    <w:rsid w:val="00C765ED"/>
    <w:rsid w:val="00C76879"/>
    <w:rsid w:val="00C76A10"/>
    <w:rsid w:val="00C76E49"/>
    <w:rsid w:val="00C7707D"/>
    <w:rsid w:val="00C77141"/>
    <w:rsid w:val="00C7738F"/>
    <w:rsid w:val="00C77E84"/>
    <w:rsid w:val="00C800D9"/>
    <w:rsid w:val="00C803C1"/>
    <w:rsid w:val="00C805B1"/>
    <w:rsid w:val="00C80E2F"/>
    <w:rsid w:val="00C81721"/>
    <w:rsid w:val="00C81808"/>
    <w:rsid w:val="00C81DBF"/>
    <w:rsid w:val="00C81E17"/>
    <w:rsid w:val="00C825F0"/>
    <w:rsid w:val="00C82B02"/>
    <w:rsid w:val="00C82E51"/>
    <w:rsid w:val="00C83105"/>
    <w:rsid w:val="00C83447"/>
    <w:rsid w:val="00C83F1A"/>
    <w:rsid w:val="00C841B0"/>
    <w:rsid w:val="00C845EF"/>
    <w:rsid w:val="00C84926"/>
    <w:rsid w:val="00C84D05"/>
    <w:rsid w:val="00C85C01"/>
    <w:rsid w:val="00C86095"/>
    <w:rsid w:val="00C86B03"/>
    <w:rsid w:val="00C8718F"/>
    <w:rsid w:val="00C8763F"/>
    <w:rsid w:val="00C87924"/>
    <w:rsid w:val="00C87996"/>
    <w:rsid w:val="00C87AEB"/>
    <w:rsid w:val="00C87C3A"/>
    <w:rsid w:val="00C90AF7"/>
    <w:rsid w:val="00C90D1E"/>
    <w:rsid w:val="00C90DE5"/>
    <w:rsid w:val="00C919F7"/>
    <w:rsid w:val="00C91D49"/>
    <w:rsid w:val="00C91DBF"/>
    <w:rsid w:val="00C91F42"/>
    <w:rsid w:val="00C92521"/>
    <w:rsid w:val="00C92F92"/>
    <w:rsid w:val="00C9303A"/>
    <w:rsid w:val="00C930B9"/>
    <w:rsid w:val="00C9373F"/>
    <w:rsid w:val="00C93D25"/>
    <w:rsid w:val="00C93EA0"/>
    <w:rsid w:val="00C94005"/>
    <w:rsid w:val="00C941E2"/>
    <w:rsid w:val="00C94D7B"/>
    <w:rsid w:val="00C94DA0"/>
    <w:rsid w:val="00C952C5"/>
    <w:rsid w:val="00C9580D"/>
    <w:rsid w:val="00C95A58"/>
    <w:rsid w:val="00C95EC4"/>
    <w:rsid w:val="00C95EDF"/>
    <w:rsid w:val="00C961DE"/>
    <w:rsid w:val="00C968AA"/>
    <w:rsid w:val="00C97317"/>
    <w:rsid w:val="00C973D3"/>
    <w:rsid w:val="00C9780A"/>
    <w:rsid w:val="00C97AE5"/>
    <w:rsid w:val="00C97B64"/>
    <w:rsid w:val="00CA01DF"/>
    <w:rsid w:val="00CA0514"/>
    <w:rsid w:val="00CA075F"/>
    <w:rsid w:val="00CA0A93"/>
    <w:rsid w:val="00CA0B7B"/>
    <w:rsid w:val="00CA0C3C"/>
    <w:rsid w:val="00CA0E4A"/>
    <w:rsid w:val="00CA190B"/>
    <w:rsid w:val="00CA200C"/>
    <w:rsid w:val="00CA223E"/>
    <w:rsid w:val="00CA225E"/>
    <w:rsid w:val="00CA2DDC"/>
    <w:rsid w:val="00CA3E95"/>
    <w:rsid w:val="00CA3F44"/>
    <w:rsid w:val="00CA40E2"/>
    <w:rsid w:val="00CA426E"/>
    <w:rsid w:val="00CA4353"/>
    <w:rsid w:val="00CA48B6"/>
    <w:rsid w:val="00CA4A4F"/>
    <w:rsid w:val="00CA4BFD"/>
    <w:rsid w:val="00CA503E"/>
    <w:rsid w:val="00CA51D7"/>
    <w:rsid w:val="00CA5267"/>
    <w:rsid w:val="00CA635B"/>
    <w:rsid w:val="00CA7606"/>
    <w:rsid w:val="00CA78A0"/>
    <w:rsid w:val="00CB0264"/>
    <w:rsid w:val="00CB0B01"/>
    <w:rsid w:val="00CB0BED"/>
    <w:rsid w:val="00CB0E67"/>
    <w:rsid w:val="00CB125F"/>
    <w:rsid w:val="00CB12C5"/>
    <w:rsid w:val="00CB15F7"/>
    <w:rsid w:val="00CB1C54"/>
    <w:rsid w:val="00CB1C57"/>
    <w:rsid w:val="00CB1DD5"/>
    <w:rsid w:val="00CB2102"/>
    <w:rsid w:val="00CB2994"/>
    <w:rsid w:val="00CB2D72"/>
    <w:rsid w:val="00CB2EB5"/>
    <w:rsid w:val="00CB327E"/>
    <w:rsid w:val="00CB36B3"/>
    <w:rsid w:val="00CB3719"/>
    <w:rsid w:val="00CB3EF2"/>
    <w:rsid w:val="00CB40BF"/>
    <w:rsid w:val="00CB45ED"/>
    <w:rsid w:val="00CB4A0B"/>
    <w:rsid w:val="00CB4F9D"/>
    <w:rsid w:val="00CB5296"/>
    <w:rsid w:val="00CB58EC"/>
    <w:rsid w:val="00CB5D4A"/>
    <w:rsid w:val="00CB5F09"/>
    <w:rsid w:val="00CB60BB"/>
    <w:rsid w:val="00CB7280"/>
    <w:rsid w:val="00CB741F"/>
    <w:rsid w:val="00CB7504"/>
    <w:rsid w:val="00CB7C1E"/>
    <w:rsid w:val="00CC0132"/>
    <w:rsid w:val="00CC01B9"/>
    <w:rsid w:val="00CC07C0"/>
    <w:rsid w:val="00CC094C"/>
    <w:rsid w:val="00CC0D83"/>
    <w:rsid w:val="00CC16D0"/>
    <w:rsid w:val="00CC1C33"/>
    <w:rsid w:val="00CC2296"/>
    <w:rsid w:val="00CC2703"/>
    <w:rsid w:val="00CC2881"/>
    <w:rsid w:val="00CC306E"/>
    <w:rsid w:val="00CC3144"/>
    <w:rsid w:val="00CC3242"/>
    <w:rsid w:val="00CC33C4"/>
    <w:rsid w:val="00CC3CF5"/>
    <w:rsid w:val="00CC4062"/>
    <w:rsid w:val="00CC48A0"/>
    <w:rsid w:val="00CC493D"/>
    <w:rsid w:val="00CC4E7A"/>
    <w:rsid w:val="00CC5294"/>
    <w:rsid w:val="00CC5969"/>
    <w:rsid w:val="00CC5CF4"/>
    <w:rsid w:val="00CC65A5"/>
    <w:rsid w:val="00CC65AC"/>
    <w:rsid w:val="00CC67B4"/>
    <w:rsid w:val="00CC6B55"/>
    <w:rsid w:val="00CC764B"/>
    <w:rsid w:val="00CC7767"/>
    <w:rsid w:val="00CC79BF"/>
    <w:rsid w:val="00CC7B08"/>
    <w:rsid w:val="00CC7D21"/>
    <w:rsid w:val="00CC7EE8"/>
    <w:rsid w:val="00CC7F0C"/>
    <w:rsid w:val="00CCAF64"/>
    <w:rsid w:val="00CD028B"/>
    <w:rsid w:val="00CD0CA7"/>
    <w:rsid w:val="00CD0F0F"/>
    <w:rsid w:val="00CD1173"/>
    <w:rsid w:val="00CD1295"/>
    <w:rsid w:val="00CD1502"/>
    <w:rsid w:val="00CD1FF6"/>
    <w:rsid w:val="00CD22D4"/>
    <w:rsid w:val="00CD2662"/>
    <w:rsid w:val="00CD26DD"/>
    <w:rsid w:val="00CD2ABE"/>
    <w:rsid w:val="00CD2FD0"/>
    <w:rsid w:val="00CD3379"/>
    <w:rsid w:val="00CD4371"/>
    <w:rsid w:val="00CD4D0D"/>
    <w:rsid w:val="00CD4DFF"/>
    <w:rsid w:val="00CD4E57"/>
    <w:rsid w:val="00CD5B79"/>
    <w:rsid w:val="00CD5E44"/>
    <w:rsid w:val="00CD6019"/>
    <w:rsid w:val="00CD64D1"/>
    <w:rsid w:val="00CD6A56"/>
    <w:rsid w:val="00CD6BF0"/>
    <w:rsid w:val="00CD6F16"/>
    <w:rsid w:val="00CD6F2F"/>
    <w:rsid w:val="00CD710C"/>
    <w:rsid w:val="00CD7167"/>
    <w:rsid w:val="00CD75F6"/>
    <w:rsid w:val="00CD7655"/>
    <w:rsid w:val="00CD7B4A"/>
    <w:rsid w:val="00CD7EDC"/>
    <w:rsid w:val="00CE03DB"/>
    <w:rsid w:val="00CE079C"/>
    <w:rsid w:val="00CE08DA"/>
    <w:rsid w:val="00CE0C84"/>
    <w:rsid w:val="00CE1521"/>
    <w:rsid w:val="00CE1919"/>
    <w:rsid w:val="00CE1DB9"/>
    <w:rsid w:val="00CE22E1"/>
    <w:rsid w:val="00CE32EC"/>
    <w:rsid w:val="00CE42BE"/>
    <w:rsid w:val="00CE4A2B"/>
    <w:rsid w:val="00CE4CF9"/>
    <w:rsid w:val="00CE5554"/>
    <w:rsid w:val="00CE55B8"/>
    <w:rsid w:val="00CE615B"/>
    <w:rsid w:val="00CE63FF"/>
    <w:rsid w:val="00CE64E1"/>
    <w:rsid w:val="00CE6D50"/>
    <w:rsid w:val="00CE6F2A"/>
    <w:rsid w:val="00CE7199"/>
    <w:rsid w:val="00CE7351"/>
    <w:rsid w:val="00CE76B6"/>
    <w:rsid w:val="00CE77CB"/>
    <w:rsid w:val="00CF0284"/>
    <w:rsid w:val="00CF02A5"/>
    <w:rsid w:val="00CF059B"/>
    <w:rsid w:val="00CF06A9"/>
    <w:rsid w:val="00CF104C"/>
    <w:rsid w:val="00CF119C"/>
    <w:rsid w:val="00CF13EF"/>
    <w:rsid w:val="00CF19DA"/>
    <w:rsid w:val="00CF1EEA"/>
    <w:rsid w:val="00CF2CC7"/>
    <w:rsid w:val="00CF31EA"/>
    <w:rsid w:val="00CF388C"/>
    <w:rsid w:val="00CF3912"/>
    <w:rsid w:val="00CF3CC7"/>
    <w:rsid w:val="00CF3E61"/>
    <w:rsid w:val="00CF4353"/>
    <w:rsid w:val="00CF4C72"/>
    <w:rsid w:val="00CF5A1C"/>
    <w:rsid w:val="00CF5DA3"/>
    <w:rsid w:val="00CF651F"/>
    <w:rsid w:val="00CF6949"/>
    <w:rsid w:val="00CF70BC"/>
    <w:rsid w:val="00D0004B"/>
    <w:rsid w:val="00D00EC0"/>
    <w:rsid w:val="00D0183B"/>
    <w:rsid w:val="00D01EE1"/>
    <w:rsid w:val="00D024C2"/>
    <w:rsid w:val="00D0274E"/>
    <w:rsid w:val="00D02BAF"/>
    <w:rsid w:val="00D02EFF"/>
    <w:rsid w:val="00D0357D"/>
    <w:rsid w:val="00D039C0"/>
    <w:rsid w:val="00D03FC2"/>
    <w:rsid w:val="00D04073"/>
    <w:rsid w:val="00D04798"/>
    <w:rsid w:val="00D050BB"/>
    <w:rsid w:val="00D0567A"/>
    <w:rsid w:val="00D05741"/>
    <w:rsid w:val="00D05DD5"/>
    <w:rsid w:val="00D05E54"/>
    <w:rsid w:val="00D06448"/>
    <w:rsid w:val="00D06494"/>
    <w:rsid w:val="00D065B6"/>
    <w:rsid w:val="00D06868"/>
    <w:rsid w:val="00D06CD0"/>
    <w:rsid w:val="00D1041E"/>
    <w:rsid w:val="00D108A2"/>
    <w:rsid w:val="00D108FB"/>
    <w:rsid w:val="00D10A0B"/>
    <w:rsid w:val="00D10EEB"/>
    <w:rsid w:val="00D11355"/>
    <w:rsid w:val="00D1198D"/>
    <w:rsid w:val="00D11A73"/>
    <w:rsid w:val="00D11CE1"/>
    <w:rsid w:val="00D11F15"/>
    <w:rsid w:val="00D12174"/>
    <w:rsid w:val="00D121E6"/>
    <w:rsid w:val="00D12359"/>
    <w:rsid w:val="00D12702"/>
    <w:rsid w:val="00D12B83"/>
    <w:rsid w:val="00D12BAE"/>
    <w:rsid w:val="00D12EC3"/>
    <w:rsid w:val="00D138C2"/>
    <w:rsid w:val="00D138E7"/>
    <w:rsid w:val="00D140BF"/>
    <w:rsid w:val="00D1427D"/>
    <w:rsid w:val="00D15B8E"/>
    <w:rsid w:val="00D15E66"/>
    <w:rsid w:val="00D15E76"/>
    <w:rsid w:val="00D16BF9"/>
    <w:rsid w:val="00D1708D"/>
    <w:rsid w:val="00D1738E"/>
    <w:rsid w:val="00D1741C"/>
    <w:rsid w:val="00D20147"/>
    <w:rsid w:val="00D204FC"/>
    <w:rsid w:val="00D207E5"/>
    <w:rsid w:val="00D20A0C"/>
    <w:rsid w:val="00D20AD5"/>
    <w:rsid w:val="00D2132B"/>
    <w:rsid w:val="00D21581"/>
    <w:rsid w:val="00D216EA"/>
    <w:rsid w:val="00D21F6E"/>
    <w:rsid w:val="00D22164"/>
    <w:rsid w:val="00D22411"/>
    <w:rsid w:val="00D22A3E"/>
    <w:rsid w:val="00D22EE7"/>
    <w:rsid w:val="00D23D59"/>
    <w:rsid w:val="00D24226"/>
    <w:rsid w:val="00D242E0"/>
    <w:rsid w:val="00D244B0"/>
    <w:rsid w:val="00D248A7"/>
    <w:rsid w:val="00D2504E"/>
    <w:rsid w:val="00D25322"/>
    <w:rsid w:val="00D253A5"/>
    <w:rsid w:val="00D2566C"/>
    <w:rsid w:val="00D2581D"/>
    <w:rsid w:val="00D25CAC"/>
    <w:rsid w:val="00D265EA"/>
    <w:rsid w:val="00D268F9"/>
    <w:rsid w:val="00D26D3C"/>
    <w:rsid w:val="00D27667"/>
    <w:rsid w:val="00D30097"/>
    <w:rsid w:val="00D3063B"/>
    <w:rsid w:val="00D30DBE"/>
    <w:rsid w:val="00D31B47"/>
    <w:rsid w:val="00D32E45"/>
    <w:rsid w:val="00D3328E"/>
    <w:rsid w:val="00D335BF"/>
    <w:rsid w:val="00D34341"/>
    <w:rsid w:val="00D346AE"/>
    <w:rsid w:val="00D34DAB"/>
    <w:rsid w:val="00D35115"/>
    <w:rsid w:val="00D3566A"/>
    <w:rsid w:val="00D36DDA"/>
    <w:rsid w:val="00D37A98"/>
    <w:rsid w:val="00D410BC"/>
    <w:rsid w:val="00D417AE"/>
    <w:rsid w:val="00D41EF5"/>
    <w:rsid w:val="00D420BD"/>
    <w:rsid w:val="00D42159"/>
    <w:rsid w:val="00D421AE"/>
    <w:rsid w:val="00D42626"/>
    <w:rsid w:val="00D42C5B"/>
    <w:rsid w:val="00D43057"/>
    <w:rsid w:val="00D435FD"/>
    <w:rsid w:val="00D437F5"/>
    <w:rsid w:val="00D43A83"/>
    <w:rsid w:val="00D43B2C"/>
    <w:rsid w:val="00D43F8B"/>
    <w:rsid w:val="00D4431D"/>
    <w:rsid w:val="00D448A2"/>
    <w:rsid w:val="00D449AB"/>
    <w:rsid w:val="00D456C7"/>
    <w:rsid w:val="00D45EFA"/>
    <w:rsid w:val="00D45FFC"/>
    <w:rsid w:val="00D46E15"/>
    <w:rsid w:val="00D47241"/>
    <w:rsid w:val="00D47550"/>
    <w:rsid w:val="00D47598"/>
    <w:rsid w:val="00D50406"/>
    <w:rsid w:val="00D50791"/>
    <w:rsid w:val="00D509E3"/>
    <w:rsid w:val="00D512E8"/>
    <w:rsid w:val="00D51856"/>
    <w:rsid w:val="00D51CEA"/>
    <w:rsid w:val="00D52149"/>
    <w:rsid w:val="00D528D3"/>
    <w:rsid w:val="00D52B68"/>
    <w:rsid w:val="00D52E93"/>
    <w:rsid w:val="00D53142"/>
    <w:rsid w:val="00D5369D"/>
    <w:rsid w:val="00D53739"/>
    <w:rsid w:val="00D53781"/>
    <w:rsid w:val="00D53BDD"/>
    <w:rsid w:val="00D541F2"/>
    <w:rsid w:val="00D54330"/>
    <w:rsid w:val="00D54612"/>
    <w:rsid w:val="00D546DE"/>
    <w:rsid w:val="00D549FD"/>
    <w:rsid w:val="00D54D6A"/>
    <w:rsid w:val="00D5551E"/>
    <w:rsid w:val="00D556FC"/>
    <w:rsid w:val="00D56186"/>
    <w:rsid w:val="00D56716"/>
    <w:rsid w:val="00D5676B"/>
    <w:rsid w:val="00D571B5"/>
    <w:rsid w:val="00D57913"/>
    <w:rsid w:val="00D57BF6"/>
    <w:rsid w:val="00D57CC5"/>
    <w:rsid w:val="00D57D61"/>
    <w:rsid w:val="00D57F8E"/>
    <w:rsid w:val="00D6064C"/>
    <w:rsid w:val="00D61549"/>
    <w:rsid w:val="00D6157F"/>
    <w:rsid w:val="00D61A21"/>
    <w:rsid w:val="00D61D90"/>
    <w:rsid w:val="00D61E18"/>
    <w:rsid w:val="00D6227B"/>
    <w:rsid w:val="00D6228D"/>
    <w:rsid w:val="00D62780"/>
    <w:rsid w:val="00D62C6F"/>
    <w:rsid w:val="00D62D8C"/>
    <w:rsid w:val="00D63203"/>
    <w:rsid w:val="00D637DF"/>
    <w:rsid w:val="00D63847"/>
    <w:rsid w:val="00D63A84"/>
    <w:rsid w:val="00D63D63"/>
    <w:rsid w:val="00D63F4E"/>
    <w:rsid w:val="00D64335"/>
    <w:rsid w:val="00D64C2F"/>
    <w:rsid w:val="00D652AB"/>
    <w:rsid w:val="00D65AB1"/>
    <w:rsid w:val="00D65E9F"/>
    <w:rsid w:val="00D66908"/>
    <w:rsid w:val="00D66970"/>
    <w:rsid w:val="00D66AA1"/>
    <w:rsid w:val="00D67F90"/>
    <w:rsid w:val="00D7011F"/>
    <w:rsid w:val="00D708AA"/>
    <w:rsid w:val="00D70FA7"/>
    <w:rsid w:val="00D7159C"/>
    <w:rsid w:val="00D71CAC"/>
    <w:rsid w:val="00D72056"/>
    <w:rsid w:val="00D721CB"/>
    <w:rsid w:val="00D72749"/>
    <w:rsid w:val="00D727EC"/>
    <w:rsid w:val="00D72806"/>
    <w:rsid w:val="00D72827"/>
    <w:rsid w:val="00D72AE1"/>
    <w:rsid w:val="00D72FEF"/>
    <w:rsid w:val="00D73134"/>
    <w:rsid w:val="00D73D4E"/>
    <w:rsid w:val="00D73ED1"/>
    <w:rsid w:val="00D741D0"/>
    <w:rsid w:val="00D74297"/>
    <w:rsid w:val="00D75010"/>
    <w:rsid w:val="00D7532D"/>
    <w:rsid w:val="00D760E4"/>
    <w:rsid w:val="00D767AD"/>
    <w:rsid w:val="00D768F6"/>
    <w:rsid w:val="00D76C56"/>
    <w:rsid w:val="00D76D35"/>
    <w:rsid w:val="00D76E6F"/>
    <w:rsid w:val="00D76E92"/>
    <w:rsid w:val="00D76EB7"/>
    <w:rsid w:val="00D77247"/>
    <w:rsid w:val="00D8023C"/>
    <w:rsid w:val="00D80B0C"/>
    <w:rsid w:val="00D80C65"/>
    <w:rsid w:val="00D8131B"/>
    <w:rsid w:val="00D816B3"/>
    <w:rsid w:val="00D817D1"/>
    <w:rsid w:val="00D81D2A"/>
    <w:rsid w:val="00D821EA"/>
    <w:rsid w:val="00D8251C"/>
    <w:rsid w:val="00D826B1"/>
    <w:rsid w:val="00D82968"/>
    <w:rsid w:val="00D831C8"/>
    <w:rsid w:val="00D83E0A"/>
    <w:rsid w:val="00D83E2E"/>
    <w:rsid w:val="00D84A12"/>
    <w:rsid w:val="00D84B51"/>
    <w:rsid w:val="00D856BC"/>
    <w:rsid w:val="00D85826"/>
    <w:rsid w:val="00D85934"/>
    <w:rsid w:val="00D85D25"/>
    <w:rsid w:val="00D86004"/>
    <w:rsid w:val="00D8667E"/>
    <w:rsid w:val="00D866E7"/>
    <w:rsid w:val="00D86BDB"/>
    <w:rsid w:val="00D86C71"/>
    <w:rsid w:val="00D87685"/>
    <w:rsid w:val="00D8778D"/>
    <w:rsid w:val="00D877C6"/>
    <w:rsid w:val="00D87EFA"/>
    <w:rsid w:val="00D9019E"/>
    <w:rsid w:val="00D9027B"/>
    <w:rsid w:val="00D90B45"/>
    <w:rsid w:val="00D90C90"/>
    <w:rsid w:val="00D90FF5"/>
    <w:rsid w:val="00D91394"/>
    <w:rsid w:val="00D91C42"/>
    <w:rsid w:val="00D920EA"/>
    <w:rsid w:val="00D92520"/>
    <w:rsid w:val="00D92B74"/>
    <w:rsid w:val="00D92D72"/>
    <w:rsid w:val="00D932FE"/>
    <w:rsid w:val="00D9335C"/>
    <w:rsid w:val="00D93421"/>
    <w:rsid w:val="00D934BD"/>
    <w:rsid w:val="00D93A0D"/>
    <w:rsid w:val="00D93C1B"/>
    <w:rsid w:val="00D93C32"/>
    <w:rsid w:val="00D9423A"/>
    <w:rsid w:val="00D9443F"/>
    <w:rsid w:val="00D94717"/>
    <w:rsid w:val="00D948B2"/>
    <w:rsid w:val="00D94AFF"/>
    <w:rsid w:val="00D94CFA"/>
    <w:rsid w:val="00D9508C"/>
    <w:rsid w:val="00D95627"/>
    <w:rsid w:val="00D957C4"/>
    <w:rsid w:val="00D959DB"/>
    <w:rsid w:val="00D95D2A"/>
    <w:rsid w:val="00D95D51"/>
    <w:rsid w:val="00D96826"/>
    <w:rsid w:val="00D96ABE"/>
    <w:rsid w:val="00D9703F"/>
    <w:rsid w:val="00D97395"/>
    <w:rsid w:val="00D976A4"/>
    <w:rsid w:val="00D97E00"/>
    <w:rsid w:val="00DA00A4"/>
    <w:rsid w:val="00DA04DE"/>
    <w:rsid w:val="00DA0515"/>
    <w:rsid w:val="00DA060D"/>
    <w:rsid w:val="00DA0753"/>
    <w:rsid w:val="00DA0F74"/>
    <w:rsid w:val="00DA11F4"/>
    <w:rsid w:val="00DA17D2"/>
    <w:rsid w:val="00DA1893"/>
    <w:rsid w:val="00DA1B23"/>
    <w:rsid w:val="00DA1F8F"/>
    <w:rsid w:val="00DA2798"/>
    <w:rsid w:val="00DA33F9"/>
    <w:rsid w:val="00DA33FC"/>
    <w:rsid w:val="00DA3522"/>
    <w:rsid w:val="00DA3BEF"/>
    <w:rsid w:val="00DA3EA3"/>
    <w:rsid w:val="00DA45F6"/>
    <w:rsid w:val="00DA4A51"/>
    <w:rsid w:val="00DA5460"/>
    <w:rsid w:val="00DA6A2D"/>
    <w:rsid w:val="00DA6B27"/>
    <w:rsid w:val="00DA7179"/>
    <w:rsid w:val="00DA78D8"/>
    <w:rsid w:val="00DA7AA4"/>
    <w:rsid w:val="00DA7B0E"/>
    <w:rsid w:val="00DA7FDF"/>
    <w:rsid w:val="00DA7FFB"/>
    <w:rsid w:val="00DB0819"/>
    <w:rsid w:val="00DB0EEB"/>
    <w:rsid w:val="00DB1033"/>
    <w:rsid w:val="00DB1035"/>
    <w:rsid w:val="00DB14F0"/>
    <w:rsid w:val="00DB1521"/>
    <w:rsid w:val="00DB1522"/>
    <w:rsid w:val="00DB1669"/>
    <w:rsid w:val="00DB196A"/>
    <w:rsid w:val="00DB1DED"/>
    <w:rsid w:val="00DB1E3B"/>
    <w:rsid w:val="00DB1E45"/>
    <w:rsid w:val="00DB2284"/>
    <w:rsid w:val="00DB2287"/>
    <w:rsid w:val="00DB260B"/>
    <w:rsid w:val="00DB2682"/>
    <w:rsid w:val="00DB2995"/>
    <w:rsid w:val="00DB2BCE"/>
    <w:rsid w:val="00DB2C61"/>
    <w:rsid w:val="00DB2E42"/>
    <w:rsid w:val="00DB2FA1"/>
    <w:rsid w:val="00DB318D"/>
    <w:rsid w:val="00DB3364"/>
    <w:rsid w:val="00DB3605"/>
    <w:rsid w:val="00DB3C8A"/>
    <w:rsid w:val="00DB43E0"/>
    <w:rsid w:val="00DB466A"/>
    <w:rsid w:val="00DB4765"/>
    <w:rsid w:val="00DB4B28"/>
    <w:rsid w:val="00DB50DA"/>
    <w:rsid w:val="00DB52C1"/>
    <w:rsid w:val="00DB54E5"/>
    <w:rsid w:val="00DB552E"/>
    <w:rsid w:val="00DB5980"/>
    <w:rsid w:val="00DB5A63"/>
    <w:rsid w:val="00DB5CE0"/>
    <w:rsid w:val="00DB5F83"/>
    <w:rsid w:val="00DB69C9"/>
    <w:rsid w:val="00DB6AB1"/>
    <w:rsid w:val="00DB6CA7"/>
    <w:rsid w:val="00DB6D67"/>
    <w:rsid w:val="00DB6D95"/>
    <w:rsid w:val="00DB6DF3"/>
    <w:rsid w:val="00DB7042"/>
    <w:rsid w:val="00DB78A2"/>
    <w:rsid w:val="00DC0692"/>
    <w:rsid w:val="00DC0D3E"/>
    <w:rsid w:val="00DC13A2"/>
    <w:rsid w:val="00DC17E3"/>
    <w:rsid w:val="00DC1FAD"/>
    <w:rsid w:val="00DC20F0"/>
    <w:rsid w:val="00DC26C9"/>
    <w:rsid w:val="00DC2B75"/>
    <w:rsid w:val="00DC31F3"/>
    <w:rsid w:val="00DC346E"/>
    <w:rsid w:val="00DC3947"/>
    <w:rsid w:val="00DC3C41"/>
    <w:rsid w:val="00DC4417"/>
    <w:rsid w:val="00DC4495"/>
    <w:rsid w:val="00DC4702"/>
    <w:rsid w:val="00DC489C"/>
    <w:rsid w:val="00DC4EA2"/>
    <w:rsid w:val="00DC5125"/>
    <w:rsid w:val="00DC5490"/>
    <w:rsid w:val="00DC5B8F"/>
    <w:rsid w:val="00DC5C14"/>
    <w:rsid w:val="00DC619F"/>
    <w:rsid w:val="00DC657B"/>
    <w:rsid w:val="00DC67D1"/>
    <w:rsid w:val="00DC69A4"/>
    <w:rsid w:val="00DC769E"/>
    <w:rsid w:val="00DC7DF5"/>
    <w:rsid w:val="00DD010D"/>
    <w:rsid w:val="00DD0561"/>
    <w:rsid w:val="00DD0B13"/>
    <w:rsid w:val="00DD146A"/>
    <w:rsid w:val="00DD1C8F"/>
    <w:rsid w:val="00DD1D7D"/>
    <w:rsid w:val="00DD21DF"/>
    <w:rsid w:val="00DD22FD"/>
    <w:rsid w:val="00DD27FA"/>
    <w:rsid w:val="00DD2C1D"/>
    <w:rsid w:val="00DD32E7"/>
    <w:rsid w:val="00DD333C"/>
    <w:rsid w:val="00DD3A90"/>
    <w:rsid w:val="00DD3E1E"/>
    <w:rsid w:val="00DD4487"/>
    <w:rsid w:val="00DD45C5"/>
    <w:rsid w:val="00DD4C48"/>
    <w:rsid w:val="00DD4E92"/>
    <w:rsid w:val="00DD51A3"/>
    <w:rsid w:val="00DD5595"/>
    <w:rsid w:val="00DD5AF1"/>
    <w:rsid w:val="00DD616B"/>
    <w:rsid w:val="00DD6177"/>
    <w:rsid w:val="00DD6335"/>
    <w:rsid w:val="00DD6D24"/>
    <w:rsid w:val="00DD6FEF"/>
    <w:rsid w:val="00DD78A0"/>
    <w:rsid w:val="00DD7911"/>
    <w:rsid w:val="00DD7EBD"/>
    <w:rsid w:val="00DE0147"/>
    <w:rsid w:val="00DE05E0"/>
    <w:rsid w:val="00DE0BB3"/>
    <w:rsid w:val="00DE1189"/>
    <w:rsid w:val="00DE197C"/>
    <w:rsid w:val="00DE202B"/>
    <w:rsid w:val="00DE2528"/>
    <w:rsid w:val="00DE28C3"/>
    <w:rsid w:val="00DE2BA0"/>
    <w:rsid w:val="00DE3267"/>
    <w:rsid w:val="00DE3544"/>
    <w:rsid w:val="00DE38B1"/>
    <w:rsid w:val="00DE3A90"/>
    <w:rsid w:val="00DE3BB8"/>
    <w:rsid w:val="00DE40C8"/>
    <w:rsid w:val="00DE4389"/>
    <w:rsid w:val="00DE46B8"/>
    <w:rsid w:val="00DE4C2B"/>
    <w:rsid w:val="00DE55EB"/>
    <w:rsid w:val="00DE5EA9"/>
    <w:rsid w:val="00DE6078"/>
    <w:rsid w:val="00DE60B6"/>
    <w:rsid w:val="00DE64F8"/>
    <w:rsid w:val="00DE660B"/>
    <w:rsid w:val="00DE6649"/>
    <w:rsid w:val="00DE683E"/>
    <w:rsid w:val="00DE69FD"/>
    <w:rsid w:val="00DE6BE0"/>
    <w:rsid w:val="00DE7626"/>
    <w:rsid w:val="00DE77EB"/>
    <w:rsid w:val="00DE7885"/>
    <w:rsid w:val="00DE7D6B"/>
    <w:rsid w:val="00DE7D83"/>
    <w:rsid w:val="00DF0974"/>
    <w:rsid w:val="00DF0E0C"/>
    <w:rsid w:val="00DF0EF9"/>
    <w:rsid w:val="00DF0FEF"/>
    <w:rsid w:val="00DF105B"/>
    <w:rsid w:val="00DF1092"/>
    <w:rsid w:val="00DF109D"/>
    <w:rsid w:val="00DF147C"/>
    <w:rsid w:val="00DF160C"/>
    <w:rsid w:val="00DF1E3C"/>
    <w:rsid w:val="00DF208C"/>
    <w:rsid w:val="00DF2669"/>
    <w:rsid w:val="00DF28AE"/>
    <w:rsid w:val="00DF29CD"/>
    <w:rsid w:val="00DF3650"/>
    <w:rsid w:val="00DF3829"/>
    <w:rsid w:val="00DF3CB4"/>
    <w:rsid w:val="00DF3DE3"/>
    <w:rsid w:val="00DF4025"/>
    <w:rsid w:val="00DF41DE"/>
    <w:rsid w:val="00DF482A"/>
    <w:rsid w:val="00DF4B18"/>
    <w:rsid w:val="00DF4C3C"/>
    <w:rsid w:val="00DF4CDF"/>
    <w:rsid w:val="00DF519B"/>
    <w:rsid w:val="00DF5B47"/>
    <w:rsid w:val="00DF5DBB"/>
    <w:rsid w:val="00DF5E42"/>
    <w:rsid w:val="00DF5E97"/>
    <w:rsid w:val="00DF5F20"/>
    <w:rsid w:val="00DF6268"/>
    <w:rsid w:val="00DF63C1"/>
    <w:rsid w:val="00DF67EA"/>
    <w:rsid w:val="00DF6950"/>
    <w:rsid w:val="00DF6B0B"/>
    <w:rsid w:val="00DF72D1"/>
    <w:rsid w:val="00DF7B76"/>
    <w:rsid w:val="00DF7D72"/>
    <w:rsid w:val="00DF7E71"/>
    <w:rsid w:val="00E001F0"/>
    <w:rsid w:val="00E00392"/>
    <w:rsid w:val="00E00CE7"/>
    <w:rsid w:val="00E013F1"/>
    <w:rsid w:val="00E0145D"/>
    <w:rsid w:val="00E01BDC"/>
    <w:rsid w:val="00E02087"/>
    <w:rsid w:val="00E02511"/>
    <w:rsid w:val="00E02891"/>
    <w:rsid w:val="00E029F8"/>
    <w:rsid w:val="00E02B63"/>
    <w:rsid w:val="00E02FCA"/>
    <w:rsid w:val="00E03364"/>
    <w:rsid w:val="00E03FA8"/>
    <w:rsid w:val="00E04116"/>
    <w:rsid w:val="00E046EF"/>
    <w:rsid w:val="00E04BA8"/>
    <w:rsid w:val="00E05112"/>
    <w:rsid w:val="00E05336"/>
    <w:rsid w:val="00E057B2"/>
    <w:rsid w:val="00E058CF"/>
    <w:rsid w:val="00E0614C"/>
    <w:rsid w:val="00E0720F"/>
    <w:rsid w:val="00E07349"/>
    <w:rsid w:val="00E076A5"/>
    <w:rsid w:val="00E077A6"/>
    <w:rsid w:val="00E07C88"/>
    <w:rsid w:val="00E10736"/>
    <w:rsid w:val="00E10EEB"/>
    <w:rsid w:val="00E10F39"/>
    <w:rsid w:val="00E110E1"/>
    <w:rsid w:val="00E11161"/>
    <w:rsid w:val="00E1121A"/>
    <w:rsid w:val="00E118B8"/>
    <w:rsid w:val="00E11C6F"/>
    <w:rsid w:val="00E1205A"/>
    <w:rsid w:val="00E1239E"/>
    <w:rsid w:val="00E12B3D"/>
    <w:rsid w:val="00E12BED"/>
    <w:rsid w:val="00E12E1B"/>
    <w:rsid w:val="00E12F04"/>
    <w:rsid w:val="00E130A7"/>
    <w:rsid w:val="00E132D9"/>
    <w:rsid w:val="00E133AD"/>
    <w:rsid w:val="00E133BF"/>
    <w:rsid w:val="00E13668"/>
    <w:rsid w:val="00E13ADF"/>
    <w:rsid w:val="00E13B33"/>
    <w:rsid w:val="00E140FE"/>
    <w:rsid w:val="00E14443"/>
    <w:rsid w:val="00E14624"/>
    <w:rsid w:val="00E146D1"/>
    <w:rsid w:val="00E148E3"/>
    <w:rsid w:val="00E14B38"/>
    <w:rsid w:val="00E14CC2"/>
    <w:rsid w:val="00E14D19"/>
    <w:rsid w:val="00E14DCC"/>
    <w:rsid w:val="00E15487"/>
    <w:rsid w:val="00E15865"/>
    <w:rsid w:val="00E158F6"/>
    <w:rsid w:val="00E15958"/>
    <w:rsid w:val="00E159BA"/>
    <w:rsid w:val="00E15B00"/>
    <w:rsid w:val="00E16322"/>
    <w:rsid w:val="00E169D1"/>
    <w:rsid w:val="00E16E99"/>
    <w:rsid w:val="00E173F5"/>
    <w:rsid w:val="00E17529"/>
    <w:rsid w:val="00E17944"/>
    <w:rsid w:val="00E17A59"/>
    <w:rsid w:val="00E17E67"/>
    <w:rsid w:val="00E17F8B"/>
    <w:rsid w:val="00E17FFB"/>
    <w:rsid w:val="00E20174"/>
    <w:rsid w:val="00E201A2"/>
    <w:rsid w:val="00E2023E"/>
    <w:rsid w:val="00E205D4"/>
    <w:rsid w:val="00E206F8"/>
    <w:rsid w:val="00E20DD2"/>
    <w:rsid w:val="00E20FCB"/>
    <w:rsid w:val="00E217AE"/>
    <w:rsid w:val="00E21BB5"/>
    <w:rsid w:val="00E21BBB"/>
    <w:rsid w:val="00E21BEA"/>
    <w:rsid w:val="00E222C4"/>
    <w:rsid w:val="00E229BE"/>
    <w:rsid w:val="00E22D5C"/>
    <w:rsid w:val="00E235CE"/>
    <w:rsid w:val="00E236A9"/>
    <w:rsid w:val="00E23A2F"/>
    <w:rsid w:val="00E23E2D"/>
    <w:rsid w:val="00E24FC4"/>
    <w:rsid w:val="00E25018"/>
    <w:rsid w:val="00E25494"/>
    <w:rsid w:val="00E254A7"/>
    <w:rsid w:val="00E25730"/>
    <w:rsid w:val="00E25943"/>
    <w:rsid w:val="00E25B8C"/>
    <w:rsid w:val="00E25D30"/>
    <w:rsid w:val="00E262A0"/>
    <w:rsid w:val="00E263AB"/>
    <w:rsid w:val="00E263D8"/>
    <w:rsid w:val="00E26541"/>
    <w:rsid w:val="00E26788"/>
    <w:rsid w:val="00E26969"/>
    <w:rsid w:val="00E26A33"/>
    <w:rsid w:val="00E26A77"/>
    <w:rsid w:val="00E26ABB"/>
    <w:rsid w:val="00E26C75"/>
    <w:rsid w:val="00E26DD4"/>
    <w:rsid w:val="00E275E9"/>
    <w:rsid w:val="00E27F1E"/>
    <w:rsid w:val="00E30097"/>
    <w:rsid w:val="00E30383"/>
    <w:rsid w:val="00E3097E"/>
    <w:rsid w:val="00E30E39"/>
    <w:rsid w:val="00E30E89"/>
    <w:rsid w:val="00E310F9"/>
    <w:rsid w:val="00E318A4"/>
    <w:rsid w:val="00E31EA1"/>
    <w:rsid w:val="00E31F13"/>
    <w:rsid w:val="00E32184"/>
    <w:rsid w:val="00E32198"/>
    <w:rsid w:val="00E3256C"/>
    <w:rsid w:val="00E3260B"/>
    <w:rsid w:val="00E326FF"/>
    <w:rsid w:val="00E327E0"/>
    <w:rsid w:val="00E32B45"/>
    <w:rsid w:val="00E3320E"/>
    <w:rsid w:val="00E33323"/>
    <w:rsid w:val="00E33715"/>
    <w:rsid w:val="00E339CE"/>
    <w:rsid w:val="00E33DA8"/>
    <w:rsid w:val="00E3411A"/>
    <w:rsid w:val="00E34260"/>
    <w:rsid w:val="00E34A8E"/>
    <w:rsid w:val="00E34B87"/>
    <w:rsid w:val="00E34DCB"/>
    <w:rsid w:val="00E35190"/>
    <w:rsid w:val="00E3530F"/>
    <w:rsid w:val="00E35487"/>
    <w:rsid w:val="00E35569"/>
    <w:rsid w:val="00E36D19"/>
    <w:rsid w:val="00E36E53"/>
    <w:rsid w:val="00E36FFD"/>
    <w:rsid w:val="00E37166"/>
    <w:rsid w:val="00E37596"/>
    <w:rsid w:val="00E37A03"/>
    <w:rsid w:val="00E400EA"/>
    <w:rsid w:val="00E40759"/>
    <w:rsid w:val="00E40792"/>
    <w:rsid w:val="00E40CAC"/>
    <w:rsid w:val="00E40D06"/>
    <w:rsid w:val="00E41556"/>
    <w:rsid w:val="00E42560"/>
    <w:rsid w:val="00E429F7"/>
    <w:rsid w:val="00E42ABC"/>
    <w:rsid w:val="00E42BDE"/>
    <w:rsid w:val="00E42D04"/>
    <w:rsid w:val="00E43D4C"/>
    <w:rsid w:val="00E43DA6"/>
    <w:rsid w:val="00E44C17"/>
    <w:rsid w:val="00E44E2C"/>
    <w:rsid w:val="00E44F93"/>
    <w:rsid w:val="00E4563A"/>
    <w:rsid w:val="00E4610B"/>
    <w:rsid w:val="00E46380"/>
    <w:rsid w:val="00E4649D"/>
    <w:rsid w:val="00E46536"/>
    <w:rsid w:val="00E46724"/>
    <w:rsid w:val="00E4684B"/>
    <w:rsid w:val="00E470B5"/>
    <w:rsid w:val="00E47230"/>
    <w:rsid w:val="00E4732D"/>
    <w:rsid w:val="00E474BD"/>
    <w:rsid w:val="00E47706"/>
    <w:rsid w:val="00E4784C"/>
    <w:rsid w:val="00E479AE"/>
    <w:rsid w:val="00E50414"/>
    <w:rsid w:val="00E5041B"/>
    <w:rsid w:val="00E505D5"/>
    <w:rsid w:val="00E5123A"/>
    <w:rsid w:val="00E51278"/>
    <w:rsid w:val="00E51770"/>
    <w:rsid w:val="00E521DA"/>
    <w:rsid w:val="00E523BA"/>
    <w:rsid w:val="00E52456"/>
    <w:rsid w:val="00E52ABB"/>
    <w:rsid w:val="00E53496"/>
    <w:rsid w:val="00E53AFC"/>
    <w:rsid w:val="00E53E68"/>
    <w:rsid w:val="00E5404D"/>
    <w:rsid w:val="00E54B3B"/>
    <w:rsid w:val="00E54CE8"/>
    <w:rsid w:val="00E54CF1"/>
    <w:rsid w:val="00E54E3A"/>
    <w:rsid w:val="00E558EB"/>
    <w:rsid w:val="00E5591F"/>
    <w:rsid w:val="00E55E9B"/>
    <w:rsid w:val="00E55FC1"/>
    <w:rsid w:val="00E56548"/>
    <w:rsid w:val="00E56696"/>
    <w:rsid w:val="00E5691F"/>
    <w:rsid w:val="00E56AA7"/>
    <w:rsid w:val="00E56B11"/>
    <w:rsid w:val="00E56B7B"/>
    <w:rsid w:val="00E57233"/>
    <w:rsid w:val="00E57251"/>
    <w:rsid w:val="00E57321"/>
    <w:rsid w:val="00E57376"/>
    <w:rsid w:val="00E574CF"/>
    <w:rsid w:val="00E577B0"/>
    <w:rsid w:val="00E57909"/>
    <w:rsid w:val="00E57D74"/>
    <w:rsid w:val="00E603FB"/>
    <w:rsid w:val="00E6070A"/>
    <w:rsid w:val="00E60D28"/>
    <w:rsid w:val="00E61230"/>
    <w:rsid w:val="00E613A7"/>
    <w:rsid w:val="00E617B5"/>
    <w:rsid w:val="00E61869"/>
    <w:rsid w:val="00E61BCD"/>
    <w:rsid w:val="00E62254"/>
    <w:rsid w:val="00E62E0E"/>
    <w:rsid w:val="00E63317"/>
    <w:rsid w:val="00E636C0"/>
    <w:rsid w:val="00E63948"/>
    <w:rsid w:val="00E63A50"/>
    <w:rsid w:val="00E63DA6"/>
    <w:rsid w:val="00E64166"/>
    <w:rsid w:val="00E64584"/>
    <w:rsid w:val="00E64B66"/>
    <w:rsid w:val="00E65008"/>
    <w:rsid w:val="00E656C4"/>
    <w:rsid w:val="00E65F47"/>
    <w:rsid w:val="00E666B4"/>
    <w:rsid w:val="00E668E3"/>
    <w:rsid w:val="00E6F07C"/>
    <w:rsid w:val="00E70170"/>
    <w:rsid w:val="00E70346"/>
    <w:rsid w:val="00E70395"/>
    <w:rsid w:val="00E7066E"/>
    <w:rsid w:val="00E707FF"/>
    <w:rsid w:val="00E70AEE"/>
    <w:rsid w:val="00E70DA8"/>
    <w:rsid w:val="00E70F2A"/>
    <w:rsid w:val="00E70F41"/>
    <w:rsid w:val="00E7114F"/>
    <w:rsid w:val="00E712DF"/>
    <w:rsid w:val="00E713ED"/>
    <w:rsid w:val="00E71419"/>
    <w:rsid w:val="00E71747"/>
    <w:rsid w:val="00E71A82"/>
    <w:rsid w:val="00E722F9"/>
    <w:rsid w:val="00E72522"/>
    <w:rsid w:val="00E725B7"/>
    <w:rsid w:val="00E727A1"/>
    <w:rsid w:val="00E72CA4"/>
    <w:rsid w:val="00E72D58"/>
    <w:rsid w:val="00E73234"/>
    <w:rsid w:val="00E73CD1"/>
    <w:rsid w:val="00E73E04"/>
    <w:rsid w:val="00E73FF5"/>
    <w:rsid w:val="00E74A1F"/>
    <w:rsid w:val="00E759DB"/>
    <w:rsid w:val="00E75B22"/>
    <w:rsid w:val="00E75CA2"/>
    <w:rsid w:val="00E76084"/>
    <w:rsid w:val="00E763A2"/>
    <w:rsid w:val="00E76DFC"/>
    <w:rsid w:val="00E77133"/>
    <w:rsid w:val="00E771BB"/>
    <w:rsid w:val="00E7720E"/>
    <w:rsid w:val="00E7739D"/>
    <w:rsid w:val="00E776B6"/>
    <w:rsid w:val="00E77906"/>
    <w:rsid w:val="00E77BA3"/>
    <w:rsid w:val="00E77C75"/>
    <w:rsid w:val="00E80070"/>
    <w:rsid w:val="00E8032E"/>
    <w:rsid w:val="00E8101E"/>
    <w:rsid w:val="00E8151F"/>
    <w:rsid w:val="00E81FFE"/>
    <w:rsid w:val="00E82854"/>
    <w:rsid w:val="00E82921"/>
    <w:rsid w:val="00E82D29"/>
    <w:rsid w:val="00E82D86"/>
    <w:rsid w:val="00E82F1A"/>
    <w:rsid w:val="00E83180"/>
    <w:rsid w:val="00E831C6"/>
    <w:rsid w:val="00E832EA"/>
    <w:rsid w:val="00E83892"/>
    <w:rsid w:val="00E83937"/>
    <w:rsid w:val="00E83A8C"/>
    <w:rsid w:val="00E83B3F"/>
    <w:rsid w:val="00E83E3C"/>
    <w:rsid w:val="00E84025"/>
    <w:rsid w:val="00E845F8"/>
    <w:rsid w:val="00E84E77"/>
    <w:rsid w:val="00E850DC"/>
    <w:rsid w:val="00E85980"/>
    <w:rsid w:val="00E85C5B"/>
    <w:rsid w:val="00E85EA1"/>
    <w:rsid w:val="00E86631"/>
    <w:rsid w:val="00E866F7"/>
    <w:rsid w:val="00E87B2B"/>
    <w:rsid w:val="00E90330"/>
    <w:rsid w:val="00E90C17"/>
    <w:rsid w:val="00E90CFF"/>
    <w:rsid w:val="00E90D72"/>
    <w:rsid w:val="00E90EA8"/>
    <w:rsid w:val="00E91190"/>
    <w:rsid w:val="00E9185B"/>
    <w:rsid w:val="00E91DB0"/>
    <w:rsid w:val="00E9255F"/>
    <w:rsid w:val="00E927B6"/>
    <w:rsid w:val="00E92830"/>
    <w:rsid w:val="00E94153"/>
    <w:rsid w:val="00E94209"/>
    <w:rsid w:val="00E94349"/>
    <w:rsid w:val="00E94784"/>
    <w:rsid w:val="00E947F2"/>
    <w:rsid w:val="00E94A43"/>
    <w:rsid w:val="00E94C2D"/>
    <w:rsid w:val="00E950C6"/>
    <w:rsid w:val="00E957AC"/>
    <w:rsid w:val="00E95921"/>
    <w:rsid w:val="00E9605F"/>
    <w:rsid w:val="00E9614C"/>
    <w:rsid w:val="00E96468"/>
    <w:rsid w:val="00E96BC1"/>
    <w:rsid w:val="00E96C53"/>
    <w:rsid w:val="00E96CE1"/>
    <w:rsid w:val="00E97171"/>
    <w:rsid w:val="00E97188"/>
    <w:rsid w:val="00E9753F"/>
    <w:rsid w:val="00E97817"/>
    <w:rsid w:val="00E97D46"/>
    <w:rsid w:val="00EA032F"/>
    <w:rsid w:val="00EA05E9"/>
    <w:rsid w:val="00EA074B"/>
    <w:rsid w:val="00EA1321"/>
    <w:rsid w:val="00EA1733"/>
    <w:rsid w:val="00EA178D"/>
    <w:rsid w:val="00EA1A47"/>
    <w:rsid w:val="00EA1E04"/>
    <w:rsid w:val="00EA1E28"/>
    <w:rsid w:val="00EA2025"/>
    <w:rsid w:val="00EA208B"/>
    <w:rsid w:val="00EA2155"/>
    <w:rsid w:val="00EA225E"/>
    <w:rsid w:val="00EA2720"/>
    <w:rsid w:val="00EA2877"/>
    <w:rsid w:val="00EA2A66"/>
    <w:rsid w:val="00EA2F99"/>
    <w:rsid w:val="00EA3050"/>
    <w:rsid w:val="00EA39FF"/>
    <w:rsid w:val="00EA3B96"/>
    <w:rsid w:val="00EA3D5B"/>
    <w:rsid w:val="00EA3F90"/>
    <w:rsid w:val="00EA4AEA"/>
    <w:rsid w:val="00EA50B3"/>
    <w:rsid w:val="00EA51FD"/>
    <w:rsid w:val="00EA5C9D"/>
    <w:rsid w:val="00EA5CE1"/>
    <w:rsid w:val="00EA5D6B"/>
    <w:rsid w:val="00EA6B67"/>
    <w:rsid w:val="00EA6F0E"/>
    <w:rsid w:val="00EB09FD"/>
    <w:rsid w:val="00EB1A90"/>
    <w:rsid w:val="00EB272B"/>
    <w:rsid w:val="00EB27A5"/>
    <w:rsid w:val="00EB27E3"/>
    <w:rsid w:val="00EB2CA1"/>
    <w:rsid w:val="00EB324F"/>
    <w:rsid w:val="00EB3316"/>
    <w:rsid w:val="00EB3767"/>
    <w:rsid w:val="00EB380B"/>
    <w:rsid w:val="00EB38DA"/>
    <w:rsid w:val="00EB3C3E"/>
    <w:rsid w:val="00EB48CA"/>
    <w:rsid w:val="00EB4D3E"/>
    <w:rsid w:val="00EB5277"/>
    <w:rsid w:val="00EB557C"/>
    <w:rsid w:val="00EB563D"/>
    <w:rsid w:val="00EB5A96"/>
    <w:rsid w:val="00EB6D8A"/>
    <w:rsid w:val="00EB6E00"/>
    <w:rsid w:val="00EB7097"/>
    <w:rsid w:val="00EB74A5"/>
    <w:rsid w:val="00EB7565"/>
    <w:rsid w:val="00EC01F5"/>
    <w:rsid w:val="00EC0781"/>
    <w:rsid w:val="00EC0D0F"/>
    <w:rsid w:val="00EC0D3E"/>
    <w:rsid w:val="00EC0F29"/>
    <w:rsid w:val="00EC0F55"/>
    <w:rsid w:val="00EC0FF7"/>
    <w:rsid w:val="00EC109D"/>
    <w:rsid w:val="00EC1219"/>
    <w:rsid w:val="00EC1337"/>
    <w:rsid w:val="00EC141B"/>
    <w:rsid w:val="00EC2138"/>
    <w:rsid w:val="00EC294C"/>
    <w:rsid w:val="00EC2CD7"/>
    <w:rsid w:val="00EC30A1"/>
    <w:rsid w:val="00EC31A2"/>
    <w:rsid w:val="00EC33E0"/>
    <w:rsid w:val="00EC34E1"/>
    <w:rsid w:val="00EC36DF"/>
    <w:rsid w:val="00EC37FE"/>
    <w:rsid w:val="00EC38E1"/>
    <w:rsid w:val="00EC3E7C"/>
    <w:rsid w:val="00EC4238"/>
    <w:rsid w:val="00EC43A0"/>
    <w:rsid w:val="00EC4437"/>
    <w:rsid w:val="00EC48C1"/>
    <w:rsid w:val="00EC4D58"/>
    <w:rsid w:val="00EC4F7A"/>
    <w:rsid w:val="00EC5197"/>
    <w:rsid w:val="00EC5382"/>
    <w:rsid w:val="00EC5989"/>
    <w:rsid w:val="00EC6733"/>
    <w:rsid w:val="00EC6C83"/>
    <w:rsid w:val="00EC753C"/>
    <w:rsid w:val="00EC7819"/>
    <w:rsid w:val="00EC798E"/>
    <w:rsid w:val="00EC7BE6"/>
    <w:rsid w:val="00EC7BF5"/>
    <w:rsid w:val="00EC7CCF"/>
    <w:rsid w:val="00ED0008"/>
    <w:rsid w:val="00ED0278"/>
    <w:rsid w:val="00ED07E5"/>
    <w:rsid w:val="00ED0ED5"/>
    <w:rsid w:val="00ED0FDA"/>
    <w:rsid w:val="00ED1280"/>
    <w:rsid w:val="00ED1F70"/>
    <w:rsid w:val="00ED21A0"/>
    <w:rsid w:val="00ED2B2D"/>
    <w:rsid w:val="00ED2ED8"/>
    <w:rsid w:val="00ED3A83"/>
    <w:rsid w:val="00ED4433"/>
    <w:rsid w:val="00ED50A2"/>
    <w:rsid w:val="00ED520A"/>
    <w:rsid w:val="00ED5282"/>
    <w:rsid w:val="00ED52A7"/>
    <w:rsid w:val="00ED5B87"/>
    <w:rsid w:val="00ED5CA3"/>
    <w:rsid w:val="00ED674A"/>
    <w:rsid w:val="00ED6797"/>
    <w:rsid w:val="00ED6BAF"/>
    <w:rsid w:val="00ED723B"/>
    <w:rsid w:val="00ED76A8"/>
    <w:rsid w:val="00ED7BC4"/>
    <w:rsid w:val="00EE092F"/>
    <w:rsid w:val="00EE0996"/>
    <w:rsid w:val="00EE0A92"/>
    <w:rsid w:val="00EE0D86"/>
    <w:rsid w:val="00EE0F13"/>
    <w:rsid w:val="00EE0F26"/>
    <w:rsid w:val="00EE0F67"/>
    <w:rsid w:val="00EE0F81"/>
    <w:rsid w:val="00EE0FB9"/>
    <w:rsid w:val="00EE1B19"/>
    <w:rsid w:val="00EE1D8F"/>
    <w:rsid w:val="00EE1EC0"/>
    <w:rsid w:val="00EE1EFE"/>
    <w:rsid w:val="00EE2068"/>
    <w:rsid w:val="00EE266C"/>
    <w:rsid w:val="00EE2683"/>
    <w:rsid w:val="00EE2C49"/>
    <w:rsid w:val="00EE3668"/>
    <w:rsid w:val="00EE3CAB"/>
    <w:rsid w:val="00EE40BD"/>
    <w:rsid w:val="00EE50AD"/>
    <w:rsid w:val="00EE5165"/>
    <w:rsid w:val="00EE5359"/>
    <w:rsid w:val="00EE536C"/>
    <w:rsid w:val="00EE6190"/>
    <w:rsid w:val="00EE63AE"/>
    <w:rsid w:val="00EE69EC"/>
    <w:rsid w:val="00EE6AA5"/>
    <w:rsid w:val="00EE6CF1"/>
    <w:rsid w:val="00EE6D8F"/>
    <w:rsid w:val="00EE71C5"/>
    <w:rsid w:val="00EE74B3"/>
    <w:rsid w:val="00EE7578"/>
    <w:rsid w:val="00EE7750"/>
    <w:rsid w:val="00EE7849"/>
    <w:rsid w:val="00EE7BB1"/>
    <w:rsid w:val="00EE7CED"/>
    <w:rsid w:val="00EE7D68"/>
    <w:rsid w:val="00EF0ECA"/>
    <w:rsid w:val="00EF1030"/>
    <w:rsid w:val="00EF13B8"/>
    <w:rsid w:val="00EF1675"/>
    <w:rsid w:val="00EF1C0C"/>
    <w:rsid w:val="00EF23CC"/>
    <w:rsid w:val="00EF2467"/>
    <w:rsid w:val="00EF2697"/>
    <w:rsid w:val="00EF2698"/>
    <w:rsid w:val="00EF2784"/>
    <w:rsid w:val="00EF2EAB"/>
    <w:rsid w:val="00EF30FF"/>
    <w:rsid w:val="00EF3814"/>
    <w:rsid w:val="00EF3F27"/>
    <w:rsid w:val="00EF411F"/>
    <w:rsid w:val="00EF47EE"/>
    <w:rsid w:val="00EF4E45"/>
    <w:rsid w:val="00EF5140"/>
    <w:rsid w:val="00EF5142"/>
    <w:rsid w:val="00EF59D6"/>
    <w:rsid w:val="00EF5A82"/>
    <w:rsid w:val="00EF68CE"/>
    <w:rsid w:val="00EF68F0"/>
    <w:rsid w:val="00EF6BFF"/>
    <w:rsid w:val="00EF6E9F"/>
    <w:rsid w:val="00EF74BB"/>
    <w:rsid w:val="00EF7677"/>
    <w:rsid w:val="00F00335"/>
    <w:rsid w:val="00F003DB"/>
    <w:rsid w:val="00F00713"/>
    <w:rsid w:val="00F00AC5"/>
    <w:rsid w:val="00F00B7C"/>
    <w:rsid w:val="00F00DCB"/>
    <w:rsid w:val="00F00EE4"/>
    <w:rsid w:val="00F0110C"/>
    <w:rsid w:val="00F012BB"/>
    <w:rsid w:val="00F012C0"/>
    <w:rsid w:val="00F01382"/>
    <w:rsid w:val="00F01558"/>
    <w:rsid w:val="00F015E5"/>
    <w:rsid w:val="00F01A2D"/>
    <w:rsid w:val="00F01C6D"/>
    <w:rsid w:val="00F01E59"/>
    <w:rsid w:val="00F01F6F"/>
    <w:rsid w:val="00F022B7"/>
    <w:rsid w:val="00F0258C"/>
    <w:rsid w:val="00F031CD"/>
    <w:rsid w:val="00F0325A"/>
    <w:rsid w:val="00F032C5"/>
    <w:rsid w:val="00F03864"/>
    <w:rsid w:val="00F03CD7"/>
    <w:rsid w:val="00F03D87"/>
    <w:rsid w:val="00F03E14"/>
    <w:rsid w:val="00F03FDD"/>
    <w:rsid w:val="00F040E8"/>
    <w:rsid w:val="00F0439E"/>
    <w:rsid w:val="00F045A6"/>
    <w:rsid w:val="00F04D67"/>
    <w:rsid w:val="00F051E7"/>
    <w:rsid w:val="00F0547F"/>
    <w:rsid w:val="00F05A99"/>
    <w:rsid w:val="00F05BCF"/>
    <w:rsid w:val="00F05CC2"/>
    <w:rsid w:val="00F05E23"/>
    <w:rsid w:val="00F05EC8"/>
    <w:rsid w:val="00F0619A"/>
    <w:rsid w:val="00F061E2"/>
    <w:rsid w:val="00F06854"/>
    <w:rsid w:val="00F06D37"/>
    <w:rsid w:val="00F06DB5"/>
    <w:rsid w:val="00F06E35"/>
    <w:rsid w:val="00F07061"/>
    <w:rsid w:val="00F07125"/>
    <w:rsid w:val="00F07FB5"/>
    <w:rsid w:val="00F0AF05"/>
    <w:rsid w:val="00F101BA"/>
    <w:rsid w:val="00F10E05"/>
    <w:rsid w:val="00F10E7D"/>
    <w:rsid w:val="00F114C7"/>
    <w:rsid w:val="00F117C4"/>
    <w:rsid w:val="00F11A36"/>
    <w:rsid w:val="00F122F3"/>
    <w:rsid w:val="00F12450"/>
    <w:rsid w:val="00F126D7"/>
    <w:rsid w:val="00F1291F"/>
    <w:rsid w:val="00F12A0E"/>
    <w:rsid w:val="00F12B54"/>
    <w:rsid w:val="00F13ACD"/>
    <w:rsid w:val="00F13D12"/>
    <w:rsid w:val="00F1449C"/>
    <w:rsid w:val="00F14CC2"/>
    <w:rsid w:val="00F14E4D"/>
    <w:rsid w:val="00F14FBC"/>
    <w:rsid w:val="00F15650"/>
    <w:rsid w:val="00F156D8"/>
    <w:rsid w:val="00F1592D"/>
    <w:rsid w:val="00F15F33"/>
    <w:rsid w:val="00F15F43"/>
    <w:rsid w:val="00F16551"/>
    <w:rsid w:val="00F1661B"/>
    <w:rsid w:val="00F167D5"/>
    <w:rsid w:val="00F1691B"/>
    <w:rsid w:val="00F16AC9"/>
    <w:rsid w:val="00F16E07"/>
    <w:rsid w:val="00F172E1"/>
    <w:rsid w:val="00F17510"/>
    <w:rsid w:val="00F178FF"/>
    <w:rsid w:val="00F17F05"/>
    <w:rsid w:val="00F2092A"/>
    <w:rsid w:val="00F20A89"/>
    <w:rsid w:val="00F20ED6"/>
    <w:rsid w:val="00F21D66"/>
    <w:rsid w:val="00F2225C"/>
    <w:rsid w:val="00F22B58"/>
    <w:rsid w:val="00F22EC7"/>
    <w:rsid w:val="00F2304E"/>
    <w:rsid w:val="00F23068"/>
    <w:rsid w:val="00F230F8"/>
    <w:rsid w:val="00F23901"/>
    <w:rsid w:val="00F23907"/>
    <w:rsid w:val="00F23A1B"/>
    <w:rsid w:val="00F2405D"/>
    <w:rsid w:val="00F24137"/>
    <w:rsid w:val="00F244B0"/>
    <w:rsid w:val="00F24574"/>
    <w:rsid w:val="00F246FE"/>
    <w:rsid w:val="00F247A6"/>
    <w:rsid w:val="00F25635"/>
    <w:rsid w:val="00F25E6D"/>
    <w:rsid w:val="00F25EB7"/>
    <w:rsid w:val="00F262A2"/>
    <w:rsid w:val="00F26630"/>
    <w:rsid w:val="00F26757"/>
    <w:rsid w:val="00F269DD"/>
    <w:rsid w:val="00F26CA7"/>
    <w:rsid w:val="00F27520"/>
    <w:rsid w:val="00F27AA7"/>
    <w:rsid w:val="00F27BF0"/>
    <w:rsid w:val="00F3004B"/>
    <w:rsid w:val="00F30287"/>
    <w:rsid w:val="00F30338"/>
    <w:rsid w:val="00F308DB"/>
    <w:rsid w:val="00F3096A"/>
    <w:rsid w:val="00F309D4"/>
    <w:rsid w:val="00F30A2A"/>
    <w:rsid w:val="00F31901"/>
    <w:rsid w:val="00F31B8F"/>
    <w:rsid w:val="00F327E3"/>
    <w:rsid w:val="00F33368"/>
    <w:rsid w:val="00F33483"/>
    <w:rsid w:val="00F33B75"/>
    <w:rsid w:val="00F3403A"/>
    <w:rsid w:val="00F34B8D"/>
    <w:rsid w:val="00F35AF6"/>
    <w:rsid w:val="00F35AF8"/>
    <w:rsid w:val="00F364EA"/>
    <w:rsid w:val="00F36996"/>
    <w:rsid w:val="00F36EC0"/>
    <w:rsid w:val="00F373E9"/>
    <w:rsid w:val="00F40041"/>
    <w:rsid w:val="00F40BED"/>
    <w:rsid w:val="00F4100B"/>
    <w:rsid w:val="00F415C4"/>
    <w:rsid w:val="00F41615"/>
    <w:rsid w:val="00F41865"/>
    <w:rsid w:val="00F4224B"/>
    <w:rsid w:val="00F437B9"/>
    <w:rsid w:val="00F43D70"/>
    <w:rsid w:val="00F44994"/>
    <w:rsid w:val="00F44CF2"/>
    <w:rsid w:val="00F44F21"/>
    <w:rsid w:val="00F452D3"/>
    <w:rsid w:val="00F45646"/>
    <w:rsid w:val="00F45D47"/>
    <w:rsid w:val="00F45EDE"/>
    <w:rsid w:val="00F469E4"/>
    <w:rsid w:val="00F46DC8"/>
    <w:rsid w:val="00F46E78"/>
    <w:rsid w:val="00F46FF1"/>
    <w:rsid w:val="00F471F6"/>
    <w:rsid w:val="00F47589"/>
    <w:rsid w:val="00F47A81"/>
    <w:rsid w:val="00F47B50"/>
    <w:rsid w:val="00F47DCF"/>
    <w:rsid w:val="00F47E03"/>
    <w:rsid w:val="00F5055E"/>
    <w:rsid w:val="00F50564"/>
    <w:rsid w:val="00F50879"/>
    <w:rsid w:val="00F508A4"/>
    <w:rsid w:val="00F51843"/>
    <w:rsid w:val="00F5193D"/>
    <w:rsid w:val="00F51F4F"/>
    <w:rsid w:val="00F52C81"/>
    <w:rsid w:val="00F53205"/>
    <w:rsid w:val="00F533D7"/>
    <w:rsid w:val="00F535E0"/>
    <w:rsid w:val="00F536FC"/>
    <w:rsid w:val="00F53C51"/>
    <w:rsid w:val="00F53CD2"/>
    <w:rsid w:val="00F54955"/>
    <w:rsid w:val="00F54956"/>
    <w:rsid w:val="00F54E0C"/>
    <w:rsid w:val="00F55FC8"/>
    <w:rsid w:val="00F561B4"/>
    <w:rsid w:val="00F563F6"/>
    <w:rsid w:val="00F5669F"/>
    <w:rsid w:val="00F569F1"/>
    <w:rsid w:val="00F56F8F"/>
    <w:rsid w:val="00F570CD"/>
    <w:rsid w:val="00F570F4"/>
    <w:rsid w:val="00F57381"/>
    <w:rsid w:val="00F577A7"/>
    <w:rsid w:val="00F57A75"/>
    <w:rsid w:val="00F60AA0"/>
    <w:rsid w:val="00F60EE0"/>
    <w:rsid w:val="00F60FD1"/>
    <w:rsid w:val="00F6107E"/>
    <w:rsid w:val="00F61437"/>
    <w:rsid w:val="00F6149C"/>
    <w:rsid w:val="00F617E4"/>
    <w:rsid w:val="00F61F56"/>
    <w:rsid w:val="00F62784"/>
    <w:rsid w:val="00F628D7"/>
    <w:rsid w:val="00F62965"/>
    <w:rsid w:val="00F62E4F"/>
    <w:rsid w:val="00F62F07"/>
    <w:rsid w:val="00F63193"/>
    <w:rsid w:val="00F634B2"/>
    <w:rsid w:val="00F638BE"/>
    <w:rsid w:val="00F639D5"/>
    <w:rsid w:val="00F63D97"/>
    <w:rsid w:val="00F64DA0"/>
    <w:rsid w:val="00F64E77"/>
    <w:rsid w:val="00F655E0"/>
    <w:rsid w:val="00F65A99"/>
    <w:rsid w:val="00F65C0D"/>
    <w:rsid w:val="00F65D01"/>
    <w:rsid w:val="00F66120"/>
    <w:rsid w:val="00F66488"/>
    <w:rsid w:val="00F66755"/>
    <w:rsid w:val="00F6678E"/>
    <w:rsid w:val="00F66C37"/>
    <w:rsid w:val="00F67322"/>
    <w:rsid w:val="00F673B5"/>
    <w:rsid w:val="00F67521"/>
    <w:rsid w:val="00F67600"/>
    <w:rsid w:val="00F678B6"/>
    <w:rsid w:val="00F678E2"/>
    <w:rsid w:val="00F67A67"/>
    <w:rsid w:val="00F67DBF"/>
    <w:rsid w:val="00F67DFE"/>
    <w:rsid w:val="00F67F4B"/>
    <w:rsid w:val="00F7039E"/>
    <w:rsid w:val="00F709D9"/>
    <w:rsid w:val="00F70F9A"/>
    <w:rsid w:val="00F715C9"/>
    <w:rsid w:val="00F71B4D"/>
    <w:rsid w:val="00F71F37"/>
    <w:rsid w:val="00F720F8"/>
    <w:rsid w:val="00F722CA"/>
    <w:rsid w:val="00F7250C"/>
    <w:rsid w:val="00F727BF"/>
    <w:rsid w:val="00F72926"/>
    <w:rsid w:val="00F72F09"/>
    <w:rsid w:val="00F730D9"/>
    <w:rsid w:val="00F7336C"/>
    <w:rsid w:val="00F73643"/>
    <w:rsid w:val="00F7372E"/>
    <w:rsid w:val="00F73F73"/>
    <w:rsid w:val="00F741E1"/>
    <w:rsid w:val="00F7423A"/>
    <w:rsid w:val="00F74D1F"/>
    <w:rsid w:val="00F74E4D"/>
    <w:rsid w:val="00F74F3C"/>
    <w:rsid w:val="00F754BA"/>
    <w:rsid w:val="00F7603E"/>
    <w:rsid w:val="00F76299"/>
    <w:rsid w:val="00F769DE"/>
    <w:rsid w:val="00F76CCC"/>
    <w:rsid w:val="00F7713B"/>
    <w:rsid w:val="00F77FF7"/>
    <w:rsid w:val="00F804AE"/>
    <w:rsid w:val="00F81171"/>
    <w:rsid w:val="00F81755"/>
    <w:rsid w:val="00F81879"/>
    <w:rsid w:val="00F81BC5"/>
    <w:rsid w:val="00F824CB"/>
    <w:rsid w:val="00F82FAC"/>
    <w:rsid w:val="00F8309B"/>
    <w:rsid w:val="00F830AA"/>
    <w:rsid w:val="00F830FB"/>
    <w:rsid w:val="00F832AA"/>
    <w:rsid w:val="00F83C72"/>
    <w:rsid w:val="00F83E1C"/>
    <w:rsid w:val="00F84073"/>
    <w:rsid w:val="00F849A4"/>
    <w:rsid w:val="00F84EF8"/>
    <w:rsid w:val="00F85309"/>
    <w:rsid w:val="00F8530B"/>
    <w:rsid w:val="00F85722"/>
    <w:rsid w:val="00F85820"/>
    <w:rsid w:val="00F85E0C"/>
    <w:rsid w:val="00F8688B"/>
    <w:rsid w:val="00F86CFB"/>
    <w:rsid w:val="00F87508"/>
    <w:rsid w:val="00F87B8E"/>
    <w:rsid w:val="00F87F42"/>
    <w:rsid w:val="00F90154"/>
    <w:rsid w:val="00F9077E"/>
    <w:rsid w:val="00F908BF"/>
    <w:rsid w:val="00F90A03"/>
    <w:rsid w:val="00F9109F"/>
    <w:rsid w:val="00F91BD2"/>
    <w:rsid w:val="00F92014"/>
    <w:rsid w:val="00F92606"/>
    <w:rsid w:val="00F92F54"/>
    <w:rsid w:val="00F9334B"/>
    <w:rsid w:val="00F937AF"/>
    <w:rsid w:val="00F93C0C"/>
    <w:rsid w:val="00F93C92"/>
    <w:rsid w:val="00F93DDF"/>
    <w:rsid w:val="00F93DF3"/>
    <w:rsid w:val="00F940EA"/>
    <w:rsid w:val="00F941CF"/>
    <w:rsid w:val="00F946C5"/>
    <w:rsid w:val="00F94C9F"/>
    <w:rsid w:val="00F956B9"/>
    <w:rsid w:val="00F963C3"/>
    <w:rsid w:val="00F96C56"/>
    <w:rsid w:val="00F96D9A"/>
    <w:rsid w:val="00F96E6F"/>
    <w:rsid w:val="00F97092"/>
    <w:rsid w:val="00F9793B"/>
    <w:rsid w:val="00F979FD"/>
    <w:rsid w:val="00FA0024"/>
    <w:rsid w:val="00FA01AA"/>
    <w:rsid w:val="00FA08C0"/>
    <w:rsid w:val="00FA0CD6"/>
    <w:rsid w:val="00FA177E"/>
    <w:rsid w:val="00FA22B3"/>
    <w:rsid w:val="00FA2399"/>
    <w:rsid w:val="00FA23AB"/>
    <w:rsid w:val="00FA2764"/>
    <w:rsid w:val="00FA3647"/>
    <w:rsid w:val="00FA3F5F"/>
    <w:rsid w:val="00FA415A"/>
    <w:rsid w:val="00FA4185"/>
    <w:rsid w:val="00FA43E1"/>
    <w:rsid w:val="00FA45EF"/>
    <w:rsid w:val="00FA4A0F"/>
    <w:rsid w:val="00FA4EDF"/>
    <w:rsid w:val="00FA4F48"/>
    <w:rsid w:val="00FA516C"/>
    <w:rsid w:val="00FA543F"/>
    <w:rsid w:val="00FA597B"/>
    <w:rsid w:val="00FA5C03"/>
    <w:rsid w:val="00FA5C31"/>
    <w:rsid w:val="00FA5D6F"/>
    <w:rsid w:val="00FA61F1"/>
    <w:rsid w:val="00FA6786"/>
    <w:rsid w:val="00FA6F01"/>
    <w:rsid w:val="00FA70DE"/>
    <w:rsid w:val="00FA7170"/>
    <w:rsid w:val="00FA731A"/>
    <w:rsid w:val="00FA7683"/>
    <w:rsid w:val="00FA79D6"/>
    <w:rsid w:val="00FB011D"/>
    <w:rsid w:val="00FB0248"/>
    <w:rsid w:val="00FB04BE"/>
    <w:rsid w:val="00FB04D0"/>
    <w:rsid w:val="00FB0AFD"/>
    <w:rsid w:val="00FB0FD6"/>
    <w:rsid w:val="00FB1044"/>
    <w:rsid w:val="00FB14CA"/>
    <w:rsid w:val="00FB1810"/>
    <w:rsid w:val="00FB182A"/>
    <w:rsid w:val="00FB1ABF"/>
    <w:rsid w:val="00FB1AFE"/>
    <w:rsid w:val="00FB2306"/>
    <w:rsid w:val="00FB249A"/>
    <w:rsid w:val="00FB26AD"/>
    <w:rsid w:val="00FB270F"/>
    <w:rsid w:val="00FB3370"/>
    <w:rsid w:val="00FB3385"/>
    <w:rsid w:val="00FB36D6"/>
    <w:rsid w:val="00FB3C08"/>
    <w:rsid w:val="00FB4A8F"/>
    <w:rsid w:val="00FB4EA6"/>
    <w:rsid w:val="00FB53B7"/>
    <w:rsid w:val="00FB54DD"/>
    <w:rsid w:val="00FB5824"/>
    <w:rsid w:val="00FB6071"/>
    <w:rsid w:val="00FB6164"/>
    <w:rsid w:val="00FB61AD"/>
    <w:rsid w:val="00FB636E"/>
    <w:rsid w:val="00FB6589"/>
    <w:rsid w:val="00FB6EBD"/>
    <w:rsid w:val="00FB72D3"/>
    <w:rsid w:val="00FB7307"/>
    <w:rsid w:val="00FB75CD"/>
    <w:rsid w:val="00FB76D6"/>
    <w:rsid w:val="00FB7B13"/>
    <w:rsid w:val="00FB7E32"/>
    <w:rsid w:val="00FC0308"/>
    <w:rsid w:val="00FC08EB"/>
    <w:rsid w:val="00FC0B9E"/>
    <w:rsid w:val="00FC0D6F"/>
    <w:rsid w:val="00FC0E20"/>
    <w:rsid w:val="00FC0FCE"/>
    <w:rsid w:val="00FC100B"/>
    <w:rsid w:val="00FC144D"/>
    <w:rsid w:val="00FC17B9"/>
    <w:rsid w:val="00FC1AA5"/>
    <w:rsid w:val="00FC1F65"/>
    <w:rsid w:val="00FC2304"/>
    <w:rsid w:val="00FC2468"/>
    <w:rsid w:val="00FC257F"/>
    <w:rsid w:val="00FC2883"/>
    <w:rsid w:val="00FC2AA8"/>
    <w:rsid w:val="00FC3960"/>
    <w:rsid w:val="00FC3A61"/>
    <w:rsid w:val="00FC42C7"/>
    <w:rsid w:val="00FC47E4"/>
    <w:rsid w:val="00FC4BC6"/>
    <w:rsid w:val="00FC4E01"/>
    <w:rsid w:val="00FC4F5C"/>
    <w:rsid w:val="00FC509B"/>
    <w:rsid w:val="00FC558E"/>
    <w:rsid w:val="00FC5950"/>
    <w:rsid w:val="00FC5D4E"/>
    <w:rsid w:val="00FC6730"/>
    <w:rsid w:val="00FC67E1"/>
    <w:rsid w:val="00FC691D"/>
    <w:rsid w:val="00FC6966"/>
    <w:rsid w:val="00FC6CCC"/>
    <w:rsid w:val="00FC78B7"/>
    <w:rsid w:val="00FC7EC2"/>
    <w:rsid w:val="00FD03EF"/>
    <w:rsid w:val="00FD0557"/>
    <w:rsid w:val="00FD055A"/>
    <w:rsid w:val="00FD0808"/>
    <w:rsid w:val="00FD0C97"/>
    <w:rsid w:val="00FD0EA1"/>
    <w:rsid w:val="00FD1166"/>
    <w:rsid w:val="00FD118D"/>
    <w:rsid w:val="00FD171E"/>
    <w:rsid w:val="00FD17E8"/>
    <w:rsid w:val="00FD1D89"/>
    <w:rsid w:val="00FD229E"/>
    <w:rsid w:val="00FD281D"/>
    <w:rsid w:val="00FD2CBA"/>
    <w:rsid w:val="00FD30F3"/>
    <w:rsid w:val="00FD358D"/>
    <w:rsid w:val="00FD4054"/>
    <w:rsid w:val="00FD41EE"/>
    <w:rsid w:val="00FD4AA9"/>
    <w:rsid w:val="00FD4AFB"/>
    <w:rsid w:val="00FD4CD1"/>
    <w:rsid w:val="00FD5482"/>
    <w:rsid w:val="00FD6FEB"/>
    <w:rsid w:val="00FD720F"/>
    <w:rsid w:val="00FD74C6"/>
    <w:rsid w:val="00FD7547"/>
    <w:rsid w:val="00FD7933"/>
    <w:rsid w:val="00FD7D7C"/>
    <w:rsid w:val="00FE08F1"/>
    <w:rsid w:val="00FE0A86"/>
    <w:rsid w:val="00FE0B9F"/>
    <w:rsid w:val="00FE13B3"/>
    <w:rsid w:val="00FE1448"/>
    <w:rsid w:val="00FE1BC8"/>
    <w:rsid w:val="00FE1CF5"/>
    <w:rsid w:val="00FE2065"/>
    <w:rsid w:val="00FE232B"/>
    <w:rsid w:val="00FE270E"/>
    <w:rsid w:val="00FE29C1"/>
    <w:rsid w:val="00FE2A77"/>
    <w:rsid w:val="00FE2B1E"/>
    <w:rsid w:val="00FE3F01"/>
    <w:rsid w:val="00FE3FD8"/>
    <w:rsid w:val="00FE40A7"/>
    <w:rsid w:val="00FE43EB"/>
    <w:rsid w:val="00FE4D4B"/>
    <w:rsid w:val="00FE5231"/>
    <w:rsid w:val="00FE5820"/>
    <w:rsid w:val="00FE597A"/>
    <w:rsid w:val="00FE5C29"/>
    <w:rsid w:val="00FE63D6"/>
    <w:rsid w:val="00FE6597"/>
    <w:rsid w:val="00FE67DB"/>
    <w:rsid w:val="00FE6FC0"/>
    <w:rsid w:val="00FE7940"/>
    <w:rsid w:val="00FE7D3A"/>
    <w:rsid w:val="00FE7F8A"/>
    <w:rsid w:val="00FF030E"/>
    <w:rsid w:val="00FF05D7"/>
    <w:rsid w:val="00FF09B1"/>
    <w:rsid w:val="00FF0CAA"/>
    <w:rsid w:val="00FF0CFF"/>
    <w:rsid w:val="00FF0E6C"/>
    <w:rsid w:val="00FF1798"/>
    <w:rsid w:val="00FF18E0"/>
    <w:rsid w:val="00FF1CF1"/>
    <w:rsid w:val="00FF21AC"/>
    <w:rsid w:val="00FF2483"/>
    <w:rsid w:val="00FF26A4"/>
    <w:rsid w:val="00FF2D39"/>
    <w:rsid w:val="00FF2E34"/>
    <w:rsid w:val="00FF3054"/>
    <w:rsid w:val="00FF311E"/>
    <w:rsid w:val="00FF32F7"/>
    <w:rsid w:val="00FF3311"/>
    <w:rsid w:val="00FF3313"/>
    <w:rsid w:val="00FF3356"/>
    <w:rsid w:val="00FF3401"/>
    <w:rsid w:val="00FF3A11"/>
    <w:rsid w:val="00FF3A78"/>
    <w:rsid w:val="00FF3A7A"/>
    <w:rsid w:val="00FF4499"/>
    <w:rsid w:val="00FF55A5"/>
    <w:rsid w:val="00FF574F"/>
    <w:rsid w:val="00FF62BE"/>
    <w:rsid w:val="00FF680A"/>
    <w:rsid w:val="00FF6816"/>
    <w:rsid w:val="00FF701B"/>
    <w:rsid w:val="00FF74B9"/>
    <w:rsid w:val="00FF75FF"/>
    <w:rsid w:val="00FF7A85"/>
    <w:rsid w:val="00FF7F78"/>
    <w:rsid w:val="011BD83E"/>
    <w:rsid w:val="0142EC89"/>
    <w:rsid w:val="01587B61"/>
    <w:rsid w:val="01636608"/>
    <w:rsid w:val="016776F9"/>
    <w:rsid w:val="01763476"/>
    <w:rsid w:val="017D0515"/>
    <w:rsid w:val="01830D05"/>
    <w:rsid w:val="01A20ED9"/>
    <w:rsid w:val="01B6250B"/>
    <w:rsid w:val="01BAACCD"/>
    <w:rsid w:val="01BC0ADE"/>
    <w:rsid w:val="01F5BD62"/>
    <w:rsid w:val="01FAC50C"/>
    <w:rsid w:val="022370E2"/>
    <w:rsid w:val="022385D9"/>
    <w:rsid w:val="024E806F"/>
    <w:rsid w:val="02658F5B"/>
    <w:rsid w:val="028C8ABE"/>
    <w:rsid w:val="02F44E0B"/>
    <w:rsid w:val="0307932E"/>
    <w:rsid w:val="0309FB90"/>
    <w:rsid w:val="0367AD6D"/>
    <w:rsid w:val="0387ECB5"/>
    <w:rsid w:val="03A3FC56"/>
    <w:rsid w:val="03A438F6"/>
    <w:rsid w:val="03B3DAC3"/>
    <w:rsid w:val="03C0D4F8"/>
    <w:rsid w:val="03CE1A3B"/>
    <w:rsid w:val="03E9A36E"/>
    <w:rsid w:val="03EBD770"/>
    <w:rsid w:val="03F720C6"/>
    <w:rsid w:val="03FC814B"/>
    <w:rsid w:val="04001F2E"/>
    <w:rsid w:val="042F90A4"/>
    <w:rsid w:val="04310D78"/>
    <w:rsid w:val="0457DBB4"/>
    <w:rsid w:val="04717877"/>
    <w:rsid w:val="04751578"/>
    <w:rsid w:val="0498561D"/>
    <w:rsid w:val="04A16421"/>
    <w:rsid w:val="04BB2DDB"/>
    <w:rsid w:val="04DE9898"/>
    <w:rsid w:val="04E036A4"/>
    <w:rsid w:val="04E101A5"/>
    <w:rsid w:val="04E32904"/>
    <w:rsid w:val="04E77E31"/>
    <w:rsid w:val="04FB3717"/>
    <w:rsid w:val="04FF989D"/>
    <w:rsid w:val="051FB28B"/>
    <w:rsid w:val="052B84D0"/>
    <w:rsid w:val="052DC740"/>
    <w:rsid w:val="0538D59B"/>
    <w:rsid w:val="053F6E56"/>
    <w:rsid w:val="055194F4"/>
    <w:rsid w:val="0556A76A"/>
    <w:rsid w:val="05580DC7"/>
    <w:rsid w:val="0573F5AD"/>
    <w:rsid w:val="05896BED"/>
    <w:rsid w:val="059B013C"/>
    <w:rsid w:val="05AC2A97"/>
    <w:rsid w:val="05BC9EF0"/>
    <w:rsid w:val="05BD983F"/>
    <w:rsid w:val="05D7BBC0"/>
    <w:rsid w:val="05DB7387"/>
    <w:rsid w:val="05E48C11"/>
    <w:rsid w:val="06039C79"/>
    <w:rsid w:val="06507638"/>
    <w:rsid w:val="066C3172"/>
    <w:rsid w:val="066FCB8F"/>
    <w:rsid w:val="0676E8A9"/>
    <w:rsid w:val="06822B71"/>
    <w:rsid w:val="0683B42A"/>
    <w:rsid w:val="069B47F5"/>
    <w:rsid w:val="06AF4AF6"/>
    <w:rsid w:val="06B80C97"/>
    <w:rsid w:val="06C81E0A"/>
    <w:rsid w:val="06CE2E89"/>
    <w:rsid w:val="06DE4D5F"/>
    <w:rsid w:val="06F49731"/>
    <w:rsid w:val="06F52646"/>
    <w:rsid w:val="07095CFD"/>
    <w:rsid w:val="0726B17D"/>
    <w:rsid w:val="0727529D"/>
    <w:rsid w:val="073FC823"/>
    <w:rsid w:val="074CCA2E"/>
    <w:rsid w:val="075A8267"/>
    <w:rsid w:val="076CD653"/>
    <w:rsid w:val="078CABED"/>
    <w:rsid w:val="078E9733"/>
    <w:rsid w:val="07ACB28B"/>
    <w:rsid w:val="07D244BB"/>
    <w:rsid w:val="07DD6CB3"/>
    <w:rsid w:val="07ECA07E"/>
    <w:rsid w:val="07EF63E4"/>
    <w:rsid w:val="08121033"/>
    <w:rsid w:val="08128680"/>
    <w:rsid w:val="08466F72"/>
    <w:rsid w:val="085B8D67"/>
    <w:rsid w:val="085C53F6"/>
    <w:rsid w:val="08614443"/>
    <w:rsid w:val="08776D79"/>
    <w:rsid w:val="089286ED"/>
    <w:rsid w:val="08A78778"/>
    <w:rsid w:val="08C086EC"/>
    <w:rsid w:val="08C479D0"/>
    <w:rsid w:val="08C9E099"/>
    <w:rsid w:val="08EF2328"/>
    <w:rsid w:val="0903ECAC"/>
    <w:rsid w:val="09085510"/>
    <w:rsid w:val="0982550E"/>
    <w:rsid w:val="0983A78C"/>
    <w:rsid w:val="098646B7"/>
    <w:rsid w:val="0986A9FB"/>
    <w:rsid w:val="098B4CCC"/>
    <w:rsid w:val="098E8EE4"/>
    <w:rsid w:val="099B151F"/>
    <w:rsid w:val="099F4CF5"/>
    <w:rsid w:val="09A373AF"/>
    <w:rsid w:val="09BC5330"/>
    <w:rsid w:val="0A001032"/>
    <w:rsid w:val="0A11F33F"/>
    <w:rsid w:val="0A164C0F"/>
    <w:rsid w:val="0A29A2E7"/>
    <w:rsid w:val="0A38DB3C"/>
    <w:rsid w:val="0A5D8953"/>
    <w:rsid w:val="0A88F379"/>
    <w:rsid w:val="0AAB7C87"/>
    <w:rsid w:val="0AACAA15"/>
    <w:rsid w:val="0AC14025"/>
    <w:rsid w:val="0AF38234"/>
    <w:rsid w:val="0AFBC16A"/>
    <w:rsid w:val="0B05E798"/>
    <w:rsid w:val="0B0A6412"/>
    <w:rsid w:val="0B0C6C45"/>
    <w:rsid w:val="0B1280F2"/>
    <w:rsid w:val="0B1330F8"/>
    <w:rsid w:val="0B1343FC"/>
    <w:rsid w:val="0B619748"/>
    <w:rsid w:val="0B6AE432"/>
    <w:rsid w:val="0B8E9B29"/>
    <w:rsid w:val="0B8F6084"/>
    <w:rsid w:val="0B96FA9C"/>
    <w:rsid w:val="0B9FBD06"/>
    <w:rsid w:val="0BA82166"/>
    <w:rsid w:val="0BC2F91B"/>
    <w:rsid w:val="0BF876DD"/>
    <w:rsid w:val="0C0C4713"/>
    <w:rsid w:val="0C1ABD85"/>
    <w:rsid w:val="0C1B3FC8"/>
    <w:rsid w:val="0C30D2AB"/>
    <w:rsid w:val="0C333667"/>
    <w:rsid w:val="0C431F47"/>
    <w:rsid w:val="0C5A1AD0"/>
    <w:rsid w:val="0C837E66"/>
    <w:rsid w:val="0C9ACBAA"/>
    <w:rsid w:val="0CA2D12E"/>
    <w:rsid w:val="0CB0DDD6"/>
    <w:rsid w:val="0CC08BDB"/>
    <w:rsid w:val="0CC8F46F"/>
    <w:rsid w:val="0CCFCA7A"/>
    <w:rsid w:val="0D02BF9D"/>
    <w:rsid w:val="0D2DE9EE"/>
    <w:rsid w:val="0D3001C1"/>
    <w:rsid w:val="0D30EC59"/>
    <w:rsid w:val="0D3C53CE"/>
    <w:rsid w:val="0D5AA62F"/>
    <w:rsid w:val="0D5B3809"/>
    <w:rsid w:val="0D6381DF"/>
    <w:rsid w:val="0D65FF1E"/>
    <w:rsid w:val="0D907F09"/>
    <w:rsid w:val="0D9A8BEE"/>
    <w:rsid w:val="0DB5221E"/>
    <w:rsid w:val="0DE32E75"/>
    <w:rsid w:val="0DEB25F4"/>
    <w:rsid w:val="0DED52AE"/>
    <w:rsid w:val="0E09AE9B"/>
    <w:rsid w:val="0E221194"/>
    <w:rsid w:val="0E22B9DD"/>
    <w:rsid w:val="0E3EA18F"/>
    <w:rsid w:val="0E42806E"/>
    <w:rsid w:val="0E455ED3"/>
    <w:rsid w:val="0E4B9C73"/>
    <w:rsid w:val="0E5C11A9"/>
    <w:rsid w:val="0E831131"/>
    <w:rsid w:val="0E8D626D"/>
    <w:rsid w:val="0E9A220F"/>
    <w:rsid w:val="0EA5AC08"/>
    <w:rsid w:val="0ED2B161"/>
    <w:rsid w:val="0EE5B262"/>
    <w:rsid w:val="0EE6C528"/>
    <w:rsid w:val="0EF393E8"/>
    <w:rsid w:val="0F1041D3"/>
    <w:rsid w:val="0F31E937"/>
    <w:rsid w:val="0F36711E"/>
    <w:rsid w:val="0F427667"/>
    <w:rsid w:val="0F6D5D09"/>
    <w:rsid w:val="0F7B9803"/>
    <w:rsid w:val="0F82C861"/>
    <w:rsid w:val="0F89A13B"/>
    <w:rsid w:val="0F9CA13B"/>
    <w:rsid w:val="0FE18E93"/>
    <w:rsid w:val="0FE1B45D"/>
    <w:rsid w:val="0FE1DD2E"/>
    <w:rsid w:val="0FE983C4"/>
    <w:rsid w:val="0FF20E46"/>
    <w:rsid w:val="0FF7BE99"/>
    <w:rsid w:val="0FF8C169"/>
    <w:rsid w:val="101A2F47"/>
    <w:rsid w:val="10523D98"/>
    <w:rsid w:val="10585A15"/>
    <w:rsid w:val="106ED0AE"/>
    <w:rsid w:val="106F4C95"/>
    <w:rsid w:val="10886E54"/>
    <w:rsid w:val="109BBC6A"/>
    <w:rsid w:val="109C5500"/>
    <w:rsid w:val="10B9C315"/>
    <w:rsid w:val="10C24BFF"/>
    <w:rsid w:val="10D2DE3E"/>
    <w:rsid w:val="10E002FC"/>
    <w:rsid w:val="10E3CC3A"/>
    <w:rsid w:val="10EA2279"/>
    <w:rsid w:val="10F43ED4"/>
    <w:rsid w:val="111CBDC3"/>
    <w:rsid w:val="1120C184"/>
    <w:rsid w:val="1124F370"/>
    <w:rsid w:val="1127699D"/>
    <w:rsid w:val="112D927A"/>
    <w:rsid w:val="113E005A"/>
    <w:rsid w:val="1141A6E8"/>
    <w:rsid w:val="1142F4A1"/>
    <w:rsid w:val="114D4B40"/>
    <w:rsid w:val="1151233F"/>
    <w:rsid w:val="11735E3C"/>
    <w:rsid w:val="11738144"/>
    <w:rsid w:val="117B4AC9"/>
    <w:rsid w:val="119A0828"/>
    <w:rsid w:val="11A15C44"/>
    <w:rsid w:val="11D8BC50"/>
    <w:rsid w:val="1206BFD1"/>
    <w:rsid w:val="12082689"/>
    <w:rsid w:val="120D2054"/>
    <w:rsid w:val="121B8C6F"/>
    <w:rsid w:val="121CC100"/>
    <w:rsid w:val="122EECBE"/>
    <w:rsid w:val="124499FB"/>
    <w:rsid w:val="1255C5D2"/>
    <w:rsid w:val="126480B0"/>
    <w:rsid w:val="1276A6BC"/>
    <w:rsid w:val="128686B6"/>
    <w:rsid w:val="12A7B377"/>
    <w:rsid w:val="12A9DEAF"/>
    <w:rsid w:val="12AEF706"/>
    <w:rsid w:val="12E4AFC0"/>
    <w:rsid w:val="12F1128F"/>
    <w:rsid w:val="12F83F05"/>
    <w:rsid w:val="12FAE06D"/>
    <w:rsid w:val="12FAFC37"/>
    <w:rsid w:val="13116D1F"/>
    <w:rsid w:val="13202225"/>
    <w:rsid w:val="134DC4F3"/>
    <w:rsid w:val="134DEFEC"/>
    <w:rsid w:val="13516F4A"/>
    <w:rsid w:val="136E1FCC"/>
    <w:rsid w:val="13706D1A"/>
    <w:rsid w:val="13BF2937"/>
    <w:rsid w:val="13CC3E1D"/>
    <w:rsid w:val="13E06A5C"/>
    <w:rsid w:val="13EC202A"/>
    <w:rsid w:val="14032622"/>
    <w:rsid w:val="140A3509"/>
    <w:rsid w:val="141B6031"/>
    <w:rsid w:val="14213A91"/>
    <w:rsid w:val="1424A385"/>
    <w:rsid w:val="142980A5"/>
    <w:rsid w:val="142BD3B4"/>
    <w:rsid w:val="14312697"/>
    <w:rsid w:val="1449F79A"/>
    <w:rsid w:val="144CB514"/>
    <w:rsid w:val="14513F60"/>
    <w:rsid w:val="14605C9C"/>
    <w:rsid w:val="147E98F6"/>
    <w:rsid w:val="14856C83"/>
    <w:rsid w:val="148E0494"/>
    <w:rsid w:val="14B0D085"/>
    <w:rsid w:val="14C99AF2"/>
    <w:rsid w:val="14D95711"/>
    <w:rsid w:val="14F290C1"/>
    <w:rsid w:val="14F74384"/>
    <w:rsid w:val="1504D049"/>
    <w:rsid w:val="152E0761"/>
    <w:rsid w:val="1547FE4F"/>
    <w:rsid w:val="154829F8"/>
    <w:rsid w:val="155770C4"/>
    <w:rsid w:val="1578461A"/>
    <w:rsid w:val="157EE4D4"/>
    <w:rsid w:val="15859F8C"/>
    <w:rsid w:val="15A91144"/>
    <w:rsid w:val="15AAE1D4"/>
    <w:rsid w:val="15B8070A"/>
    <w:rsid w:val="15BF7A35"/>
    <w:rsid w:val="15CEC8DA"/>
    <w:rsid w:val="15D0DCA4"/>
    <w:rsid w:val="160E9A63"/>
    <w:rsid w:val="161A6957"/>
    <w:rsid w:val="16261EE9"/>
    <w:rsid w:val="1628BDEA"/>
    <w:rsid w:val="163C2C92"/>
    <w:rsid w:val="164BFA9A"/>
    <w:rsid w:val="1658CAEB"/>
    <w:rsid w:val="167CC01E"/>
    <w:rsid w:val="1682F4F5"/>
    <w:rsid w:val="16839871"/>
    <w:rsid w:val="16862FBF"/>
    <w:rsid w:val="1686BADE"/>
    <w:rsid w:val="1689100C"/>
    <w:rsid w:val="168CF1A9"/>
    <w:rsid w:val="16BA4E1E"/>
    <w:rsid w:val="16CEC87C"/>
    <w:rsid w:val="16E38532"/>
    <w:rsid w:val="16E8D519"/>
    <w:rsid w:val="16F493B2"/>
    <w:rsid w:val="171F9920"/>
    <w:rsid w:val="1723D497"/>
    <w:rsid w:val="172C8321"/>
    <w:rsid w:val="1732E032"/>
    <w:rsid w:val="173D0D8A"/>
    <w:rsid w:val="175EB8C6"/>
    <w:rsid w:val="176DA45D"/>
    <w:rsid w:val="178063B8"/>
    <w:rsid w:val="17A4BAFD"/>
    <w:rsid w:val="17A8E96D"/>
    <w:rsid w:val="17B25AD4"/>
    <w:rsid w:val="17B820E3"/>
    <w:rsid w:val="17C80612"/>
    <w:rsid w:val="17CE4696"/>
    <w:rsid w:val="17DBB3CC"/>
    <w:rsid w:val="17F629D6"/>
    <w:rsid w:val="1820355D"/>
    <w:rsid w:val="1825DAB8"/>
    <w:rsid w:val="1850E120"/>
    <w:rsid w:val="18705BAD"/>
    <w:rsid w:val="187F5593"/>
    <w:rsid w:val="188F2BDB"/>
    <w:rsid w:val="1893734F"/>
    <w:rsid w:val="1895E6DE"/>
    <w:rsid w:val="18AAB179"/>
    <w:rsid w:val="18C7A9FC"/>
    <w:rsid w:val="18E0496C"/>
    <w:rsid w:val="190412CC"/>
    <w:rsid w:val="194273D3"/>
    <w:rsid w:val="1944B9CE"/>
    <w:rsid w:val="194D6F8E"/>
    <w:rsid w:val="198B8672"/>
    <w:rsid w:val="19921C4B"/>
    <w:rsid w:val="199A05B1"/>
    <w:rsid w:val="19B59DC6"/>
    <w:rsid w:val="19BDD081"/>
    <w:rsid w:val="19C439EE"/>
    <w:rsid w:val="19CEDBB9"/>
    <w:rsid w:val="1A55A2C2"/>
    <w:rsid w:val="1A582148"/>
    <w:rsid w:val="1A5C691D"/>
    <w:rsid w:val="1A5C820E"/>
    <w:rsid w:val="1A61C778"/>
    <w:rsid w:val="1A6A05ED"/>
    <w:rsid w:val="1A736A99"/>
    <w:rsid w:val="1A9AD887"/>
    <w:rsid w:val="1A9FB967"/>
    <w:rsid w:val="1AAAC16E"/>
    <w:rsid w:val="1ABF5E91"/>
    <w:rsid w:val="1AC6F300"/>
    <w:rsid w:val="1AD161F2"/>
    <w:rsid w:val="1AD5DE17"/>
    <w:rsid w:val="1AE08A2F"/>
    <w:rsid w:val="1AEAC6F6"/>
    <w:rsid w:val="1AF88930"/>
    <w:rsid w:val="1AF9EB38"/>
    <w:rsid w:val="1B0975E7"/>
    <w:rsid w:val="1B227434"/>
    <w:rsid w:val="1B4FB06D"/>
    <w:rsid w:val="1B509AE3"/>
    <w:rsid w:val="1B547A4D"/>
    <w:rsid w:val="1B6B6175"/>
    <w:rsid w:val="1B80EC66"/>
    <w:rsid w:val="1B9F21B4"/>
    <w:rsid w:val="1BBCD8ED"/>
    <w:rsid w:val="1BC090FC"/>
    <w:rsid w:val="1BC3A220"/>
    <w:rsid w:val="1BCD88FE"/>
    <w:rsid w:val="1BDA5A1D"/>
    <w:rsid w:val="1BDE6599"/>
    <w:rsid w:val="1BE2ACFD"/>
    <w:rsid w:val="1BE8AC91"/>
    <w:rsid w:val="1BF81506"/>
    <w:rsid w:val="1C065155"/>
    <w:rsid w:val="1C14F53A"/>
    <w:rsid w:val="1C1852C8"/>
    <w:rsid w:val="1C1C7E94"/>
    <w:rsid w:val="1C1F92AB"/>
    <w:rsid w:val="1C21C39E"/>
    <w:rsid w:val="1C28A00B"/>
    <w:rsid w:val="1C377DFD"/>
    <w:rsid w:val="1C6629B3"/>
    <w:rsid w:val="1C6A965A"/>
    <w:rsid w:val="1C7F3932"/>
    <w:rsid w:val="1C8D9103"/>
    <w:rsid w:val="1C91C26C"/>
    <w:rsid w:val="1C999D8E"/>
    <w:rsid w:val="1CB45261"/>
    <w:rsid w:val="1CD9C491"/>
    <w:rsid w:val="1CE91E7D"/>
    <w:rsid w:val="1CEC1614"/>
    <w:rsid w:val="1CF72FE9"/>
    <w:rsid w:val="1CFCF997"/>
    <w:rsid w:val="1CFE04C4"/>
    <w:rsid w:val="1CFE78AE"/>
    <w:rsid w:val="1D26BB0F"/>
    <w:rsid w:val="1D4AD930"/>
    <w:rsid w:val="1D582C61"/>
    <w:rsid w:val="1D58ABC1"/>
    <w:rsid w:val="1D5F3BC0"/>
    <w:rsid w:val="1D64AE8E"/>
    <w:rsid w:val="1D6DF471"/>
    <w:rsid w:val="1D9C495F"/>
    <w:rsid w:val="1DADC0D6"/>
    <w:rsid w:val="1DBE3033"/>
    <w:rsid w:val="1DD6B603"/>
    <w:rsid w:val="1DE0241C"/>
    <w:rsid w:val="1DE3C760"/>
    <w:rsid w:val="1DEFBB5F"/>
    <w:rsid w:val="1E22E060"/>
    <w:rsid w:val="1E526F3A"/>
    <w:rsid w:val="1E7CC3C2"/>
    <w:rsid w:val="1E876C59"/>
    <w:rsid w:val="1E93072D"/>
    <w:rsid w:val="1E9AA28F"/>
    <w:rsid w:val="1EBE040F"/>
    <w:rsid w:val="1EC103FE"/>
    <w:rsid w:val="1ED31CC6"/>
    <w:rsid w:val="1ED5B98B"/>
    <w:rsid w:val="1EDA8021"/>
    <w:rsid w:val="1EE6C478"/>
    <w:rsid w:val="1EED81B4"/>
    <w:rsid w:val="1F02F5AF"/>
    <w:rsid w:val="1F190462"/>
    <w:rsid w:val="1F38D65B"/>
    <w:rsid w:val="1F53E3C8"/>
    <w:rsid w:val="1F602D74"/>
    <w:rsid w:val="1F676A3F"/>
    <w:rsid w:val="1F6C6798"/>
    <w:rsid w:val="1F6CE629"/>
    <w:rsid w:val="1F6EA6C1"/>
    <w:rsid w:val="1F77EC43"/>
    <w:rsid w:val="1F850497"/>
    <w:rsid w:val="1F9C17DE"/>
    <w:rsid w:val="1FE46D3B"/>
    <w:rsid w:val="1FE68D11"/>
    <w:rsid w:val="1FF7780B"/>
    <w:rsid w:val="1FFEF53C"/>
    <w:rsid w:val="201DDD1C"/>
    <w:rsid w:val="2031F095"/>
    <w:rsid w:val="20A0CD4E"/>
    <w:rsid w:val="20ADD323"/>
    <w:rsid w:val="20BD4B42"/>
    <w:rsid w:val="20E65A31"/>
    <w:rsid w:val="2113B7A9"/>
    <w:rsid w:val="2113D6C3"/>
    <w:rsid w:val="2113EA63"/>
    <w:rsid w:val="21239C6A"/>
    <w:rsid w:val="213129C3"/>
    <w:rsid w:val="213DD611"/>
    <w:rsid w:val="21765E01"/>
    <w:rsid w:val="2187C016"/>
    <w:rsid w:val="218A939B"/>
    <w:rsid w:val="21935E04"/>
    <w:rsid w:val="2196F978"/>
    <w:rsid w:val="219C3211"/>
    <w:rsid w:val="21AE64A4"/>
    <w:rsid w:val="21AE68C1"/>
    <w:rsid w:val="21BE75A3"/>
    <w:rsid w:val="21CEBA78"/>
    <w:rsid w:val="21CFAA6F"/>
    <w:rsid w:val="21D0272F"/>
    <w:rsid w:val="21D73B25"/>
    <w:rsid w:val="21E154E7"/>
    <w:rsid w:val="21E30498"/>
    <w:rsid w:val="221CD0F0"/>
    <w:rsid w:val="2232ACE3"/>
    <w:rsid w:val="22580AC1"/>
    <w:rsid w:val="22704C3D"/>
    <w:rsid w:val="2288B657"/>
    <w:rsid w:val="228D105E"/>
    <w:rsid w:val="22901BFC"/>
    <w:rsid w:val="22A139C0"/>
    <w:rsid w:val="22B9836A"/>
    <w:rsid w:val="22D1310D"/>
    <w:rsid w:val="22DC802E"/>
    <w:rsid w:val="22F596D6"/>
    <w:rsid w:val="23021EB5"/>
    <w:rsid w:val="2306249F"/>
    <w:rsid w:val="231B0423"/>
    <w:rsid w:val="232765E9"/>
    <w:rsid w:val="2330A85B"/>
    <w:rsid w:val="233E667F"/>
    <w:rsid w:val="23542D60"/>
    <w:rsid w:val="235A3B1C"/>
    <w:rsid w:val="2367108E"/>
    <w:rsid w:val="238C58E4"/>
    <w:rsid w:val="23A904A9"/>
    <w:rsid w:val="23C3FFEF"/>
    <w:rsid w:val="23D5231F"/>
    <w:rsid w:val="23EE8B80"/>
    <w:rsid w:val="23F9895B"/>
    <w:rsid w:val="2444AF18"/>
    <w:rsid w:val="2458AFEF"/>
    <w:rsid w:val="24707053"/>
    <w:rsid w:val="24C8346B"/>
    <w:rsid w:val="251F29D6"/>
    <w:rsid w:val="2532376D"/>
    <w:rsid w:val="2536FFFE"/>
    <w:rsid w:val="2543A61A"/>
    <w:rsid w:val="255DD89B"/>
    <w:rsid w:val="2561F4CB"/>
    <w:rsid w:val="2590E364"/>
    <w:rsid w:val="2595A9FB"/>
    <w:rsid w:val="259F7DF4"/>
    <w:rsid w:val="25AAD6FC"/>
    <w:rsid w:val="25C0EA6D"/>
    <w:rsid w:val="25CDCD9B"/>
    <w:rsid w:val="25E3711F"/>
    <w:rsid w:val="25F5FBB7"/>
    <w:rsid w:val="25FA5EA9"/>
    <w:rsid w:val="25FAAEF5"/>
    <w:rsid w:val="260582A6"/>
    <w:rsid w:val="262ED39B"/>
    <w:rsid w:val="2698D732"/>
    <w:rsid w:val="26A18E06"/>
    <w:rsid w:val="26AE804B"/>
    <w:rsid w:val="26CC4CF2"/>
    <w:rsid w:val="26D95EB8"/>
    <w:rsid w:val="26EA7571"/>
    <w:rsid w:val="26FD6435"/>
    <w:rsid w:val="2716EABE"/>
    <w:rsid w:val="2718ECA2"/>
    <w:rsid w:val="272AF2B4"/>
    <w:rsid w:val="273029F9"/>
    <w:rsid w:val="2744EF10"/>
    <w:rsid w:val="2750F182"/>
    <w:rsid w:val="27560340"/>
    <w:rsid w:val="27C3C404"/>
    <w:rsid w:val="27CD212B"/>
    <w:rsid w:val="27EFA49E"/>
    <w:rsid w:val="28047829"/>
    <w:rsid w:val="280A39C7"/>
    <w:rsid w:val="281C93D2"/>
    <w:rsid w:val="28214EB6"/>
    <w:rsid w:val="283422F5"/>
    <w:rsid w:val="2841909B"/>
    <w:rsid w:val="284E9EDD"/>
    <w:rsid w:val="28562C00"/>
    <w:rsid w:val="2879070A"/>
    <w:rsid w:val="2887EB95"/>
    <w:rsid w:val="2893BDD3"/>
    <w:rsid w:val="2895795D"/>
    <w:rsid w:val="28A058AC"/>
    <w:rsid w:val="28A8DF43"/>
    <w:rsid w:val="28B027FF"/>
    <w:rsid w:val="28C3655B"/>
    <w:rsid w:val="28D3FE2D"/>
    <w:rsid w:val="28FAE229"/>
    <w:rsid w:val="2922F080"/>
    <w:rsid w:val="29236392"/>
    <w:rsid w:val="292966A5"/>
    <w:rsid w:val="292C29B3"/>
    <w:rsid w:val="29368467"/>
    <w:rsid w:val="294F63CD"/>
    <w:rsid w:val="2950B61A"/>
    <w:rsid w:val="295D30A9"/>
    <w:rsid w:val="296733AA"/>
    <w:rsid w:val="296D1D55"/>
    <w:rsid w:val="29758A01"/>
    <w:rsid w:val="29817E50"/>
    <w:rsid w:val="2987D7D1"/>
    <w:rsid w:val="298B8863"/>
    <w:rsid w:val="2999BBEC"/>
    <w:rsid w:val="29A921BF"/>
    <w:rsid w:val="29C62343"/>
    <w:rsid w:val="29FBB684"/>
    <w:rsid w:val="2A08C27B"/>
    <w:rsid w:val="2A0AFE11"/>
    <w:rsid w:val="2A26B2D3"/>
    <w:rsid w:val="2A3149BE"/>
    <w:rsid w:val="2A3B1164"/>
    <w:rsid w:val="2A6FCC24"/>
    <w:rsid w:val="2A7770AE"/>
    <w:rsid w:val="2A7787FD"/>
    <w:rsid w:val="2A79C6BB"/>
    <w:rsid w:val="2A7F0D7A"/>
    <w:rsid w:val="2A83A4F4"/>
    <w:rsid w:val="2A971F57"/>
    <w:rsid w:val="2A9E87E0"/>
    <w:rsid w:val="2AAAD9FE"/>
    <w:rsid w:val="2AB2D6DA"/>
    <w:rsid w:val="2AB31FC3"/>
    <w:rsid w:val="2ACAF34A"/>
    <w:rsid w:val="2AFB7CB7"/>
    <w:rsid w:val="2B0D6636"/>
    <w:rsid w:val="2B37F4B5"/>
    <w:rsid w:val="2B4C9016"/>
    <w:rsid w:val="2B4EF58A"/>
    <w:rsid w:val="2B5DB1F7"/>
    <w:rsid w:val="2B616A22"/>
    <w:rsid w:val="2B6962E0"/>
    <w:rsid w:val="2B8BF8CA"/>
    <w:rsid w:val="2BD198D5"/>
    <w:rsid w:val="2BD3AC03"/>
    <w:rsid w:val="2BDAFFF8"/>
    <w:rsid w:val="2BF0DEBA"/>
    <w:rsid w:val="2BF22283"/>
    <w:rsid w:val="2C1DB68D"/>
    <w:rsid w:val="2C1EFAE1"/>
    <w:rsid w:val="2C4CE6B0"/>
    <w:rsid w:val="2C50C803"/>
    <w:rsid w:val="2C6DF383"/>
    <w:rsid w:val="2C90990A"/>
    <w:rsid w:val="2C92B6BF"/>
    <w:rsid w:val="2C9E7072"/>
    <w:rsid w:val="2CCA78A7"/>
    <w:rsid w:val="2CCC5860"/>
    <w:rsid w:val="2CCD521C"/>
    <w:rsid w:val="2CD94938"/>
    <w:rsid w:val="2D125499"/>
    <w:rsid w:val="2D15B1AB"/>
    <w:rsid w:val="2D2CFAA6"/>
    <w:rsid w:val="2D3E76AB"/>
    <w:rsid w:val="2D4698A3"/>
    <w:rsid w:val="2D59D1A3"/>
    <w:rsid w:val="2D5B7EAD"/>
    <w:rsid w:val="2D98870C"/>
    <w:rsid w:val="2DCF1828"/>
    <w:rsid w:val="2DE20B1F"/>
    <w:rsid w:val="2DEAE7CB"/>
    <w:rsid w:val="2DF01933"/>
    <w:rsid w:val="2DF1A8E5"/>
    <w:rsid w:val="2DF7EA78"/>
    <w:rsid w:val="2E08AF85"/>
    <w:rsid w:val="2E58EE5D"/>
    <w:rsid w:val="2E7F5285"/>
    <w:rsid w:val="2E964440"/>
    <w:rsid w:val="2EB6BECB"/>
    <w:rsid w:val="2EB94940"/>
    <w:rsid w:val="2EC62227"/>
    <w:rsid w:val="2EDB3E9C"/>
    <w:rsid w:val="2F04BAE1"/>
    <w:rsid w:val="2F07EC33"/>
    <w:rsid w:val="2F0C43FA"/>
    <w:rsid w:val="2F3DCA15"/>
    <w:rsid w:val="2F4A2C00"/>
    <w:rsid w:val="2F527E9D"/>
    <w:rsid w:val="2F554CBB"/>
    <w:rsid w:val="2F7618AE"/>
    <w:rsid w:val="2F7E7C11"/>
    <w:rsid w:val="2F7E9CAE"/>
    <w:rsid w:val="2F8BB954"/>
    <w:rsid w:val="2F998BF7"/>
    <w:rsid w:val="2F9F4501"/>
    <w:rsid w:val="2FA315E7"/>
    <w:rsid w:val="2FA394EA"/>
    <w:rsid w:val="2FABDB3E"/>
    <w:rsid w:val="2FB2576C"/>
    <w:rsid w:val="2FBADB6F"/>
    <w:rsid w:val="2FBD41A7"/>
    <w:rsid w:val="2FBF4517"/>
    <w:rsid w:val="2FF4A9B3"/>
    <w:rsid w:val="30014F1C"/>
    <w:rsid w:val="3008DEA3"/>
    <w:rsid w:val="3027CE77"/>
    <w:rsid w:val="3034446C"/>
    <w:rsid w:val="30435A78"/>
    <w:rsid w:val="30475354"/>
    <w:rsid w:val="3068B9CE"/>
    <w:rsid w:val="30698BB5"/>
    <w:rsid w:val="3070A266"/>
    <w:rsid w:val="3072A86F"/>
    <w:rsid w:val="307AB074"/>
    <w:rsid w:val="307EF6A1"/>
    <w:rsid w:val="308D4937"/>
    <w:rsid w:val="3097112B"/>
    <w:rsid w:val="309D8C1B"/>
    <w:rsid w:val="30A38DD2"/>
    <w:rsid w:val="30DB7946"/>
    <w:rsid w:val="30EB6AEB"/>
    <w:rsid w:val="30EBDBF5"/>
    <w:rsid w:val="30EDC4ED"/>
    <w:rsid w:val="3104E07D"/>
    <w:rsid w:val="3106282E"/>
    <w:rsid w:val="310E8037"/>
    <w:rsid w:val="311E383D"/>
    <w:rsid w:val="3133D853"/>
    <w:rsid w:val="313CACA9"/>
    <w:rsid w:val="313E3E5C"/>
    <w:rsid w:val="3143ABA5"/>
    <w:rsid w:val="31511AF4"/>
    <w:rsid w:val="317381A7"/>
    <w:rsid w:val="317D1E16"/>
    <w:rsid w:val="31A6B4CA"/>
    <w:rsid w:val="31B3E993"/>
    <w:rsid w:val="31BC7888"/>
    <w:rsid w:val="31D749CD"/>
    <w:rsid w:val="31F1E3EF"/>
    <w:rsid w:val="31F741EC"/>
    <w:rsid w:val="320E7690"/>
    <w:rsid w:val="321EF75C"/>
    <w:rsid w:val="32258593"/>
    <w:rsid w:val="323AA42A"/>
    <w:rsid w:val="325F00B5"/>
    <w:rsid w:val="32855C5E"/>
    <w:rsid w:val="32A78829"/>
    <w:rsid w:val="32B081DA"/>
    <w:rsid w:val="32BF8215"/>
    <w:rsid w:val="32C21B2C"/>
    <w:rsid w:val="32C92C00"/>
    <w:rsid w:val="32C9EFAF"/>
    <w:rsid w:val="32CD2AB9"/>
    <w:rsid w:val="32E22F1B"/>
    <w:rsid w:val="32F73BBE"/>
    <w:rsid w:val="3314EF6A"/>
    <w:rsid w:val="332404FB"/>
    <w:rsid w:val="333B801A"/>
    <w:rsid w:val="33626AE8"/>
    <w:rsid w:val="3365CBB9"/>
    <w:rsid w:val="33747D84"/>
    <w:rsid w:val="337A13BB"/>
    <w:rsid w:val="337E35FA"/>
    <w:rsid w:val="33AC9AA9"/>
    <w:rsid w:val="33B224E1"/>
    <w:rsid w:val="33C68C16"/>
    <w:rsid w:val="33C8FEF4"/>
    <w:rsid w:val="33D82C04"/>
    <w:rsid w:val="33DF4EB8"/>
    <w:rsid w:val="33DFECF2"/>
    <w:rsid w:val="33EDE8AD"/>
    <w:rsid w:val="33EE07DE"/>
    <w:rsid w:val="340E83E5"/>
    <w:rsid w:val="3410C6B2"/>
    <w:rsid w:val="341288EC"/>
    <w:rsid w:val="3417A774"/>
    <w:rsid w:val="342C4844"/>
    <w:rsid w:val="34492E71"/>
    <w:rsid w:val="34497113"/>
    <w:rsid w:val="3459D68C"/>
    <w:rsid w:val="3482E01C"/>
    <w:rsid w:val="349A38E2"/>
    <w:rsid w:val="34A1CC30"/>
    <w:rsid w:val="34A93F60"/>
    <w:rsid w:val="34B2C69A"/>
    <w:rsid w:val="34B4BED8"/>
    <w:rsid w:val="34BA9B3B"/>
    <w:rsid w:val="34BF3BA4"/>
    <w:rsid w:val="34C7F267"/>
    <w:rsid w:val="34CBB654"/>
    <w:rsid w:val="3523DCBF"/>
    <w:rsid w:val="353FFC56"/>
    <w:rsid w:val="35560CF1"/>
    <w:rsid w:val="356AC67F"/>
    <w:rsid w:val="35BAD80C"/>
    <w:rsid w:val="35C5C658"/>
    <w:rsid w:val="35DA44A7"/>
    <w:rsid w:val="35DF31B7"/>
    <w:rsid w:val="35E2443D"/>
    <w:rsid w:val="35F0C37B"/>
    <w:rsid w:val="35F3B02B"/>
    <w:rsid w:val="35FC3B32"/>
    <w:rsid w:val="3606FA2B"/>
    <w:rsid w:val="3612576B"/>
    <w:rsid w:val="3641B551"/>
    <w:rsid w:val="364B0005"/>
    <w:rsid w:val="364FC994"/>
    <w:rsid w:val="3650C19A"/>
    <w:rsid w:val="3654EFE6"/>
    <w:rsid w:val="3665F85D"/>
    <w:rsid w:val="36744D1C"/>
    <w:rsid w:val="36839ABB"/>
    <w:rsid w:val="368EB42F"/>
    <w:rsid w:val="36B1CA80"/>
    <w:rsid w:val="36D397CE"/>
    <w:rsid w:val="36DDF0BC"/>
    <w:rsid w:val="36DE026A"/>
    <w:rsid w:val="36E0CD11"/>
    <w:rsid w:val="36E5047B"/>
    <w:rsid w:val="36FEBE23"/>
    <w:rsid w:val="37236210"/>
    <w:rsid w:val="372B82F9"/>
    <w:rsid w:val="374AB2AC"/>
    <w:rsid w:val="37515311"/>
    <w:rsid w:val="375AA600"/>
    <w:rsid w:val="3761301E"/>
    <w:rsid w:val="37674AE7"/>
    <w:rsid w:val="377DB7D6"/>
    <w:rsid w:val="378E295F"/>
    <w:rsid w:val="37960794"/>
    <w:rsid w:val="37C982AF"/>
    <w:rsid w:val="37CF759E"/>
    <w:rsid w:val="37D10FE1"/>
    <w:rsid w:val="37DE6AD9"/>
    <w:rsid w:val="37E43FB5"/>
    <w:rsid w:val="37F1E154"/>
    <w:rsid w:val="37F28336"/>
    <w:rsid w:val="3805F34B"/>
    <w:rsid w:val="38215A9F"/>
    <w:rsid w:val="3829C6EA"/>
    <w:rsid w:val="3844AF1D"/>
    <w:rsid w:val="3845ADB0"/>
    <w:rsid w:val="3869DD4B"/>
    <w:rsid w:val="38801D68"/>
    <w:rsid w:val="38990281"/>
    <w:rsid w:val="38A122E8"/>
    <w:rsid w:val="38AB9D27"/>
    <w:rsid w:val="38B78975"/>
    <w:rsid w:val="38BC2104"/>
    <w:rsid w:val="38C27D2D"/>
    <w:rsid w:val="38C74E1D"/>
    <w:rsid w:val="38CF8266"/>
    <w:rsid w:val="38D802A8"/>
    <w:rsid w:val="38D95963"/>
    <w:rsid w:val="38E74541"/>
    <w:rsid w:val="38EB78CA"/>
    <w:rsid w:val="38EF9D3E"/>
    <w:rsid w:val="392C3574"/>
    <w:rsid w:val="392DA278"/>
    <w:rsid w:val="393006C0"/>
    <w:rsid w:val="3931809B"/>
    <w:rsid w:val="39593536"/>
    <w:rsid w:val="3962B93F"/>
    <w:rsid w:val="39893F69"/>
    <w:rsid w:val="3995530B"/>
    <w:rsid w:val="399BE9CE"/>
    <w:rsid w:val="39AAFB54"/>
    <w:rsid w:val="39BD7F21"/>
    <w:rsid w:val="39DDB69C"/>
    <w:rsid w:val="39E79430"/>
    <w:rsid w:val="3A062EF8"/>
    <w:rsid w:val="3A1E8601"/>
    <w:rsid w:val="3A1F34DA"/>
    <w:rsid w:val="3A251113"/>
    <w:rsid w:val="3A32739B"/>
    <w:rsid w:val="3A35CD9A"/>
    <w:rsid w:val="3A372E47"/>
    <w:rsid w:val="3A3FC438"/>
    <w:rsid w:val="3A43DA80"/>
    <w:rsid w:val="3A441300"/>
    <w:rsid w:val="3A5E4B6E"/>
    <w:rsid w:val="3A67B4BA"/>
    <w:rsid w:val="3A6933A0"/>
    <w:rsid w:val="3A7E0080"/>
    <w:rsid w:val="3A8389E0"/>
    <w:rsid w:val="3A867A39"/>
    <w:rsid w:val="3A9C4674"/>
    <w:rsid w:val="3AA8B307"/>
    <w:rsid w:val="3AC62A65"/>
    <w:rsid w:val="3AC792F8"/>
    <w:rsid w:val="3AD0C365"/>
    <w:rsid w:val="3AD2EFB0"/>
    <w:rsid w:val="3AD7903C"/>
    <w:rsid w:val="3ADFEF18"/>
    <w:rsid w:val="3AF72820"/>
    <w:rsid w:val="3B00205D"/>
    <w:rsid w:val="3B11C32E"/>
    <w:rsid w:val="3B65F5BC"/>
    <w:rsid w:val="3B693FA5"/>
    <w:rsid w:val="3B6B2991"/>
    <w:rsid w:val="3B9118EF"/>
    <w:rsid w:val="3B92CBF9"/>
    <w:rsid w:val="3BBAF253"/>
    <w:rsid w:val="3BC4A1B7"/>
    <w:rsid w:val="3BE84119"/>
    <w:rsid w:val="3BF04E49"/>
    <w:rsid w:val="3BFB055A"/>
    <w:rsid w:val="3C0485B7"/>
    <w:rsid w:val="3C3A00EF"/>
    <w:rsid w:val="3C3F74A3"/>
    <w:rsid w:val="3C41BE6F"/>
    <w:rsid w:val="3C56A9A4"/>
    <w:rsid w:val="3CAC0727"/>
    <w:rsid w:val="3CB1A4E4"/>
    <w:rsid w:val="3CD16FA1"/>
    <w:rsid w:val="3CD2E9DB"/>
    <w:rsid w:val="3CE15AEE"/>
    <w:rsid w:val="3CFAAF89"/>
    <w:rsid w:val="3D5177BB"/>
    <w:rsid w:val="3D6A6B6F"/>
    <w:rsid w:val="3D754BF9"/>
    <w:rsid w:val="3D7D2C58"/>
    <w:rsid w:val="3DB14910"/>
    <w:rsid w:val="3DB1C47D"/>
    <w:rsid w:val="3DBB1247"/>
    <w:rsid w:val="3DE5AE2C"/>
    <w:rsid w:val="3DF81B81"/>
    <w:rsid w:val="3DFC4DDB"/>
    <w:rsid w:val="3E03C324"/>
    <w:rsid w:val="3E0BABC3"/>
    <w:rsid w:val="3E2166D6"/>
    <w:rsid w:val="3E348867"/>
    <w:rsid w:val="3E6BAD77"/>
    <w:rsid w:val="3E6F90D2"/>
    <w:rsid w:val="3E838C2F"/>
    <w:rsid w:val="3EBC3CA2"/>
    <w:rsid w:val="3EBFCBB6"/>
    <w:rsid w:val="3EDE9DB5"/>
    <w:rsid w:val="3EDF9392"/>
    <w:rsid w:val="3F0E9967"/>
    <w:rsid w:val="3F220F78"/>
    <w:rsid w:val="3F2B0738"/>
    <w:rsid w:val="3F547089"/>
    <w:rsid w:val="3F563AB4"/>
    <w:rsid w:val="3F589CE9"/>
    <w:rsid w:val="3F5BBC32"/>
    <w:rsid w:val="3F6ED5A9"/>
    <w:rsid w:val="3F71A1B1"/>
    <w:rsid w:val="3F904392"/>
    <w:rsid w:val="3FB60829"/>
    <w:rsid w:val="3FC51728"/>
    <w:rsid w:val="3FCFC2CD"/>
    <w:rsid w:val="3FD52DC4"/>
    <w:rsid w:val="3FDE3868"/>
    <w:rsid w:val="3FE48012"/>
    <w:rsid w:val="3FF27A1A"/>
    <w:rsid w:val="4013A487"/>
    <w:rsid w:val="40222C08"/>
    <w:rsid w:val="404B2BD4"/>
    <w:rsid w:val="405A23C9"/>
    <w:rsid w:val="407FE14F"/>
    <w:rsid w:val="408AB8C7"/>
    <w:rsid w:val="4090980E"/>
    <w:rsid w:val="409D78AA"/>
    <w:rsid w:val="40AC3147"/>
    <w:rsid w:val="40B18C27"/>
    <w:rsid w:val="40C043E4"/>
    <w:rsid w:val="40C60EB9"/>
    <w:rsid w:val="40E93C34"/>
    <w:rsid w:val="40FF247E"/>
    <w:rsid w:val="411A44D3"/>
    <w:rsid w:val="41425805"/>
    <w:rsid w:val="4159FF09"/>
    <w:rsid w:val="4161AAB5"/>
    <w:rsid w:val="4166A502"/>
    <w:rsid w:val="417296B4"/>
    <w:rsid w:val="4183E2FA"/>
    <w:rsid w:val="4187BCE7"/>
    <w:rsid w:val="418C1F15"/>
    <w:rsid w:val="419ACBAE"/>
    <w:rsid w:val="41A5B819"/>
    <w:rsid w:val="41A7F396"/>
    <w:rsid w:val="41BC7639"/>
    <w:rsid w:val="41C0BA8D"/>
    <w:rsid w:val="41D3FD98"/>
    <w:rsid w:val="41DDEC45"/>
    <w:rsid w:val="41E747FD"/>
    <w:rsid w:val="41F3EC01"/>
    <w:rsid w:val="4205B79E"/>
    <w:rsid w:val="423CBD64"/>
    <w:rsid w:val="423D8580"/>
    <w:rsid w:val="424EDAB3"/>
    <w:rsid w:val="427A8154"/>
    <w:rsid w:val="42D7B216"/>
    <w:rsid w:val="4322025B"/>
    <w:rsid w:val="43265BDF"/>
    <w:rsid w:val="432A1ADC"/>
    <w:rsid w:val="43303267"/>
    <w:rsid w:val="43398E58"/>
    <w:rsid w:val="435E63BB"/>
    <w:rsid w:val="43703FF2"/>
    <w:rsid w:val="438DE117"/>
    <w:rsid w:val="43A261D9"/>
    <w:rsid w:val="43BA16DF"/>
    <w:rsid w:val="43D6DFD4"/>
    <w:rsid w:val="43D955E1"/>
    <w:rsid w:val="43ED77F0"/>
    <w:rsid w:val="4401CF5A"/>
    <w:rsid w:val="440E04CE"/>
    <w:rsid w:val="44113546"/>
    <w:rsid w:val="442F2D55"/>
    <w:rsid w:val="44411CFD"/>
    <w:rsid w:val="444F21D7"/>
    <w:rsid w:val="445D49B2"/>
    <w:rsid w:val="446B7914"/>
    <w:rsid w:val="447050EF"/>
    <w:rsid w:val="44AE8403"/>
    <w:rsid w:val="44B083CF"/>
    <w:rsid w:val="44B8FBD3"/>
    <w:rsid w:val="44D58F42"/>
    <w:rsid w:val="44DFEDD1"/>
    <w:rsid w:val="451832E0"/>
    <w:rsid w:val="4532345D"/>
    <w:rsid w:val="453BCD32"/>
    <w:rsid w:val="4541DD50"/>
    <w:rsid w:val="45425C21"/>
    <w:rsid w:val="454EBAE6"/>
    <w:rsid w:val="45751087"/>
    <w:rsid w:val="457B8CDD"/>
    <w:rsid w:val="4584387C"/>
    <w:rsid w:val="45C2F496"/>
    <w:rsid w:val="45DED951"/>
    <w:rsid w:val="4612CC63"/>
    <w:rsid w:val="46131431"/>
    <w:rsid w:val="46344AA7"/>
    <w:rsid w:val="463E98D3"/>
    <w:rsid w:val="4695A02D"/>
    <w:rsid w:val="46D2B02B"/>
    <w:rsid w:val="46EF95E1"/>
    <w:rsid w:val="46F9FA4B"/>
    <w:rsid w:val="4700FF3B"/>
    <w:rsid w:val="4710E0E8"/>
    <w:rsid w:val="471AC3F2"/>
    <w:rsid w:val="4732467C"/>
    <w:rsid w:val="473CD749"/>
    <w:rsid w:val="474EA955"/>
    <w:rsid w:val="47558ACD"/>
    <w:rsid w:val="4762BA1E"/>
    <w:rsid w:val="4764F2C2"/>
    <w:rsid w:val="4767AE9C"/>
    <w:rsid w:val="4778BDBF"/>
    <w:rsid w:val="4781300D"/>
    <w:rsid w:val="4784FEA9"/>
    <w:rsid w:val="478ADB92"/>
    <w:rsid w:val="479FD18C"/>
    <w:rsid w:val="47A7F1B1"/>
    <w:rsid w:val="47A9AD94"/>
    <w:rsid w:val="47ABD50D"/>
    <w:rsid w:val="47AD9617"/>
    <w:rsid w:val="47CFA39B"/>
    <w:rsid w:val="47DDB760"/>
    <w:rsid w:val="47F107B7"/>
    <w:rsid w:val="47F279C1"/>
    <w:rsid w:val="47FA31A9"/>
    <w:rsid w:val="47FA4BD8"/>
    <w:rsid w:val="4813F10C"/>
    <w:rsid w:val="4823139C"/>
    <w:rsid w:val="482798BC"/>
    <w:rsid w:val="4835171F"/>
    <w:rsid w:val="4843A3C3"/>
    <w:rsid w:val="485A1122"/>
    <w:rsid w:val="486863E0"/>
    <w:rsid w:val="4885C742"/>
    <w:rsid w:val="488D235B"/>
    <w:rsid w:val="489B0433"/>
    <w:rsid w:val="48AC31FE"/>
    <w:rsid w:val="48B3753B"/>
    <w:rsid w:val="48CD9768"/>
    <w:rsid w:val="48E39905"/>
    <w:rsid w:val="490F4059"/>
    <w:rsid w:val="49177233"/>
    <w:rsid w:val="491FCD8D"/>
    <w:rsid w:val="492DF9DC"/>
    <w:rsid w:val="4931DDF1"/>
    <w:rsid w:val="4943C212"/>
    <w:rsid w:val="494C74B0"/>
    <w:rsid w:val="494F962F"/>
    <w:rsid w:val="49514D83"/>
    <w:rsid w:val="496808AA"/>
    <w:rsid w:val="497E8A73"/>
    <w:rsid w:val="49863E0B"/>
    <w:rsid w:val="49A3D1B2"/>
    <w:rsid w:val="49CBA0BE"/>
    <w:rsid w:val="49E83684"/>
    <w:rsid w:val="49F39683"/>
    <w:rsid w:val="4A17FB87"/>
    <w:rsid w:val="4A1B358B"/>
    <w:rsid w:val="4A6B0B99"/>
    <w:rsid w:val="4A796DE9"/>
    <w:rsid w:val="4A891114"/>
    <w:rsid w:val="4A8F0C4F"/>
    <w:rsid w:val="4AA3443D"/>
    <w:rsid w:val="4AA37D0A"/>
    <w:rsid w:val="4AABA04F"/>
    <w:rsid w:val="4AC6A4AC"/>
    <w:rsid w:val="4AF0ED9D"/>
    <w:rsid w:val="4B111663"/>
    <w:rsid w:val="4B1363B2"/>
    <w:rsid w:val="4B4C0B0B"/>
    <w:rsid w:val="4B550599"/>
    <w:rsid w:val="4B57D02E"/>
    <w:rsid w:val="4B592EDF"/>
    <w:rsid w:val="4B8EEEEE"/>
    <w:rsid w:val="4BC7B87A"/>
    <w:rsid w:val="4BCCAA9D"/>
    <w:rsid w:val="4BCD6B6E"/>
    <w:rsid w:val="4BD8721A"/>
    <w:rsid w:val="4BE770FD"/>
    <w:rsid w:val="4C0716D4"/>
    <w:rsid w:val="4C0FF5F2"/>
    <w:rsid w:val="4C11422D"/>
    <w:rsid w:val="4C19AF77"/>
    <w:rsid w:val="4C1A9875"/>
    <w:rsid w:val="4C292C54"/>
    <w:rsid w:val="4C31A674"/>
    <w:rsid w:val="4C41BCE2"/>
    <w:rsid w:val="4C4E3F4D"/>
    <w:rsid w:val="4C6CE0DC"/>
    <w:rsid w:val="4C6E4E2B"/>
    <w:rsid w:val="4C9069DD"/>
    <w:rsid w:val="4CC2C172"/>
    <w:rsid w:val="4CC2DC87"/>
    <w:rsid w:val="4CCF9529"/>
    <w:rsid w:val="4CEE9149"/>
    <w:rsid w:val="4CF2C4D9"/>
    <w:rsid w:val="4CF87AF5"/>
    <w:rsid w:val="4D2AA93A"/>
    <w:rsid w:val="4D3D5B02"/>
    <w:rsid w:val="4D46C52B"/>
    <w:rsid w:val="4D528249"/>
    <w:rsid w:val="4D54F5EA"/>
    <w:rsid w:val="4D588CC9"/>
    <w:rsid w:val="4D611CE6"/>
    <w:rsid w:val="4D66794D"/>
    <w:rsid w:val="4D680C59"/>
    <w:rsid w:val="4D714DEE"/>
    <w:rsid w:val="4D76AB23"/>
    <w:rsid w:val="4D7EE6DF"/>
    <w:rsid w:val="4D7F8CC0"/>
    <w:rsid w:val="4D93219D"/>
    <w:rsid w:val="4D93E55D"/>
    <w:rsid w:val="4D98974B"/>
    <w:rsid w:val="4DA1539E"/>
    <w:rsid w:val="4DBACED6"/>
    <w:rsid w:val="4DCE9B68"/>
    <w:rsid w:val="4DD5BEFB"/>
    <w:rsid w:val="4DF6505D"/>
    <w:rsid w:val="4DFC65BE"/>
    <w:rsid w:val="4E0E3C3E"/>
    <w:rsid w:val="4E1F4013"/>
    <w:rsid w:val="4E2EB64E"/>
    <w:rsid w:val="4E410542"/>
    <w:rsid w:val="4E46D4F4"/>
    <w:rsid w:val="4E4F6148"/>
    <w:rsid w:val="4E55ACAC"/>
    <w:rsid w:val="4E6298BD"/>
    <w:rsid w:val="4E6FCCAA"/>
    <w:rsid w:val="4E8235E8"/>
    <w:rsid w:val="4EAFC7FE"/>
    <w:rsid w:val="4F026357"/>
    <w:rsid w:val="4F1538AD"/>
    <w:rsid w:val="4F16F8E0"/>
    <w:rsid w:val="4F1F0E35"/>
    <w:rsid w:val="4F308F24"/>
    <w:rsid w:val="4F37290A"/>
    <w:rsid w:val="4F4A5C17"/>
    <w:rsid w:val="4F584B9B"/>
    <w:rsid w:val="4F82DA87"/>
    <w:rsid w:val="4F862DD8"/>
    <w:rsid w:val="4F91F4FF"/>
    <w:rsid w:val="4FB42008"/>
    <w:rsid w:val="4FB666DB"/>
    <w:rsid w:val="4FB8C266"/>
    <w:rsid w:val="4FC062B1"/>
    <w:rsid w:val="4FCEC4EF"/>
    <w:rsid w:val="4FE4130F"/>
    <w:rsid w:val="4FE4F4FF"/>
    <w:rsid w:val="4FF18F13"/>
    <w:rsid w:val="50030488"/>
    <w:rsid w:val="5006A6F7"/>
    <w:rsid w:val="5018D979"/>
    <w:rsid w:val="502780D2"/>
    <w:rsid w:val="504624D2"/>
    <w:rsid w:val="505177E9"/>
    <w:rsid w:val="505A6ABE"/>
    <w:rsid w:val="5071683E"/>
    <w:rsid w:val="507B53A9"/>
    <w:rsid w:val="508356E5"/>
    <w:rsid w:val="50D12D54"/>
    <w:rsid w:val="5114A353"/>
    <w:rsid w:val="511DA10C"/>
    <w:rsid w:val="511F37F1"/>
    <w:rsid w:val="513FC41F"/>
    <w:rsid w:val="514F9CEE"/>
    <w:rsid w:val="51741686"/>
    <w:rsid w:val="5178493B"/>
    <w:rsid w:val="51936E58"/>
    <w:rsid w:val="51BBCFFC"/>
    <w:rsid w:val="51C1C321"/>
    <w:rsid w:val="51C9D53F"/>
    <w:rsid w:val="51CB743F"/>
    <w:rsid w:val="51D56E27"/>
    <w:rsid w:val="51D9D5AF"/>
    <w:rsid w:val="51DCF006"/>
    <w:rsid w:val="521AAA73"/>
    <w:rsid w:val="523D6B22"/>
    <w:rsid w:val="52546939"/>
    <w:rsid w:val="526EE7D5"/>
    <w:rsid w:val="528EF36D"/>
    <w:rsid w:val="529CC1B6"/>
    <w:rsid w:val="52A34B6B"/>
    <w:rsid w:val="52D2F442"/>
    <w:rsid w:val="52D5CB2E"/>
    <w:rsid w:val="52D78DD0"/>
    <w:rsid w:val="52DEE074"/>
    <w:rsid w:val="52E69E4B"/>
    <w:rsid w:val="52ED4315"/>
    <w:rsid w:val="52F56528"/>
    <w:rsid w:val="533AA54A"/>
    <w:rsid w:val="53575C47"/>
    <w:rsid w:val="5365F03E"/>
    <w:rsid w:val="53A33171"/>
    <w:rsid w:val="53A7C130"/>
    <w:rsid w:val="53CF1AA0"/>
    <w:rsid w:val="53D59469"/>
    <w:rsid w:val="53D64726"/>
    <w:rsid w:val="53DB5AD2"/>
    <w:rsid w:val="53DC2409"/>
    <w:rsid w:val="53E06AC9"/>
    <w:rsid w:val="53FAF5E2"/>
    <w:rsid w:val="5412E29F"/>
    <w:rsid w:val="54299A18"/>
    <w:rsid w:val="54367506"/>
    <w:rsid w:val="5437666C"/>
    <w:rsid w:val="5448D286"/>
    <w:rsid w:val="5451D85F"/>
    <w:rsid w:val="546395D2"/>
    <w:rsid w:val="546712BB"/>
    <w:rsid w:val="547243FD"/>
    <w:rsid w:val="547C6B64"/>
    <w:rsid w:val="54D19174"/>
    <w:rsid w:val="54EC7275"/>
    <w:rsid w:val="55353D96"/>
    <w:rsid w:val="55419D3E"/>
    <w:rsid w:val="556440D7"/>
    <w:rsid w:val="5576D350"/>
    <w:rsid w:val="558D5F5E"/>
    <w:rsid w:val="55957DE2"/>
    <w:rsid w:val="559E4B32"/>
    <w:rsid w:val="55ABD3DB"/>
    <w:rsid w:val="55C871DA"/>
    <w:rsid w:val="55CD0EAA"/>
    <w:rsid w:val="55D34B51"/>
    <w:rsid w:val="55D6E431"/>
    <w:rsid w:val="55E90F06"/>
    <w:rsid w:val="560B2050"/>
    <w:rsid w:val="564A4E69"/>
    <w:rsid w:val="564D8E78"/>
    <w:rsid w:val="56534A6E"/>
    <w:rsid w:val="565D392F"/>
    <w:rsid w:val="5698E1D2"/>
    <w:rsid w:val="569C4ACC"/>
    <w:rsid w:val="56AEE98A"/>
    <w:rsid w:val="56CF4637"/>
    <w:rsid w:val="56DFD617"/>
    <w:rsid w:val="56F404BA"/>
    <w:rsid w:val="56F5D9A5"/>
    <w:rsid w:val="5703D6A4"/>
    <w:rsid w:val="570643B7"/>
    <w:rsid w:val="57244D9C"/>
    <w:rsid w:val="5727A450"/>
    <w:rsid w:val="5740D92E"/>
    <w:rsid w:val="57448A70"/>
    <w:rsid w:val="5746CB67"/>
    <w:rsid w:val="575673FA"/>
    <w:rsid w:val="5791F1E2"/>
    <w:rsid w:val="5792061B"/>
    <w:rsid w:val="5792B4E1"/>
    <w:rsid w:val="57ACFA14"/>
    <w:rsid w:val="57C212EF"/>
    <w:rsid w:val="57DC5332"/>
    <w:rsid w:val="57EF292A"/>
    <w:rsid w:val="5800285A"/>
    <w:rsid w:val="58057419"/>
    <w:rsid w:val="58128C9A"/>
    <w:rsid w:val="5818981D"/>
    <w:rsid w:val="5829BE76"/>
    <w:rsid w:val="582D8036"/>
    <w:rsid w:val="58334FB7"/>
    <w:rsid w:val="583B1157"/>
    <w:rsid w:val="58842DA5"/>
    <w:rsid w:val="589E2FC2"/>
    <w:rsid w:val="58A86D0C"/>
    <w:rsid w:val="58A9C441"/>
    <w:rsid w:val="58BF470D"/>
    <w:rsid w:val="58E8DD1E"/>
    <w:rsid w:val="590468BA"/>
    <w:rsid w:val="5920752E"/>
    <w:rsid w:val="5922F072"/>
    <w:rsid w:val="5939CCBC"/>
    <w:rsid w:val="594A3A66"/>
    <w:rsid w:val="594DD4B2"/>
    <w:rsid w:val="59611889"/>
    <w:rsid w:val="59767D0E"/>
    <w:rsid w:val="598AA1A3"/>
    <w:rsid w:val="599B65B6"/>
    <w:rsid w:val="599E48EA"/>
    <w:rsid w:val="599EC92B"/>
    <w:rsid w:val="59A9E6CE"/>
    <w:rsid w:val="59B0FB20"/>
    <w:rsid w:val="59B294DA"/>
    <w:rsid w:val="59B745BE"/>
    <w:rsid w:val="59CB6312"/>
    <w:rsid w:val="59CBEB92"/>
    <w:rsid w:val="59D7E664"/>
    <w:rsid w:val="59E6BF97"/>
    <w:rsid w:val="59EB83BE"/>
    <w:rsid w:val="59EED4F5"/>
    <w:rsid w:val="59FE13F4"/>
    <w:rsid w:val="5A083093"/>
    <w:rsid w:val="5A1A82C0"/>
    <w:rsid w:val="5A21B438"/>
    <w:rsid w:val="5A34634C"/>
    <w:rsid w:val="5A4837E8"/>
    <w:rsid w:val="5A4F5CB9"/>
    <w:rsid w:val="5A533AFC"/>
    <w:rsid w:val="5A5C36DA"/>
    <w:rsid w:val="5A64F2A0"/>
    <w:rsid w:val="5A78971F"/>
    <w:rsid w:val="5AB7D72A"/>
    <w:rsid w:val="5AED7DE8"/>
    <w:rsid w:val="5AF29B9C"/>
    <w:rsid w:val="5AF2C1DC"/>
    <w:rsid w:val="5AF4D37C"/>
    <w:rsid w:val="5B1B53FB"/>
    <w:rsid w:val="5B35E88E"/>
    <w:rsid w:val="5B55A846"/>
    <w:rsid w:val="5B59FED6"/>
    <w:rsid w:val="5B5B95BD"/>
    <w:rsid w:val="5BAC5E24"/>
    <w:rsid w:val="5BB4AF2E"/>
    <w:rsid w:val="5BDBEE31"/>
    <w:rsid w:val="5BECAAB8"/>
    <w:rsid w:val="5BF080C2"/>
    <w:rsid w:val="5C1838E4"/>
    <w:rsid w:val="5C220DCE"/>
    <w:rsid w:val="5C303CED"/>
    <w:rsid w:val="5C3B401E"/>
    <w:rsid w:val="5C47C644"/>
    <w:rsid w:val="5C7E5237"/>
    <w:rsid w:val="5C81D65A"/>
    <w:rsid w:val="5C969AA9"/>
    <w:rsid w:val="5CB48D9E"/>
    <w:rsid w:val="5CD8DEC6"/>
    <w:rsid w:val="5CD8E53C"/>
    <w:rsid w:val="5CE232FF"/>
    <w:rsid w:val="5D210E7C"/>
    <w:rsid w:val="5D4001DC"/>
    <w:rsid w:val="5D529A4F"/>
    <w:rsid w:val="5D57B061"/>
    <w:rsid w:val="5D5AA6F0"/>
    <w:rsid w:val="5D768C30"/>
    <w:rsid w:val="5D88328D"/>
    <w:rsid w:val="5D8B92E9"/>
    <w:rsid w:val="5DAD0EF4"/>
    <w:rsid w:val="5DB037E1"/>
    <w:rsid w:val="5DCCC7A6"/>
    <w:rsid w:val="5DDDE960"/>
    <w:rsid w:val="5DE1945A"/>
    <w:rsid w:val="5DFEFBE2"/>
    <w:rsid w:val="5E0681CF"/>
    <w:rsid w:val="5E084FE8"/>
    <w:rsid w:val="5E086473"/>
    <w:rsid w:val="5E0DEB58"/>
    <w:rsid w:val="5E30ED9E"/>
    <w:rsid w:val="5E358A28"/>
    <w:rsid w:val="5E4D8477"/>
    <w:rsid w:val="5E569460"/>
    <w:rsid w:val="5E755C1B"/>
    <w:rsid w:val="5E79FA88"/>
    <w:rsid w:val="5E881B83"/>
    <w:rsid w:val="5E8EF5B6"/>
    <w:rsid w:val="5E9BDCE2"/>
    <w:rsid w:val="5EA8A302"/>
    <w:rsid w:val="5EAF6D25"/>
    <w:rsid w:val="5EBCDEDD"/>
    <w:rsid w:val="5EBD6BFB"/>
    <w:rsid w:val="5ED0C4C7"/>
    <w:rsid w:val="5ED2BA7F"/>
    <w:rsid w:val="5EDBC9EE"/>
    <w:rsid w:val="5EE3DAC9"/>
    <w:rsid w:val="5EE5B851"/>
    <w:rsid w:val="5EF4DB0D"/>
    <w:rsid w:val="5EF94A02"/>
    <w:rsid w:val="5EFA056F"/>
    <w:rsid w:val="5F001787"/>
    <w:rsid w:val="5F1463EC"/>
    <w:rsid w:val="5F2307F7"/>
    <w:rsid w:val="5F2402EE"/>
    <w:rsid w:val="5F3C4977"/>
    <w:rsid w:val="5F401FA8"/>
    <w:rsid w:val="5F44D4AA"/>
    <w:rsid w:val="5F4614C5"/>
    <w:rsid w:val="5F4E3C73"/>
    <w:rsid w:val="5F4F7382"/>
    <w:rsid w:val="5F5212CF"/>
    <w:rsid w:val="5F5C95D7"/>
    <w:rsid w:val="5F721FF0"/>
    <w:rsid w:val="5FA28294"/>
    <w:rsid w:val="5FAF0652"/>
    <w:rsid w:val="5FDAF8E6"/>
    <w:rsid w:val="601E5ED1"/>
    <w:rsid w:val="601EEF0E"/>
    <w:rsid w:val="60242B22"/>
    <w:rsid w:val="602A6F96"/>
    <w:rsid w:val="6039BFCF"/>
    <w:rsid w:val="6068443E"/>
    <w:rsid w:val="606D5384"/>
    <w:rsid w:val="6090AB6E"/>
    <w:rsid w:val="60952615"/>
    <w:rsid w:val="60A0FCFF"/>
    <w:rsid w:val="60B63E7C"/>
    <w:rsid w:val="60BD3DAB"/>
    <w:rsid w:val="60C6702C"/>
    <w:rsid w:val="60D5261E"/>
    <w:rsid w:val="60D6F24F"/>
    <w:rsid w:val="60DC9A3F"/>
    <w:rsid w:val="60F65242"/>
    <w:rsid w:val="6102FEE2"/>
    <w:rsid w:val="611DD7A4"/>
    <w:rsid w:val="612B8986"/>
    <w:rsid w:val="612C8144"/>
    <w:rsid w:val="612DA523"/>
    <w:rsid w:val="612F589B"/>
    <w:rsid w:val="6130C8E7"/>
    <w:rsid w:val="6155D92B"/>
    <w:rsid w:val="615D2424"/>
    <w:rsid w:val="615EC542"/>
    <w:rsid w:val="6167413D"/>
    <w:rsid w:val="616CE547"/>
    <w:rsid w:val="61895F63"/>
    <w:rsid w:val="61919AF1"/>
    <w:rsid w:val="61BB480E"/>
    <w:rsid w:val="61D05252"/>
    <w:rsid w:val="61E28D55"/>
    <w:rsid w:val="61FB2BDF"/>
    <w:rsid w:val="6218057C"/>
    <w:rsid w:val="6220744C"/>
    <w:rsid w:val="6260A404"/>
    <w:rsid w:val="62677FAD"/>
    <w:rsid w:val="626DB57D"/>
    <w:rsid w:val="629222A3"/>
    <w:rsid w:val="62AAB8EE"/>
    <w:rsid w:val="62B5F6BE"/>
    <w:rsid w:val="62BB32D0"/>
    <w:rsid w:val="62BD322B"/>
    <w:rsid w:val="62C4747A"/>
    <w:rsid w:val="62D6A3A6"/>
    <w:rsid w:val="62D777A2"/>
    <w:rsid w:val="62E05345"/>
    <w:rsid w:val="62EBCA6F"/>
    <w:rsid w:val="632BBA51"/>
    <w:rsid w:val="633D53EB"/>
    <w:rsid w:val="6346DFE6"/>
    <w:rsid w:val="63484D71"/>
    <w:rsid w:val="635DD376"/>
    <w:rsid w:val="63618FFC"/>
    <w:rsid w:val="63656882"/>
    <w:rsid w:val="6378B0A2"/>
    <w:rsid w:val="63955E27"/>
    <w:rsid w:val="63AF12D9"/>
    <w:rsid w:val="63C6EC09"/>
    <w:rsid w:val="63C81531"/>
    <w:rsid w:val="63DC0440"/>
    <w:rsid w:val="63E6BED5"/>
    <w:rsid w:val="63FA1046"/>
    <w:rsid w:val="6404F368"/>
    <w:rsid w:val="640D2540"/>
    <w:rsid w:val="641237E3"/>
    <w:rsid w:val="642FA71E"/>
    <w:rsid w:val="644E77FE"/>
    <w:rsid w:val="64513A85"/>
    <w:rsid w:val="64519F2C"/>
    <w:rsid w:val="6457AE60"/>
    <w:rsid w:val="6461A892"/>
    <w:rsid w:val="6467610F"/>
    <w:rsid w:val="648CE275"/>
    <w:rsid w:val="649777C5"/>
    <w:rsid w:val="64999919"/>
    <w:rsid w:val="64A37D9D"/>
    <w:rsid w:val="64A70025"/>
    <w:rsid w:val="64AB1D9F"/>
    <w:rsid w:val="64C0BDA7"/>
    <w:rsid w:val="64D43533"/>
    <w:rsid w:val="64D47E0E"/>
    <w:rsid w:val="64D994CC"/>
    <w:rsid w:val="64E8C210"/>
    <w:rsid w:val="65163AB2"/>
    <w:rsid w:val="6524752A"/>
    <w:rsid w:val="6532CCA1"/>
    <w:rsid w:val="653A21CA"/>
    <w:rsid w:val="653C46A4"/>
    <w:rsid w:val="6553B27E"/>
    <w:rsid w:val="6569355D"/>
    <w:rsid w:val="65699F9F"/>
    <w:rsid w:val="658C4BD5"/>
    <w:rsid w:val="658F1A08"/>
    <w:rsid w:val="65903B3A"/>
    <w:rsid w:val="659844C6"/>
    <w:rsid w:val="65D9E3A9"/>
    <w:rsid w:val="660ED64A"/>
    <w:rsid w:val="6614C6AE"/>
    <w:rsid w:val="66267304"/>
    <w:rsid w:val="662C07F3"/>
    <w:rsid w:val="6635EDF7"/>
    <w:rsid w:val="66564B3D"/>
    <w:rsid w:val="667FC782"/>
    <w:rsid w:val="668F2A6F"/>
    <w:rsid w:val="66972C50"/>
    <w:rsid w:val="66AB8BFB"/>
    <w:rsid w:val="66B77650"/>
    <w:rsid w:val="66B89F99"/>
    <w:rsid w:val="66B9A2DE"/>
    <w:rsid w:val="66C0CCFA"/>
    <w:rsid w:val="66CE9D02"/>
    <w:rsid w:val="66D68A88"/>
    <w:rsid w:val="66DAC84B"/>
    <w:rsid w:val="66FB8E4E"/>
    <w:rsid w:val="6719D774"/>
    <w:rsid w:val="67470B40"/>
    <w:rsid w:val="674723E2"/>
    <w:rsid w:val="675140D5"/>
    <w:rsid w:val="675C8C9E"/>
    <w:rsid w:val="6775AFFC"/>
    <w:rsid w:val="6776569A"/>
    <w:rsid w:val="6785A93B"/>
    <w:rsid w:val="67A3AEBC"/>
    <w:rsid w:val="67B4F778"/>
    <w:rsid w:val="67BA2409"/>
    <w:rsid w:val="67C83E3F"/>
    <w:rsid w:val="67C94393"/>
    <w:rsid w:val="67DF8E4E"/>
    <w:rsid w:val="67E96210"/>
    <w:rsid w:val="67EBAF07"/>
    <w:rsid w:val="67F2ED12"/>
    <w:rsid w:val="67FC36BC"/>
    <w:rsid w:val="680120CE"/>
    <w:rsid w:val="68181511"/>
    <w:rsid w:val="6827F02A"/>
    <w:rsid w:val="68365146"/>
    <w:rsid w:val="68366F82"/>
    <w:rsid w:val="683F073E"/>
    <w:rsid w:val="68437BE8"/>
    <w:rsid w:val="685C9012"/>
    <w:rsid w:val="68761C5A"/>
    <w:rsid w:val="6876FAC7"/>
    <w:rsid w:val="688247CC"/>
    <w:rsid w:val="6893E52A"/>
    <w:rsid w:val="68970A50"/>
    <w:rsid w:val="68AFE342"/>
    <w:rsid w:val="68B5428A"/>
    <w:rsid w:val="68BBAAC1"/>
    <w:rsid w:val="68C190C6"/>
    <w:rsid w:val="68EB4D18"/>
    <w:rsid w:val="690C5BAF"/>
    <w:rsid w:val="691AFD28"/>
    <w:rsid w:val="691B648C"/>
    <w:rsid w:val="69207EB9"/>
    <w:rsid w:val="693BDD5A"/>
    <w:rsid w:val="69445B67"/>
    <w:rsid w:val="69559E0B"/>
    <w:rsid w:val="69745163"/>
    <w:rsid w:val="698EEF49"/>
    <w:rsid w:val="69AC04D4"/>
    <w:rsid w:val="69EE7842"/>
    <w:rsid w:val="69F65856"/>
    <w:rsid w:val="69F86DBC"/>
    <w:rsid w:val="6A03308F"/>
    <w:rsid w:val="6A1AE247"/>
    <w:rsid w:val="6A1F89D5"/>
    <w:rsid w:val="6A21F66C"/>
    <w:rsid w:val="6A307AF2"/>
    <w:rsid w:val="6A3BF8D1"/>
    <w:rsid w:val="6A3D5DD9"/>
    <w:rsid w:val="6A3DB302"/>
    <w:rsid w:val="6A54B4EB"/>
    <w:rsid w:val="6A6F04C2"/>
    <w:rsid w:val="6A7A7111"/>
    <w:rsid w:val="6A7BF0F1"/>
    <w:rsid w:val="6A7F2B77"/>
    <w:rsid w:val="6A7FD6D5"/>
    <w:rsid w:val="6A99A5A5"/>
    <w:rsid w:val="6AB16FFA"/>
    <w:rsid w:val="6AC9710A"/>
    <w:rsid w:val="6ADC991E"/>
    <w:rsid w:val="6AED9F41"/>
    <w:rsid w:val="6AF89A96"/>
    <w:rsid w:val="6AFC57B7"/>
    <w:rsid w:val="6B1518DA"/>
    <w:rsid w:val="6B19DED2"/>
    <w:rsid w:val="6B1A5711"/>
    <w:rsid w:val="6B3938F5"/>
    <w:rsid w:val="6B519359"/>
    <w:rsid w:val="6B52BC14"/>
    <w:rsid w:val="6B62083E"/>
    <w:rsid w:val="6B68FDC6"/>
    <w:rsid w:val="6B6A9A2A"/>
    <w:rsid w:val="6B7322A6"/>
    <w:rsid w:val="6B8FEF15"/>
    <w:rsid w:val="6B92D12A"/>
    <w:rsid w:val="6BA061DC"/>
    <w:rsid w:val="6BA2DB39"/>
    <w:rsid w:val="6BC78A86"/>
    <w:rsid w:val="6BD82AE8"/>
    <w:rsid w:val="6BEB28C9"/>
    <w:rsid w:val="6C0BB72C"/>
    <w:rsid w:val="6C12F47F"/>
    <w:rsid w:val="6C22D20E"/>
    <w:rsid w:val="6C23A064"/>
    <w:rsid w:val="6C3186B2"/>
    <w:rsid w:val="6C43FC71"/>
    <w:rsid w:val="6C499ECD"/>
    <w:rsid w:val="6C94BF54"/>
    <w:rsid w:val="6C9E5531"/>
    <w:rsid w:val="6CA6793C"/>
    <w:rsid w:val="6CB4D7AD"/>
    <w:rsid w:val="6CD2F7AD"/>
    <w:rsid w:val="6CF58F29"/>
    <w:rsid w:val="6D0E16AC"/>
    <w:rsid w:val="6D117892"/>
    <w:rsid w:val="6D2871BE"/>
    <w:rsid w:val="6D3FB6BA"/>
    <w:rsid w:val="6D48E43F"/>
    <w:rsid w:val="6D848A36"/>
    <w:rsid w:val="6DA252E6"/>
    <w:rsid w:val="6DA6F7D5"/>
    <w:rsid w:val="6DA984A4"/>
    <w:rsid w:val="6DAD47E4"/>
    <w:rsid w:val="6DDF8F04"/>
    <w:rsid w:val="6E0D3790"/>
    <w:rsid w:val="6E0E88D6"/>
    <w:rsid w:val="6E10EDFC"/>
    <w:rsid w:val="6E22383A"/>
    <w:rsid w:val="6E241177"/>
    <w:rsid w:val="6E2C220B"/>
    <w:rsid w:val="6E2F36D6"/>
    <w:rsid w:val="6E472F5D"/>
    <w:rsid w:val="6E49BEE8"/>
    <w:rsid w:val="6E6294F1"/>
    <w:rsid w:val="6E62A43F"/>
    <w:rsid w:val="6E9FA013"/>
    <w:rsid w:val="6EA16903"/>
    <w:rsid w:val="6EAD3542"/>
    <w:rsid w:val="6EAD7494"/>
    <w:rsid w:val="6EB7F38F"/>
    <w:rsid w:val="6ECBA23F"/>
    <w:rsid w:val="6ED157C6"/>
    <w:rsid w:val="6ED49936"/>
    <w:rsid w:val="6EDE7AEE"/>
    <w:rsid w:val="6EE0364C"/>
    <w:rsid w:val="6EF5783C"/>
    <w:rsid w:val="6F02A74C"/>
    <w:rsid w:val="6F0809E2"/>
    <w:rsid w:val="6F22E739"/>
    <w:rsid w:val="6F3B3189"/>
    <w:rsid w:val="6F3BF65C"/>
    <w:rsid w:val="6F4108C4"/>
    <w:rsid w:val="6F4480DE"/>
    <w:rsid w:val="6F81E759"/>
    <w:rsid w:val="6FA90F3B"/>
    <w:rsid w:val="6FB43FD1"/>
    <w:rsid w:val="6FB5A5D3"/>
    <w:rsid w:val="6FD0DC20"/>
    <w:rsid w:val="6FDD7805"/>
    <w:rsid w:val="6FE55FCA"/>
    <w:rsid w:val="7013DBE0"/>
    <w:rsid w:val="7014A41F"/>
    <w:rsid w:val="701C75B0"/>
    <w:rsid w:val="7021C109"/>
    <w:rsid w:val="7039659D"/>
    <w:rsid w:val="7065199A"/>
    <w:rsid w:val="70746D84"/>
    <w:rsid w:val="7078282D"/>
    <w:rsid w:val="707C06AD"/>
    <w:rsid w:val="7090E2FB"/>
    <w:rsid w:val="7091D5BB"/>
    <w:rsid w:val="709D4749"/>
    <w:rsid w:val="70A12403"/>
    <w:rsid w:val="70ADF537"/>
    <w:rsid w:val="70FB7CAA"/>
    <w:rsid w:val="7100B865"/>
    <w:rsid w:val="7141901C"/>
    <w:rsid w:val="7162A0D1"/>
    <w:rsid w:val="7168DB92"/>
    <w:rsid w:val="717968F0"/>
    <w:rsid w:val="717A9CC8"/>
    <w:rsid w:val="717CC00B"/>
    <w:rsid w:val="717ECEFE"/>
    <w:rsid w:val="718B7096"/>
    <w:rsid w:val="718E4E29"/>
    <w:rsid w:val="718FB251"/>
    <w:rsid w:val="71A668D0"/>
    <w:rsid w:val="71BE3319"/>
    <w:rsid w:val="71DBEEFD"/>
    <w:rsid w:val="71E0CC01"/>
    <w:rsid w:val="71E68001"/>
    <w:rsid w:val="71EEE6E7"/>
    <w:rsid w:val="7201699E"/>
    <w:rsid w:val="721027EC"/>
    <w:rsid w:val="72193D2F"/>
    <w:rsid w:val="7239A38C"/>
    <w:rsid w:val="723E7C4C"/>
    <w:rsid w:val="72459422"/>
    <w:rsid w:val="72870FD5"/>
    <w:rsid w:val="7287AB7A"/>
    <w:rsid w:val="728B94CB"/>
    <w:rsid w:val="728C8EB6"/>
    <w:rsid w:val="729242E5"/>
    <w:rsid w:val="729253AA"/>
    <w:rsid w:val="7292ED0F"/>
    <w:rsid w:val="729813F7"/>
    <w:rsid w:val="7298E651"/>
    <w:rsid w:val="72AE0447"/>
    <w:rsid w:val="72B33DF5"/>
    <w:rsid w:val="72CB2148"/>
    <w:rsid w:val="72DAE9D4"/>
    <w:rsid w:val="72E28B3C"/>
    <w:rsid w:val="72F8637F"/>
    <w:rsid w:val="730F2EAA"/>
    <w:rsid w:val="7316FECC"/>
    <w:rsid w:val="731AFE26"/>
    <w:rsid w:val="7320C313"/>
    <w:rsid w:val="73241823"/>
    <w:rsid w:val="73288A47"/>
    <w:rsid w:val="73332BE0"/>
    <w:rsid w:val="734B7CA2"/>
    <w:rsid w:val="73734E16"/>
    <w:rsid w:val="73792E24"/>
    <w:rsid w:val="738E4041"/>
    <w:rsid w:val="73962682"/>
    <w:rsid w:val="7396FF07"/>
    <w:rsid w:val="73C82F9E"/>
    <w:rsid w:val="73D21ADB"/>
    <w:rsid w:val="73F5274E"/>
    <w:rsid w:val="73F69A8D"/>
    <w:rsid w:val="73F97408"/>
    <w:rsid w:val="74057CE6"/>
    <w:rsid w:val="742A7862"/>
    <w:rsid w:val="7438E520"/>
    <w:rsid w:val="7441EE87"/>
    <w:rsid w:val="74482181"/>
    <w:rsid w:val="744F0E56"/>
    <w:rsid w:val="745DAC05"/>
    <w:rsid w:val="7486AF3C"/>
    <w:rsid w:val="749FD139"/>
    <w:rsid w:val="74C67B79"/>
    <w:rsid w:val="74DB6FCB"/>
    <w:rsid w:val="74DCC6BE"/>
    <w:rsid w:val="74E9A3F2"/>
    <w:rsid w:val="74EB579A"/>
    <w:rsid w:val="7510FAE0"/>
    <w:rsid w:val="753D0371"/>
    <w:rsid w:val="755430D6"/>
    <w:rsid w:val="75612DFF"/>
    <w:rsid w:val="756DEB3C"/>
    <w:rsid w:val="75960D79"/>
    <w:rsid w:val="75A42A3C"/>
    <w:rsid w:val="75ABF1D0"/>
    <w:rsid w:val="75CD8F3B"/>
    <w:rsid w:val="75D00CCA"/>
    <w:rsid w:val="75E192D5"/>
    <w:rsid w:val="75EB2B3D"/>
    <w:rsid w:val="7605FF39"/>
    <w:rsid w:val="761641B5"/>
    <w:rsid w:val="761FED34"/>
    <w:rsid w:val="762199BE"/>
    <w:rsid w:val="76230892"/>
    <w:rsid w:val="76275B02"/>
    <w:rsid w:val="762E70AA"/>
    <w:rsid w:val="766AFF36"/>
    <w:rsid w:val="766C6C4D"/>
    <w:rsid w:val="767A74EE"/>
    <w:rsid w:val="76831713"/>
    <w:rsid w:val="76A5B081"/>
    <w:rsid w:val="76A880C7"/>
    <w:rsid w:val="76A8FAA5"/>
    <w:rsid w:val="76C82956"/>
    <w:rsid w:val="76D5C6BF"/>
    <w:rsid w:val="770A6C06"/>
    <w:rsid w:val="7722245A"/>
    <w:rsid w:val="77344652"/>
    <w:rsid w:val="773C120F"/>
    <w:rsid w:val="7741F6E5"/>
    <w:rsid w:val="77502D3E"/>
    <w:rsid w:val="77601C2F"/>
    <w:rsid w:val="77648FF6"/>
    <w:rsid w:val="776EDA61"/>
    <w:rsid w:val="7778FB62"/>
    <w:rsid w:val="777BF820"/>
    <w:rsid w:val="777D8F67"/>
    <w:rsid w:val="777F4BEA"/>
    <w:rsid w:val="7791D200"/>
    <w:rsid w:val="77A1CF9A"/>
    <w:rsid w:val="780C292E"/>
    <w:rsid w:val="78168E39"/>
    <w:rsid w:val="781EEDC5"/>
    <w:rsid w:val="782B28CB"/>
    <w:rsid w:val="78335AA5"/>
    <w:rsid w:val="783A4A47"/>
    <w:rsid w:val="783BAF5F"/>
    <w:rsid w:val="783F8FB2"/>
    <w:rsid w:val="7864CE98"/>
    <w:rsid w:val="786E5F78"/>
    <w:rsid w:val="7878787B"/>
    <w:rsid w:val="7895E4CF"/>
    <w:rsid w:val="78AD891A"/>
    <w:rsid w:val="78BEC367"/>
    <w:rsid w:val="78EFAD02"/>
    <w:rsid w:val="7907AD8C"/>
    <w:rsid w:val="7908105E"/>
    <w:rsid w:val="791180E7"/>
    <w:rsid w:val="791CA01E"/>
    <w:rsid w:val="7936523F"/>
    <w:rsid w:val="7938F27F"/>
    <w:rsid w:val="794D7DE9"/>
    <w:rsid w:val="79508F5C"/>
    <w:rsid w:val="79547F83"/>
    <w:rsid w:val="7955CBB2"/>
    <w:rsid w:val="795B020B"/>
    <w:rsid w:val="796571CE"/>
    <w:rsid w:val="79691F6F"/>
    <w:rsid w:val="7973425C"/>
    <w:rsid w:val="7978923B"/>
    <w:rsid w:val="79797EB4"/>
    <w:rsid w:val="797D7308"/>
    <w:rsid w:val="7991A561"/>
    <w:rsid w:val="79943902"/>
    <w:rsid w:val="799755C9"/>
    <w:rsid w:val="799EC79B"/>
    <w:rsid w:val="79A60648"/>
    <w:rsid w:val="79B34FA8"/>
    <w:rsid w:val="79DB07B6"/>
    <w:rsid w:val="79DB0FEE"/>
    <w:rsid w:val="79DF8A44"/>
    <w:rsid w:val="79E8475E"/>
    <w:rsid w:val="7A0C71B3"/>
    <w:rsid w:val="7A348CE7"/>
    <w:rsid w:val="7A4CFC27"/>
    <w:rsid w:val="7A54BB0F"/>
    <w:rsid w:val="7A63D5F8"/>
    <w:rsid w:val="7A75642D"/>
    <w:rsid w:val="7A79BA57"/>
    <w:rsid w:val="7A879B2F"/>
    <w:rsid w:val="7A884137"/>
    <w:rsid w:val="7AA96B1D"/>
    <w:rsid w:val="7AC522F9"/>
    <w:rsid w:val="7AC56866"/>
    <w:rsid w:val="7AD53F0D"/>
    <w:rsid w:val="7AD9705C"/>
    <w:rsid w:val="7AE3E7B5"/>
    <w:rsid w:val="7AEEBBA7"/>
    <w:rsid w:val="7AF8F824"/>
    <w:rsid w:val="7B031D84"/>
    <w:rsid w:val="7B22DA47"/>
    <w:rsid w:val="7B4D07DF"/>
    <w:rsid w:val="7B4F8EA6"/>
    <w:rsid w:val="7B6A7FCC"/>
    <w:rsid w:val="7BABF736"/>
    <w:rsid w:val="7BAC4D14"/>
    <w:rsid w:val="7BBB33D9"/>
    <w:rsid w:val="7BC1B227"/>
    <w:rsid w:val="7BE04A5E"/>
    <w:rsid w:val="7BE56C40"/>
    <w:rsid w:val="7BE70079"/>
    <w:rsid w:val="7C062135"/>
    <w:rsid w:val="7C29C87C"/>
    <w:rsid w:val="7C2E9C26"/>
    <w:rsid w:val="7C45DD03"/>
    <w:rsid w:val="7C5AFA72"/>
    <w:rsid w:val="7C85EE8F"/>
    <w:rsid w:val="7C8BCE1B"/>
    <w:rsid w:val="7C95FEC9"/>
    <w:rsid w:val="7C9B75D8"/>
    <w:rsid w:val="7CBBF3AD"/>
    <w:rsid w:val="7CC781D3"/>
    <w:rsid w:val="7CCF9B35"/>
    <w:rsid w:val="7CD99B21"/>
    <w:rsid w:val="7CE2729C"/>
    <w:rsid w:val="7CF6BEA8"/>
    <w:rsid w:val="7D2B0580"/>
    <w:rsid w:val="7D5B02BA"/>
    <w:rsid w:val="7D5FD4C4"/>
    <w:rsid w:val="7D806756"/>
    <w:rsid w:val="7D8A1E8E"/>
    <w:rsid w:val="7D8C2A28"/>
    <w:rsid w:val="7DB013BE"/>
    <w:rsid w:val="7DC02E2B"/>
    <w:rsid w:val="7DD02879"/>
    <w:rsid w:val="7DDB7DA4"/>
    <w:rsid w:val="7DE0F0D3"/>
    <w:rsid w:val="7DF8EFC3"/>
    <w:rsid w:val="7E0228D2"/>
    <w:rsid w:val="7E08D3FC"/>
    <w:rsid w:val="7E1E7F07"/>
    <w:rsid w:val="7E2447F9"/>
    <w:rsid w:val="7E2B3865"/>
    <w:rsid w:val="7E2F618D"/>
    <w:rsid w:val="7E3019DA"/>
    <w:rsid w:val="7E837E00"/>
    <w:rsid w:val="7E9DF9D4"/>
    <w:rsid w:val="7EA483FA"/>
    <w:rsid w:val="7EAEC17C"/>
    <w:rsid w:val="7EC5F9A6"/>
    <w:rsid w:val="7F061983"/>
    <w:rsid w:val="7F17642B"/>
    <w:rsid w:val="7F18D2D4"/>
    <w:rsid w:val="7F225FD9"/>
    <w:rsid w:val="7F22E150"/>
    <w:rsid w:val="7F68BE38"/>
    <w:rsid w:val="7F7CFB1A"/>
    <w:rsid w:val="7F8ADEC0"/>
    <w:rsid w:val="7FB2CA66"/>
    <w:rsid w:val="7FCF65AB"/>
    <w:rsid w:val="7FD43357"/>
    <w:rsid w:val="7FED517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AB4EF"/>
  <w15:docId w15:val="{AFCC409A-9219-4D1E-9916-DFDA6FF9E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193D"/>
    <w:rPr>
      <w:rFonts w:ascii="Arial" w:hAnsi="Arial"/>
      <w:szCs w:val="24"/>
      <w:lang w:val="en-AU" w:eastAsia="en-US"/>
    </w:rPr>
  </w:style>
  <w:style w:type="paragraph" w:styleId="Heading1">
    <w:name w:val="heading 1"/>
    <w:basedOn w:val="Normal"/>
    <w:next w:val="Normal"/>
    <w:link w:val="Heading1Char"/>
    <w:qFormat/>
    <w:rsid w:val="005B500B"/>
    <w:pPr>
      <w:keepNext/>
      <w:spacing w:after="360"/>
      <w:outlineLvl w:val="0"/>
    </w:pPr>
    <w:rPr>
      <w:b/>
      <w:color w:val="666666"/>
      <w:sz w:val="40"/>
    </w:rPr>
  </w:style>
  <w:style w:type="paragraph" w:styleId="Heading2">
    <w:name w:val="heading 2"/>
    <w:basedOn w:val="Normal"/>
    <w:next w:val="Normal"/>
    <w:link w:val="Heading2Char1"/>
    <w:qFormat/>
    <w:rsid w:val="0000479F"/>
    <w:pPr>
      <w:keepNext/>
      <w:spacing w:before="240" w:after="120"/>
      <w:outlineLvl w:val="1"/>
    </w:pPr>
    <w:rPr>
      <w:b/>
      <w:sz w:val="24"/>
    </w:rPr>
  </w:style>
  <w:style w:type="paragraph" w:styleId="Heading3">
    <w:name w:val="heading 3"/>
    <w:basedOn w:val="Normal"/>
    <w:next w:val="Normal"/>
    <w:qFormat/>
    <w:rsid w:val="0000479F"/>
    <w:pPr>
      <w:keepNext/>
      <w:spacing w:before="120" w:after="120"/>
      <w:outlineLvl w:val="2"/>
    </w:pPr>
    <w:rPr>
      <w:b/>
      <w:i/>
      <w:sz w:val="24"/>
    </w:rPr>
  </w:style>
  <w:style w:type="paragraph" w:styleId="Heading4">
    <w:name w:val="heading 4"/>
    <w:basedOn w:val="Normal"/>
    <w:next w:val="Normal"/>
    <w:rsid w:val="00B6078B"/>
    <w:pPr>
      <w:keepNext/>
      <w:outlineLvl w:val="3"/>
    </w:pPr>
    <w:rPr>
      <w:i/>
    </w:rPr>
  </w:style>
  <w:style w:type="paragraph" w:styleId="Heading5">
    <w:name w:val="heading 5"/>
    <w:basedOn w:val="Normal"/>
    <w:next w:val="Normal"/>
    <w:link w:val="Heading5Char"/>
    <w:rsid w:val="00B6078B"/>
    <w:pPr>
      <w:keepNext/>
      <w:outlineLvl w:val="4"/>
    </w:pPr>
  </w:style>
  <w:style w:type="paragraph" w:styleId="Heading6">
    <w:name w:val="heading 6"/>
    <w:basedOn w:val="Normal"/>
    <w:next w:val="Normal"/>
    <w:rsid w:val="00B6078B"/>
    <w:pPr>
      <w:keepNext/>
      <w:framePr w:w="5841" w:h="3402" w:hRule="exact" w:wrap="around" w:vAnchor="page" w:hAnchor="page" w:x="5201" w:y="9725"/>
      <w:autoSpaceDE w:val="0"/>
      <w:autoSpaceDN w:val="0"/>
      <w:adjustRightInd w:val="0"/>
      <w:spacing w:line="560" w:lineRule="exact"/>
      <w:ind w:right="-114"/>
      <w:outlineLvl w:val="5"/>
    </w:pPr>
    <w:rPr>
      <w:rFonts w:cs="Arial"/>
      <w:b/>
      <w:bCs/>
      <w:color w:val="FF9147"/>
      <w:sz w:val="56"/>
      <w:szCs w:val="56"/>
      <w:lang w:val="en-US"/>
    </w:rPr>
  </w:style>
  <w:style w:type="paragraph" w:styleId="Heading7">
    <w:name w:val="heading 7"/>
    <w:basedOn w:val="Normal"/>
    <w:next w:val="Normal"/>
    <w:rsid w:val="00B6078B"/>
    <w:pPr>
      <w:keepNext/>
      <w:ind w:left="709"/>
      <w:outlineLvl w:val="6"/>
    </w:pPr>
    <w:rPr>
      <w:rFonts w:cs="Arial"/>
      <w:i/>
      <w:iCs/>
    </w:rPr>
  </w:style>
  <w:style w:type="paragraph" w:styleId="Heading8">
    <w:name w:val="heading 8"/>
    <w:basedOn w:val="Normal"/>
    <w:next w:val="Normal"/>
    <w:rsid w:val="00B6078B"/>
    <w:pPr>
      <w:keepNext/>
      <w:outlineLvl w:val="7"/>
    </w:pPr>
    <w:rPr>
      <w:rFonts w:cs="Arial"/>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B6078B"/>
    <w:rPr>
      <w:i/>
      <w:sz w:val="16"/>
    </w:rPr>
  </w:style>
  <w:style w:type="paragraph" w:styleId="Header">
    <w:name w:val="header"/>
    <w:basedOn w:val="Normal"/>
    <w:rsid w:val="00B6078B"/>
    <w:pPr>
      <w:tabs>
        <w:tab w:val="right" w:pos="9356"/>
      </w:tabs>
    </w:pPr>
    <w:rPr>
      <w:b/>
      <w:i/>
      <w:sz w:val="16"/>
    </w:rPr>
  </w:style>
  <w:style w:type="paragraph" w:styleId="Footer">
    <w:name w:val="footer"/>
    <w:basedOn w:val="Normal"/>
    <w:rsid w:val="00B6078B"/>
    <w:pPr>
      <w:tabs>
        <w:tab w:val="right" w:pos="9356"/>
      </w:tabs>
    </w:pPr>
    <w:rPr>
      <w:i/>
      <w:sz w:val="16"/>
    </w:rPr>
  </w:style>
  <w:style w:type="paragraph" w:styleId="BodyText">
    <w:name w:val="Body Text"/>
    <w:basedOn w:val="Normal"/>
    <w:link w:val="BodyTextChar"/>
    <w:rsid w:val="00B6078B"/>
  </w:style>
  <w:style w:type="paragraph" w:styleId="Title">
    <w:name w:val="Title"/>
    <w:basedOn w:val="Normal"/>
    <w:rsid w:val="00B6078B"/>
    <w:rPr>
      <w:rFonts w:ascii="Arial Rounded MT Bold" w:hAnsi="Arial Rounded MT Bold"/>
      <w:b/>
      <w:sz w:val="52"/>
    </w:rPr>
  </w:style>
  <w:style w:type="paragraph" w:styleId="Subtitle">
    <w:name w:val="Subtitle"/>
    <w:basedOn w:val="Normal"/>
    <w:rsid w:val="00B6078B"/>
    <w:rPr>
      <w:i/>
    </w:rPr>
  </w:style>
  <w:style w:type="paragraph" w:styleId="Caption">
    <w:name w:val="caption"/>
    <w:basedOn w:val="Normal"/>
    <w:next w:val="Normal"/>
    <w:rsid w:val="00B6078B"/>
    <w:pPr>
      <w:framePr w:w="5841" w:h="3402" w:hRule="exact" w:wrap="around" w:vAnchor="page" w:hAnchor="page" w:x="5201" w:y="9725"/>
      <w:spacing w:after="40"/>
    </w:pPr>
    <w:rPr>
      <w:rFonts w:cs="Arial"/>
      <w:color w:val="FF9147"/>
      <w:sz w:val="32"/>
      <w:szCs w:val="32"/>
      <w:lang w:val="en-US"/>
    </w:rPr>
  </w:style>
  <w:style w:type="paragraph" w:customStyle="1" w:styleId="Tablecaption">
    <w:name w:val="Table caption"/>
    <w:basedOn w:val="Normal"/>
    <w:rsid w:val="00B6078B"/>
    <w:pPr>
      <w:jc w:val="center"/>
    </w:pPr>
    <w:rPr>
      <w:b/>
    </w:rPr>
  </w:style>
  <w:style w:type="paragraph" w:customStyle="1" w:styleId="Figurecaption">
    <w:name w:val="Figure caption"/>
    <w:basedOn w:val="Normal"/>
    <w:rsid w:val="00B6078B"/>
    <w:pPr>
      <w:jc w:val="center"/>
    </w:pPr>
    <w:rPr>
      <w:b/>
    </w:rPr>
  </w:style>
  <w:style w:type="paragraph" w:styleId="ListBullet">
    <w:name w:val="List Bullet"/>
    <w:basedOn w:val="Normal"/>
    <w:rsid w:val="00B6078B"/>
    <w:pPr>
      <w:ind w:left="567" w:hanging="567"/>
    </w:pPr>
  </w:style>
  <w:style w:type="paragraph" w:styleId="List2">
    <w:name w:val="List 2"/>
    <w:basedOn w:val="Normal"/>
    <w:rsid w:val="00B6078B"/>
    <w:pPr>
      <w:ind w:left="851" w:hanging="284"/>
    </w:pPr>
  </w:style>
  <w:style w:type="paragraph" w:styleId="List">
    <w:name w:val="List"/>
    <w:basedOn w:val="Normal"/>
    <w:rsid w:val="00B6078B"/>
    <w:pPr>
      <w:ind w:left="567" w:hanging="567"/>
    </w:pPr>
  </w:style>
  <w:style w:type="paragraph" w:styleId="ListBullet2">
    <w:name w:val="List Bullet 2"/>
    <w:basedOn w:val="Normal"/>
    <w:rsid w:val="00B6078B"/>
    <w:pPr>
      <w:ind w:left="851" w:hanging="284"/>
    </w:pPr>
  </w:style>
  <w:style w:type="paragraph" w:styleId="ListNumber">
    <w:name w:val="List Number"/>
    <w:basedOn w:val="Normal"/>
    <w:rsid w:val="00B6078B"/>
    <w:pPr>
      <w:ind w:left="567" w:hanging="567"/>
    </w:pPr>
  </w:style>
  <w:style w:type="paragraph" w:styleId="ListNumber2">
    <w:name w:val="List Number 2"/>
    <w:basedOn w:val="Normal"/>
    <w:rsid w:val="00B6078B"/>
    <w:pPr>
      <w:ind w:left="851" w:hanging="284"/>
    </w:pPr>
  </w:style>
  <w:style w:type="paragraph" w:styleId="ListNumber3">
    <w:name w:val="List Number 3"/>
    <w:basedOn w:val="Normal"/>
    <w:rsid w:val="00B6078B"/>
    <w:pPr>
      <w:ind w:left="1135" w:hanging="284"/>
    </w:pPr>
  </w:style>
  <w:style w:type="paragraph" w:styleId="ListNumber4">
    <w:name w:val="List Number 4"/>
    <w:basedOn w:val="Normal"/>
    <w:rsid w:val="00B6078B"/>
    <w:pPr>
      <w:ind w:left="1418" w:hanging="284"/>
    </w:pPr>
  </w:style>
  <w:style w:type="paragraph" w:styleId="ListNumber5">
    <w:name w:val="List Number 5"/>
    <w:basedOn w:val="Normal"/>
    <w:rsid w:val="00B6078B"/>
    <w:pPr>
      <w:ind w:left="1702" w:hanging="284"/>
    </w:pPr>
  </w:style>
  <w:style w:type="paragraph" w:styleId="Signature">
    <w:name w:val="Signature"/>
    <w:basedOn w:val="Normal"/>
    <w:rsid w:val="00B6078B"/>
    <w:pPr>
      <w:ind w:left="4252"/>
    </w:pPr>
  </w:style>
  <w:style w:type="paragraph" w:styleId="BodyTextIndent">
    <w:name w:val="Body Text Indent"/>
    <w:basedOn w:val="Normal"/>
    <w:rsid w:val="00B6078B"/>
    <w:pPr>
      <w:ind w:left="720"/>
    </w:pPr>
    <w:rPr>
      <w:rFonts w:cs="Arial"/>
    </w:rPr>
  </w:style>
  <w:style w:type="paragraph" w:styleId="BodyTextIndent2">
    <w:name w:val="Body Text Indent 2"/>
    <w:basedOn w:val="Normal"/>
    <w:rsid w:val="00B6078B"/>
    <w:pPr>
      <w:ind w:left="443"/>
    </w:pPr>
    <w:rPr>
      <w:rFonts w:cs="Arial"/>
    </w:rPr>
  </w:style>
  <w:style w:type="paragraph" w:styleId="BodyText2">
    <w:name w:val="Body Text 2"/>
    <w:basedOn w:val="Normal"/>
    <w:rsid w:val="00B6078B"/>
    <w:rPr>
      <w:rFonts w:cs="Arial"/>
    </w:rPr>
  </w:style>
  <w:style w:type="paragraph" w:styleId="BodyTextIndent3">
    <w:name w:val="Body Text Indent 3"/>
    <w:basedOn w:val="Normal"/>
    <w:rsid w:val="00B6078B"/>
    <w:pPr>
      <w:ind w:left="720"/>
    </w:pPr>
    <w:rPr>
      <w:rFonts w:cs="Arial"/>
    </w:rPr>
  </w:style>
  <w:style w:type="paragraph" w:styleId="BodyText3">
    <w:name w:val="Body Text 3"/>
    <w:basedOn w:val="Normal"/>
    <w:rsid w:val="00B6078B"/>
    <w:rPr>
      <w:rFonts w:cs="Arial"/>
    </w:rPr>
  </w:style>
  <w:style w:type="paragraph" w:customStyle="1" w:styleId="ReportTitle1">
    <w:name w:val="Report Title 1"/>
    <w:link w:val="ReportTitle1Char"/>
    <w:rsid w:val="003D78CC"/>
    <w:pPr>
      <w:jc w:val="right"/>
    </w:pPr>
    <w:rPr>
      <w:rFonts w:ascii="Arial" w:hAnsi="Arial"/>
      <w:color w:val="333333"/>
      <w:sz w:val="48"/>
      <w:szCs w:val="24"/>
      <w:lang w:val="en-AU" w:eastAsia="en-US"/>
    </w:rPr>
  </w:style>
  <w:style w:type="paragraph" w:customStyle="1" w:styleId="ReportTitle2">
    <w:name w:val="Report Title 2"/>
    <w:rsid w:val="003D78CC"/>
    <w:pPr>
      <w:spacing w:before="240"/>
      <w:jc w:val="right"/>
    </w:pPr>
    <w:rPr>
      <w:rFonts w:ascii="Arial" w:hAnsi="Arial"/>
      <w:color w:val="333333"/>
      <w:sz w:val="28"/>
      <w:szCs w:val="24"/>
      <w:lang w:val="en-AU" w:eastAsia="en-US"/>
    </w:rPr>
  </w:style>
  <w:style w:type="paragraph" w:styleId="FootnoteText">
    <w:name w:val="footnote text"/>
    <w:basedOn w:val="Normal"/>
    <w:semiHidden/>
    <w:rsid w:val="008E5004"/>
    <w:rPr>
      <w:szCs w:val="20"/>
      <w:lang w:val="en-NZ" w:eastAsia="en-NZ"/>
    </w:rPr>
  </w:style>
  <w:style w:type="character" w:styleId="FootnoteReference">
    <w:name w:val="footnote reference"/>
    <w:semiHidden/>
    <w:rsid w:val="008E5004"/>
    <w:rPr>
      <w:vertAlign w:val="superscript"/>
    </w:rPr>
  </w:style>
  <w:style w:type="character" w:customStyle="1" w:styleId="Heading2Char">
    <w:name w:val="Heading 2 Char"/>
    <w:rsid w:val="008E5004"/>
    <w:rPr>
      <w:rFonts w:ascii="Arial" w:hAnsi="Arial" w:cs="Arial"/>
      <w:b/>
      <w:bCs/>
      <w:i/>
      <w:iCs/>
      <w:sz w:val="28"/>
      <w:szCs w:val="28"/>
      <w:lang w:val="en-NZ" w:eastAsia="en-NZ" w:bidi="ar-SA"/>
    </w:rPr>
  </w:style>
  <w:style w:type="character" w:customStyle="1" w:styleId="Heading3Char">
    <w:name w:val="Heading 3 Char"/>
    <w:rsid w:val="008E5004"/>
    <w:rPr>
      <w:rFonts w:ascii="Arial" w:hAnsi="Arial" w:cs="Arial"/>
      <w:b/>
      <w:bCs/>
      <w:sz w:val="26"/>
      <w:szCs w:val="26"/>
      <w:lang w:val="en-NZ" w:eastAsia="en-NZ" w:bidi="ar-SA"/>
    </w:rPr>
  </w:style>
  <w:style w:type="paragraph" w:styleId="TOC1">
    <w:name w:val="toc 1"/>
    <w:basedOn w:val="Normal"/>
    <w:next w:val="Normal"/>
    <w:autoRedefine/>
    <w:uiPriority w:val="39"/>
    <w:rsid w:val="00652461"/>
    <w:pPr>
      <w:tabs>
        <w:tab w:val="right" w:leader="dot" w:pos="8777"/>
      </w:tabs>
      <w:spacing w:before="120" w:after="120"/>
    </w:pPr>
    <w:rPr>
      <w:bCs/>
      <w:szCs w:val="20"/>
    </w:rPr>
  </w:style>
  <w:style w:type="paragraph" w:styleId="TOC2">
    <w:name w:val="toc 2"/>
    <w:basedOn w:val="Normal"/>
    <w:next w:val="Normal"/>
    <w:autoRedefine/>
    <w:uiPriority w:val="39"/>
    <w:rsid w:val="005B500B"/>
    <w:pPr>
      <w:spacing w:before="120" w:after="120"/>
      <w:ind w:left="198"/>
    </w:pPr>
    <w:rPr>
      <w:szCs w:val="20"/>
    </w:rPr>
  </w:style>
  <w:style w:type="character" w:styleId="Hyperlink">
    <w:name w:val="Hyperlink"/>
    <w:uiPriority w:val="99"/>
    <w:rsid w:val="008E5004"/>
    <w:rPr>
      <w:color w:val="0000FF"/>
      <w:u w:val="single"/>
    </w:rPr>
  </w:style>
  <w:style w:type="paragraph" w:customStyle="1" w:styleId="StyleHeading1Arial16pt">
    <w:name w:val="Style Heading 1 + Arial 16 pt"/>
    <w:basedOn w:val="Heading1"/>
    <w:link w:val="StyleHeading1Arial16ptChar"/>
    <w:rsid w:val="00E12E1B"/>
    <w:rPr>
      <w:bCs/>
      <w:caps/>
      <w:sz w:val="32"/>
    </w:rPr>
  </w:style>
  <w:style w:type="paragraph" w:customStyle="1" w:styleId="StyleHeading2Arial">
    <w:name w:val="Style Heading 2 + Arial"/>
    <w:basedOn w:val="Heading2"/>
    <w:rsid w:val="00EE266C"/>
    <w:rPr>
      <w:bCs/>
    </w:rPr>
  </w:style>
  <w:style w:type="table" w:styleId="TableGrid">
    <w:name w:val="Table Grid"/>
    <w:basedOn w:val="TableNormal"/>
    <w:rsid w:val="000A7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F24E9"/>
    <w:rPr>
      <w:rFonts w:ascii="Tahoma" w:hAnsi="Tahoma" w:cs="Tahoma"/>
      <w:sz w:val="16"/>
      <w:szCs w:val="16"/>
    </w:rPr>
  </w:style>
  <w:style w:type="paragraph" w:customStyle="1" w:styleId="Columndescription">
    <w:name w:val="Column description"/>
    <w:basedOn w:val="Heading5"/>
    <w:link w:val="ColumndescriptionChar"/>
    <w:rsid w:val="00BC7661"/>
    <w:rPr>
      <w:b/>
      <w:bCs/>
      <w:i/>
      <w:iCs/>
      <w:smallCaps/>
      <w:szCs w:val="20"/>
      <w:lang w:val="en-GB"/>
    </w:rPr>
  </w:style>
  <w:style w:type="paragraph" w:customStyle="1" w:styleId="Mainheading">
    <w:name w:val="Main heading"/>
    <w:basedOn w:val="Normal"/>
    <w:rsid w:val="00BC7661"/>
    <w:pPr>
      <w:jc w:val="center"/>
    </w:pPr>
    <w:rPr>
      <w:b/>
      <w:bCs/>
      <w:sz w:val="32"/>
      <w:szCs w:val="20"/>
      <w:lang w:val="en-GB"/>
    </w:rPr>
  </w:style>
  <w:style w:type="paragraph" w:customStyle="1" w:styleId="Style1">
    <w:name w:val="Style1"/>
    <w:basedOn w:val="Heading3"/>
    <w:rsid w:val="000C4704"/>
    <w:rPr>
      <w:rFonts w:ascii="Arial Narrow" w:hAnsi="Arial Narrow"/>
      <w:b w:val="0"/>
      <w:sz w:val="28"/>
    </w:rPr>
  </w:style>
  <w:style w:type="paragraph" w:customStyle="1" w:styleId="Heading3ScionArialNarrow14pt">
    <w:name w:val="Heading 3 Scion (Arial Narrow 14pt"/>
    <w:aliases w:val="Bold,Italic)"/>
    <w:basedOn w:val="BodyText"/>
    <w:next w:val="BodyText"/>
    <w:link w:val="Heading3ScionArialNarrow14ptChar"/>
    <w:rsid w:val="000C4704"/>
    <w:rPr>
      <w:rFonts w:ascii="Arial Narrow" w:hAnsi="Arial Narrow" w:cs="Arial"/>
      <w:b/>
      <w:i/>
      <w:sz w:val="28"/>
    </w:rPr>
  </w:style>
  <w:style w:type="character" w:customStyle="1" w:styleId="BodyTextChar">
    <w:name w:val="Body Text Char"/>
    <w:link w:val="BodyText"/>
    <w:rsid w:val="000C4704"/>
    <w:rPr>
      <w:sz w:val="24"/>
      <w:szCs w:val="24"/>
      <w:lang w:val="en-AU" w:eastAsia="en-US" w:bidi="ar-SA"/>
    </w:rPr>
  </w:style>
  <w:style w:type="character" w:customStyle="1" w:styleId="Heading3ScionArialNarrow14ptChar">
    <w:name w:val="Heading 3 Scion (Arial Narrow 14pt Char"/>
    <w:aliases w:val="Bold Char,Italic) Char Char"/>
    <w:link w:val="Heading3ScionArialNarrow14pt"/>
    <w:rsid w:val="000C4704"/>
    <w:rPr>
      <w:rFonts w:ascii="Arial Narrow" w:hAnsi="Arial Narrow" w:cs="Arial"/>
      <w:b/>
      <w:i/>
      <w:sz w:val="28"/>
      <w:szCs w:val="24"/>
      <w:lang w:val="en-AU" w:eastAsia="en-US" w:bidi="ar-SA"/>
    </w:rPr>
  </w:style>
  <w:style w:type="paragraph" w:customStyle="1" w:styleId="Heading2ScionArialNarrow14ptBold">
    <w:name w:val="Heading 2 Scion (Arial Narrow 14pt Bold)"/>
    <w:basedOn w:val="Heading2"/>
    <w:link w:val="Heading2ScionArialNarrow14ptBoldCharChar"/>
    <w:rsid w:val="000C4704"/>
    <w:rPr>
      <w:rFonts w:ascii="Arial Narrow" w:hAnsi="Arial Narrow"/>
    </w:rPr>
  </w:style>
  <w:style w:type="character" w:customStyle="1" w:styleId="Heading2Char1">
    <w:name w:val="Heading 2 Char1"/>
    <w:link w:val="Heading2"/>
    <w:rsid w:val="0000479F"/>
    <w:rPr>
      <w:rFonts w:ascii="Arial" w:hAnsi="Arial"/>
      <w:b/>
      <w:sz w:val="24"/>
      <w:szCs w:val="24"/>
      <w:lang w:val="en-AU" w:eastAsia="en-US"/>
    </w:rPr>
  </w:style>
  <w:style w:type="character" w:customStyle="1" w:styleId="Heading2ScionArialNarrow14ptBoldCharChar">
    <w:name w:val="Heading 2 Scion (Arial Narrow 14pt Bold) Char Char"/>
    <w:link w:val="Heading2ScionArialNarrow14ptBold"/>
    <w:rsid w:val="000C4704"/>
    <w:rPr>
      <w:rFonts w:ascii="Arial Narrow" w:hAnsi="Arial Narrow"/>
      <w:b/>
      <w:sz w:val="28"/>
      <w:szCs w:val="24"/>
      <w:lang w:val="en-AU" w:eastAsia="en-US" w:bidi="ar-SA"/>
    </w:rPr>
  </w:style>
  <w:style w:type="paragraph" w:customStyle="1" w:styleId="Heading1SCIONArial16ptArialNarrowBottomThin-t">
    <w:name w:val="Heading 1 SCION + Arial 16 pt + Arial Narrow Bottom: (Thin-t..."/>
    <w:basedOn w:val="StyleHeading1Arial16pt"/>
    <w:link w:val="Heading1SCIONArial16ptArialNarrowBottomThin-tChar"/>
    <w:rsid w:val="00CE76B6"/>
    <w:pPr>
      <w:pBdr>
        <w:bottom w:val="thinThickLargeGap" w:sz="24" w:space="1" w:color="auto"/>
      </w:pBdr>
    </w:pPr>
    <w:rPr>
      <w:rFonts w:ascii="Arial Narrow" w:hAnsi="Arial Narrow"/>
      <w:szCs w:val="20"/>
    </w:rPr>
  </w:style>
  <w:style w:type="character" w:customStyle="1" w:styleId="Heading1Char">
    <w:name w:val="Heading 1 Char"/>
    <w:link w:val="Heading1"/>
    <w:rsid w:val="005B500B"/>
    <w:rPr>
      <w:rFonts w:ascii="Arial" w:hAnsi="Arial"/>
      <w:b/>
      <w:color w:val="666666"/>
      <w:sz w:val="40"/>
      <w:szCs w:val="24"/>
      <w:lang w:val="en-AU" w:eastAsia="en-US"/>
    </w:rPr>
  </w:style>
  <w:style w:type="character" w:customStyle="1" w:styleId="StyleHeading1Arial16ptChar">
    <w:name w:val="Style Heading 1 + Arial 16 pt Char"/>
    <w:link w:val="StyleHeading1Arial16pt"/>
    <w:rsid w:val="00CE76B6"/>
    <w:rPr>
      <w:rFonts w:ascii="Arial" w:hAnsi="Arial"/>
      <w:b/>
      <w:bCs/>
      <w:caps/>
      <w:sz w:val="32"/>
      <w:szCs w:val="24"/>
      <w:lang w:val="en-AU" w:eastAsia="en-US" w:bidi="ar-SA"/>
    </w:rPr>
  </w:style>
  <w:style w:type="character" w:customStyle="1" w:styleId="Heading1SCIONArial16ptArialNarrowBottomThin-tChar">
    <w:name w:val="Heading 1 SCION + Arial 16 pt + Arial Narrow Bottom: (Thin-t... Char"/>
    <w:link w:val="Heading1SCIONArial16ptArialNarrowBottomThin-t"/>
    <w:rsid w:val="00CE76B6"/>
    <w:rPr>
      <w:rFonts w:ascii="Arial Narrow" w:hAnsi="Arial Narrow"/>
      <w:b/>
      <w:bCs/>
      <w:caps/>
      <w:sz w:val="32"/>
      <w:szCs w:val="24"/>
      <w:lang w:val="en-AU" w:eastAsia="en-US" w:bidi="ar-SA"/>
    </w:rPr>
  </w:style>
  <w:style w:type="paragraph" w:styleId="TOCHeading">
    <w:name w:val="TOC Heading"/>
    <w:basedOn w:val="Heading1"/>
    <w:next w:val="Normal"/>
    <w:uiPriority w:val="39"/>
    <w:unhideWhenUsed/>
    <w:rsid w:val="003F6F87"/>
    <w:pPr>
      <w:keepLines/>
      <w:spacing w:before="240" w:line="259" w:lineRule="auto"/>
      <w:outlineLvl w:val="9"/>
    </w:pPr>
    <w:rPr>
      <w:rFonts w:asciiTheme="majorHAnsi" w:eastAsiaTheme="majorEastAsia" w:hAnsiTheme="majorHAnsi" w:cstheme="majorBidi"/>
      <w:b w:val="0"/>
      <w:caps/>
      <w:color w:val="365F91" w:themeColor="accent1" w:themeShade="BF"/>
      <w:sz w:val="32"/>
      <w:szCs w:val="32"/>
      <w:lang w:val="en-US"/>
    </w:rPr>
  </w:style>
  <w:style w:type="paragraph" w:customStyle="1" w:styleId="Style2">
    <w:name w:val="Style2"/>
    <w:basedOn w:val="Normal"/>
    <w:link w:val="Style2Char"/>
    <w:rsid w:val="005B500B"/>
    <w:pPr>
      <w:spacing w:before="120" w:after="120"/>
    </w:pPr>
    <w:rPr>
      <w:b/>
      <w:sz w:val="24"/>
    </w:rPr>
  </w:style>
  <w:style w:type="paragraph" w:customStyle="1" w:styleId="ReportSciontitle">
    <w:name w:val="Report_Scion_title"/>
    <w:basedOn w:val="Normal"/>
    <w:link w:val="ReportSciontitleChar"/>
    <w:qFormat/>
    <w:rsid w:val="005B500B"/>
    <w:pPr>
      <w:spacing w:after="240"/>
    </w:pPr>
    <w:rPr>
      <w:b/>
      <w:color w:val="666666"/>
      <w:sz w:val="40"/>
      <w:szCs w:val="40"/>
    </w:rPr>
  </w:style>
  <w:style w:type="character" w:customStyle="1" w:styleId="Style2Char">
    <w:name w:val="Style2 Char"/>
    <w:basedOn w:val="DefaultParagraphFont"/>
    <w:link w:val="Style2"/>
    <w:rsid w:val="005B500B"/>
    <w:rPr>
      <w:rFonts w:ascii="Arial" w:hAnsi="Arial"/>
      <w:b/>
      <w:sz w:val="24"/>
      <w:szCs w:val="24"/>
      <w:lang w:val="en-AU" w:eastAsia="en-US"/>
    </w:rPr>
  </w:style>
  <w:style w:type="paragraph" w:customStyle="1" w:styleId="TableSciontitle">
    <w:name w:val="Table_Scion_title"/>
    <w:basedOn w:val="Normal"/>
    <w:link w:val="TableSciontitleChar"/>
    <w:qFormat/>
    <w:rsid w:val="00A66773"/>
    <w:rPr>
      <w:b/>
      <w:color w:val="666666"/>
      <w:sz w:val="32"/>
      <w:szCs w:val="32"/>
    </w:rPr>
  </w:style>
  <w:style w:type="paragraph" w:customStyle="1" w:styleId="H1">
    <w:name w:val="H1"/>
    <w:basedOn w:val="Heading1SCIONArial16ptArialNarrowBottomThin-t"/>
    <w:link w:val="H1Char"/>
    <w:rsid w:val="00F638BE"/>
    <w:pPr>
      <w:pBdr>
        <w:bottom w:val="none" w:sz="0" w:space="0" w:color="auto"/>
      </w:pBdr>
    </w:pPr>
    <w:rPr>
      <w:rFonts w:ascii="Arial" w:hAnsi="Arial"/>
      <w:sz w:val="40"/>
      <w:szCs w:val="24"/>
    </w:rPr>
  </w:style>
  <w:style w:type="character" w:customStyle="1" w:styleId="H1Char">
    <w:name w:val="H1 Char"/>
    <w:basedOn w:val="Heading1SCIONArial16ptArialNarrowBottomThin-tChar"/>
    <w:link w:val="H1"/>
    <w:rsid w:val="00F638BE"/>
    <w:rPr>
      <w:rFonts w:ascii="Arial" w:hAnsi="Arial"/>
      <w:b/>
      <w:bCs/>
      <w:caps w:val="0"/>
      <w:color w:val="666666"/>
      <w:sz w:val="40"/>
      <w:szCs w:val="24"/>
      <w:lang w:val="en-AU" w:eastAsia="en-US" w:bidi="ar-SA"/>
    </w:rPr>
  </w:style>
  <w:style w:type="paragraph" w:customStyle="1" w:styleId="H2">
    <w:name w:val="H2"/>
    <w:basedOn w:val="Normal"/>
    <w:link w:val="H2Char"/>
    <w:rsid w:val="00F638BE"/>
    <w:pPr>
      <w:spacing w:after="120"/>
    </w:pPr>
    <w:rPr>
      <w:rFonts w:cs="Arial"/>
      <w:b/>
      <w:bCs/>
      <w:sz w:val="24"/>
    </w:rPr>
  </w:style>
  <w:style w:type="character" w:customStyle="1" w:styleId="H2Char">
    <w:name w:val="H2 Char"/>
    <w:basedOn w:val="DefaultParagraphFont"/>
    <w:link w:val="H2"/>
    <w:rsid w:val="00F638BE"/>
    <w:rPr>
      <w:rFonts w:ascii="Arial" w:hAnsi="Arial" w:cs="Arial"/>
      <w:b/>
      <w:bCs/>
      <w:sz w:val="24"/>
      <w:szCs w:val="24"/>
      <w:lang w:val="en-AU" w:eastAsia="en-US"/>
    </w:rPr>
  </w:style>
  <w:style w:type="paragraph" w:customStyle="1" w:styleId="Reportinfosheet">
    <w:name w:val="Report_info_sheet"/>
    <w:basedOn w:val="Columndescription"/>
    <w:link w:val="ReportinfosheetChar"/>
    <w:qFormat/>
    <w:rsid w:val="00642C9A"/>
    <w:pPr>
      <w:spacing w:before="1560"/>
    </w:pPr>
    <w:rPr>
      <w:rFonts w:cs="Arial"/>
      <w:i w:val="0"/>
      <w:smallCaps w:val="0"/>
      <w:color w:val="666666"/>
      <w:sz w:val="40"/>
      <w:szCs w:val="40"/>
    </w:rPr>
  </w:style>
  <w:style w:type="paragraph" w:customStyle="1" w:styleId="Reporttitle">
    <w:name w:val="Report_title"/>
    <w:basedOn w:val="ReportTitle1"/>
    <w:link w:val="ReporttitleChar"/>
    <w:rsid w:val="00642C9A"/>
    <w:pPr>
      <w:spacing w:before="1560"/>
      <w:jc w:val="left"/>
    </w:pPr>
    <w:rPr>
      <w:rFonts w:cs="Arial"/>
      <w:color w:val="666666"/>
    </w:rPr>
  </w:style>
  <w:style w:type="character" w:customStyle="1" w:styleId="Heading5Char">
    <w:name w:val="Heading 5 Char"/>
    <w:basedOn w:val="DefaultParagraphFont"/>
    <w:link w:val="Heading5"/>
    <w:rsid w:val="00642C9A"/>
    <w:rPr>
      <w:rFonts w:ascii="Arial" w:hAnsi="Arial"/>
      <w:szCs w:val="24"/>
      <w:lang w:val="en-AU" w:eastAsia="en-US"/>
    </w:rPr>
  </w:style>
  <w:style w:type="character" w:customStyle="1" w:styleId="ColumndescriptionChar">
    <w:name w:val="Column description Char"/>
    <w:basedOn w:val="Heading5Char"/>
    <w:link w:val="Columndescription"/>
    <w:rsid w:val="00642C9A"/>
    <w:rPr>
      <w:rFonts w:ascii="Arial" w:hAnsi="Arial"/>
      <w:b/>
      <w:bCs/>
      <w:i/>
      <w:iCs/>
      <w:smallCaps/>
      <w:szCs w:val="24"/>
      <w:lang w:val="en-GB" w:eastAsia="en-US"/>
    </w:rPr>
  </w:style>
  <w:style w:type="character" w:customStyle="1" w:styleId="ReportinfosheetChar">
    <w:name w:val="Report_info_sheet Char"/>
    <w:basedOn w:val="ColumndescriptionChar"/>
    <w:link w:val="Reportinfosheet"/>
    <w:rsid w:val="00642C9A"/>
    <w:rPr>
      <w:rFonts w:ascii="Arial" w:hAnsi="Arial" w:cs="Arial"/>
      <w:b/>
      <w:bCs/>
      <w:i w:val="0"/>
      <w:iCs/>
      <w:smallCaps w:val="0"/>
      <w:color w:val="666666"/>
      <w:sz w:val="40"/>
      <w:szCs w:val="40"/>
      <w:lang w:val="en-GB" w:eastAsia="en-US"/>
    </w:rPr>
  </w:style>
  <w:style w:type="character" w:customStyle="1" w:styleId="ReportTitle1Char">
    <w:name w:val="Report Title 1 Char"/>
    <w:basedOn w:val="DefaultParagraphFont"/>
    <w:link w:val="ReportTitle1"/>
    <w:rsid w:val="00642C9A"/>
    <w:rPr>
      <w:rFonts w:ascii="Arial" w:hAnsi="Arial"/>
      <w:color w:val="333333"/>
      <w:sz w:val="48"/>
      <w:szCs w:val="24"/>
      <w:lang w:val="en-AU" w:eastAsia="en-US"/>
    </w:rPr>
  </w:style>
  <w:style w:type="character" w:customStyle="1" w:styleId="ReporttitleChar">
    <w:name w:val="Report_title Char"/>
    <w:basedOn w:val="ReportTitle1Char"/>
    <w:link w:val="Reporttitle"/>
    <w:rsid w:val="00642C9A"/>
    <w:rPr>
      <w:rFonts w:ascii="Arial" w:hAnsi="Arial" w:cs="Arial"/>
      <w:color w:val="666666"/>
      <w:sz w:val="48"/>
      <w:szCs w:val="24"/>
      <w:lang w:val="en-AU" w:eastAsia="en-US"/>
    </w:rPr>
  </w:style>
  <w:style w:type="paragraph" w:customStyle="1" w:styleId="TOCHeading0">
    <w:name w:val="TOC_Heading"/>
    <w:basedOn w:val="H1"/>
    <w:link w:val="TOCHeadingChar"/>
    <w:rsid w:val="00F5193D"/>
    <w:rPr>
      <w:sz w:val="32"/>
      <w:szCs w:val="32"/>
    </w:rPr>
  </w:style>
  <w:style w:type="paragraph" w:customStyle="1" w:styleId="H3">
    <w:name w:val="H3"/>
    <w:basedOn w:val="Heading3ScionArialNarrow14pt"/>
    <w:link w:val="H3Char"/>
    <w:rsid w:val="00840CBC"/>
    <w:rPr>
      <w:sz w:val="24"/>
    </w:rPr>
  </w:style>
  <w:style w:type="character" w:customStyle="1" w:styleId="TOCHeadingChar">
    <w:name w:val="TOC_Heading Char"/>
    <w:basedOn w:val="H1Char"/>
    <w:link w:val="TOCHeading0"/>
    <w:rsid w:val="00F5193D"/>
    <w:rPr>
      <w:rFonts w:ascii="Arial" w:hAnsi="Arial"/>
      <w:b/>
      <w:bCs/>
      <w:caps w:val="0"/>
      <w:color w:val="666666"/>
      <w:sz w:val="32"/>
      <w:szCs w:val="32"/>
      <w:lang w:val="en-AU" w:eastAsia="en-US" w:bidi="ar-SA"/>
    </w:rPr>
  </w:style>
  <w:style w:type="paragraph" w:styleId="TOC3">
    <w:name w:val="toc 3"/>
    <w:basedOn w:val="Normal"/>
    <w:next w:val="Normal"/>
    <w:autoRedefine/>
    <w:uiPriority w:val="39"/>
    <w:unhideWhenUsed/>
    <w:rsid w:val="007D3F4F"/>
    <w:pPr>
      <w:ind w:left="400"/>
    </w:pPr>
    <w:rPr>
      <w:iCs/>
      <w:szCs w:val="20"/>
    </w:rPr>
  </w:style>
  <w:style w:type="character" w:customStyle="1" w:styleId="H3Char">
    <w:name w:val="H3 Char"/>
    <w:basedOn w:val="Heading3ScionArialNarrow14ptChar"/>
    <w:link w:val="H3"/>
    <w:rsid w:val="00840CBC"/>
    <w:rPr>
      <w:rFonts w:ascii="Arial Narrow" w:hAnsi="Arial Narrow" w:cs="Arial"/>
      <w:b/>
      <w:i/>
      <w:sz w:val="24"/>
      <w:szCs w:val="24"/>
      <w:lang w:val="en-AU" w:eastAsia="en-US" w:bidi="ar-SA"/>
    </w:rPr>
  </w:style>
  <w:style w:type="paragraph" w:styleId="TOC4">
    <w:name w:val="toc 4"/>
    <w:basedOn w:val="Normal"/>
    <w:next w:val="Normal"/>
    <w:autoRedefine/>
    <w:unhideWhenUsed/>
    <w:rsid w:val="007D3F4F"/>
    <w:pPr>
      <w:ind w:left="600"/>
    </w:pPr>
    <w:rPr>
      <w:szCs w:val="18"/>
    </w:rPr>
  </w:style>
  <w:style w:type="paragraph" w:styleId="TOC5">
    <w:name w:val="toc 5"/>
    <w:basedOn w:val="Normal"/>
    <w:next w:val="Normal"/>
    <w:autoRedefine/>
    <w:uiPriority w:val="39"/>
    <w:unhideWhenUsed/>
    <w:rsid w:val="001774EC"/>
    <w:pPr>
      <w:ind w:left="800"/>
    </w:pPr>
    <w:rPr>
      <w:rFonts w:asciiTheme="minorHAnsi" w:hAnsiTheme="minorHAnsi"/>
      <w:sz w:val="18"/>
      <w:szCs w:val="18"/>
    </w:rPr>
  </w:style>
  <w:style w:type="paragraph" w:styleId="TOC6">
    <w:name w:val="toc 6"/>
    <w:basedOn w:val="Normal"/>
    <w:next w:val="Normal"/>
    <w:autoRedefine/>
    <w:unhideWhenUsed/>
    <w:rsid w:val="001774EC"/>
    <w:pPr>
      <w:ind w:left="1000"/>
    </w:pPr>
    <w:rPr>
      <w:rFonts w:asciiTheme="minorHAnsi" w:hAnsiTheme="minorHAnsi"/>
      <w:sz w:val="18"/>
      <w:szCs w:val="18"/>
    </w:rPr>
  </w:style>
  <w:style w:type="paragraph" w:styleId="TOC7">
    <w:name w:val="toc 7"/>
    <w:basedOn w:val="Normal"/>
    <w:next w:val="Normal"/>
    <w:autoRedefine/>
    <w:unhideWhenUsed/>
    <w:rsid w:val="001774EC"/>
    <w:pPr>
      <w:ind w:left="1200"/>
    </w:pPr>
    <w:rPr>
      <w:rFonts w:asciiTheme="minorHAnsi" w:hAnsiTheme="minorHAnsi"/>
      <w:sz w:val="18"/>
      <w:szCs w:val="18"/>
    </w:rPr>
  </w:style>
  <w:style w:type="paragraph" w:styleId="TOC8">
    <w:name w:val="toc 8"/>
    <w:basedOn w:val="Normal"/>
    <w:next w:val="Normal"/>
    <w:autoRedefine/>
    <w:unhideWhenUsed/>
    <w:rsid w:val="001774EC"/>
    <w:pPr>
      <w:ind w:left="1400"/>
    </w:pPr>
    <w:rPr>
      <w:rFonts w:asciiTheme="minorHAnsi" w:hAnsiTheme="minorHAnsi"/>
      <w:sz w:val="18"/>
      <w:szCs w:val="18"/>
    </w:rPr>
  </w:style>
  <w:style w:type="paragraph" w:styleId="TOC9">
    <w:name w:val="toc 9"/>
    <w:basedOn w:val="Normal"/>
    <w:next w:val="Normal"/>
    <w:autoRedefine/>
    <w:unhideWhenUsed/>
    <w:rsid w:val="001774EC"/>
    <w:pPr>
      <w:ind w:left="1600"/>
    </w:pPr>
    <w:rPr>
      <w:rFonts w:asciiTheme="minorHAnsi" w:hAnsiTheme="minorHAnsi"/>
      <w:sz w:val="18"/>
      <w:szCs w:val="18"/>
    </w:rPr>
  </w:style>
  <w:style w:type="paragraph" w:customStyle="1" w:styleId="Reporttitle20">
    <w:name w:val="Report_title2"/>
    <w:basedOn w:val="H1"/>
    <w:link w:val="Reporttitle2Char"/>
    <w:rsid w:val="00FF0CFF"/>
  </w:style>
  <w:style w:type="character" w:customStyle="1" w:styleId="ReportSciontitleChar">
    <w:name w:val="Report_Scion_title Char"/>
    <w:basedOn w:val="DefaultParagraphFont"/>
    <w:link w:val="ReportSciontitle"/>
    <w:rsid w:val="005B500B"/>
    <w:rPr>
      <w:rFonts w:ascii="Arial" w:hAnsi="Arial"/>
      <w:b/>
      <w:color w:val="666666"/>
      <w:sz w:val="40"/>
      <w:szCs w:val="40"/>
      <w:lang w:val="en-AU" w:eastAsia="en-US"/>
    </w:rPr>
  </w:style>
  <w:style w:type="character" w:customStyle="1" w:styleId="Reporttitle2Char">
    <w:name w:val="Report_title2 Char"/>
    <w:basedOn w:val="H1Char"/>
    <w:link w:val="Reporttitle20"/>
    <w:rsid w:val="00FF0CFF"/>
    <w:rPr>
      <w:rFonts w:ascii="Arial" w:hAnsi="Arial"/>
      <w:b/>
      <w:bCs/>
      <w:caps w:val="0"/>
      <w:color w:val="666666"/>
      <w:sz w:val="40"/>
      <w:szCs w:val="24"/>
      <w:lang w:val="en-AU" w:eastAsia="en-US" w:bidi="ar-SA"/>
    </w:rPr>
  </w:style>
  <w:style w:type="character" w:customStyle="1" w:styleId="TableSciontitleChar">
    <w:name w:val="Table_Scion_title Char"/>
    <w:basedOn w:val="DefaultParagraphFont"/>
    <w:link w:val="TableSciontitle"/>
    <w:rsid w:val="00A66773"/>
    <w:rPr>
      <w:rFonts w:ascii="Arial" w:hAnsi="Arial"/>
      <w:b/>
      <w:color w:val="666666"/>
      <w:sz w:val="32"/>
      <w:szCs w:val="32"/>
      <w:lang w:val="en-AU" w:eastAsia="en-US"/>
    </w:rPr>
  </w:style>
  <w:style w:type="paragraph" w:customStyle="1" w:styleId="Scionauthortitle">
    <w:name w:val="Scion_author_title"/>
    <w:basedOn w:val="Normal"/>
    <w:link w:val="ScionauthortitleChar"/>
    <w:rsid w:val="008A29CA"/>
    <w:pPr>
      <w:spacing w:before="240"/>
    </w:pPr>
    <w:rPr>
      <w:sz w:val="28"/>
      <w:szCs w:val="28"/>
    </w:rPr>
  </w:style>
  <w:style w:type="character" w:customStyle="1" w:styleId="ScionauthortitleChar">
    <w:name w:val="Scion_author_title Char"/>
    <w:basedOn w:val="DefaultParagraphFont"/>
    <w:link w:val="Scionauthortitle"/>
    <w:rsid w:val="008A29CA"/>
    <w:rPr>
      <w:rFonts w:ascii="Arial" w:hAnsi="Arial"/>
      <w:sz w:val="28"/>
      <w:szCs w:val="28"/>
      <w:lang w:val="en-AU" w:eastAsia="en-US"/>
    </w:rPr>
  </w:style>
  <w:style w:type="paragraph" w:customStyle="1" w:styleId="Maintitle">
    <w:name w:val="Main_title"/>
    <w:basedOn w:val="Reporttitle"/>
    <w:link w:val="MaintitleChar"/>
    <w:qFormat/>
    <w:rsid w:val="00E668E3"/>
    <w:pPr>
      <w:spacing w:before="0"/>
    </w:pPr>
  </w:style>
  <w:style w:type="character" w:customStyle="1" w:styleId="MaintitleChar">
    <w:name w:val="Main_title Char"/>
    <w:basedOn w:val="ReporttitleChar"/>
    <w:link w:val="Maintitle"/>
    <w:rsid w:val="00E668E3"/>
    <w:rPr>
      <w:rFonts w:ascii="Arial" w:hAnsi="Arial" w:cs="Arial"/>
      <w:color w:val="666666"/>
      <w:sz w:val="48"/>
      <w:szCs w:val="24"/>
      <w:lang w:val="en-AU" w:eastAsia="en-US"/>
    </w:rPr>
  </w:style>
  <w:style w:type="character" w:styleId="Strong">
    <w:name w:val="Strong"/>
    <w:basedOn w:val="DefaultParagraphFont"/>
    <w:uiPriority w:val="22"/>
    <w:qFormat/>
    <w:rsid w:val="00B4561F"/>
    <w:rPr>
      <w:b/>
      <w:bCs/>
    </w:rPr>
  </w:style>
  <w:style w:type="paragraph" w:customStyle="1" w:styleId="H2SCIONArialNarrow14ptBold">
    <w:name w:val="H2 SCION (Arial Narrow 14pt Bold)"/>
    <w:basedOn w:val="Heading2"/>
    <w:next w:val="Normal"/>
    <w:link w:val="H2SCIONArialNarrow14ptBoldChar"/>
    <w:rsid w:val="00B4561F"/>
    <w:pPr>
      <w:spacing w:before="0" w:after="0"/>
    </w:pPr>
    <w:rPr>
      <w:rFonts w:ascii="Arial Narrow" w:hAnsi="Arial Narrow"/>
      <w:sz w:val="28"/>
    </w:rPr>
  </w:style>
  <w:style w:type="character" w:customStyle="1" w:styleId="H2SCIONArialNarrow14ptBoldChar">
    <w:name w:val="H2 SCION (Arial Narrow 14pt Bold) Char"/>
    <w:basedOn w:val="Heading2Char1"/>
    <w:link w:val="H2SCIONArialNarrow14ptBold"/>
    <w:rsid w:val="00B4561F"/>
    <w:rPr>
      <w:rFonts w:ascii="Arial Narrow" w:hAnsi="Arial Narrow"/>
      <w:b/>
      <w:sz w:val="28"/>
      <w:szCs w:val="24"/>
      <w:lang w:val="en-AU" w:eastAsia="en-US"/>
    </w:rPr>
  </w:style>
  <w:style w:type="paragraph" w:customStyle="1" w:styleId="H1SCIONArial16ptArialNarrowBottomThin-t">
    <w:name w:val="H1 SCION + Arial 16 pt + Arial Narrow Bottom: (Thin-t..."/>
    <w:basedOn w:val="StyleHeading1Arial16pt"/>
    <w:next w:val="Normal"/>
    <w:link w:val="H1SCIONArial16ptArialNarrowBottomThin-tChar"/>
    <w:rsid w:val="00B4561F"/>
    <w:pPr>
      <w:spacing w:after="240"/>
    </w:pPr>
    <w:rPr>
      <w:rFonts w:ascii="Arial Narrow" w:hAnsi="Arial Narrow"/>
      <w:caps w:val="0"/>
      <w:color w:val="auto"/>
    </w:rPr>
  </w:style>
  <w:style w:type="character" w:customStyle="1" w:styleId="H1SCIONArial16ptArialNarrowBottomThin-tChar">
    <w:name w:val="H1 SCION + Arial 16 pt + Arial Narrow Bottom: (Thin-t... Char"/>
    <w:basedOn w:val="StyleHeading1Arial16ptChar"/>
    <w:link w:val="H1SCIONArial16ptArialNarrowBottomThin-t"/>
    <w:rsid w:val="00B4561F"/>
    <w:rPr>
      <w:rFonts w:ascii="Arial Narrow" w:hAnsi="Arial Narrow"/>
      <w:b/>
      <w:bCs/>
      <w:caps w:val="0"/>
      <w:sz w:val="32"/>
      <w:szCs w:val="24"/>
      <w:lang w:val="en-AU" w:eastAsia="en-US" w:bidi="ar-SA"/>
    </w:rPr>
  </w:style>
  <w:style w:type="paragraph" w:customStyle="1" w:styleId="H3SCIONArialNarrow14ptBold">
    <w:name w:val="H3 SCION (Arial Narrow 14pt Bold)"/>
    <w:basedOn w:val="H2SCIONArialNarrow14ptBold"/>
    <w:next w:val="Normal"/>
    <w:rsid w:val="00B4561F"/>
    <w:rPr>
      <w:i/>
    </w:rPr>
  </w:style>
  <w:style w:type="paragraph" w:styleId="Revision">
    <w:name w:val="Revision"/>
    <w:hidden/>
    <w:uiPriority w:val="99"/>
    <w:semiHidden/>
    <w:rsid w:val="00B4561F"/>
    <w:rPr>
      <w:rFonts w:ascii="Arial" w:hAnsi="Arial"/>
      <w:sz w:val="22"/>
      <w:szCs w:val="24"/>
      <w:lang w:val="en-AU" w:eastAsia="en-US"/>
    </w:rPr>
  </w:style>
  <w:style w:type="paragraph" w:styleId="NoSpacing">
    <w:name w:val="No Spacing"/>
    <w:link w:val="NoSpacingChar"/>
    <w:uiPriority w:val="1"/>
    <w:rsid w:val="00B4561F"/>
    <w:rPr>
      <w:rFonts w:ascii="Arial" w:hAnsi="Arial"/>
      <w:sz w:val="22"/>
      <w:szCs w:val="24"/>
      <w:lang w:val="en-AU" w:eastAsia="en-US"/>
    </w:rPr>
  </w:style>
  <w:style w:type="paragraph" w:styleId="IntenseQuote">
    <w:name w:val="Intense Quote"/>
    <w:basedOn w:val="Normal"/>
    <w:next w:val="Normal"/>
    <w:link w:val="IntenseQuoteChar"/>
    <w:uiPriority w:val="30"/>
    <w:rsid w:val="00B4561F"/>
    <w:pPr>
      <w:pBdr>
        <w:bottom w:val="single" w:sz="4" w:space="4" w:color="4F81BD" w:themeColor="accent1"/>
      </w:pBdr>
      <w:spacing w:before="200" w:after="280"/>
      <w:ind w:left="936" w:right="936"/>
    </w:pPr>
    <w:rPr>
      <w:b/>
      <w:bCs/>
      <w:i/>
      <w:iCs/>
      <w:color w:val="4F81BD" w:themeColor="accent1"/>
      <w:lang w:val="en-NZ"/>
    </w:rPr>
  </w:style>
  <w:style w:type="character" w:customStyle="1" w:styleId="IntenseQuoteChar">
    <w:name w:val="Intense Quote Char"/>
    <w:basedOn w:val="DefaultParagraphFont"/>
    <w:link w:val="IntenseQuote"/>
    <w:uiPriority w:val="30"/>
    <w:rsid w:val="00B4561F"/>
    <w:rPr>
      <w:rFonts w:ascii="Arial" w:hAnsi="Arial"/>
      <w:b/>
      <w:bCs/>
      <w:i/>
      <w:iCs/>
      <w:color w:val="4F81BD" w:themeColor="accent1"/>
      <w:szCs w:val="24"/>
      <w:lang w:eastAsia="en-US"/>
    </w:rPr>
  </w:style>
  <w:style w:type="paragraph" w:customStyle="1" w:styleId="H1Scion">
    <w:name w:val="H1 Scion"/>
    <w:basedOn w:val="NoSpacing"/>
    <w:next w:val="Normal"/>
    <w:link w:val="H1ScionChar"/>
    <w:qFormat/>
    <w:rsid w:val="00B4561F"/>
    <w:pPr>
      <w:spacing w:after="240"/>
    </w:pPr>
    <w:rPr>
      <w:color w:val="666666"/>
      <w:sz w:val="36"/>
      <w:szCs w:val="36"/>
    </w:rPr>
  </w:style>
  <w:style w:type="paragraph" w:customStyle="1" w:styleId="H2Scion">
    <w:name w:val="H2 Scion"/>
    <w:basedOn w:val="NoSpacing"/>
    <w:next w:val="Normal"/>
    <w:link w:val="H2ScionChar"/>
    <w:qFormat/>
    <w:rsid w:val="00B4561F"/>
    <w:pPr>
      <w:spacing w:before="240" w:after="240"/>
    </w:pPr>
    <w:rPr>
      <w:b/>
      <w:sz w:val="24"/>
    </w:rPr>
  </w:style>
  <w:style w:type="character" w:customStyle="1" w:styleId="NoSpacingChar">
    <w:name w:val="No Spacing Char"/>
    <w:basedOn w:val="DefaultParagraphFont"/>
    <w:link w:val="NoSpacing"/>
    <w:uiPriority w:val="1"/>
    <w:rsid w:val="00B4561F"/>
    <w:rPr>
      <w:rFonts w:ascii="Arial" w:hAnsi="Arial"/>
      <w:sz w:val="22"/>
      <w:szCs w:val="24"/>
      <w:lang w:val="en-AU" w:eastAsia="en-US"/>
    </w:rPr>
  </w:style>
  <w:style w:type="character" w:customStyle="1" w:styleId="H1ScionChar">
    <w:name w:val="H1 Scion Char"/>
    <w:basedOn w:val="NoSpacingChar"/>
    <w:link w:val="H1Scion"/>
    <w:rsid w:val="00B4561F"/>
    <w:rPr>
      <w:rFonts w:ascii="Arial" w:hAnsi="Arial"/>
      <w:color w:val="666666"/>
      <w:sz w:val="36"/>
      <w:szCs w:val="36"/>
      <w:lang w:val="en-AU" w:eastAsia="en-US"/>
    </w:rPr>
  </w:style>
  <w:style w:type="paragraph" w:customStyle="1" w:styleId="H3Scion">
    <w:name w:val="H3 Scion"/>
    <w:basedOn w:val="NoSpacing"/>
    <w:next w:val="Normal"/>
    <w:link w:val="H3ScionChar"/>
    <w:qFormat/>
    <w:rsid w:val="00B4561F"/>
    <w:pPr>
      <w:spacing w:before="240" w:after="120"/>
    </w:pPr>
    <w:rPr>
      <w:b/>
      <w:i/>
      <w:sz w:val="24"/>
    </w:rPr>
  </w:style>
  <w:style w:type="character" w:customStyle="1" w:styleId="H2ScionChar">
    <w:name w:val="H2 Scion Char"/>
    <w:basedOn w:val="NoSpacingChar"/>
    <w:link w:val="H2Scion"/>
    <w:rsid w:val="00B4561F"/>
    <w:rPr>
      <w:rFonts w:ascii="Arial" w:hAnsi="Arial"/>
      <w:b/>
      <w:sz w:val="24"/>
      <w:szCs w:val="24"/>
      <w:lang w:val="en-AU" w:eastAsia="en-US"/>
    </w:rPr>
  </w:style>
  <w:style w:type="character" w:customStyle="1" w:styleId="H3ScionChar">
    <w:name w:val="H3 Scion Char"/>
    <w:basedOn w:val="NoSpacingChar"/>
    <w:link w:val="H3Scion"/>
    <w:rsid w:val="00B4561F"/>
    <w:rPr>
      <w:rFonts w:ascii="Arial" w:hAnsi="Arial"/>
      <w:b/>
      <w:i/>
      <w:sz w:val="24"/>
      <w:szCs w:val="24"/>
      <w:lang w:val="en-AU" w:eastAsia="en-US"/>
    </w:rPr>
  </w:style>
  <w:style w:type="paragraph" w:styleId="ListParagraph">
    <w:name w:val="List Paragraph"/>
    <w:basedOn w:val="Normal"/>
    <w:link w:val="ListParagraphChar"/>
    <w:uiPriority w:val="34"/>
    <w:qFormat/>
    <w:rsid w:val="00B4561F"/>
    <w:pPr>
      <w:ind w:left="720"/>
      <w:contextualSpacing/>
    </w:pPr>
    <w:rPr>
      <w:lang w:val="en-NZ"/>
    </w:rPr>
  </w:style>
  <w:style w:type="character" w:styleId="Emphasis">
    <w:name w:val="Emphasis"/>
    <w:basedOn w:val="DefaultParagraphFont"/>
    <w:uiPriority w:val="20"/>
    <w:qFormat/>
    <w:rsid w:val="00B4561F"/>
    <w:rPr>
      <w:i/>
      <w:iCs/>
    </w:rPr>
  </w:style>
  <w:style w:type="paragraph" w:customStyle="1" w:styleId="Default">
    <w:name w:val="Default"/>
    <w:rsid w:val="00B4561F"/>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B4561F"/>
    <w:pPr>
      <w:spacing w:before="100" w:beforeAutospacing="1" w:after="100" w:afterAutospacing="1"/>
    </w:pPr>
    <w:rPr>
      <w:rFonts w:ascii="Times New Roman" w:hAnsi="Times New Roman"/>
      <w:sz w:val="24"/>
      <w:lang w:val="en-NZ" w:eastAsia="en-NZ"/>
    </w:rPr>
  </w:style>
  <w:style w:type="paragraph" w:customStyle="1" w:styleId="TablesText">
    <w:name w:val="Tables Text"/>
    <w:basedOn w:val="Normal"/>
    <w:link w:val="TablesTextChar"/>
    <w:rsid w:val="00B4561F"/>
    <w:rPr>
      <w:rFonts w:ascii="Arial Narrow" w:hAnsi="Arial Narrow"/>
      <w:szCs w:val="20"/>
      <w:lang w:val="en-NZ"/>
    </w:rPr>
  </w:style>
  <w:style w:type="character" w:customStyle="1" w:styleId="TablesTextChar">
    <w:name w:val="Tables Text Char"/>
    <w:basedOn w:val="DefaultParagraphFont"/>
    <w:link w:val="TablesText"/>
    <w:rsid w:val="00B4561F"/>
    <w:rPr>
      <w:rFonts w:ascii="Arial Narrow" w:hAnsi="Arial Narrow"/>
      <w:lang w:eastAsia="en-US"/>
    </w:rPr>
  </w:style>
  <w:style w:type="paragraph" w:styleId="CommentText">
    <w:name w:val="annotation text"/>
    <w:basedOn w:val="Normal"/>
    <w:link w:val="CommentTextChar"/>
    <w:unhideWhenUsed/>
    <w:rsid w:val="00B4561F"/>
    <w:rPr>
      <w:szCs w:val="20"/>
    </w:rPr>
  </w:style>
  <w:style w:type="character" w:customStyle="1" w:styleId="CommentTextChar">
    <w:name w:val="Comment Text Char"/>
    <w:basedOn w:val="DefaultParagraphFont"/>
    <w:link w:val="CommentText"/>
    <w:rsid w:val="00B4561F"/>
    <w:rPr>
      <w:rFonts w:ascii="Arial" w:hAnsi="Arial"/>
      <w:lang w:val="en-AU" w:eastAsia="en-US"/>
    </w:rPr>
  </w:style>
  <w:style w:type="character" w:customStyle="1" w:styleId="ListParagraphChar">
    <w:name w:val="List Paragraph Char"/>
    <w:link w:val="ListParagraph"/>
    <w:uiPriority w:val="34"/>
    <w:rsid w:val="00B4561F"/>
    <w:rPr>
      <w:rFonts w:ascii="Arial" w:hAnsi="Arial"/>
      <w:szCs w:val="24"/>
      <w:lang w:eastAsia="en-US"/>
    </w:rPr>
  </w:style>
  <w:style w:type="character" w:styleId="CommentReference">
    <w:name w:val="annotation reference"/>
    <w:basedOn w:val="DefaultParagraphFont"/>
    <w:semiHidden/>
    <w:unhideWhenUsed/>
    <w:rsid w:val="00B4561F"/>
    <w:rPr>
      <w:sz w:val="16"/>
      <w:szCs w:val="16"/>
    </w:rPr>
  </w:style>
  <w:style w:type="paragraph" w:styleId="CommentSubject">
    <w:name w:val="annotation subject"/>
    <w:basedOn w:val="CommentText"/>
    <w:next w:val="CommentText"/>
    <w:link w:val="CommentSubjectChar"/>
    <w:semiHidden/>
    <w:unhideWhenUsed/>
    <w:rsid w:val="00B4561F"/>
    <w:rPr>
      <w:b/>
      <w:bCs/>
      <w:lang w:val="en-NZ"/>
    </w:rPr>
  </w:style>
  <w:style w:type="character" w:customStyle="1" w:styleId="CommentSubjectChar">
    <w:name w:val="Comment Subject Char"/>
    <w:basedOn w:val="CommentTextChar"/>
    <w:link w:val="CommentSubject"/>
    <w:semiHidden/>
    <w:rsid w:val="00B4561F"/>
    <w:rPr>
      <w:rFonts w:ascii="Arial" w:hAnsi="Arial"/>
      <w:b/>
      <w:bCs/>
      <w:lang w:val="en-AU" w:eastAsia="en-US"/>
    </w:rPr>
  </w:style>
  <w:style w:type="character" w:styleId="UnresolvedMention">
    <w:name w:val="Unresolved Mention"/>
    <w:basedOn w:val="DefaultParagraphFont"/>
    <w:uiPriority w:val="99"/>
    <w:semiHidden/>
    <w:unhideWhenUsed/>
    <w:rsid w:val="00EB7097"/>
    <w:rPr>
      <w:color w:val="605E5C"/>
      <w:shd w:val="clear" w:color="auto" w:fill="E1DFDD"/>
    </w:rPr>
  </w:style>
  <w:style w:type="paragraph" w:customStyle="1" w:styleId="EndNoteBibliographyTitle">
    <w:name w:val="EndNote Bibliography Title"/>
    <w:basedOn w:val="Normal"/>
    <w:link w:val="EndNoteBibliographyTitleChar"/>
    <w:rsid w:val="00B75F4D"/>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B75F4D"/>
    <w:rPr>
      <w:rFonts w:ascii="Arial" w:hAnsi="Arial" w:cs="Arial"/>
      <w:noProof/>
      <w:szCs w:val="24"/>
      <w:lang w:val="en-US" w:eastAsia="en-US"/>
    </w:rPr>
  </w:style>
  <w:style w:type="paragraph" w:customStyle="1" w:styleId="EndNoteBibliography">
    <w:name w:val="EndNote Bibliography"/>
    <w:basedOn w:val="Normal"/>
    <w:link w:val="EndNoteBibliographyChar"/>
    <w:rsid w:val="00B75F4D"/>
    <w:rPr>
      <w:rFonts w:cs="Arial"/>
      <w:noProof/>
      <w:lang w:val="en-US"/>
    </w:rPr>
  </w:style>
  <w:style w:type="character" w:customStyle="1" w:styleId="EndNoteBibliographyChar">
    <w:name w:val="EndNote Bibliography Char"/>
    <w:basedOn w:val="DefaultParagraphFont"/>
    <w:link w:val="EndNoteBibliography"/>
    <w:rsid w:val="00B75F4D"/>
    <w:rPr>
      <w:rFonts w:ascii="Arial" w:hAnsi="Arial" w:cs="Arial"/>
      <w:noProof/>
      <w:szCs w:val="24"/>
      <w:lang w:val="en-US" w:eastAsia="en-US"/>
    </w:rPr>
  </w:style>
  <w:style w:type="character" w:styleId="Mention">
    <w:name w:val="Mention"/>
    <w:basedOn w:val="DefaultParagraphFont"/>
    <w:uiPriority w:val="99"/>
    <w:unhideWhenUsed/>
    <w:rsid w:val="0092503A"/>
    <w:rPr>
      <w:color w:val="2B579A"/>
      <w:shd w:val="clear" w:color="auto" w:fill="E1DFDD"/>
    </w:rPr>
  </w:style>
  <w:style w:type="character" w:customStyle="1" w:styleId="normaltextrun">
    <w:name w:val="normaltextrun"/>
    <w:basedOn w:val="DefaultParagraphFont"/>
    <w:rsid w:val="00171B0A"/>
  </w:style>
  <w:style w:type="character" w:customStyle="1" w:styleId="editorid">
    <w:name w:val="editor_id"/>
    <w:basedOn w:val="DefaultParagraphFont"/>
    <w:rsid w:val="003B18DF"/>
  </w:style>
  <w:style w:type="paragraph" w:customStyle="1" w:styleId="pf0">
    <w:name w:val="pf0"/>
    <w:basedOn w:val="Normal"/>
    <w:rsid w:val="003C2371"/>
    <w:pPr>
      <w:spacing w:before="100" w:beforeAutospacing="1" w:after="100" w:afterAutospacing="1"/>
      <w:ind w:left="720"/>
    </w:pPr>
    <w:rPr>
      <w:rFonts w:ascii="Times New Roman" w:hAnsi="Times New Roman"/>
      <w:sz w:val="24"/>
      <w:lang w:val="en-NZ" w:eastAsia="en-NZ"/>
    </w:rPr>
  </w:style>
  <w:style w:type="character" w:customStyle="1" w:styleId="cf01">
    <w:name w:val="cf01"/>
    <w:basedOn w:val="DefaultParagraphFont"/>
    <w:rsid w:val="003C2371"/>
    <w:rPr>
      <w:rFonts w:ascii="Segoe UI" w:hAnsi="Segoe UI" w:cs="Segoe UI" w:hint="default"/>
      <w:sz w:val="18"/>
      <w:szCs w:val="18"/>
    </w:rPr>
  </w:style>
  <w:style w:type="character" w:customStyle="1" w:styleId="cf11">
    <w:name w:val="cf11"/>
    <w:basedOn w:val="DefaultParagraphFont"/>
    <w:rsid w:val="003C2371"/>
    <w:rPr>
      <w:rFonts w:ascii="Segoe UI" w:hAnsi="Segoe UI" w:cs="Segoe UI" w:hint="default"/>
      <w:i/>
      <w:iCs/>
      <w:sz w:val="18"/>
      <w:szCs w:val="18"/>
    </w:rPr>
  </w:style>
  <w:style w:type="numbering" w:customStyle="1" w:styleId="CurrentList1">
    <w:name w:val="Current List1"/>
    <w:uiPriority w:val="99"/>
    <w:rsid w:val="001715A8"/>
    <w:pPr>
      <w:numPr>
        <w:numId w:val="17"/>
      </w:numPr>
    </w:pPr>
  </w:style>
  <w:style w:type="character" w:styleId="FollowedHyperlink">
    <w:name w:val="FollowedHyperlink"/>
    <w:basedOn w:val="DefaultParagraphFont"/>
    <w:semiHidden/>
    <w:unhideWhenUsed/>
    <w:rsid w:val="002334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500396">
      <w:bodyDiv w:val="1"/>
      <w:marLeft w:val="0"/>
      <w:marRight w:val="0"/>
      <w:marTop w:val="0"/>
      <w:marBottom w:val="0"/>
      <w:divBdr>
        <w:top w:val="none" w:sz="0" w:space="0" w:color="auto"/>
        <w:left w:val="none" w:sz="0" w:space="0" w:color="auto"/>
        <w:bottom w:val="none" w:sz="0" w:space="0" w:color="auto"/>
        <w:right w:val="none" w:sz="0" w:space="0" w:color="auto"/>
      </w:divBdr>
    </w:div>
    <w:div w:id="82799236">
      <w:bodyDiv w:val="1"/>
      <w:marLeft w:val="0"/>
      <w:marRight w:val="0"/>
      <w:marTop w:val="0"/>
      <w:marBottom w:val="0"/>
      <w:divBdr>
        <w:top w:val="none" w:sz="0" w:space="0" w:color="auto"/>
        <w:left w:val="none" w:sz="0" w:space="0" w:color="auto"/>
        <w:bottom w:val="none" w:sz="0" w:space="0" w:color="auto"/>
        <w:right w:val="none" w:sz="0" w:space="0" w:color="auto"/>
      </w:divBdr>
    </w:div>
    <w:div w:id="268508620">
      <w:bodyDiv w:val="1"/>
      <w:marLeft w:val="0"/>
      <w:marRight w:val="0"/>
      <w:marTop w:val="0"/>
      <w:marBottom w:val="0"/>
      <w:divBdr>
        <w:top w:val="none" w:sz="0" w:space="0" w:color="auto"/>
        <w:left w:val="none" w:sz="0" w:space="0" w:color="auto"/>
        <w:bottom w:val="none" w:sz="0" w:space="0" w:color="auto"/>
        <w:right w:val="none" w:sz="0" w:space="0" w:color="auto"/>
      </w:divBdr>
    </w:div>
    <w:div w:id="315187701">
      <w:bodyDiv w:val="1"/>
      <w:marLeft w:val="0"/>
      <w:marRight w:val="0"/>
      <w:marTop w:val="0"/>
      <w:marBottom w:val="0"/>
      <w:divBdr>
        <w:top w:val="none" w:sz="0" w:space="0" w:color="auto"/>
        <w:left w:val="none" w:sz="0" w:space="0" w:color="auto"/>
        <w:bottom w:val="none" w:sz="0" w:space="0" w:color="auto"/>
        <w:right w:val="none" w:sz="0" w:space="0" w:color="auto"/>
      </w:divBdr>
    </w:div>
    <w:div w:id="344788810">
      <w:bodyDiv w:val="1"/>
      <w:marLeft w:val="0"/>
      <w:marRight w:val="0"/>
      <w:marTop w:val="0"/>
      <w:marBottom w:val="0"/>
      <w:divBdr>
        <w:top w:val="none" w:sz="0" w:space="0" w:color="auto"/>
        <w:left w:val="none" w:sz="0" w:space="0" w:color="auto"/>
        <w:bottom w:val="none" w:sz="0" w:space="0" w:color="auto"/>
        <w:right w:val="none" w:sz="0" w:space="0" w:color="auto"/>
      </w:divBdr>
    </w:div>
    <w:div w:id="385029241">
      <w:bodyDiv w:val="1"/>
      <w:marLeft w:val="0"/>
      <w:marRight w:val="0"/>
      <w:marTop w:val="0"/>
      <w:marBottom w:val="0"/>
      <w:divBdr>
        <w:top w:val="none" w:sz="0" w:space="0" w:color="auto"/>
        <w:left w:val="none" w:sz="0" w:space="0" w:color="auto"/>
        <w:bottom w:val="none" w:sz="0" w:space="0" w:color="auto"/>
        <w:right w:val="none" w:sz="0" w:space="0" w:color="auto"/>
      </w:divBdr>
    </w:div>
    <w:div w:id="385641674">
      <w:bodyDiv w:val="1"/>
      <w:marLeft w:val="0"/>
      <w:marRight w:val="0"/>
      <w:marTop w:val="0"/>
      <w:marBottom w:val="0"/>
      <w:divBdr>
        <w:top w:val="none" w:sz="0" w:space="0" w:color="auto"/>
        <w:left w:val="none" w:sz="0" w:space="0" w:color="auto"/>
        <w:bottom w:val="none" w:sz="0" w:space="0" w:color="auto"/>
        <w:right w:val="none" w:sz="0" w:space="0" w:color="auto"/>
      </w:divBdr>
    </w:div>
    <w:div w:id="438449654">
      <w:bodyDiv w:val="1"/>
      <w:marLeft w:val="0"/>
      <w:marRight w:val="0"/>
      <w:marTop w:val="0"/>
      <w:marBottom w:val="0"/>
      <w:divBdr>
        <w:top w:val="none" w:sz="0" w:space="0" w:color="auto"/>
        <w:left w:val="none" w:sz="0" w:space="0" w:color="auto"/>
        <w:bottom w:val="none" w:sz="0" w:space="0" w:color="auto"/>
        <w:right w:val="none" w:sz="0" w:space="0" w:color="auto"/>
      </w:divBdr>
    </w:div>
    <w:div w:id="529076398">
      <w:bodyDiv w:val="1"/>
      <w:marLeft w:val="0"/>
      <w:marRight w:val="0"/>
      <w:marTop w:val="0"/>
      <w:marBottom w:val="0"/>
      <w:divBdr>
        <w:top w:val="none" w:sz="0" w:space="0" w:color="auto"/>
        <w:left w:val="none" w:sz="0" w:space="0" w:color="auto"/>
        <w:bottom w:val="none" w:sz="0" w:space="0" w:color="auto"/>
        <w:right w:val="none" w:sz="0" w:space="0" w:color="auto"/>
      </w:divBdr>
    </w:div>
    <w:div w:id="612132390">
      <w:bodyDiv w:val="1"/>
      <w:marLeft w:val="0"/>
      <w:marRight w:val="0"/>
      <w:marTop w:val="0"/>
      <w:marBottom w:val="0"/>
      <w:divBdr>
        <w:top w:val="none" w:sz="0" w:space="0" w:color="auto"/>
        <w:left w:val="none" w:sz="0" w:space="0" w:color="auto"/>
        <w:bottom w:val="none" w:sz="0" w:space="0" w:color="auto"/>
        <w:right w:val="none" w:sz="0" w:space="0" w:color="auto"/>
      </w:divBdr>
    </w:div>
    <w:div w:id="629166016">
      <w:bodyDiv w:val="1"/>
      <w:marLeft w:val="0"/>
      <w:marRight w:val="0"/>
      <w:marTop w:val="0"/>
      <w:marBottom w:val="0"/>
      <w:divBdr>
        <w:top w:val="none" w:sz="0" w:space="0" w:color="auto"/>
        <w:left w:val="none" w:sz="0" w:space="0" w:color="auto"/>
        <w:bottom w:val="none" w:sz="0" w:space="0" w:color="auto"/>
        <w:right w:val="none" w:sz="0" w:space="0" w:color="auto"/>
      </w:divBdr>
    </w:div>
    <w:div w:id="726807002">
      <w:bodyDiv w:val="1"/>
      <w:marLeft w:val="0"/>
      <w:marRight w:val="0"/>
      <w:marTop w:val="0"/>
      <w:marBottom w:val="0"/>
      <w:divBdr>
        <w:top w:val="none" w:sz="0" w:space="0" w:color="auto"/>
        <w:left w:val="none" w:sz="0" w:space="0" w:color="auto"/>
        <w:bottom w:val="none" w:sz="0" w:space="0" w:color="auto"/>
        <w:right w:val="none" w:sz="0" w:space="0" w:color="auto"/>
      </w:divBdr>
    </w:div>
    <w:div w:id="783504504">
      <w:bodyDiv w:val="1"/>
      <w:marLeft w:val="0"/>
      <w:marRight w:val="0"/>
      <w:marTop w:val="0"/>
      <w:marBottom w:val="0"/>
      <w:divBdr>
        <w:top w:val="none" w:sz="0" w:space="0" w:color="auto"/>
        <w:left w:val="none" w:sz="0" w:space="0" w:color="auto"/>
        <w:bottom w:val="none" w:sz="0" w:space="0" w:color="auto"/>
        <w:right w:val="none" w:sz="0" w:space="0" w:color="auto"/>
      </w:divBdr>
    </w:div>
    <w:div w:id="939797225">
      <w:bodyDiv w:val="1"/>
      <w:marLeft w:val="0"/>
      <w:marRight w:val="0"/>
      <w:marTop w:val="0"/>
      <w:marBottom w:val="0"/>
      <w:divBdr>
        <w:top w:val="none" w:sz="0" w:space="0" w:color="auto"/>
        <w:left w:val="none" w:sz="0" w:space="0" w:color="auto"/>
        <w:bottom w:val="none" w:sz="0" w:space="0" w:color="auto"/>
        <w:right w:val="none" w:sz="0" w:space="0" w:color="auto"/>
      </w:divBdr>
    </w:div>
    <w:div w:id="948586977">
      <w:bodyDiv w:val="1"/>
      <w:marLeft w:val="0"/>
      <w:marRight w:val="0"/>
      <w:marTop w:val="0"/>
      <w:marBottom w:val="0"/>
      <w:divBdr>
        <w:top w:val="none" w:sz="0" w:space="0" w:color="auto"/>
        <w:left w:val="none" w:sz="0" w:space="0" w:color="auto"/>
        <w:bottom w:val="none" w:sz="0" w:space="0" w:color="auto"/>
        <w:right w:val="none" w:sz="0" w:space="0" w:color="auto"/>
      </w:divBdr>
    </w:div>
    <w:div w:id="1004552295">
      <w:bodyDiv w:val="1"/>
      <w:marLeft w:val="0"/>
      <w:marRight w:val="0"/>
      <w:marTop w:val="0"/>
      <w:marBottom w:val="0"/>
      <w:divBdr>
        <w:top w:val="none" w:sz="0" w:space="0" w:color="auto"/>
        <w:left w:val="none" w:sz="0" w:space="0" w:color="auto"/>
        <w:bottom w:val="none" w:sz="0" w:space="0" w:color="auto"/>
        <w:right w:val="none" w:sz="0" w:space="0" w:color="auto"/>
      </w:divBdr>
    </w:div>
    <w:div w:id="1005935430">
      <w:bodyDiv w:val="1"/>
      <w:marLeft w:val="0"/>
      <w:marRight w:val="0"/>
      <w:marTop w:val="0"/>
      <w:marBottom w:val="0"/>
      <w:divBdr>
        <w:top w:val="none" w:sz="0" w:space="0" w:color="auto"/>
        <w:left w:val="none" w:sz="0" w:space="0" w:color="auto"/>
        <w:bottom w:val="none" w:sz="0" w:space="0" w:color="auto"/>
        <w:right w:val="none" w:sz="0" w:space="0" w:color="auto"/>
      </w:divBdr>
    </w:div>
    <w:div w:id="1019281486">
      <w:bodyDiv w:val="1"/>
      <w:marLeft w:val="0"/>
      <w:marRight w:val="0"/>
      <w:marTop w:val="0"/>
      <w:marBottom w:val="0"/>
      <w:divBdr>
        <w:top w:val="none" w:sz="0" w:space="0" w:color="auto"/>
        <w:left w:val="none" w:sz="0" w:space="0" w:color="auto"/>
        <w:bottom w:val="none" w:sz="0" w:space="0" w:color="auto"/>
        <w:right w:val="none" w:sz="0" w:space="0" w:color="auto"/>
      </w:divBdr>
    </w:div>
    <w:div w:id="1031103361">
      <w:bodyDiv w:val="1"/>
      <w:marLeft w:val="0"/>
      <w:marRight w:val="0"/>
      <w:marTop w:val="0"/>
      <w:marBottom w:val="0"/>
      <w:divBdr>
        <w:top w:val="none" w:sz="0" w:space="0" w:color="auto"/>
        <w:left w:val="none" w:sz="0" w:space="0" w:color="auto"/>
        <w:bottom w:val="none" w:sz="0" w:space="0" w:color="auto"/>
        <w:right w:val="none" w:sz="0" w:space="0" w:color="auto"/>
      </w:divBdr>
    </w:div>
    <w:div w:id="1116102987">
      <w:bodyDiv w:val="1"/>
      <w:marLeft w:val="0"/>
      <w:marRight w:val="0"/>
      <w:marTop w:val="0"/>
      <w:marBottom w:val="0"/>
      <w:divBdr>
        <w:top w:val="none" w:sz="0" w:space="0" w:color="auto"/>
        <w:left w:val="none" w:sz="0" w:space="0" w:color="auto"/>
        <w:bottom w:val="none" w:sz="0" w:space="0" w:color="auto"/>
        <w:right w:val="none" w:sz="0" w:space="0" w:color="auto"/>
      </w:divBdr>
    </w:div>
    <w:div w:id="1132942593">
      <w:bodyDiv w:val="1"/>
      <w:marLeft w:val="0"/>
      <w:marRight w:val="0"/>
      <w:marTop w:val="0"/>
      <w:marBottom w:val="0"/>
      <w:divBdr>
        <w:top w:val="none" w:sz="0" w:space="0" w:color="auto"/>
        <w:left w:val="none" w:sz="0" w:space="0" w:color="auto"/>
        <w:bottom w:val="none" w:sz="0" w:space="0" w:color="auto"/>
        <w:right w:val="none" w:sz="0" w:space="0" w:color="auto"/>
      </w:divBdr>
    </w:div>
    <w:div w:id="1183937360">
      <w:bodyDiv w:val="1"/>
      <w:marLeft w:val="0"/>
      <w:marRight w:val="0"/>
      <w:marTop w:val="0"/>
      <w:marBottom w:val="0"/>
      <w:divBdr>
        <w:top w:val="none" w:sz="0" w:space="0" w:color="auto"/>
        <w:left w:val="none" w:sz="0" w:space="0" w:color="auto"/>
        <w:bottom w:val="none" w:sz="0" w:space="0" w:color="auto"/>
        <w:right w:val="none" w:sz="0" w:space="0" w:color="auto"/>
      </w:divBdr>
    </w:div>
    <w:div w:id="1197814168">
      <w:bodyDiv w:val="1"/>
      <w:marLeft w:val="0"/>
      <w:marRight w:val="0"/>
      <w:marTop w:val="0"/>
      <w:marBottom w:val="0"/>
      <w:divBdr>
        <w:top w:val="none" w:sz="0" w:space="0" w:color="auto"/>
        <w:left w:val="none" w:sz="0" w:space="0" w:color="auto"/>
        <w:bottom w:val="none" w:sz="0" w:space="0" w:color="auto"/>
        <w:right w:val="none" w:sz="0" w:space="0" w:color="auto"/>
      </w:divBdr>
      <w:divsChild>
        <w:div w:id="1510411467">
          <w:marLeft w:val="0"/>
          <w:marRight w:val="0"/>
          <w:marTop w:val="0"/>
          <w:marBottom w:val="0"/>
          <w:divBdr>
            <w:top w:val="none" w:sz="0" w:space="0" w:color="auto"/>
            <w:left w:val="none" w:sz="0" w:space="0" w:color="auto"/>
            <w:bottom w:val="none" w:sz="0" w:space="0" w:color="auto"/>
            <w:right w:val="none" w:sz="0" w:space="0" w:color="auto"/>
          </w:divBdr>
        </w:div>
      </w:divsChild>
    </w:div>
    <w:div w:id="1287079830">
      <w:bodyDiv w:val="1"/>
      <w:marLeft w:val="0"/>
      <w:marRight w:val="0"/>
      <w:marTop w:val="0"/>
      <w:marBottom w:val="0"/>
      <w:divBdr>
        <w:top w:val="none" w:sz="0" w:space="0" w:color="auto"/>
        <w:left w:val="none" w:sz="0" w:space="0" w:color="auto"/>
        <w:bottom w:val="none" w:sz="0" w:space="0" w:color="auto"/>
        <w:right w:val="none" w:sz="0" w:space="0" w:color="auto"/>
      </w:divBdr>
    </w:div>
    <w:div w:id="1400177103">
      <w:bodyDiv w:val="1"/>
      <w:marLeft w:val="0"/>
      <w:marRight w:val="0"/>
      <w:marTop w:val="0"/>
      <w:marBottom w:val="0"/>
      <w:divBdr>
        <w:top w:val="none" w:sz="0" w:space="0" w:color="auto"/>
        <w:left w:val="none" w:sz="0" w:space="0" w:color="auto"/>
        <w:bottom w:val="none" w:sz="0" w:space="0" w:color="auto"/>
        <w:right w:val="none" w:sz="0" w:space="0" w:color="auto"/>
      </w:divBdr>
    </w:div>
    <w:div w:id="1434009954">
      <w:bodyDiv w:val="1"/>
      <w:marLeft w:val="0"/>
      <w:marRight w:val="0"/>
      <w:marTop w:val="0"/>
      <w:marBottom w:val="0"/>
      <w:divBdr>
        <w:top w:val="none" w:sz="0" w:space="0" w:color="auto"/>
        <w:left w:val="none" w:sz="0" w:space="0" w:color="auto"/>
        <w:bottom w:val="none" w:sz="0" w:space="0" w:color="auto"/>
        <w:right w:val="none" w:sz="0" w:space="0" w:color="auto"/>
      </w:divBdr>
    </w:div>
    <w:div w:id="1450316316">
      <w:bodyDiv w:val="1"/>
      <w:marLeft w:val="0"/>
      <w:marRight w:val="0"/>
      <w:marTop w:val="0"/>
      <w:marBottom w:val="0"/>
      <w:divBdr>
        <w:top w:val="none" w:sz="0" w:space="0" w:color="auto"/>
        <w:left w:val="none" w:sz="0" w:space="0" w:color="auto"/>
        <w:bottom w:val="none" w:sz="0" w:space="0" w:color="auto"/>
        <w:right w:val="none" w:sz="0" w:space="0" w:color="auto"/>
      </w:divBdr>
    </w:div>
    <w:div w:id="1455712342">
      <w:bodyDiv w:val="1"/>
      <w:marLeft w:val="0"/>
      <w:marRight w:val="0"/>
      <w:marTop w:val="0"/>
      <w:marBottom w:val="0"/>
      <w:divBdr>
        <w:top w:val="none" w:sz="0" w:space="0" w:color="auto"/>
        <w:left w:val="none" w:sz="0" w:space="0" w:color="auto"/>
        <w:bottom w:val="none" w:sz="0" w:space="0" w:color="auto"/>
        <w:right w:val="none" w:sz="0" w:space="0" w:color="auto"/>
      </w:divBdr>
    </w:div>
    <w:div w:id="1481459571">
      <w:bodyDiv w:val="1"/>
      <w:marLeft w:val="0"/>
      <w:marRight w:val="0"/>
      <w:marTop w:val="0"/>
      <w:marBottom w:val="0"/>
      <w:divBdr>
        <w:top w:val="none" w:sz="0" w:space="0" w:color="auto"/>
        <w:left w:val="none" w:sz="0" w:space="0" w:color="auto"/>
        <w:bottom w:val="none" w:sz="0" w:space="0" w:color="auto"/>
        <w:right w:val="none" w:sz="0" w:space="0" w:color="auto"/>
      </w:divBdr>
    </w:div>
    <w:div w:id="1615551377">
      <w:bodyDiv w:val="1"/>
      <w:marLeft w:val="0"/>
      <w:marRight w:val="0"/>
      <w:marTop w:val="0"/>
      <w:marBottom w:val="0"/>
      <w:divBdr>
        <w:top w:val="none" w:sz="0" w:space="0" w:color="auto"/>
        <w:left w:val="none" w:sz="0" w:space="0" w:color="auto"/>
        <w:bottom w:val="none" w:sz="0" w:space="0" w:color="auto"/>
        <w:right w:val="none" w:sz="0" w:space="0" w:color="auto"/>
      </w:divBdr>
    </w:div>
    <w:div w:id="1637682073">
      <w:bodyDiv w:val="1"/>
      <w:marLeft w:val="0"/>
      <w:marRight w:val="0"/>
      <w:marTop w:val="0"/>
      <w:marBottom w:val="0"/>
      <w:divBdr>
        <w:top w:val="none" w:sz="0" w:space="0" w:color="auto"/>
        <w:left w:val="none" w:sz="0" w:space="0" w:color="auto"/>
        <w:bottom w:val="none" w:sz="0" w:space="0" w:color="auto"/>
        <w:right w:val="none" w:sz="0" w:space="0" w:color="auto"/>
      </w:divBdr>
    </w:div>
    <w:div w:id="1723628073">
      <w:bodyDiv w:val="1"/>
      <w:marLeft w:val="0"/>
      <w:marRight w:val="0"/>
      <w:marTop w:val="0"/>
      <w:marBottom w:val="0"/>
      <w:divBdr>
        <w:top w:val="none" w:sz="0" w:space="0" w:color="auto"/>
        <w:left w:val="none" w:sz="0" w:space="0" w:color="auto"/>
        <w:bottom w:val="none" w:sz="0" w:space="0" w:color="auto"/>
        <w:right w:val="none" w:sz="0" w:space="0" w:color="auto"/>
      </w:divBdr>
    </w:div>
    <w:div w:id="1748191725">
      <w:bodyDiv w:val="1"/>
      <w:marLeft w:val="0"/>
      <w:marRight w:val="0"/>
      <w:marTop w:val="0"/>
      <w:marBottom w:val="0"/>
      <w:divBdr>
        <w:top w:val="none" w:sz="0" w:space="0" w:color="auto"/>
        <w:left w:val="none" w:sz="0" w:space="0" w:color="auto"/>
        <w:bottom w:val="none" w:sz="0" w:space="0" w:color="auto"/>
        <w:right w:val="none" w:sz="0" w:space="0" w:color="auto"/>
      </w:divBdr>
    </w:div>
    <w:div w:id="1913851452">
      <w:bodyDiv w:val="1"/>
      <w:marLeft w:val="0"/>
      <w:marRight w:val="0"/>
      <w:marTop w:val="0"/>
      <w:marBottom w:val="0"/>
      <w:divBdr>
        <w:top w:val="none" w:sz="0" w:space="0" w:color="auto"/>
        <w:left w:val="none" w:sz="0" w:space="0" w:color="auto"/>
        <w:bottom w:val="none" w:sz="0" w:space="0" w:color="auto"/>
        <w:right w:val="none" w:sz="0" w:space="0" w:color="auto"/>
      </w:divBdr>
    </w:div>
    <w:div w:id="194899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unfccc.int/NDCREG"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s://www.mpi.govt.nz/dmsdocument/47671-Wood-Availability-Forecast-New-Zealand-2021-to-2060"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www.canopy.govt.nz/assets/content-blocks/downloads/New-Zealand-guide-to-growing-alternative-exotic-forest-species.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ntont\AppData\Local\Microsoft\Windows\Temporary%20Internet%20Files\Content.IE5\WN6QRTUZ\Generic-Confidential-Client-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7" ma:contentTypeDescription="Create a new document." ma:contentTypeScope="" ma:versionID="95acd87332861db223fb94a2b3e65282">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1bd5f641dc7be9161dacc7fcbc59ac4d"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Contract_x0020_Number"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Other_x0020_Details_2" minOccurs="0"/>
                <xsd:element ref="ns3:Other_x0020_Details_3" minOccurs="0"/>
                <xsd:element ref="ns3:Supplemental_x0020_Markings" minOccurs="0"/>
                <xsd:element ref="ns3:MediaServiceAutoTags" minOccurs="0"/>
                <xsd:element ref="ns3:MediaServiceGenerationTime" minOccurs="0"/>
                <xsd:element ref="ns3:MediaServiceEventHashCode" minOccurs="0"/>
                <xsd:element ref="ns3:MediaServiceOCR" minOccurs="0"/>
                <xsd:element ref="ns3:MTS_x0020_Type" minOccurs="0"/>
                <xsd:element ref="ns3:MTS_x0020_ID" minOccurs="0"/>
                <xsd:element ref="ns3:MediaServiceDateTaken"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5:IconOverlay"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a8375d44-be70-4fc9-9598-053e68af94c1}"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Contract_x0020_Number" ma:index="27" nillable="true" ma:displayName="Contract Number" ma:default="" ma:description="" ma:internalName="Contract_x0020_Number">
      <xsd:simpleType>
        <xsd:restriction base="dms:Text">
          <xsd:maxLength value="255"/>
        </xsd:restrictio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To" ma:index="32" nillable="true" ma:displayName="To" ma:default="" ma:description="" ma:internalName="To">
      <xsd:simpleType>
        <xsd:restriction base="dms:Note">
          <xsd:maxLength value="255"/>
        </xsd:restriction>
      </xsd:simpleType>
    </xsd:element>
    <xsd:element name="From" ma:index="33" nillable="true" ma:displayName="From" ma:default="" ma:description="" ma:internalName="From">
      <xsd:simpleType>
        <xsd:restriction base="dms:Text">
          <xsd:maxLength value="255"/>
        </xsd:restriction>
      </xsd:simpleType>
    </xsd:element>
    <xsd:element name="Sent_x002f_Received" ma:index="34" nillable="true" ma:displayName="Sent/Received" ma:default="" ma:description="" ma:internalName="Sent_x002f_Received">
      <xsd:simpleType>
        <xsd:restriction base="dms:Text">
          <xsd:maxLength value="255"/>
        </xsd:restriction>
      </xsd:simpleType>
    </xsd:element>
    <xsd:element name="Other_x0020_Details_2" ma:index="35" nillable="true" ma:displayName="Other Details_2" ma:description="" ma:internalName="Other_x0020_Details_2">
      <xsd:simpleType>
        <xsd:restriction base="dms:Text">
          <xsd:maxLength value="255"/>
        </xsd:restriction>
      </xsd:simpleType>
    </xsd:element>
    <xsd:element name="Other_x0020_Details_3" ma:index="36" nillable="true" ma:displayName="Other Details_3" ma:description="" ma:internalName="Other_x0020_Details_3">
      <xsd:simpleType>
        <xsd:restriction base="dms:Text">
          <xsd:maxLength value="255"/>
        </xsd:restriction>
      </xsd:simpleType>
    </xsd:element>
    <xsd:element name="Supplemental_x0020_Markings" ma:index="37" nillable="true" ma:displayName="Supplemental Markings" ma:description="" ma:internalName="Supplemental_x0020_Markings">
      <xsd:simpleType>
        <xsd:restriction base="dms:Note">
          <xsd:maxLength value="255"/>
        </xsd:restriction>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Location" ma:index="55" nillable="true" ma:displayName="Location" ma:description="" ma:indexed="true" ma:internalName="MediaServiceLocation"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58a6f171-52cb-4404-b47d-af1c8daf8fd1" xsi:nil="true"/>
    <SharedWithUsers xmlns="0a5b0190-e301-4766-933d-448c7c363fce">
      <UserInfo>
        <DisplayName>Steve Wakelin</DisplayName>
        <AccountId>14</AccountId>
        <AccountType/>
      </UserInfo>
      <UserInfo>
        <DisplayName>Thomas Paul</DisplayName>
        <AccountId>16</AccountId>
        <AccountType/>
      </UserInfo>
    </SharedWithUsers>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ECM-1898536736-192005</_dlc_DocId>
    <_dlc_DocIdUrl xmlns="58a6f171-52cb-4404-b47d-af1c8daf8fd1">
      <Url>https://ministryforenvironment.sharepoint.com/sites/ECM-EM-ER/_layouts/15/DocIdRedir.aspx?ID=ECM-1898536736-192005</Url>
      <Description>ECM-1898536736-192005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053A70-6B8E-410A-B5DC-263D546C150E}">
  <ds:schemaRefs>
    <ds:schemaRef ds:uri="http://schemas.openxmlformats.org/officeDocument/2006/bibliography"/>
  </ds:schemaRefs>
</ds:datastoreItem>
</file>

<file path=customXml/itemProps2.xml><?xml version="1.0" encoding="utf-8"?>
<ds:datastoreItem xmlns:ds="http://schemas.openxmlformats.org/officeDocument/2006/customXml" ds:itemID="{A106B36B-FC32-43B0-A901-55CA75FDB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D03042-B6C4-4BA7-94A6-75AABA1067B1}">
  <ds:schemaRefs>
    <ds:schemaRef ds:uri="http://schemas.microsoft.com/sharepoint/events"/>
  </ds:schemaRefs>
</ds:datastoreItem>
</file>

<file path=customXml/itemProps4.xml><?xml version="1.0" encoding="utf-8"?>
<ds:datastoreItem xmlns:ds="http://schemas.openxmlformats.org/officeDocument/2006/customXml" ds:itemID="{4CA54D22-EC9C-4DC5-93E4-D8D4A3E50327}">
  <ds:schemaRefs>
    <ds:schemaRef ds:uri="http://schemas.microsoft.com/office/2006/metadata/properties"/>
    <ds:schemaRef ds:uri="http://schemas.microsoft.com/office/infopath/2007/PartnerControls"/>
    <ds:schemaRef ds:uri="58a6f171-52cb-4404-b47d-af1c8daf8fd1"/>
    <ds:schemaRef ds:uri="0a5b0190-e301-4766-933d-448c7c363fce"/>
    <ds:schemaRef ds:uri="4a94300e-a927-4b92-9d3a-682523035cb6"/>
    <ds:schemaRef ds:uri="http://schemas.microsoft.com/sharepoint/v3"/>
    <ds:schemaRef ds:uri="http://schemas.microsoft.com/sharepoint/v4"/>
  </ds:schemaRefs>
</ds:datastoreItem>
</file>

<file path=customXml/itemProps5.xml><?xml version="1.0" encoding="utf-8"?>
<ds:datastoreItem xmlns:ds="http://schemas.openxmlformats.org/officeDocument/2006/customXml" ds:itemID="{CD232CDC-5CF8-4EB5-A622-C3FD8CC6BFBB}">
  <ds:schemaRefs>
    <ds:schemaRef ds:uri="http://schemas.microsoft.com/sharepoint/v3/contenttype/forms"/>
  </ds:schemaRefs>
</ds:datastoreItem>
</file>

<file path=docMetadata/LabelInfo.xml><?xml version="1.0" encoding="utf-8"?>
<clbl:labelList xmlns:clbl="http://schemas.microsoft.com/office/2020/mipLabelMetadata">
  <clbl:label id="{912c7b2a-e338-4788-b809-a191b86cdea0}" enabled="0" method="" siteId="{912c7b2a-e338-4788-b809-a191b86cdea0}" removed="1"/>
</clbl:labelList>
</file>

<file path=docProps/app.xml><?xml version="1.0" encoding="utf-8"?>
<Properties xmlns="http://schemas.openxmlformats.org/officeDocument/2006/extended-properties" xmlns:vt="http://schemas.openxmlformats.org/officeDocument/2006/docPropsVTypes">
  <Template>Generic-Confidential-Client-Report.dotx</Template>
  <TotalTime>4</TotalTime>
  <Pages>37</Pages>
  <Words>15927</Words>
  <Characters>90332</Characters>
  <Application>Microsoft Office Word</Application>
  <DocSecurity>0</DocSecurity>
  <Lines>752</Lines>
  <Paragraphs>212</Paragraphs>
  <ScaleCrop>false</ScaleCrop>
  <HeadingPairs>
    <vt:vector size="2" baseType="variant">
      <vt:variant>
        <vt:lpstr>Title</vt:lpstr>
      </vt:variant>
      <vt:variant>
        <vt:i4>1</vt:i4>
      </vt:variant>
    </vt:vector>
  </HeadingPairs>
  <TitlesOfParts>
    <vt:vector size="1" baseType="lpstr">
      <vt:lpstr>Generic Confidential Client Report</vt:lpstr>
    </vt:vector>
  </TitlesOfParts>
  <Company>Forest Research</Company>
  <LinksUpToDate>false</LinksUpToDate>
  <CharactersWithSpaces>106047</CharactersWithSpaces>
  <SharedDoc>false</SharedDoc>
  <HLinks>
    <vt:vector size="108" baseType="variant">
      <vt:variant>
        <vt:i4>655433</vt:i4>
      </vt:variant>
      <vt:variant>
        <vt:i4>129</vt:i4>
      </vt:variant>
      <vt:variant>
        <vt:i4>0</vt:i4>
      </vt:variant>
      <vt:variant>
        <vt:i4>5</vt:i4>
      </vt:variant>
      <vt:variant>
        <vt:lpwstr>https://unfccc.int/NDCREG</vt:lpwstr>
      </vt:variant>
      <vt:variant>
        <vt:lpwstr/>
      </vt:variant>
      <vt:variant>
        <vt:i4>1114172</vt:i4>
      </vt:variant>
      <vt:variant>
        <vt:i4>74</vt:i4>
      </vt:variant>
      <vt:variant>
        <vt:i4>0</vt:i4>
      </vt:variant>
      <vt:variant>
        <vt:i4>5</vt:i4>
      </vt:variant>
      <vt:variant>
        <vt:lpwstr/>
      </vt:variant>
      <vt:variant>
        <vt:lpwstr>_Toc160790474</vt:lpwstr>
      </vt:variant>
      <vt:variant>
        <vt:i4>1114172</vt:i4>
      </vt:variant>
      <vt:variant>
        <vt:i4>68</vt:i4>
      </vt:variant>
      <vt:variant>
        <vt:i4>0</vt:i4>
      </vt:variant>
      <vt:variant>
        <vt:i4>5</vt:i4>
      </vt:variant>
      <vt:variant>
        <vt:lpwstr/>
      </vt:variant>
      <vt:variant>
        <vt:lpwstr>_Toc160790473</vt:lpwstr>
      </vt:variant>
      <vt:variant>
        <vt:i4>1114172</vt:i4>
      </vt:variant>
      <vt:variant>
        <vt:i4>62</vt:i4>
      </vt:variant>
      <vt:variant>
        <vt:i4>0</vt:i4>
      </vt:variant>
      <vt:variant>
        <vt:i4>5</vt:i4>
      </vt:variant>
      <vt:variant>
        <vt:lpwstr/>
      </vt:variant>
      <vt:variant>
        <vt:lpwstr>_Toc160790472</vt:lpwstr>
      </vt:variant>
      <vt:variant>
        <vt:i4>1114172</vt:i4>
      </vt:variant>
      <vt:variant>
        <vt:i4>56</vt:i4>
      </vt:variant>
      <vt:variant>
        <vt:i4>0</vt:i4>
      </vt:variant>
      <vt:variant>
        <vt:i4>5</vt:i4>
      </vt:variant>
      <vt:variant>
        <vt:lpwstr/>
      </vt:variant>
      <vt:variant>
        <vt:lpwstr>_Toc160790471</vt:lpwstr>
      </vt:variant>
      <vt:variant>
        <vt:i4>1114172</vt:i4>
      </vt:variant>
      <vt:variant>
        <vt:i4>50</vt:i4>
      </vt:variant>
      <vt:variant>
        <vt:i4>0</vt:i4>
      </vt:variant>
      <vt:variant>
        <vt:i4>5</vt:i4>
      </vt:variant>
      <vt:variant>
        <vt:lpwstr/>
      </vt:variant>
      <vt:variant>
        <vt:lpwstr>_Toc160790470</vt:lpwstr>
      </vt:variant>
      <vt:variant>
        <vt:i4>1048636</vt:i4>
      </vt:variant>
      <vt:variant>
        <vt:i4>44</vt:i4>
      </vt:variant>
      <vt:variant>
        <vt:i4>0</vt:i4>
      </vt:variant>
      <vt:variant>
        <vt:i4>5</vt:i4>
      </vt:variant>
      <vt:variant>
        <vt:lpwstr/>
      </vt:variant>
      <vt:variant>
        <vt:lpwstr>_Toc160790469</vt:lpwstr>
      </vt:variant>
      <vt:variant>
        <vt:i4>1048636</vt:i4>
      </vt:variant>
      <vt:variant>
        <vt:i4>38</vt:i4>
      </vt:variant>
      <vt:variant>
        <vt:i4>0</vt:i4>
      </vt:variant>
      <vt:variant>
        <vt:i4>5</vt:i4>
      </vt:variant>
      <vt:variant>
        <vt:lpwstr/>
      </vt:variant>
      <vt:variant>
        <vt:lpwstr>_Toc160790468</vt:lpwstr>
      </vt:variant>
      <vt:variant>
        <vt:i4>1048636</vt:i4>
      </vt:variant>
      <vt:variant>
        <vt:i4>32</vt:i4>
      </vt:variant>
      <vt:variant>
        <vt:i4>0</vt:i4>
      </vt:variant>
      <vt:variant>
        <vt:i4>5</vt:i4>
      </vt:variant>
      <vt:variant>
        <vt:lpwstr/>
      </vt:variant>
      <vt:variant>
        <vt:lpwstr>_Toc160790467</vt:lpwstr>
      </vt:variant>
      <vt:variant>
        <vt:i4>1048636</vt:i4>
      </vt:variant>
      <vt:variant>
        <vt:i4>26</vt:i4>
      </vt:variant>
      <vt:variant>
        <vt:i4>0</vt:i4>
      </vt:variant>
      <vt:variant>
        <vt:i4>5</vt:i4>
      </vt:variant>
      <vt:variant>
        <vt:lpwstr/>
      </vt:variant>
      <vt:variant>
        <vt:lpwstr>_Toc160790466</vt:lpwstr>
      </vt:variant>
      <vt:variant>
        <vt:i4>1048636</vt:i4>
      </vt:variant>
      <vt:variant>
        <vt:i4>20</vt:i4>
      </vt:variant>
      <vt:variant>
        <vt:i4>0</vt:i4>
      </vt:variant>
      <vt:variant>
        <vt:i4>5</vt:i4>
      </vt:variant>
      <vt:variant>
        <vt:lpwstr/>
      </vt:variant>
      <vt:variant>
        <vt:lpwstr>_Toc160790465</vt:lpwstr>
      </vt:variant>
      <vt:variant>
        <vt:i4>1048636</vt:i4>
      </vt:variant>
      <vt:variant>
        <vt:i4>14</vt:i4>
      </vt:variant>
      <vt:variant>
        <vt:i4>0</vt:i4>
      </vt:variant>
      <vt:variant>
        <vt:i4>5</vt:i4>
      </vt:variant>
      <vt:variant>
        <vt:lpwstr/>
      </vt:variant>
      <vt:variant>
        <vt:lpwstr>_Toc160790464</vt:lpwstr>
      </vt:variant>
      <vt:variant>
        <vt:i4>1048636</vt:i4>
      </vt:variant>
      <vt:variant>
        <vt:i4>8</vt:i4>
      </vt:variant>
      <vt:variant>
        <vt:i4>0</vt:i4>
      </vt:variant>
      <vt:variant>
        <vt:i4>5</vt:i4>
      </vt:variant>
      <vt:variant>
        <vt:lpwstr/>
      </vt:variant>
      <vt:variant>
        <vt:lpwstr>_Toc160790463</vt:lpwstr>
      </vt:variant>
      <vt:variant>
        <vt:i4>1048636</vt:i4>
      </vt:variant>
      <vt:variant>
        <vt:i4>2</vt:i4>
      </vt:variant>
      <vt:variant>
        <vt:i4>0</vt:i4>
      </vt:variant>
      <vt:variant>
        <vt:i4>5</vt:i4>
      </vt:variant>
      <vt:variant>
        <vt:lpwstr/>
      </vt:variant>
      <vt:variant>
        <vt:lpwstr>_Toc160790462</vt:lpwstr>
      </vt:variant>
      <vt:variant>
        <vt:i4>3735648</vt:i4>
      </vt:variant>
      <vt:variant>
        <vt:i4>3</vt:i4>
      </vt:variant>
      <vt:variant>
        <vt:i4>0</vt:i4>
      </vt:variant>
      <vt:variant>
        <vt:i4>5</vt:i4>
      </vt:variant>
      <vt:variant>
        <vt:lpwstr>https://www.canopy.govt.nz/assets/content-blocks/downloads/A-New-Zealand-guide-to-growing-alternative-exotic-forest-species.pdf</vt:lpwstr>
      </vt:variant>
      <vt:variant>
        <vt:lpwstr/>
      </vt:variant>
      <vt:variant>
        <vt:i4>6094941</vt:i4>
      </vt:variant>
      <vt:variant>
        <vt:i4>0</vt:i4>
      </vt:variant>
      <vt:variant>
        <vt:i4>0</vt:i4>
      </vt:variant>
      <vt:variant>
        <vt:i4>5</vt:i4>
      </vt:variant>
      <vt:variant>
        <vt:lpwstr>https://www.mpi.govt.nz/dmsdocument/47677/direct</vt:lpwstr>
      </vt:variant>
      <vt:variant>
        <vt:lpwstr/>
      </vt:variant>
      <vt:variant>
        <vt:i4>2687069</vt:i4>
      </vt:variant>
      <vt:variant>
        <vt:i4>3</vt:i4>
      </vt:variant>
      <vt:variant>
        <vt:i4>0</vt:i4>
      </vt:variant>
      <vt:variant>
        <vt:i4>5</vt:i4>
      </vt:variant>
      <vt:variant>
        <vt:lpwstr>https://ministryforenvironment.sharepoint.com/:w:/r/sites/ECM-EM-ER/Shared Documents/02 - Land use_6561111/06 - Method Development_5059623/05 - Final contract reports_11972225/04 - 2024/Long Term Average - LTA/01a - Report on Long-Term Average Carbon Stock Estimate Model (1) MfEComments.docx?d=we09a123530ac4386bdcf875f7e68624c&amp;csf=1&amp;web=1&amp;e=1ydjAD&amp;nav=eyJjIjoxNjc2MDQ1MDgyfQ</vt:lpwstr>
      </vt:variant>
      <vt:variant>
        <vt:lpwstr/>
      </vt:variant>
      <vt:variant>
        <vt:i4>196674</vt:i4>
      </vt:variant>
      <vt:variant>
        <vt:i4>0</vt:i4>
      </vt:variant>
      <vt:variant>
        <vt:i4>0</vt:i4>
      </vt:variant>
      <vt:variant>
        <vt:i4>5</vt:i4>
      </vt:variant>
      <vt:variant>
        <vt:lpwstr>https://environment.govt.nz/what-government-is-doing/areas-of-work/climate-change/nationally-determined-contribution/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Confidential Client Report</dc:title>
  <dc:subject/>
  <dc:creator>Tracey Fenton</dc:creator>
  <cp:keywords>Writing Resources</cp:keywords>
  <dc:description/>
  <cp:lastModifiedBy>Linda Stirling</cp:lastModifiedBy>
  <cp:revision>3</cp:revision>
  <cp:lastPrinted>2024-10-16T22:11:00Z</cp:lastPrinted>
  <dcterms:created xsi:type="dcterms:W3CDTF">2024-10-17T02:55:00Z</dcterms:created>
  <dcterms:modified xsi:type="dcterms:W3CDTF">2024-10-24T19:47:00Z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DocumType">
    <vt:lpwstr>23;#Forms and Templates|bdd7cb92-b40d-4647-86a2-0e2345f0a39c</vt:lpwstr>
  </property>
  <property fmtid="{D5CDD505-2E9C-101B-9397-08002B2CF9AE}" pid="4" name="TaxKeyword">
    <vt:lpwstr>141;#Writing Resources|9a0aeeed-4b57-4aef-a250-3a798b7a6237</vt:lpwstr>
  </property>
  <property fmtid="{D5CDD505-2E9C-101B-9397-08002B2CF9AE}" pid="5" name="Owner">
    <vt:lpwstr>41;#Science|ef81ecdc-8cc4-4d93-8a88-d8f19c2c1b0f</vt:lpwstr>
  </property>
  <property fmtid="{D5CDD505-2E9C-101B-9397-08002B2CF9AE}" pid="6" name="Process">
    <vt:lpwstr/>
  </property>
  <property fmtid="{D5CDD505-2E9C-101B-9397-08002B2CF9AE}" pid="7" name="Document Type">
    <vt:lpwstr/>
  </property>
  <property fmtid="{D5CDD505-2E9C-101B-9397-08002B2CF9AE}" pid="8" name="MediaServiceImageTags">
    <vt:lpwstr/>
  </property>
  <property fmtid="{D5CDD505-2E9C-101B-9397-08002B2CF9AE}" pid="9" name="MSIP_Label_52dda6cc-d61d-4fd2-bf18-9b3017d931cc_Enabled">
    <vt:lpwstr>true</vt:lpwstr>
  </property>
  <property fmtid="{D5CDD505-2E9C-101B-9397-08002B2CF9AE}" pid="10" name="MSIP_Label_52dda6cc-d61d-4fd2-bf18-9b3017d931cc_SetDate">
    <vt:lpwstr>2023-07-13T03:08:09Z</vt:lpwstr>
  </property>
  <property fmtid="{D5CDD505-2E9C-101B-9397-08002B2CF9AE}" pid="11" name="MSIP_Label_52dda6cc-d61d-4fd2-bf18-9b3017d931cc_Method">
    <vt:lpwstr>Privileged</vt:lpwstr>
  </property>
  <property fmtid="{D5CDD505-2E9C-101B-9397-08002B2CF9AE}" pid="12" name="MSIP_Label_52dda6cc-d61d-4fd2-bf18-9b3017d931cc_Name">
    <vt:lpwstr>[UNCLASSIFIED]</vt:lpwstr>
  </property>
  <property fmtid="{D5CDD505-2E9C-101B-9397-08002B2CF9AE}" pid="13" name="MSIP_Label_52dda6cc-d61d-4fd2-bf18-9b3017d931cc_SiteId">
    <vt:lpwstr>761dd003-d4ff-4049-8a72-8549b20fcbb1</vt:lpwstr>
  </property>
  <property fmtid="{D5CDD505-2E9C-101B-9397-08002B2CF9AE}" pid="14" name="MSIP_Label_52dda6cc-d61d-4fd2-bf18-9b3017d931cc_ActionId">
    <vt:lpwstr>18e33a80-4160-441f-8ca7-e67dfda34486</vt:lpwstr>
  </property>
  <property fmtid="{D5CDD505-2E9C-101B-9397-08002B2CF9AE}" pid="15" name="MSIP_Label_52dda6cc-d61d-4fd2-bf18-9b3017d931cc_ContentBits">
    <vt:lpwstr>0</vt:lpwstr>
  </property>
  <property fmtid="{D5CDD505-2E9C-101B-9397-08002B2CF9AE}" pid="16" name="_dlc_DocIdItemGuid">
    <vt:lpwstr>2f35e9f9-513a-4f56-be04-2dce7be41c16</vt:lpwstr>
  </property>
</Properties>
</file>