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BBAA1" w14:textId="141A410F" w:rsidR="00B30A89" w:rsidRDefault="00DA0D6A" w:rsidP="00524D5E">
      <w:pPr>
        <w:pStyle w:val="BodyText"/>
        <w:spacing w:after="5000"/>
      </w:pPr>
      <w:r>
        <w:rPr>
          <w:noProof/>
        </w:rPr>
        <mc:AlternateContent>
          <mc:Choice Requires="wps">
            <w:drawing>
              <wp:anchor distT="0" distB="0" distL="114300" distR="114300" simplePos="0" relativeHeight="251658241" behindDoc="0" locked="0" layoutInCell="1" allowOverlap="1" wp14:anchorId="4AAB6723" wp14:editId="3AC64638">
                <wp:simplePos x="0" y="0"/>
                <wp:positionH relativeFrom="margin">
                  <wp:align>left</wp:align>
                </wp:positionH>
                <wp:positionV relativeFrom="paragraph">
                  <wp:posOffset>402590</wp:posOffset>
                </wp:positionV>
                <wp:extent cx="6035104" cy="1649423"/>
                <wp:effectExtent l="0" t="0" r="3810" b="2540"/>
                <wp:wrapNone/>
                <wp:docPr id="6" name="Text Box 6"/>
                <wp:cNvGraphicFramePr/>
                <a:graphic xmlns:a="http://schemas.openxmlformats.org/drawingml/2006/main">
                  <a:graphicData uri="http://schemas.microsoft.com/office/word/2010/wordprocessingShape">
                    <wps:wsp>
                      <wps:cNvSpPr txBox="1"/>
                      <wps:spPr>
                        <a:xfrm>
                          <a:off x="0" y="0"/>
                          <a:ext cx="6035104" cy="1649423"/>
                        </a:xfrm>
                        <a:prstGeom prst="rect">
                          <a:avLst/>
                        </a:prstGeom>
                        <a:noFill/>
                        <a:ln w="6350">
                          <a:noFill/>
                        </a:ln>
                      </wps:spPr>
                      <wps:txbx>
                        <w:txbxContent>
                          <w:p w14:paraId="6DF33C62" w14:textId="4B8AFB89" w:rsidR="001B36D8" w:rsidRDefault="00DA0D6A" w:rsidP="00DA0D6A">
                            <w:pPr>
                              <w:pStyle w:val="Title"/>
                              <w:rPr>
                                <w:sz w:val="48"/>
                                <w:szCs w:val="48"/>
                              </w:rPr>
                            </w:pPr>
                            <w:proofErr w:type="spellStart"/>
                            <w:r w:rsidRPr="001B36D8">
                              <w:rPr>
                                <w:sz w:val="48"/>
                                <w:szCs w:val="48"/>
                              </w:rPr>
                              <w:t>Te</w:t>
                            </w:r>
                            <w:proofErr w:type="spellEnd"/>
                            <w:r w:rsidRPr="001B36D8">
                              <w:rPr>
                                <w:sz w:val="48"/>
                                <w:szCs w:val="48"/>
                              </w:rPr>
                              <w:t xml:space="preserve"> </w:t>
                            </w:r>
                            <w:proofErr w:type="spellStart"/>
                            <w:r w:rsidRPr="001B36D8">
                              <w:rPr>
                                <w:sz w:val="48"/>
                                <w:szCs w:val="48"/>
                              </w:rPr>
                              <w:t>Arotake</w:t>
                            </w:r>
                            <w:proofErr w:type="spellEnd"/>
                            <w:r w:rsidRPr="001B36D8">
                              <w:rPr>
                                <w:sz w:val="48"/>
                                <w:szCs w:val="48"/>
                              </w:rPr>
                              <w:t xml:space="preserve"> </w:t>
                            </w:r>
                            <w:proofErr w:type="spellStart"/>
                            <w:r w:rsidRPr="001B36D8">
                              <w:rPr>
                                <w:sz w:val="48"/>
                                <w:szCs w:val="48"/>
                              </w:rPr>
                              <w:t>Mahere</w:t>
                            </w:r>
                            <w:proofErr w:type="spellEnd"/>
                            <w:r w:rsidRPr="001B36D8">
                              <w:rPr>
                                <w:sz w:val="48"/>
                                <w:szCs w:val="48"/>
                              </w:rPr>
                              <w:t xml:space="preserve"> </w:t>
                            </w:r>
                            <w:proofErr w:type="spellStart"/>
                            <w:r w:rsidRPr="001B36D8">
                              <w:rPr>
                                <w:sz w:val="48"/>
                                <w:szCs w:val="48"/>
                              </w:rPr>
                              <w:t>Hokohoko</w:t>
                            </w:r>
                            <w:proofErr w:type="spellEnd"/>
                            <w:r w:rsidR="00C638C2">
                              <w:rPr>
                                <w:sz w:val="48"/>
                                <w:szCs w:val="48"/>
                              </w:rPr>
                              <w:t> </w:t>
                            </w:r>
                            <w:proofErr w:type="spellStart"/>
                            <w:r w:rsidRPr="001B36D8">
                              <w:rPr>
                                <w:sz w:val="48"/>
                                <w:szCs w:val="48"/>
                              </w:rPr>
                              <w:t>Tukunga</w:t>
                            </w:r>
                            <w:proofErr w:type="spellEnd"/>
                            <w:r w:rsidRPr="001B36D8">
                              <w:rPr>
                                <w:sz w:val="48"/>
                                <w:szCs w:val="48"/>
                              </w:rPr>
                              <w:t xml:space="preserve"> </w:t>
                            </w:r>
                          </w:p>
                          <w:p w14:paraId="76A66156" w14:textId="74CC6C7A" w:rsidR="00DA0D6A" w:rsidRPr="001B36D8" w:rsidRDefault="00DA0D6A" w:rsidP="00DA0D6A">
                            <w:pPr>
                              <w:pStyle w:val="Title"/>
                              <w:rPr>
                                <w:sz w:val="48"/>
                                <w:szCs w:val="48"/>
                              </w:rPr>
                            </w:pPr>
                            <w:r w:rsidRPr="001B36D8">
                              <w:rPr>
                                <w:b w:val="0"/>
                                <w:bCs w:val="0"/>
                                <w:sz w:val="48"/>
                                <w:szCs w:val="48"/>
                              </w:rPr>
                              <w:t>Review of the New</w:t>
                            </w:r>
                            <w:r w:rsidR="00290ADD" w:rsidRPr="001B36D8">
                              <w:rPr>
                                <w:b w:val="0"/>
                                <w:bCs w:val="0"/>
                                <w:sz w:val="48"/>
                                <w:szCs w:val="48"/>
                              </w:rPr>
                              <w:t> </w:t>
                            </w:r>
                            <w:r w:rsidRPr="001B36D8">
                              <w:rPr>
                                <w:b w:val="0"/>
                                <w:bCs w:val="0"/>
                                <w:sz w:val="48"/>
                                <w:szCs w:val="48"/>
                              </w:rPr>
                              <w:t>Zealand Emissions</w:t>
                            </w:r>
                            <w:r w:rsidR="00C638C2">
                              <w:rPr>
                                <w:b w:val="0"/>
                                <w:bCs w:val="0"/>
                                <w:sz w:val="48"/>
                                <w:szCs w:val="48"/>
                              </w:rPr>
                              <w:t> </w:t>
                            </w:r>
                            <w:r w:rsidRPr="001B36D8">
                              <w:rPr>
                                <w:b w:val="0"/>
                                <w:bCs w:val="0"/>
                                <w:sz w:val="48"/>
                                <w:szCs w:val="48"/>
                              </w:rPr>
                              <w:t>Trading</w:t>
                            </w:r>
                            <w:r w:rsidR="001B36D8" w:rsidRPr="001B36D8">
                              <w:rPr>
                                <w:b w:val="0"/>
                                <w:bCs w:val="0"/>
                                <w:sz w:val="48"/>
                                <w:szCs w:val="48"/>
                              </w:rPr>
                              <w:t> </w:t>
                            </w:r>
                            <w:r w:rsidRPr="001B36D8">
                              <w:rPr>
                                <w:b w:val="0"/>
                                <w:bCs w:val="0"/>
                                <w:sz w:val="48"/>
                                <w:szCs w:val="48"/>
                              </w:rPr>
                              <w:t>Scheme</w:t>
                            </w:r>
                          </w:p>
                          <w:p w14:paraId="7F26DC68" w14:textId="791866EC" w:rsidR="00B349E3" w:rsidRPr="001B36D8" w:rsidRDefault="00DA0D6A" w:rsidP="00296A94">
                            <w:pPr>
                              <w:pStyle w:val="Subtitle"/>
                              <w:rPr>
                                <w:rFonts w:asciiTheme="minorHAnsi" w:hAnsiTheme="minorHAnsi" w:cstheme="minorHAnsi"/>
                                <w:b w:val="0"/>
                                <w:bCs w:val="0"/>
                                <w:sz w:val="32"/>
                                <w:szCs w:val="32"/>
                              </w:rPr>
                            </w:pPr>
                            <w:r w:rsidRPr="001B36D8">
                              <w:rPr>
                                <w:rFonts w:asciiTheme="minorHAnsi" w:hAnsiTheme="minorHAnsi" w:cstheme="minorHAnsi"/>
                                <w:b w:val="0"/>
                                <w:bCs w:val="0"/>
                                <w:sz w:val="32"/>
                                <w:szCs w:val="32"/>
                              </w:rPr>
                              <w:t xml:space="preserve">Key </w:t>
                            </w:r>
                            <w:r w:rsidR="000942BC" w:rsidRPr="001B36D8">
                              <w:rPr>
                                <w:rFonts w:asciiTheme="minorHAnsi" w:hAnsiTheme="minorHAnsi" w:cstheme="minorHAnsi"/>
                                <w:b w:val="0"/>
                                <w:bCs w:val="0"/>
                                <w:sz w:val="32"/>
                                <w:szCs w:val="32"/>
                              </w:rPr>
                              <w:t>m</w:t>
                            </w:r>
                            <w:r w:rsidRPr="001B36D8">
                              <w:rPr>
                                <w:rFonts w:asciiTheme="minorHAnsi" w:hAnsiTheme="minorHAnsi" w:cstheme="minorHAnsi"/>
                                <w:b w:val="0"/>
                                <w:bCs w:val="0"/>
                                <w:sz w:val="32"/>
                                <w:szCs w:val="32"/>
                              </w:rPr>
                              <w:t xml:space="preserve">essages from </w:t>
                            </w:r>
                            <w:r w:rsidR="000942BC" w:rsidRPr="001B36D8">
                              <w:rPr>
                                <w:rFonts w:asciiTheme="minorHAnsi" w:hAnsiTheme="minorHAnsi" w:cstheme="minorHAnsi"/>
                                <w:b w:val="0"/>
                                <w:bCs w:val="0"/>
                                <w:sz w:val="32"/>
                                <w:szCs w:val="32"/>
                              </w:rPr>
                              <w:t>r</w:t>
                            </w:r>
                            <w:r w:rsidRPr="001B36D8">
                              <w:rPr>
                                <w:rFonts w:asciiTheme="minorHAnsi" w:hAnsiTheme="minorHAnsi" w:cstheme="minorHAnsi"/>
                                <w:b w:val="0"/>
                                <w:bCs w:val="0"/>
                                <w:sz w:val="32"/>
                                <w:szCs w:val="32"/>
                              </w:rPr>
                              <w:t>egional hui</w:t>
                            </w: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spAutoFit/>
                      </wps:bodyPr>
                    </wps:wsp>
                  </a:graphicData>
                </a:graphic>
              </wp:anchor>
            </w:drawing>
          </mc:Choice>
          <mc:Fallback>
            <w:pict>
              <v:shapetype w14:anchorId="4AAB6723" id="_x0000_t202" coordsize="21600,21600" o:spt="202" path="m,l,21600r21600,l21600,xe">
                <v:stroke joinstyle="miter"/>
                <v:path gradientshapeok="t" o:connecttype="rect"/>
              </v:shapetype>
              <v:shape id="Text Box 6" o:spid="_x0000_s1026" type="#_x0000_t202" style="position:absolute;margin-left:0;margin-top:31.7pt;width:475.2pt;height:129.9pt;z-index:251658241;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" filled="f" stroked="f" strokeweight=".5pt">
                <v:textbox style="mso-fit-shape-to-text:t" inset="1mm,2mm,0">
                  <w:txbxContent>
                    <w:p w14:paraId="6DF33C62" w14:textId="4B8AFB89" w:rsidR="001B36D8" w:rsidRDefault="00DA0D6A" w:rsidP="00DA0D6A">
                      <w:pPr>
                        <w:pStyle w:val="Title"/>
                        <w:rPr>
                          <w:sz w:val="48"/>
                          <w:szCs w:val="48"/>
                        </w:rPr>
                      </w:pPr>
                      <w:proofErr w:type="spellStart"/>
                      <w:r w:rsidRPr="001B36D8">
                        <w:rPr>
                          <w:sz w:val="48"/>
                          <w:szCs w:val="48"/>
                        </w:rPr>
                        <w:t>Te</w:t>
                      </w:r>
                      <w:proofErr w:type="spellEnd"/>
                      <w:r w:rsidRPr="001B36D8">
                        <w:rPr>
                          <w:sz w:val="48"/>
                          <w:szCs w:val="48"/>
                        </w:rPr>
                        <w:t xml:space="preserve"> </w:t>
                      </w:r>
                      <w:proofErr w:type="spellStart"/>
                      <w:r w:rsidRPr="001B36D8">
                        <w:rPr>
                          <w:sz w:val="48"/>
                          <w:szCs w:val="48"/>
                        </w:rPr>
                        <w:t>Arotake</w:t>
                      </w:r>
                      <w:proofErr w:type="spellEnd"/>
                      <w:r w:rsidRPr="001B36D8">
                        <w:rPr>
                          <w:sz w:val="48"/>
                          <w:szCs w:val="48"/>
                        </w:rPr>
                        <w:t xml:space="preserve"> </w:t>
                      </w:r>
                      <w:proofErr w:type="spellStart"/>
                      <w:r w:rsidRPr="001B36D8">
                        <w:rPr>
                          <w:sz w:val="48"/>
                          <w:szCs w:val="48"/>
                        </w:rPr>
                        <w:t>Mahere</w:t>
                      </w:r>
                      <w:proofErr w:type="spellEnd"/>
                      <w:r w:rsidRPr="001B36D8">
                        <w:rPr>
                          <w:sz w:val="48"/>
                          <w:szCs w:val="48"/>
                        </w:rPr>
                        <w:t xml:space="preserve"> </w:t>
                      </w:r>
                      <w:proofErr w:type="spellStart"/>
                      <w:r w:rsidRPr="001B36D8">
                        <w:rPr>
                          <w:sz w:val="48"/>
                          <w:szCs w:val="48"/>
                        </w:rPr>
                        <w:t>Hokohoko</w:t>
                      </w:r>
                      <w:proofErr w:type="spellEnd"/>
                      <w:r w:rsidR="00C638C2">
                        <w:rPr>
                          <w:sz w:val="48"/>
                          <w:szCs w:val="48"/>
                        </w:rPr>
                        <w:t> </w:t>
                      </w:r>
                      <w:proofErr w:type="spellStart"/>
                      <w:r w:rsidRPr="001B36D8">
                        <w:rPr>
                          <w:sz w:val="48"/>
                          <w:szCs w:val="48"/>
                        </w:rPr>
                        <w:t>Tukunga</w:t>
                      </w:r>
                      <w:proofErr w:type="spellEnd"/>
                      <w:r w:rsidRPr="001B36D8">
                        <w:rPr>
                          <w:sz w:val="48"/>
                          <w:szCs w:val="48"/>
                        </w:rPr>
                        <w:t xml:space="preserve"> </w:t>
                      </w:r>
                    </w:p>
                    <w:p w14:paraId="76A66156" w14:textId="74CC6C7A" w:rsidR="00DA0D6A" w:rsidRPr="001B36D8" w:rsidRDefault="00DA0D6A" w:rsidP="00DA0D6A">
                      <w:pPr>
                        <w:pStyle w:val="Title"/>
                        <w:rPr>
                          <w:sz w:val="48"/>
                          <w:szCs w:val="48"/>
                        </w:rPr>
                      </w:pPr>
                      <w:r w:rsidRPr="001B36D8">
                        <w:rPr>
                          <w:b w:val="0"/>
                          <w:bCs w:val="0"/>
                          <w:sz w:val="48"/>
                          <w:szCs w:val="48"/>
                        </w:rPr>
                        <w:t>Review of the New</w:t>
                      </w:r>
                      <w:r w:rsidR="00290ADD" w:rsidRPr="001B36D8">
                        <w:rPr>
                          <w:b w:val="0"/>
                          <w:bCs w:val="0"/>
                          <w:sz w:val="48"/>
                          <w:szCs w:val="48"/>
                        </w:rPr>
                        <w:t> </w:t>
                      </w:r>
                      <w:r w:rsidRPr="001B36D8">
                        <w:rPr>
                          <w:b w:val="0"/>
                          <w:bCs w:val="0"/>
                          <w:sz w:val="48"/>
                          <w:szCs w:val="48"/>
                        </w:rPr>
                        <w:t>Zealand Emissions</w:t>
                      </w:r>
                      <w:r w:rsidR="00C638C2">
                        <w:rPr>
                          <w:b w:val="0"/>
                          <w:bCs w:val="0"/>
                          <w:sz w:val="48"/>
                          <w:szCs w:val="48"/>
                        </w:rPr>
                        <w:t> </w:t>
                      </w:r>
                      <w:r w:rsidRPr="001B36D8">
                        <w:rPr>
                          <w:b w:val="0"/>
                          <w:bCs w:val="0"/>
                          <w:sz w:val="48"/>
                          <w:szCs w:val="48"/>
                        </w:rPr>
                        <w:t>Trading</w:t>
                      </w:r>
                      <w:r w:rsidR="001B36D8" w:rsidRPr="001B36D8">
                        <w:rPr>
                          <w:b w:val="0"/>
                          <w:bCs w:val="0"/>
                          <w:sz w:val="48"/>
                          <w:szCs w:val="48"/>
                        </w:rPr>
                        <w:t> </w:t>
                      </w:r>
                      <w:r w:rsidRPr="001B36D8">
                        <w:rPr>
                          <w:b w:val="0"/>
                          <w:bCs w:val="0"/>
                          <w:sz w:val="48"/>
                          <w:szCs w:val="48"/>
                        </w:rPr>
                        <w:t>Scheme</w:t>
                      </w:r>
                    </w:p>
                    <w:p w14:paraId="7F26DC68" w14:textId="791866EC" w:rsidR="00B349E3" w:rsidRPr="001B36D8" w:rsidRDefault="00DA0D6A" w:rsidP="00296A94">
                      <w:pPr>
                        <w:pStyle w:val="Subtitle"/>
                        <w:rPr>
                          <w:rFonts w:asciiTheme="minorHAnsi" w:hAnsiTheme="minorHAnsi" w:cstheme="minorHAnsi"/>
                          <w:b w:val="0"/>
                          <w:bCs w:val="0"/>
                          <w:sz w:val="32"/>
                          <w:szCs w:val="32"/>
                        </w:rPr>
                      </w:pPr>
                      <w:r w:rsidRPr="001B36D8">
                        <w:rPr>
                          <w:rFonts w:asciiTheme="minorHAnsi" w:hAnsiTheme="minorHAnsi" w:cstheme="minorHAnsi"/>
                          <w:b w:val="0"/>
                          <w:bCs w:val="0"/>
                          <w:sz w:val="32"/>
                          <w:szCs w:val="32"/>
                        </w:rPr>
                        <w:t xml:space="preserve">Key </w:t>
                      </w:r>
                      <w:r w:rsidR="000942BC" w:rsidRPr="001B36D8">
                        <w:rPr>
                          <w:rFonts w:asciiTheme="minorHAnsi" w:hAnsiTheme="minorHAnsi" w:cstheme="minorHAnsi"/>
                          <w:b w:val="0"/>
                          <w:bCs w:val="0"/>
                          <w:sz w:val="32"/>
                          <w:szCs w:val="32"/>
                        </w:rPr>
                        <w:t>m</w:t>
                      </w:r>
                      <w:r w:rsidRPr="001B36D8">
                        <w:rPr>
                          <w:rFonts w:asciiTheme="minorHAnsi" w:hAnsiTheme="minorHAnsi" w:cstheme="minorHAnsi"/>
                          <w:b w:val="0"/>
                          <w:bCs w:val="0"/>
                          <w:sz w:val="32"/>
                          <w:szCs w:val="32"/>
                        </w:rPr>
                        <w:t xml:space="preserve">essages from </w:t>
                      </w:r>
                      <w:r w:rsidR="000942BC" w:rsidRPr="001B36D8">
                        <w:rPr>
                          <w:rFonts w:asciiTheme="minorHAnsi" w:hAnsiTheme="minorHAnsi" w:cstheme="minorHAnsi"/>
                          <w:b w:val="0"/>
                          <w:bCs w:val="0"/>
                          <w:sz w:val="32"/>
                          <w:szCs w:val="32"/>
                        </w:rPr>
                        <w:t>r</w:t>
                      </w:r>
                      <w:r w:rsidRPr="001B36D8">
                        <w:rPr>
                          <w:rFonts w:asciiTheme="minorHAnsi" w:hAnsiTheme="minorHAnsi" w:cstheme="minorHAnsi"/>
                          <w:b w:val="0"/>
                          <w:bCs w:val="0"/>
                          <w:sz w:val="32"/>
                          <w:szCs w:val="32"/>
                        </w:rPr>
                        <w:t>egional hui</w:t>
                      </w:r>
                    </w:p>
                  </w:txbxContent>
                </v:textbox>
                <w10:wrap anchorx="margin"/>
              </v:shape>
            </w:pict>
          </mc:Fallback>
        </mc:AlternateContent>
      </w:r>
      <w:r w:rsidR="00D171C6">
        <w:rPr>
          <w:noProof/>
        </w:rPr>
        <w:drawing>
          <wp:anchor distT="0" distB="0" distL="114300" distR="114300" simplePos="0" relativeHeight="251658240" behindDoc="1" locked="0" layoutInCell="1" allowOverlap="1" wp14:anchorId="2AD75D83" wp14:editId="50A00EB8">
            <wp:simplePos x="0" y="0"/>
            <wp:positionH relativeFrom="column">
              <wp:posOffset>-892649</wp:posOffset>
            </wp:positionH>
            <wp:positionV relativeFrom="paragraph">
              <wp:posOffset>-715010</wp:posOffset>
            </wp:positionV>
            <wp:extent cx="7559675" cy="4100195"/>
            <wp:effectExtent l="0" t="0" r="3175"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59675" cy="4100195"/>
                    </a:xfrm>
                    <a:prstGeom prst="rect">
                      <a:avLst/>
                    </a:prstGeom>
                  </pic:spPr>
                </pic:pic>
              </a:graphicData>
            </a:graphic>
          </wp:anchor>
        </w:drawing>
      </w:r>
    </w:p>
    <w:p w14:paraId="72D39AC9" w14:textId="7C3DB538" w:rsidR="00F5746A" w:rsidRDefault="00CB3313" w:rsidP="00BB250E">
      <w:pPr>
        <w:pStyle w:val="Heading2"/>
      </w:pPr>
      <w:r>
        <w:t>Purpose</w:t>
      </w:r>
    </w:p>
    <w:p w14:paraId="56E50F04" w14:textId="0A15BBD8" w:rsidR="00DA0D6A" w:rsidRPr="009A5BC9" w:rsidRDefault="00DA0D6A" w:rsidP="00BB250E">
      <w:pPr>
        <w:pStyle w:val="BodyText"/>
      </w:pPr>
      <w:r>
        <w:t>This document provides a summary of key themes discussed during regional hui held with M</w:t>
      </w:r>
      <w:r>
        <w:rPr>
          <w:lang w:val="mi-NZ"/>
        </w:rPr>
        <w:t xml:space="preserve">āori </w:t>
      </w:r>
      <w:r>
        <w:t xml:space="preserve">as part of public consultation on the New Zealand Emissions Trading Scheme (NZ ETS) review and </w:t>
      </w:r>
      <w:r w:rsidR="008C3849">
        <w:t xml:space="preserve">the </w:t>
      </w:r>
      <w:r>
        <w:t>NZ</w:t>
      </w:r>
      <w:r w:rsidR="00BB250E">
        <w:t> </w:t>
      </w:r>
      <w:r>
        <w:t>ETS permanent forestry category redesign in July and August 2023.</w:t>
      </w:r>
      <w:r w:rsidR="00A002EB">
        <w:t xml:space="preserve"> </w:t>
      </w:r>
      <w:r>
        <w:t xml:space="preserve">Feedback on a proposal for a biodiversity credit system was also sought during the regional in-person hui. However, the feedback received on </w:t>
      </w:r>
      <w:r w:rsidR="00044C87">
        <w:t xml:space="preserve">that </w:t>
      </w:r>
      <w:r>
        <w:t>proposal is not summarised here.</w:t>
      </w:r>
    </w:p>
    <w:p w14:paraId="3AE60B3A" w14:textId="296B309A" w:rsidR="00F5746A" w:rsidRPr="00225830" w:rsidRDefault="00DA0D6A" w:rsidP="00F5746A">
      <w:pPr>
        <w:pStyle w:val="Heading2"/>
      </w:pPr>
      <w:r>
        <w:t xml:space="preserve">Common </w:t>
      </w:r>
      <w:r w:rsidR="00044C87">
        <w:t>t</w:t>
      </w:r>
      <w:r>
        <w:t>hemes</w:t>
      </w:r>
    </w:p>
    <w:p w14:paraId="6BBB8224" w14:textId="75F85C1A" w:rsidR="00A002EB" w:rsidRDefault="00DA0D6A" w:rsidP="00F962C3">
      <w:pPr>
        <w:pStyle w:val="BodyText"/>
      </w:pPr>
      <w:r>
        <w:t xml:space="preserve">There were regional differences in the feedback received during the hui. This reflects the focus and interests of </w:t>
      </w:r>
      <w:r w:rsidRPr="00AA77E7">
        <w:t>Māori</w:t>
      </w:r>
      <w:r>
        <w:t xml:space="preserve"> across the different regions. The differences in feedback received reflected the </w:t>
      </w:r>
      <w:proofErr w:type="gramStart"/>
      <w:r>
        <w:t>particular land</w:t>
      </w:r>
      <w:proofErr w:type="gramEnd"/>
      <w:r>
        <w:t xml:space="preserve">, forestry or environmental issues in the regions. </w:t>
      </w:r>
    </w:p>
    <w:p w14:paraId="6016B7C7" w14:textId="668A8920" w:rsidR="00DA0D6A" w:rsidRPr="00A002EB" w:rsidRDefault="00DA0D6A" w:rsidP="00F962C3">
      <w:pPr>
        <w:pStyle w:val="BodyText"/>
      </w:pPr>
      <w:r>
        <w:t xml:space="preserve">Common themes raised </w:t>
      </w:r>
      <w:r w:rsidRPr="00AA77E7">
        <w:t xml:space="preserve">by attendees </w:t>
      </w:r>
      <w:r>
        <w:t>include:</w:t>
      </w:r>
      <w:r w:rsidRPr="00AA77E7">
        <w:t xml:space="preserve"> </w:t>
      </w:r>
    </w:p>
    <w:p w14:paraId="62952B1A" w14:textId="74A3BC3F" w:rsidR="00DA0D6A" w:rsidRPr="00DA0D6A" w:rsidRDefault="009620AA" w:rsidP="009620AA">
      <w:pPr>
        <w:pStyle w:val="Bullet"/>
      </w:pPr>
      <w:r>
        <w:t xml:space="preserve">an </w:t>
      </w:r>
      <w:r w:rsidR="00DA0D6A" w:rsidRPr="00DA0D6A">
        <w:t>interest in how the proposals could affect existing forests in the NZ ETS</w:t>
      </w:r>
    </w:p>
    <w:p w14:paraId="0FA36E2C" w14:textId="1CB524D8" w:rsidR="00DA0D6A" w:rsidRPr="00DA0D6A" w:rsidRDefault="009620AA" w:rsidP="009620AA">
      <w:pPr>
        <w:pStyle w:val="Bullet"/>
      </w:pPr>
      <w:r>
        <w:t xml:space="preserve">the </w:t>
      </w:r>
      <w:r w:rsidR="00DA0D6A" w:rsidRPr="00DA0D6A">
        <w:t>importance of regulatory and market certainty in the NZ ETS</w:t>
      </w:r>
    </w:p>
    <w:p w14:paraId="0BC64CC7" w14:textId="77777777" w:rsidR="00DA0D6A" w:rsidRPr="00DA0D6A" w:rsidRDefault="00DA0D6A" w:rsidP="009620AA">
      <w:pPr>
        <w:pStyle w:val="Bullet"/>
      </w:pPr>
      <w:r w:rsidRPr="00DA0D6A">
        <w:t xml:space="preserve">a desire to understand the Government’s modelling underlying the </w:t>
      </w:r>
      <w:proofErr w:type="gramStart"/>
      <w:r w:rsidRPr="00DA0D6A">
        <w:t>analysis</w:t>
      </w:r>
      <w:proofErr w:type="gramEnd"/>
    </w:p>
    <w:p w14:paraId="517C2A03" w14:textId="6C533288" w:rsidR="00DA0D6A" w:rsidRPr="00DA0D6A" w:rsidRDefault="00DA0D6A" w:rsidP="009620AA">
      <w:pPr>
        <w:pStyle w:val="Bullet"/>
      </w:pPr>
      <w:r w:rsidRPr="00DA0D6A">
        <w:t>a desire for partnership with the Crown in developing proposals</w:t>
      </w:r>
      <w:r w:rsidR="009620AA">
        <w:t>.</w:t>
      </w:r>
    </w:p>
    <w:p w14:paraId="23648604" w14:textId="1C1891A6" w:rsidR="00DA0D6A" w:rsidRPr="00AA77E7" w:rsidRDefault="00DA0D6A" w:rsidP="009620AA">
      <w:pPr>
        <w:pStyle w:val="BodyText"/>
      </w:pPr>
      <w:r>
        <w:t>T</w:t>
      </w:r>
      <w:r w:rsidRPr="00AA77E7">
        <w:t>here was also significant interest in</w:t>
      </w:r>
      <w:r w:rsidR="000E020C">
        <w:t xml:space="preserve"> how</w:t>
      </w:r>
      <w:r w:rsidRPr="00AA77E7">
        <w:t xml:space="preserve"> the </w:t>
      </w:r>
      <w:r>
        <w:t xml:space="preserve">proposals </w:t>
      </w:r>
      <w:r w:rsidR="000E020C">
        <w:t xml:space="preserve">relate </w:t>
      </w:r>
      <w:r w:rsidRPr="00AA77E7">
        <w:t xml:space="preserve">to broader Government work programmes – </w:t>
      </w:r>
      <w:r>
        <w:t>for example, how the proposals would impact on the need to purchase</w:t>
      </w:r>
      <w:r w:rsidRPr="00AA77E7">
        <w:t xml:space="preserve"> international offsets to meet </w:t>
      </w:r>
      <w:r w:rsidR="00A002EB" w:rsidRPr="00AA77E7">
        <w:t>targets</w:t>
      </w:r>
      <w:r w:rsidR="00A002EB">
        <w:t xml:space="preserve"> or</w:t>
      </w:r>
      <w:r>
        <w:t xml:space="preserve"> interact with proposed changes to resource management rules for forestry</w:t>
      </w:r>
      <w:r w:rsidRPr="00AA77E7">
        <w:t>.</w:t>
      </w:r>
    </w:p>
    <w:p w14:paraId="6FB7F03E" w14:textId="4727CB08" w:rsidR="00F5746A" w:rsidRPr="00225830" w:rsidRDefault="00DA0D6A" w:rsidP="00F5746A">
      <w:pPr>
        <w:pStyle w:val="Heading3"/>
      </w:pPr>
      <w:r>
        <w:lastRenderedPageBreak/>
        <w:t xml:space="preserve">Regional </w:t>
      </w:r>
      <w:r w:rsidR="009123B4">
        <w:t>h</w:t>
      </w:r>
      <w:r>
        <w:t>ui</w:t>
      </w:r>
    </w:p>
    <w:p w14:paraId="26D5549F" w14:textId="13311D4C" w:rsidR="00DA0D6A" w:rsidRPr="00AA77E7" w:rsidRDefault="00DA0D6A" w:rsidP="00DA0D6A">
      <w:pPr>
        <w:rPr>
          <w:rFonts w:cstheme="minorHAnsi"/>
        </w:rPr>
      </w:pPr>
      <w:r w:rsidRPr="00AA77E7">
        <w:rPr>
          <w:rFonts w:cstheme="minorHAnsi"/>
        </w:rPr>
        <w:t xml:space="preserve">Six regional </w:t>
      </w:r>
      <w:proofErr w:type="gramStart"/>
      <w:r w:rsidRPr="00AA77E7">
        <w:rPr>
          <w:rFonts w:cstheme="minorHAnsi"/>
        </w:rPr>
        <w:t>hui</w:t>
      </w:r>
      <w:proofErr w:type="gramEnd"/>
      <w:r w:rsidRPr="00AA77E7">
        <w:rPr>
          <w:rFonts w:cstheme="minorHAnsi"/>
        </w:rPr>
        <w:t xml:space="preserve"> were held between 18 July and 3 August</w:t>
      </w:r>
      <w:r w:rsidRPr="00AA77E7">
        <w:t xml:space="preserve"> </w:t>
      </w:r>
      <w:r>
        <w:t>as part of consultation on the NZ ETS review and NZ</w:t>
      </w:r>
      <w:r w:rsidR="00476E23">
        <w:t> </w:t>
      </w:r>
      <w:r>
        <w:t>ETS permanent forestry category redesign. The hui</w:t>
      </w:r>
      <w:r w:rsidRPr="00AA77E7">
        <w:rPr>
          <w:rFonts w:cstheme="minorHAnsi"/>
        </w:rPr>
        <w:t xml:space="preserve"> </w:t>
      </w:r>
      <w:r>
        <w:rPr>
          <w:rFonts w:cstheme="minorHAnsi"/>
        </w:rPr>
        <w:t>were</w:t>
      </w:r>
      <w:r w:rsidRPr="00AA77E7">
        <w:rPr>
          <w:rFonts w:cstheme="minorHAnsi"/>
        </w:rPr>
        <w:t xml:space="preserve"> focussed on receiving feedback</w:t>
      </w:r>
      <w:r>
        <w:rPr>
          <w:rFonts w:cstheme="minorHAnsi"/>
        </w:rPr>
        <w:t xml:space="preserve"> on the proposals</w:t>
      </w:r>
      <w:r w:rsidRPr="00AA77E7">
        <w:rPr>
          <w:rFonts w:cstheme="minorHAnsi"/>
        </w:rPr>
        <w:t xml:space="preserve"> from iwi/Māori. A hui was also held in </w:t>
      </w:r>
      <w:r w:rsidRPr="000B13E1">
        <w:rPr>
          <w:rFonts w:cstheme="minorHAnsi"/>
        </w:rPr>
        <w:t xml:space="preserve">Te Tai Tokerau </w:t>
      </w:r>
      <w:r w:rsidRPr="00AA77E7">
        <w:rPr>
          <w:rFonts w:cstheme="minorHAnsi"/>
        </w:rPr>
        <w:t>on 10 July between Minister Henare and Ng</w:t>
      </w:r>
      <w:r>
        <w:rPr>
          <w:rFonts w:cstheme="minorHAnsi"/>
        </w:rPr>
        <w:t>ā</w:t>
      </w:r>
      <w:r w:rsidRPr="00AA77E7">
        <w:rPr>
          <w:rFonts w:cstheme="minorHAnsi"/>
        </w:rPr>
        <w:t>ti Hine Forestry Trust.</w:t>
      </w:r>
    </w:p>
    <w:p w14:paraId="271BD3C2" w14:textId="77777777" w:rsidR="0007347E" w:rsidRDefault="0007347E" w:rsidP="00DA0D6A">
      <w:pPr>
        <w:pStyle w:val="Sub-bullet"/>
      </w:pP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4616FE" w:rsidRPr="00A01420" w14:paraId="1C2E9C0E" w14:textId="77777777" w:rsidTr="00361CDD">
        <w:tc>
          <w:tcPr>
            <w:tcW w:w="0" w:type="auto"/>
            <w:shd w:val="clear" w:color="auto" w:fill="D2DDE1"/>
          </w:tcPr>
          <w:p w14:paraId="0645463C" w14:textId="60914B12" w:rsidR="00DA0D6A" w:rsidRPr="00BF58D3" w:rsidRDefault="00DA0D6A" w:rsidP="0007347E">
            <w:pPr>
              <w:pStyle w:val="Boxheading"/>
              <w:rPr>
                <w:lang w:val="de-DE"/>
              </w:rPr>
            </w:pPr>
            <w:r w:rsidRPr="00BF58D3">
              <w:rPr>
                <w:lang w:val="de-DE"/>
              </w:rPr>
              <w:t>Te Tai Tokerau – Ngati Hine (10 July 2023)</w:t>
            </w:r>
          </w:p>
          <w:p w14:paraId="70F3AD93" w14:textId="37E43C10" w:rsidR="00DA0D6A" w:rsidRPr="00A002EB" w:rsidRDefault="00A002EB" w:rsidP="0007347E">
            <w:pPr>
              <w:pStyle w:val="Boxbullet"/>
              <w:spacing w:before="120"/>
              <w:ind w:left="641" w:hanging="357"/>
            </w:pPr>
            <w:r>
              <w:t>I</w:t>
            </w:r>
            <w:r w:rsidR="00DA0D6A" w:rsidRPr="00A002EB">
              <w:t>nterest in options that provide access to international markets to manage NZ ETS supply issues.</w:t>
            </w:r>
          </w:p>
          <w:p w14:paraId="4F56E4F3" w14:textId="3CD1E7A5" w:rsidR="00DA0D6A" w:rsidRPr="00A002EB" w:rsidRDefault="00DA0D6A" w:rsidP="0007347E">
            <w:pPr>
              <w:pStyle w:val="Boxbullet"/>
            </w:pPr>
            <w:r w:rsidRPr="00A002EB">
              <w:t>There was concern that the proposals could reduce land</w:t>
            </w:r>
            <w:r w:rsidR="004B16A3">
              <w:t>-</w:t>
            </w:r>
            <w:r w:rsidRPr="00A002EB">
              <w:t>use options and it was considered important that Māori landowner choice is maintained.</w:t>
            </w:r>
          </w:p>
          <w:p w14:paraId="539A248E" w14:textId="2136E127" w:rsidR="00DA0D6A" w:rsidRPr="00A002EB" w:rsidRDefault="00DA0D6A" w:rsidP="0007347E">
            <w:pPr>
              <w:pStyle w:val="Boxbullet"/>
            </w:pPr>
            <w:r w:rsidRPr="00A002EB">
              <w:t>Concerns were raised about the uncertainty that has been introduced by the proposals – both in the forestry and agriculture industries. It was argued that trees were critical to the climate response but proposals risk crashing afforestation.</w:t>
            </w:r>
          </w:p>
          <w:p w14:paraId="3866AF5F" w14:textId="4CDA3496" w:rsidR="00A002EB" w:rsidRDefault="00DA0D6A" w:rsidP="0007347E">
            <w:pPr>
              <w:pStyle w:val="Boxbullet"/>
            </w:pPr>
            <w:r w:rsidRPr="00A002EB">
              <w:t xml:space="preserve">Forestry is critical to producing substitutes for fossil-based </w:t>
            </w:r>
            <w:proofErr w:type="gramStart"/>
            <w:r w:rsidRPr="00A002EB">
              <w:t>products</w:t>
            </w:r>
            <w:proofErr w:type="gramEnd"/>
            <w:r w:rsidRPr="00A002EB">
              <w:t xml:space="preserve"> but </w:t>
            </w:r>
            <w:r w:rsidR="00F91B0A">
              <w:t>G</w:t>
            </w:r>
            <w:r w:rsidRPr="00A002EB">
              <w:t>overnment needed to work with Māori to realise this potential.</w:t>
            </w:r>
          </w:p>
          <w:p w14:paraId="79CF2E42" w14:textId="46E82807" w:rsidR="004616FE" w:rsidRPr="00A002EB" w:rsidRDefault="00DA0D6A" w:rsidP="0007347E">
            <w:pPr>
              <w:pStyle w:val="Boxbullet"/>
            </w:pPr>
            <w:r w:rsidRPr="00A002EB">
              <w:t>Crown needs to work in partnership with Māori and Māori need to be able to bring mātauranga into forest management (such as pest control).</w:t>
            </w:r>
          </w:p>
        </w:tc>
      </w:tr>
    </w:tbl>
    <w:p w14:paraId="43258526" w14:textId="77777777" w:rsidR="004616FE" w:rsidRDefault="004616FE" w:rsidP="004616FE">
      <w:pPr>
        <w:pStyle w:val="BodyText"/>
      </w:pPr>
    </w:p>
    <w:tbl>
      <w:tblPr>
        <w:tblW w:w="9072" w:type="dxa"/>
        <w:tblBorders>
          <w:top w:val="single" w:sz="4" w:space="0" w:color="D5EBE8"/>
          <w:left w:val="single" w:sz="4" w:space="0" w:color="D5EBE8"/>
          <w:bottom w:val="single" w:sz="4" w:space="0" w:color="D5EBE8"/>
          <w:right w:val="single" w:sz="4" w:space="0" w:color="D5EBE8"/>
          <w:insideH w:val="single" w:sz="4" w:space="0" w:color="D5EBE8"/>
          <w:insideV w:val="single" w:sz="4" w:space="0" w:color="D5EBE8"/>
        </w:tblBorders>
        <w:shd w:val="clear" w:color="auto" w:fill="D5EBE8"/>
        <w:tblLook w:val="04A0" w:firstRow="1" w:lastRow="0" w:firstColumn="1" w:lastColumn="0" w:noHBand="0" w:noVBand="1"/>
      </w:tblPr>
      <w:tblGrid>
        <w:gridCol w:w="9072"/>
      </w:tblGrid>
      <w:tr w:rsidR="004616FE" w:rsidRPr="00A01420" w14:paraId="54DEE842" w14:textId="77777777" w:rsidTr="00246CA3">
        <w:tc>
          <w:tcPr>
            <w:tcW w:w="9072" w:type="dxa"/>
            <w:shd w:val="clear" w:color="auto" w:fill="D5EBE8"/>
          </w:tcPr>
          <w:p w14:paraId="2BF933F2" w14:textId="2415190E" w:rsidR="00DA0D6A" w:rsidRPr="00A002EB" w:rsidRDefault="00DA0D6A" w:rsidP="0007347E">
            <w:pPr>
              <w:pStyle w:val="Boxheading"/>
            </w:pPr>
            <w:proofErr w:type="spellStart"/>
            <w:r w:rsidRPr="00A002EB">
              <w:t>Te</w:t>
            </w:r>
            <w:proofErr w:type="spellEnd"/>
            <w:r w:rsidRPr="00A002EB">
              <w:t xml:space="preserve"> Whanganui-a-Tara (18 July 2023)</w:t>
            </w:r>
          </w:p>
          <w:p w14:paraId="1AA4BEE7" w14:textId="5751065F" w:rsidR="00DA0D6A" w:rsidRPr="00A002EB" w:rsidRDefault="00DA0D6A" w:rsidP="0007347E">
            <w:pPr>
              <w:pStyle w:val="Boxbullet"/>
              <w:spacing w:before="120"/>
              <w:ind w:left="641" w:hanging="357"/>
            </w:pPr>
            <w:r w:rsidRPr="00A002EB">
              <w:t>On the NZ ETS review, it was suggested that the NZ ETS alone won’t meet all the Government’s objectives for emissions reductions. It was considered that a suite of options outside of the NZ</w:t>
            </w:r>
            <w:r w:rsidR="005A4F10">
              <w:t> </w:t>
            </w:r>
            <w:r w:rsidRPr="00A002EB">
              <w:t>ETS will also be needed.</w:t>
            </w:r>
          </w:p>
          <w:p w14:paraId="3D3C5F30" w14:textId="5F861FFD" w:rsidR="00DA0D6A" w:rsidRPr="00A002EB" w:rsidRDefault="00DA0D6A" w:rsidP="0007347E">
            <w:pPr>
              <w:pStyle w:val="Boxbullet"/>
            </w:pPr>
            <w:r w:rsidRPr="00A002EB">
              <w:t>It was considered that it seemed premature to change the NZ ETS at this stage and option 1 was suggested as the preferred option (</w:t>
            </w:r>
            <w:proofErr w:type="spellStart"/>
            <w:r w:rsidRPr="00A002EB">
              <w:t>eg</w:t>
            </w:r>
            <w:proofErr w:type="spellEnd"/>
            <w:r w:rsidRPr="00A002EB">
              <w:t>, use existing NZ ETS levers to strengthen incentives for net emissions reductions) to</w:t>
            </w:r>
            <w:r w:rsidR="00A002EB">
              <w:t xml:space="preserve"> </w:t>
            </w:r>
            <w:r w:rsidRPr="00A002EB">
              <w:t xml:space="preserve">solve the supply issue. </w:t>
            </w:r>
          </w:p>
          <w:p w14:paraId="501C81EA" w14:textId="45124C33" w:rsidR="00DA0D6A" w:rsidRPr="00A002EB" w:rsidRDefault="00A002EB" w:rsidP="0007347E">
            <w:pPr>
              <w:pStyle w:val="Boxbullet"/>
            </w:pPr>
            <w:r>
              <w:t>An option</w:t>
            </w:r>
            <w:r w:rsidR="00DA0D6A" w:rsidRPr="00A002EB">
              <w:t xml:space="preserve"> was discussed that the Government has not considered. This could include no primary market (</w:t>
            </w:r>
            <w:proofErr w:type="spellStart"/>
            <w:r w:rsidR="00DA0D6A" w:rsidRPr="00A002EB">
              <w:t>e</w:t>
            </w:r>
            <w:r w:rsidR="005040DC">
              <w:t>g</w:t>
            </w:r>
            <w:proofErr w:type="spellEnd"/>
            <w:r w:rsidR="00DA0D6A" w:rsidRPr="00A002EB">
              <w:t>, no auction)</w:t>
            </w:r>
            <w:r w:rsidR="00895635">
              <w:t>,</w:t>
            </w:r>
            <w:r w:rsidR="00DA0D6A" w:rsidRPr="00A002EB">
              <w:t xml:space="preserve"> a price floor and potentially a price ceiling for the secondary market.</w:t>
            </w:r>
          </w:p>
          <w:p w14:paraId="6810F007" w14:textId="77777777" w:rsidR="00A002EB" w:rsidRDefault="00DA0D6A" w:rsidP="0007347E">
            <w:pPr>
              <w:pStyle w:val="Boxbullet"/>
            </w:pPr>
            <w:r w:rsidRPr="00A002EB">
              <w:t>On the redesign of the permanent forest category, it was considered that there are lots of different models that can be used for transition forests that need to be tested.</w:t>
            </w:r>
          </w:p>
          <w:p w14:paraId="10923A9A" w14:textId="5B6FB8C9" w:rsidR="004616FE" w:rsidRPr="00A002EB" w:rsidRDefault="00DA0D6A" w:rsidP="0007347E">
            <w:pPr>
              <w:pStyle w:val="Boxbullet"/>
            </w:pPr>
            <w:r w:rsidRPr="00A002EB">
              <w:t>There was some support for the transition forest accounting model and there was interest in exploring it further.</w:t>
            </w:r>
          </w:p>
        </w:tc>
      </w:tr>
    </w:tbl>
    <w:p w14:paraId="1B7F713E" w14:textId="77777777" w:rsidR="00A002EB" w:rsidRPr="0007347E" w:rsidRDefault="00A002EB" w:rsidP="00246CA3">
      <w:pPr>
        <w:rPr>
          <w:b/>
          <w:bCs/>
        </w:rPr>
      </w:pP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E30CA7" w:rsidRPr="00A01420" w14:paraId="5866643D" w14:textId="77777777">
        <w:tc>
          <w:tcPr>
            <w:tcW w:w="0" w:type="auto"/>
            <w:shd w:val="clear" w:color="auto" w:fill="D2DDE1"/>
          </w:tcPr>
          <w:p w14:paraId="71E99937" w14:textId="2F327301" w:rsidR="00A002EB" w:rsidRPr="00A002EB" w:rsidRDefault="00A002EB" w:rsidP="0007347E">
            <w:pPr>
              <w:pStyle w:val="Boxheading"/>
            </w:pPr>
            <w:r w:rsidRPr="00A002EB">
              <w:lastRenderedPageBreak/>
              <w:t>Rotorua (20 July 2023)</w:t>
            </w:r>
          </w:p>
          <w:p w14:paraId="1256F468" w14:textId="4F42ED06" w:rsidR="00A002EB" w:rsidRPr="00A002EB" w:rsidRDefault="00A002EB" w:rsidP="0007347E">
            <w:pPr>
              <w:pStyle w:val="Boxbullet"/>
              <w:spacing w:before="120"/>
              <w:ind w:left="641" w:hanging="357"/>
            </w:pPr>
            <w:r w:rsidRPr="00A002EB">
              <w:t xml:space="preserve">Attendees </w:t>
            </w:r>
            <w:r w:rsidR="00DA4B7A">
              <w:t xml:space="preserve">were </w:t>
            </w:r>
            <w:r w:rsidRPr="00A002EB">
              <w:t>largely opposed to the NZ ETS review proposals and focussed on the significant impact of the proposals on Māori landowners and communities (including impacts of NZ</w:t>
            </w:r>
            <w:r w:rsidR="003863A8">
              <w:t> </w:t>
            </w:r>
            <w:r w:rsidRPr="00A002EB">
              <w:t>ETS costs on Māori households).</w:t>
            </w:r>
          </w:p>
          <w:p w14:paraId="2CEB0310" w14:textId="77777777" w:rsidR="00A002EB" w:rsidRPr="00A002EB" w:rsidRDefault="00A002EB" w:rsidP="0007347E">
            <w:pPr>
              <w:pStyle w:val="Boxbullet"/>
            </w:pPr>
            <w:r w:rsidRPr="00A002EB">
              <w:t>Some attendees expressed frustration at domestic forestry removals being devalued when international forestry removals will need to be purchased to meet targets. It was argued that New Zealand could sell excess forestry removal units overseas to manage supply.</w:t>
            </w:r>
          </w:p>
          <w:p w14:paraId="4EE14904" w14:textId="77777777" w:rsidR="00A002EB" w:rsidRPr="00A002EB" w:rsidRDefault="00A002EB" w:rsidP="0007347E">
            <w:pPr>
              <w:pStyle w:val="Boxbullet"/>
            </w:pPr>
            <w:r w:rsidRPr="00A002EB">
              <w:t>It was argued that the agricultural sector needed to play a bigger role in emissions reductions and the NZ ETS (as part of the Government’s stated commitment to prioritising gross emissions reductions).</w:t>
            </w:r>
          </w:p>
          <w:p w14:paraId="33BAEDE1" w14:textId="77777777" w:rsidR="00A002EB" w:rsidRPr="00A002EB" w:rsidRDefault="00A002EB" w:rsidP="0007347E">
            <w:pPr>
              <w:pStyle w:val="Boxbullet"/>
            </w:pPr>
            <w:r w:rsidRPr="00A002EB">
              <w:t>Despite clear support for transition forests, attendees also largely opposed the proposals for the redesign of the permanent forest category and considered landowners should be able to choose what type of forest they plant (including but not limited to transition forests).</w:t>
            </w:r>
          </w:p>
          <w:p w14:paraId="5BCCBC73" w14:textId="5A64C29B" w:rsidR="00E30CA7" w:rsidRPr="00A002EB" w:rsidRDefault="00A002EB" w:rsidP="0007347E">
            <w:pPr>
              <w:pStyle w:val="Boxbullet"/>
            </w:pPr>
            <w:r w:rsidRPr="00A002EB">
              <w:t>Attendees requested more engagement and co-design of options with Māori.</w:t>
            </w:r>
          </w:p>
        </w:tc>
      </w:tr>
    </w:tbl>
    <w:p w14:paraId="6B20578B" w14:textId="77777777" w:rsidR="00E30CA7" w:rsidRDefault="00E30CA7" w:rsidP="00E30CA7">
      <w:pPr>
        <w:pStyle w:val="BodyText"/>
      </w:pPr>
    </w:p>
    <w:tbl>
      <w:tblPr>
        <w:tblW w:w="9072" w:type="dxa"/>
        <w:tblBorders>
          <w:top w:val="single" w:sz="4" w:space="0" w:color="D5EBE8"/>
          <w:left w:val="single" w:sz="4" w:space="0" w:color="D5EBE8"/>
          <w:bottom w:val="single" w:sz="4" w:space="0" w:color="D5EBE8"/>
          <w:right w:val="single" w:sz="4" w:space="0" w:color="D5EBE8"/>
          <w:insideH w:val="single" w:sz="4" w:space="0" w:color="D5EBE8"/>
          <w:insideV w:val="single" w:sz="4" w:space="0" w:color="D5EBE8"/>
        </w:tblBorders>
        <w:shd w:val="clear" w:color="auto" w:fill="D5EBE8"/>
        <w:tblLook w:val="04A0" w:firstRow="1" w:lastRow="0" w:firstColumn="1" w:lastColumn="0" w:noHBand="0" w:noVBand="1"/>
      </w:tblPr>
      <w:tblGrid>
        <w:gridCol w:w="9072"/>
      </w:tblGrid>
      <w:tr w:rsidR="00E30CA7" w:rsidRPr="00A01420" w14:paraId="129A95AE" w14:textId="77777777">
        <w:tc>
          <w:tcPr>
            <w:tcW w:w="8505" w:type="dxa"/>
            <w:shd w:val="clear" w:color="auto" w:fill="D5EBE8"/>
          </w:tcPr>
          <w:p w14:paraId="2A48B4E9" w14:textId="79D0C93E" w:rsidR="00A002EB" w:rsidRPr="00A002EB" w:rsidRDefault="00A002EB" w:rsidP="0007347E">
            <w:pPr>
              <w:pStyle w:val="Boxheading"/>
            </w:pPr>
            <w:r w:rsidRPr="00A002EB">
              <w:t xml:space="preserve">Te Tai </w:t>
            </w:r>
            <w:proofErr w:type="spellStart"/>
            <w:r w:rsidRPr="00A002EB">
              <w:t>Tokerau</w:t>
            </w:r>
            <w:proofErr w:type="spellEnd"/>
            <w:r w:rsidRPr="00A002EB">
              <w:t xml:space="preserve"> (2</w:t>
            </w:r>
            <w:r>
              <w:t>6</w:t>
            </w:r>
            <w:r w:rsidRPr="00A002EB">
              <w:t xml:space="preserve"> July 2023</w:t>
            </w:r>
            <w:r w:rsidR="00FD042C">
              <w:t>,</w:t>
            </w:r>
            <w:r w:rsidRPr="00A002EB">
              <w:t xml:space="preserve"> online)</w:t>
            </w:r>
          </w:p>
          <w:p w14:paraId="28020CE5" w14:textId="77777777" w:rsidR="00A002EB" w:rsidRPr="00A002EB" w:rsidRDefault="00A002EB" w:rsidP="0007347E">
            <w:pPr>
              <w:pStyle w:val="Boxbullet"/>
              <w:spacing w:before="120"/>
              <w:ind w:left="641" w:hanging="357"/>
            </w:pPr>
            <w:r w:rsidRPr="00A002EB">
              <w:t>There was concern that the proposals will significantly devalue assets, particularly for Māori land that is only suitable for forestry.</w:t>
            </w:r>
          </w:p>
          <w:p w14:paraId="71B568AF" w14:textId="77777777" w:rsidR="00A002EB" w:rsidRPr="00A002EB" w:rsidRDefault="00A002EB" w:rsidP="0007347E">
            <w:pPr>
              <w:pStyle w:val="Boxbullet"/>
            </w:pPr>
            <w:r w:rsidRPr="00A002EB">
              <w:t>The group considered whether the oversupply should be addressed through auction supply volumes first and that reducing net emissions should continue to be the focus.</w:t>
            </w:r>
          </w:p>
          <w:p w14:paraId="577DE3F4" w14:textId="77777777" w:rsidR="00A002EB" w:rsidRPr="00A002EB" w:rsidRDefault="00A002EB" w:rsidP="0007347E">
            <w:pPr>
              <w:pStyle w:val="Boxbullet"/>
            </w:pPr>
            <w:r w:rsidRPr="00A002EB">
              <w:t>There was concern that purchasing overseas units to meet international targets will have an impact on cost of living.</w:t>
            </w:r>
          </w:p>
          <w:p w14:paraId="139EF484" w14:textId="14D13FEC" w:rsidR="00A002EB" w:rsidRPr="00A002EB" w:rsidRDefault="00A002EB" w:rsidP="0007347E">
            <w:pPr>
              <w:pStyle w:val="Boxbullet"/>
            </w:pPr>
            <w:r w:rsidRPr="00A002EB">
              <w:t>For the NZ ETS review, option</w:t>
            </w:r>
            <w:r w:rsidR="0058658F">
              <w:t>s</w:t>
            </w:r>
            <w:r w:rsidRPr="00A002EB">
              <w:t xml:space="preserve"> 1 and 2 were more in line with attendees</w:t>
            </w:r>
            <w:r w:rsidR="0058658F">
              <w:t>’</w:t>
            </w:r>
            <w:r w:rsidRPr="00A002EB">
              <w:t xml:space="preserve"> current thinking (</w:t>
            </w:r>
            <w:proofErr w:type="spellStart"/>
            <w:r w:rsidR="0058658F">
              <w:t>eg</w:t>
            </w:r>
            <w:proofErr w:type="spellEnd"/>
            <w:r w:rsidRPr="00A002EB">
              <w:t>, use existing levers to strengthen incentives for net reductions and create increased demand for removal activities to increase net emissions reductions).</w:t>
            </w:r>
          </w:p>
          <w:p w14:paraId="700F3614" w14:textId="48164D41" w:rsidR="00E30CA7" w:rsidRPr="00A002EB" w:rsidRDefault="00A002EB" w:rsidP="0007347E">
            <w:pPr>
              <w:pStyle w:val="Boxbullet"/>
              <w:rPr>
                <w:i/>
                <w:iCs/>
              </w:rPr>
            </w:pPr>
            <w:r w:rsidRPr="00A002EB">
              <w:t xml:space="preserve">For the redesign of the permanent forest category, there was agreement that forest management is needed, but attendees disagreed that exotic species should not be allowed – they considered that these can have a place in the broader </w:t>
            </w:r>
            <w:proofErr w:type="gramStart"/>
            <w:r w:rsidRPr="00A002EB">
              <w:t>picture</w:t>
            </w:r>
            <w:proofErr w:type="gramEnd"/>
            <w:r w:rsidRPr="00A002EB">
              <w:t xml:space="preserve"> and it is important that Māori landowner choice is maintained.</w:t>
            </w:r>
          </w:p>
        </w:tc>
      </w:tr>
    </w:tbl>
    <w:p w14:paraId="2B29C4AB" w14:textId="77777777" w:rsidR="00E30CA7" w:rsidRDefault="00E30CA7" w:rsidP="00D1660E">
      <w:pPr>
        <w:pStyle w:val="BodyText"/>
      </w:pP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E30CA7" w:rsidRPr="00A01420" w14:paraId="364CAFC1" w14:textId="77777777">
        <w:tc>
          <w:tcPr>
            <w:tcW w:w="0" w:type="auto"/>
            <w:shd w:val="clear" w:color="auto" w:fill="D2DDE1"/>
          </w:tcPr>
          <w:p w14:paraId="1B30DFBD" w14:textId="21028C65" w:rsidR="00A002EB" w:rsidRPr="00A002EB" w:rsidRDefault="00A002EB" w:rsidP="0007347E">
            <w:pPr>
              <w:pStyle w:val="Boxheading"/>
            </w:pPr>
            <w:proofErr w:type="spellStart"/>
            <w:r w:rsidRPr="00A002EB">
              <w:lastRenderedPageBreak/>
              <w:t>Ōtautahi</w:t>
            </w:r>
            <w:proofErr w:type="spellEnd"/>
            <w:r w:rsidRPr="00A002EB">
              <w:t xml:space="preserve"> (2</w:t>
            </w:r>
            <w:r w:rsidR="007632A7">
              <w:t>8</w:t>
            </w:r>
            <w:r w:rsidRPr="00A002EB">
              <w:t xml:space="preserve"> July 2023</w:t>
            </w:r>
            <w:r w:rsidR="00FD042C">
              <w:t>,</w:t>
            </w:r>
            <w:r w:rsidRPr="00A002EB">
              <w:t xml:space="preserve"> online)</w:t>
            </w:r>
          </w:p>
          <w:p w14:paraId="4C4528E5" w14:textId="77777777" w:rsidR="00A002EB" w:rsidRPr="00A002EB" w:rsidRDefault="00A002EB" w:rsidP="0007347E">
            <w:pPr>
              <w:pStyle w:val="Boxbullet"/>
              <w:spacing w:before="120"/>
              <w:ind w:left="641" w:hanging="357"/>
            </w:pPr>
            <w:r w:rsidRPr="00A002EB">
              <w:t>Several attendees commented on the complexity of climate change policy and that the proposals increased this.</w:t>
            </w:r>
          </w:p>
          <w:p w14:paraId="143EB415" w14:textId="77777777" w:rsidR="00A002EB" w:rsidRPr="00A002EB" w:rsidRDefault="00A002EB" w:rsidP="0007347E">
            <w:pPr>
              <w:pStyle w:val="Boxbullet"/>
            </w:pPr>
            <w:r w:rsidRPr="00A002EB">
              <w:t>Some attendees commented that they are on both sides of the equation – they support increasing incentives for gross emissions reductions, but at the same time they are impacted by changing values in the carbon market as forest owners. There was also concern about unintended consequences of these policy decisions, particularly on smaller players and communities.</w:t>
            </w:r>
          </w:p>
          <w:p w14:paraId="448F49C4" w14:textId="5C2D157B" w:rsidR="00A002EB" w:rsidRPr="00A002EB" w:rsidRDefault="00A002EB" w:rsidP="0007347E">
            <w:pPr>
              <w:pStyle w:val="Boxbullet"/>
            </w:pPr>
            <w:r w:rsidRPr="00A002EB">
              <w:t>Attendees were interested to hear more about options that link with international carbon markets (</w:t>
            </w:r>
            <w:proofErr w:type="spellStart"/>
            <w:r w:rsidRPr="00A002EB">
              <w:t>eg</w:t>
            </w:r>
            <w:proofErr w:type="spellEnd"/>
            <w:r w:rsidRPr="00A002EB">
              <w:t>, option 2), risks and opportunities for co-benefits, and more detail about how option</w:t>
            </w:r>
            <w:r w:rsidR="00825D67">
              <w:t> </w:t>
            </w:r>
            <w:r w:rsidRPr="00A002EB">
              <w:t>3 could be implemented (strengthen incentives for gross emissions reductions by changing the incentives for removals).</w:t>
            </w:r>
          </w:p>
          <w:p w14:paraId="52C6F909" w14:textId="78DFCEE1" w:rsidR="00E30CA7" w:rsidRPr="00A002EB" w:rsidRDefault="00A002EB" w:rsidP="0007347E">
            <w:pPr>
              <w:pStyle w:val="Boxbullet"/>
            </w:pPr>
            <w:r w:rsidRPr="00A002EB">
              <w:t>On the redesign of the permanent forest category, concerns were raised about the long-term outcomes of forests after the 50-year term expires (</w:t>
            </w:r>
            <w:proofErr w:type="spellStart"/>
            <w:r w:rsidRPr="00A002EB">
              <w:t>eg</w:t>
            </w:r>
            <w:proofErr w:type="spellEnd"/>
            <w:r w:rsidRPr="00A002EB">
              <w:t>, where the category could be used as a long rotation option, then harvest), and ensuring transition forests are successfully managed to transition, as well as interest in how the proposals might apply to pre-1990 forests.</w:t>
            </w:r>
          </w:p>
        </w:tc>
      </w:tr>
    </w:tbl>
    <w:p w14:paraId="36FF3EA7" w14:textId="77777777" w:rsidR="00E30CA7" w:rsidRDefault="00E30CA7" w:rsidP="00E30CA7">
      <w:pPr>
        <w:pStyle w:val="BodyText"/>
      </w:pPr>
    </w:p>
    <w:tbl>
      <w:tblPr>
        <w:tblW w:w="9072" w:type="dxa"/>
        <w:tblBorders>
          <w:top w:val="single" w:sz="4" w:space="0" w:color="D5EBE8"/>
          <w:left w:val="single" w:sz="4" w:space="0" w:color="D5EBE8"/>
          <w:bottom w:val="single" w:sz="4" w:space="0" w:color="D5EBE8"/>
          <w:right w:val="single" w:sz="4" w:space="0" w:color="D5EBE8"/>
          <w:insideH w:val="single" w:sz="4" w:space="0" w:color="D5EBE8"/>
          <w:insideV w:val="single" w:sz="4" w:space="0" w:color="D5EBE8"/>
        </w:tblBorders>
        <w:shd w:val="clear" w:color="auto" w:fill="D5EBE8"/>
        <w:tblLook w:val="04A0" w:firstRow="1" w:lastRow="0" w:firstColumn="1" w:lastColumn="0" w:noHBand="0" w:noVBand="1"/>
      </w:tblPr>
      <w:tblGrid>
        <w:gridCol w:w="9072"/>
      </w:tblGrid>
      <w:tr w:rsidR="00E30CA7" w:rsidRPr="00A01420" w14:paraId="5D388C27" w14:textId="77777777" w:rsidTr="0007347E">
        <w:tc>
          <w:tcPr>
            <w:tcW w:w="9072" w:type="dxa"/>
            <w:shd w:val="clear" w:color="auto" w:fill="D5EBE8"/>
          </w:tcPr>
          <w:p w14:paraId="1026A9C6" w14:textId="71644B85" w:rsidR="00A002EB" w:rsidRPr="00A002EB" w:rsidRDefault="00A002EB" w:rsidP="0007347E">
            <w:pPr>
              <w:pStyle w:val="Boxheading"/>
            </w:pPr>
            <w:proofErr w:type="spellStart"/>
            <w:r w:rsidRPr="00A002EB">
              <w:t>Whakatū</w:t>
            </w:r>
            <w:proofErr w:type="spellEnd"/>
            <w:r w:rsidRPr="00A002EB">
              <w:t xml:space="preserve"> </w:t>
            </w:r>
            <w:r>
              <w:t>(1 August 2023)</w:t>
            </w:r>
          </w:p>
          <w:p w14:paraId="3886A358" w14:textId="77777777" w:rsidR="00A002EB" w:rsidRPr="00A002EB" w:rsidRDefault="00A002EB" w:rsidP="0007347E">
            <w:pPr>
              <w:pStyle w:val="Boxbullet"/>
              <w:spacing w:before="120"/>
              <w:ind w:left="641" w:hanging="357"/>
            </w:pPr>
            <w:r w:rsidRPr="00A002EB">
              <w:t xml:space="preserve">Attendees were focused on incentives for indigenous afforestation and incentives for existing pre-1990 forest. </w:t>
            </w:r>
          </w:p>
          <w:p w14:paraId="20353053" w14:textId="77777777" w:rsidR="00A002EB" w:rsidRPr="00A002EB" w:rsidRDefault="00A002EB" w:rsidP="0007347E">
            <w:pPr>
              <w:pStyle w:val="Boxbullet"/>
            </w:pPr>
            <w:r w:rsidRPr="00A002EB">
              <w:t xml:space="preserve">Attendees expressed a desire to transition existing exotic forestry on pre-1990 forest land into permanent indigenous forest, to improve biodiversity and environmental outcomes (for example, soil stabilisation). </w:t>
            </w:r>
          </w:p>
          <w:p w14:paraId="4F467663" w14:textId="7AA5425D" w:rsidR="00E30CA7" w:rsidRPr="00A01420" w:rsidRDefault="00A002EB" w:rsidP="0007347E">
            <w:pPr>
              <w:pStyle w:val="Boxbullet"/>
            </w:pPr>
            <w:r w:rsidRPr="00A002EB">
              <w:t>The attendees noted that most of the forest land they manage/lease is on pre-1990 forest land so they are unable to earn New Zealand Units which limits the expansion of indigenous afforestation.</w:t>
            </w:r>
          </w:p>
        </w:tc>
      </w:tr>
    </w:tbl>
    <w:p w14:paraId="05027ACA" w14:textId="77777777" w:rsidR="00A002EB" w:rsidRDefault="00A002EB" w:rsidP="00D1660E">
      <w:pPr>
        <w:pStyle w:val="BodyText"/>
      </w:pP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A002EB" w:rsidRPr="00A01420" w14:paraId="77A528F1" w14:textId="77777777">
        <w:tc>
          <w:tcPr>
            <w:tcW w:w="0" w:type="auto"/>
            <w:shd w:val="clear" w:color="auto" w:fill="D2DDE1"/>
          </w:tcPr>
          <w:p w14:paraId="5FC00D8D" w14:textId="70806896" w:rsidR="00A002EB" w:rsidRDefault="00A002EB" w:rsidP="0007347E">
            <w:pPr>
              <w:pStyle w:val="Boxheading"/>
            </w:pPr>
            <w:proofErr w:type="spellStart"/>
            <w:r w:rsidRPr="00A002EB">
              <w:t>Tairāwhiti</w:t>
            </w:r>
            <w:proofErr w:type="spellEnd"/>
            <w:r w:rsidRPr="00A002EB">
              <w:t xml:space="preserve"> </w:t>
            </w:r>
            <w:r>
              <w:t>(3 August 2023)</w:t>
            </w:r>
          </w:p>
          <w:p w14:paraId="5C6978CB" w14:textId="77777777" w:rsidR="00A002EB" w:rsidRPr="00A002EB" w:rsidRDefault="00A002EB" w:rsidP="0007347E">
            <w:pPr>
              <w:pStyle w:val="Boxbullet"/>
              <w:spacing w:before="120"/>
              <w:ind w:left="641" w:hanging="357"/>
            </w:pPr>
            <w:r w:rsidRPr="00A002EB">
              <w:t>Attendees were focussed on issues specific to the region including interest in incentives for indigenous forests and management to improve environmental outcomes and carbon stocks in existing pre-1990 forest.</w:t>
            </w:r>
          </w:p>
          <w:p w14:paraId="554BD9B0" w14:textId="77777777" w:rsidR="00A002EB" w:rsidRPr="00A002EB" w:rsidRDefault="00A002EB" w:rsidP="0007347E">
            <w:pPr>
              <w:pStyle w:val="Boxbullet"/>
            </w:pPr>
            <w:r w:rsidRPr="00A002EB">
              <w:t>Participants suggested that the existing NZ ETS indigenous lookup tables are conservative and stronger incentives for indigenous forests need to be developed.</w:t>
            </w:r>
          </w:p>
          <w:p w14:paraId="59EB1BE3" w14:textId="77777777" w:rsidR="00A002EB" w:rsidRPr="00A002EB" w:rsidRDefault="00A002EB" w:rsidP="0007347E">
            <w:pPr>
              <w:pStyle w:val="Boxbullet"/>
            </w:pPr>
            <w:r w:rsidRPr="00A002EB">
              <w:t>There needs to be an acknowledgement of management in existing pre-1990 indigenous forests. The risk from pests in poorly managed existing (pre-1990) indigenous forests was raised and that this presents an opportunity to increase carbon storage.</w:t>
            </w:r>
          </w:p>
          <w:p w14:paraId="2B99C356" w14:textId="12A89389" w:rsidR="00A002EB" w:rsidRPr="00A002EB" w:rsidRDefault="00A002EB" w:rsidP="0007347E">
            <w:pPr>
              <w:pStyle w:val="Boxbullet"/>
            </w:pPr>
            <w:r w:rsidRPr="00A002EB">
              <w:t>Attendees raised the impact of poor land management choices of the past (</w:t>
            </w:r>
            <w:proofErr w:type="spellStart"/>
            <w:r w:rsidRPr="00A002EB">
              <w:t>eg</w:t>
            </w:r>
            <w:proofErr w:type="spellEnd"/>
            <w:r w:rsidRPr="00A002EB">
              <w:t>, production forests on sensitive land) and the importance of local decision making for ensuring the right forests are planted in the right place.</w:t>
            </w:r>
          </w:p>
          <w:p w14:paraId="6A7723CC" w14:textId="7C3E9EE7" w:rsidR="00A002EB" w:rsidRPr="00A002EB" w:rsidRDefault="00A002EB" w:rsidP="0007347E">
            <w:pPr>
              <w:pStyle w:val="Boxbullet"/>
              <w:rPr>
                <w:i/>
                <w:iCs/>
              </w:rPr>
            </w:pPr>
            <w:r w:rsidRPr="00A002EB">
              <w:t>It was considered that there needs to be viable options for forests that can no longer be harvested due to environmental impacts (</w:t>
            </w:r>
            <w:proofErr w:type="spellStart"/>
            <w:r w:rsidRPr="00A002EB">
              <w:t>eg</w:t>
            </w:r>
            <w:proofErr w:type="spellEnd"/>
            <w:r w:rsidRPr="00A002EB">
              <w:t>, transitioning these forests to permanent indigenous cover).</w:t>
            </w:r>
          </w:p>
        </w:tc>
      </w:tr>
    </w:tbl>
    <w:p w14:paraId="120026A6" w14:textId="0A47F158" w:rsidR="00FA0C86" w:rsidRDefault="006239DF" w:rsidP="00D1660E">
      <w:pPr>
        <w:pStyle w:val="BodyText"/>
      </w:pPr>
      <w:r>
        <w:rPr>
          <w:noProof/>
        </w:rPr>
        <mc:AlternateContent>
          <mc:Choice Requires="wps">
            <w:drawing>
              <wp:anchor distT="0" distB="0" distL="114300" distR="114300" simplePos="0" relativeHeight="251658242" behindDoc="0" locked="1" layoutInCell="1" allowOverlap="1" wp14:anchorId="1F974BFA" wp14:editId="696401D6">
                <wp:simplePos x="0" y="0"/>
                <wp:positionH relativeFrom="column">
                  <wp:posOffset>-11430</wp:posOffset>
                </wp:positionH>
                <wp:positionV relativeFrom="page">
                  <wp:posOffset>9804400</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1BAEC9B3"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5A8ACA59" w14:textId="72072061" w:rsidR="006239DF" w:rsidRDefault="00B0632C" w:rsidP="003A6769">
                                  <w:pPr>
                                    <w:pStyle w:val="TableText"/>
                                  </w:pPr>
                                  <w:r>
                                    <w:br/>
                                  </w:r>
                                  <w:r w:rsidR="006239DF" w:rsidRPr="00246CA3">
                                    <w:t xml:space="preserve">Published in </w:t>
                                  </w:r>
                                  <w:r w:rsidR="00246CA3" w:rsidRPr="00246CA3">
                                    <w:t>August</w:t>
                                  </w:r>
                                  <w:r w:rsidR="006239DF" w:rsidRPr="00246CA3">
                                    <w:t xml:space="preserve"> 202</w:t>
                                  </w:r>
                                  <w:r w:rsidR="00246CA3" w:rsidRPr="00246CA3">
                                    <w:t>3</w:t>
                                  </w:r>
                                  <w:r w:rsidR="006239DF" w:rsidRPr="00246CA3">
                                    <w:t xml:space="preserve"> by the</w:t>
                                  </w:r>
                                  <w:r w:rsidR="006239DF" w:rsidRPr="006C18C8">
                                    <w:t xml:space="preserve"> </w:t>
                                  </w:r>
                                  <w:r w:rsidR="006239DF" w:rsidRPr="006C18C8">
                                    <w:br/>
                                    <w:t xml:space="preserve">Ministry for the Environment – Manatū </w:t>
                                  </w:r>
                                  <w:r w:rsidR="00AA40AD">
                                    <w:t>m</w:t>
                                  </w:r>
                                  <w:r w:rsidR="006239DF" w:rsidRPr="006C18C8">
                                    <w:t xml:space="preserve">ō </w:t>
                                  </w:r>
                                  <w:r w:rsidR="00AA40AD">
                                    <w:t>t</w:t>
                                  </w:r>
                                  <w:r w:rsidR="006239DF" w:rsidRPr="006C18C8">
                                    <w:t>e Taiao</w:t>
                                  </w:r>
                                  <w:r w:rsidR="006239DF" w:rsidRPr="006C18C8">
                                    <w:br/>
                                    <w:t xml:space="preserve">Publication number: INFO </w:t>
                                  </w:r>
                                  <w:r w:rsidR="005007C3">
                                    <w:t>1177</w:t>
                                  </w:r>
                                </w:p>
                              </w:tc>
                              <w:tc>
                                <w:tcPr>
                                  <w:tcW w:w="3588" w:type="dxa"/>
                                  <w:tcBorders>
                                    <w:bottom w:val="none" w:sz="0" w:space="0" w:color="auto"/>
                                  </w:tcBorders>
                                  <w:shd w:val="clear" w:color="auto" w:fill="FFFFFF" w:themeFill="background1"/>
                                  <w:tcMar>
                                    <w:left w:w="0" w:type="dxa"/>
                                    <w:right w:w="0" w:type="dxa"/>
                                  </w:tcMar>
                                  <w:vAlign w:val="bottom"/>
                                </w:tcPr>
                                <w:p w14:paraId="198197F1" w14:textId="77777777" w:rsidR="006239DF" w:rsidRDefault="006239DF" w:rsidP="00E57601">
                                  <w:pPr>
                                    <w:pStyle w:val="Footer"/>
                                    <w:jc w:val="right"/>
                                  </w:pPr>
                                  <w:r>
                                    <w:rPr>
                                      <w:noProof/>
                                    </w:rPr>
                                    <w:drawing>
                                      <wp:inline distT="0" distB="0" distL="0" distR="0" wp14:anchorId="6E52B788" wp14:editId="7657DA6F">
                                        <wp:extent cx="2194459" cy="538456"/>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9">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B7CA701" w14:textId="77777777" w:rsidR="006239DF" w:rsidRPr="00C82C4B" w:rsidRDefault="006239DF" w:rsidP="006239DF">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74BFA" id="Text Box 1" o:spid="_x0000_s1027" type="#_x0000_t202" style="position:absolute;margin-left:-.9pt;margin-top:772pt;width:459.5pt;height:80.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1BAEC9B3"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5A8ACA59" w14:textId="72072061" w:rsidR="006239DF" w:rsidRDefault="00B0632C" w:rsidP="003A6769">
                            <w:pPr>
                              <w:pStyle w:val="TableText"/>
                            </w:pPr>
                            <w:r>
                              <w:br/>
                            </w:r>
                            <w:r w:rsidR="006239DF" w:rsidRPr="00246CA3">
                              <w:t xml:space="preserve">Published in </w:t>
                            </w:r>
                            <w:r w:rsidR="00246CA3" w:rsidRPr="00246CA3">
                              <w:t>August</w:t>
                            </w:r>
                            <w:r w:rsidR="006239DF" w:rsidRPr="00246CA3">
                              <w:t xml:space="preserve"> 202</w:t>
                            </w:r>
                            <w:r w:rsidR="00246CA3" w:rsidRPr="00246CA3">
                              <w:t>3</w:t>
                            </w:r>
                            <w:r w:rsidR="006239DF" w:rsidRPr="00246CA3">
                              <w:t xml:space="preserve"> by the</w:t>
                            </w:r>
                            <w:r w:rsidR="006239DF" w:rsidRPr="006C18C8">
                              <w:t xml:space="preserve"> </w:t>
                            </w:r>
                            <w:r w:rsidR="006239DF" w:rsidRPr="006C18C8">
                              <w:br/>
                              <w:t xml:space="preserve">Ministry for the Environment – Manatū </w:t>
                            </w:r>
                            <w:r w:rsidR="00AA40AD">
                              <w:t>m</w:t>
                            </w:r>
                            <w:r w:rsidR="006239DF" w:rsidRPr="006C18C8">
                              <w:t xml:space="preserve">ō </w:t>
                            </w:r>
                            <w:r w:rsidR="00AA40AD">
                              <w:t>t</w:t>
                            </w:r>
                            <w:r w:rsidR="006239DF" w:rsidRPr="006C18C8">
                              <w:t>e Taiao</w:t>
                            </w:r>
                            <w:r w:rsidR="006239DF" w:rsidRPr="006C18C8">
                              <w:br/>
                              <w:t xml:space="preserve">Publication number: INFO </w:t>
                            </w:r>
                            <w:r w:rsidR="005007C3">
                              <w:t>1177</w:t>
                            </w:r>
                          </w:p>
                        </w:tc>
                        <w:tc>
                          <w:tcPr>
                            <w:tcW w:w="3588" w:type="dxa"/>
                            <w:tcBorders>
                              <w:bottom w:val="none" w:sz="0" w:space="0" w:color="auto"/>
                            </w:tcBorders>
                            <w:shd w:val="clear" w:color="auto" w:fill="FFFFFF" w:themeFill="background1"/>
                            <w:tcMar>
                              <w:left w:w="0" w:type="dxa"/>
                              <w:right w:w="0" w:type="dxa"/>
                            </w:tcMar>
                            <w:vAlign w:val="bottom"/>
                          </w:tcPr>
                          <w:p w14:paraId="198197F1" w14:textId="77777777" w:rsidR="006239DF" w:rsidRDefault="006239DF" w:rsidP="00E57601">
                            <w:pPr>
                              <w:pStyle w:val="Footer"/>
                              <w:jc w:val="right"/>
                            </w:pPr>
                            <w:r>
                              <w:rPr>
                                <w:noProof/>
                              </w:rPr>
                              <w:drawing>
                                <wp:inline distT="0" distB="0" distL="0" distR="0" wp14:anchorId="6E52B788" wp14:editId="7657DA6F">
                                  <wp:extent cx="2194459" cy="538456"/>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9">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B7CA701" w14:textId="77777777" w:rsidR="006239DF" w:rsidRPr="00C82C4B" w:rsidRDefault="006239DF" w:rsidP="006239DF">
                      <w:pPr>
                        <w:pStyle w:val="BodyText"/>
                        <w:spacing w:before="0" w:after="0" w:line="240" w:lineRule="auto"/>
                        <w:rPr>
                          <w:sz w:val="16"/>
                          <w:szCs w:val="16"/>
                        </w:rPr>
                      </w:pPr>
                    </w:p>
                  </w:txbxContent>
                </v:textbox>
                <w10:wrap anchory="page"/>
                <w10:anchorlock/>
              </v:shape>
            </w:pict>
          </mc:Fallback>
        </mc:AlternateContent>
      </w:r>
    </w:p>
    <w:sectPr w:rsidR="00FA0C86" w:rsidSect="0085118C">
      <w:footerReference w:type="even" r:id="rId10"/>
      <w:footerReference w:type="default" r:id="rId11"/>
      <w:footerReference w:type="first" r:id="rId12"/>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5AC5" w14:textId="77777777" w:rsidR="005E27C5" w:rsidRDefault="005E27C5" w:rsidP="0080531E">
      <w:pPr>
        <w:spacing w:before="0" w:after="0" w:line="240" w:lineRule="auto"/>
      </w:pPr>
      <w:r>
        <w:separator/>
      </w:r>
    </w:p>
    <w:p w14:paraId="0C0CF6F6" w14:textId="77777777" w:rsidR="005E27C5" w:rsidRDefault="005E27C5"/>
  </w:endnote>
  <w:endnote w:type="continuationSeparator" w:id="0">
    <w:p w14:paraId="6770FC20" w14:textId="77777777" w:rsidR="005E27C5" w:rsidRDefault="005E27C5" w:rsidP="0080531E">
      <w:pPr>
        <w:spacing w:before="0" w:after="0" w:line="240" w:lineRule="auto"/>
      </w:pPr>
      <w:r>
        <w:continuationSeparator/>
      </w:r>
    </w:p>
    <w:p w14:paraId="74853B0D" w14:textId="77777777" w:rsidR="005E27C5" w:rsidRDefault="005E27C5"/>
  </w:endnote>
  <w:endnote w:type="continuationNotice" w:id="1">
    <w:p w14:paraId="05EB3077" w14:textId="77777777" w:rsidR="005E27C5" w:rsidRDefault="005E27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1D6B" w14:textId="12FDAB0D" w:rsidR="00872828" w:rsidRPr="00290ADD" w:rsidRDefault="00872828" w:rsidP="00290ADD">
    <w:pPr>
      <w:pStyle w:val="Title"/>
      <w:rPr>
        <w:rFonts w:asciiTheme="minorHAnsi" w:hAnsiTheme="minorHAnsi" w:cstheme="minorHAnsi"/>
        <w:b w:val="0"/>
        <w:bCs w:val="0"/>
        <w:color w:val="auto"/>
        <w:sz w:val="16"/>
        <w:szCs w:val="16"/>
      </w:rPr>
    </w:pPr>
    <w:r w:rsidRPr="00290ADD">
      <w:rPr>
        <w:rFonts w:asciiTheme="minorHAnsi" w:hAnsiTheme="minorHAnsi" w:cstheme="minorHAnsi"/>
        <w:b w:val="0"/>
        <w:bCs w:val="0"/>
        <w:color w:val="auto"/>
        <w:sz w:val="16"/>
        <w:szCs w:val="16"/>
      </w:rPr>
      <w:fldChar w:fldCharType="begin"/>
    </w:r>
    <w:r w:rsidRPr="00290ADD">
      <w:rPr>
        <w:rFonts w:asciiTheme="minorHAnsi" w:hAnsiTheme="minorHAnsi" w:cstheme="minorHAnsi"/>
        <w:b w:val="0"/>
        <w:bCs w:val="0"/>
        <w:color w:val="auto"/>
        <w:sz w:val="16"/>
        <w:szCs w:val="16"/>
      </w:rPr>
      <w:instrText xml:space="preserve"> PAGE   \* MERGEFORMAT </w:instrText>
    </w:r>
    <w:r w:rsidRPr="00290ADD">
      <w:rPr>
        <w:rFonts w:asciiTheme="minorHAnsi" w:hAnsiTheme="minorHAnsi" w:cstheme="minorHAnsi"/>
        <w:b w:val="0"/>
        <w:bCs w:val="0"/>
        <w:color w:val="auto"/>
        <w:sz w:val="16"/>
        <w:szCs w:val="16"/>
      </w:rPr>
      <w:fldChar w:fldCharType="separate"/>
    </w:r>
    <w:r w:rsidRPr="00290ADD">
      <w:rPr>
        <w:rFonts w:asciiTheme="minorHAnsi" w:hAnsiTheme="minorHAnsi" w:cstheme="minorHAnsi"/>
        <w:b w:val="0"/>
        <w:bCs w:val="0"/>
        <w:noProof/>
        <w:color w:val="auto"/>
        <w:sz w:val="16"/>
        <w:szCs w:val="16"/>
      </w:rPr>
      <w:t>1</w:t>
    </w:r>
    <w:r w:rsidRPr="00290ADD">
      <w:rPr>
        <w:rFonts w:asciiTheme="minorHAnsi" w:hAnsiTheme="minorHAnsi" w:cstheme="minorHAnsi"/>
        <w:b w:val="0"/>
        <w:bCs w:val="0"/>
        <w:noProof/>
        <w:color w:val="auto"/>
        <w:sz w:val="16"/>
        <w:szCs w:val="16"/>
      </w:rPr>
      <w:fldChar w:fldCharType="end"/>
    </w:r>
    <w:r w:rsidRPr="00290ADD">
      <w:rPr>
        <w:rFonts w:asciiTheme="minorHAnsi" w:hAnsiTheme="minorHAnsi" w:cstheme="minorHAnsi"/>
        <w:b w:val="0"/>
        <w:bCs w:val="0"/>
        <w:noProof/>
        <w:color w:val="auto"/>
        <w:sz w:val="16"/>
        <w:szCs w:val="16"/>
      </w:rPr>
      <w:tab/>
    </w:r>
    <w:r w:rsidR="00E30CA7" w:rsidRPr="00290ADD">
      <w:rPr>
        <w:rFonts w:asciiTheme="minorHAnsi" w:hAnsiTheme="minorHAnsi" w:cstheme="minorHAnsi"/>
        <w:b w:val="0"/>
        <w:bCs w:val="0"/>
        <w:color w:val="auto"/>
        <w:sz w:val="16"/>
        <w:szCs w:val="16"/>
      </w:rPr>
      <w:t xml:space="preserve">Review of the </w:t>
    </w:r>
    <w:r w:rsidR="00290ADD">
      <w:rPr>
        <w:rFonts w:asciiTheme="minorHAnsi" w:hAnsiTheme="minorHAnsi" w:cstheme="minorHAnsi"/>
        <w:b w:val="0"/>
        <w:bCs w:val="0"/>
        <w:color w:val="auto"/>
        <w:sz w:val="16"/>
        <w:szCs w:val="16"/>
      </w:rPr>
      <w:t xml:space="preserve">NZ ETS </w:t>
    </w:r>
    <w:r w:rsidR="00E30CA7" w:rsidRPr="00290ADD">
      <w:rPr>
        <w:rFonts w:asciiTheme="minorHAnsi" w:hAnsiTheme="minorHAnsi" w:cstheme="minorHAnsi"/>
        <w:b w:val="0"/>
        <w:bCs w:val="0"/>
        <w:color w:val="auto"/>
        <w:sz w:val="16"/>
        <w:szCs w:val="16"/>
      </w:rPr>
      <w:t xml:space="preserve">– Key </w:t>
    </w:r>
    <w:r w:rsidR="00290ADD">
      <w:rPr>
        <w:rFonts w:asciiTheme="minorHAnsi" w:hAnsiTheme="minorHAnsi" w:cstheme="minorHAnsi"/>
        <w:b w:val="0"/>
        <w:bCs w:val="0"/>
        <w:color w:val="auto"/>
        <w:sz w:val="16"/>
        <w:szCs w:val="16"/>
      </w:rPr>
      <w:t>m</w:t>
    </w:r>
    <w:r w:rsidR="00E30CA7" w:rsidRPr="00290ADD">
      <w:rPr>
        <w:rFonts w:asciiTheme="minorHAnsi" w:hAnsiTheme="minorHAnsi" w:cstheme="minorHAnsi"/>
        <w:b w:val="0"/>
        <w:bCs w:val="0"/>
        <w:color w:val="auto"/>
        <w:sz w:val="16"/>
        <w:szCs w:val="16"/>
      </w:rPr>
      <w:t xml:space="preserve">essages from </w:t>
    </w:r>
    <w:r w:rsidR="00290ADD">
      <w:rPr>
        <w:rFonts w:asciiTheme="minorHAnsi" w:hAnsiTheme="minorHAnsi" w:cstheme="minorHAnsi"/>
        <w:b w:val="0"/>
        <w:bCs w:val="0"/>
        <w:color w:val="auto"/>
        <w:sz w:val="16"/>
        <w:szCs w:val="16"/>
      </w:rPr>
      <w:t>r</w:t>
    </w:r>
    <w:r w:rsidR="00E30CA7" w:rsidRPr="00290ADD">
      <w:rPr>
        <w:rFonts w:asciiTheme="minorHAnsi" w:hAnsiTheme="minorHAnsi" w:cstheme="minorHAnsi"/>
        <w:b w:val="0"/>
        <w:bCs w:val="0"/>
        <w:color w:val="auto"/>
        <w:sz w:val="16"/>
        <w:szCs w:val="16"/>
      </w:rPr>
      <w:t xml:space="preserve">egional </w:t>
    </w:r>
    <w:r w:rsidR="00290ADD">
      <w:rPr>
        <w:rFonts w:asciiTheme="minorHAnsi" w:hAnsiTheme="minorHAnsi" w:cstheme="minorHAnsi"/>
        <w:b w:val="0"/>
        <w:bCs w:val="0"/>
        <w:color w:val="auto"/>
        <w:sz w:val="16"/>
        <w:szCs w:val="16"/>
      </w:rPr>
      <w:t>h</w:t>
    </w:r>
    <w:r w:rsidR="00E30CA7" w:rsidRPr="00290ADD">
      <w:rPr>
        <w:rFonts w:asciiTheme="minorHAnsi" w:hAnsiTheme="minorHAnsi" w:cstheme="minorHAnsi"/>
        <w:b w:val="0"/>
        <w:bCs w:val="0"/>
        <w:color w:val="auto"/>
        <w:sz w:val="16"/>
        <w:szCs w:val="16"/>
      </w:rPr>
      <w:t>ui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0B7C" w14:textId="75B935B5" w:rsidR="006C18C8" w:rsidRPr="003A6769" w:rsidRDefault="00623CA7" w:rsidP="00FE4F91">
    <w:pPr>
      <w:pStyle w:val="Footerodd"/>
    </w:pPr>
    <w:r>
      <w:rPr>
        <w:rFonts w:asciiTheme="minorHAnsi" w:hAnsiTheme="minorHAnsi" w:cstheme="minorHAnsi"/>
        <w:szCs w:val="16"/>
      </w:rPr>
      <w:tab/>
    </w:r>
    <w:r w:rsidRPr="00DA0D6A">
      <w:rPr>
        <w:rFonts w:asciiTheme="minorHAnsi" w:hAnsiTheme="minorHAnsi" w:cstheme="minorHAnsi"/>
        <w:szCs w:val="16"/>
      </w:rPr>
      <w:t xml:space="preserve">Review of the </w:t>
    </w:r>
    <w:r>
      <w:rPr>
        <w:rFonts w:asciiTheme="minorHAnsi" w:hAnsiTheme="minorHAnsi" w:cstheme="minorHAnsi"/>
        <w:szCs w:val="16"/>
      </w:rPr>
      <w:t>NZ ETS – Key messages from regional hui</w:t>
    </w:r>
    <w:r w:rsidR="00FE4F91">
      <w:tab/>
    </w:r>
    <w:r w:rsidR="00FE4F91">
      <w:fldChar w:fldCharType="begin"/>
    </w:r>
    <w:r w:rsidR="00FE4F91">
      <w:instrText xml:space="preserve"> PAGE   \* MERGEFORMAT </w:instrText>
    </w:r>
    <w:r w:rsidR="00FE4F91">
      <w:fldChar w:fldCharType="separate"/>
    </w:r>
    <w:r w:rsidR="00FE4F91">
      <w:rPr>
        <w:noProof/>
      </w:rPr>
      <w:t>1</w:t>
    </w:r>
    <w:r w:rsidR="00FE4F9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65B5" w14:textId="6B1D2D7E" w:rsidR="0085118C" w:rsidRDefault="00290ADD" w:rsidP="0085118C">
    <w:pPr>
      <w:pStyle w:val="Footerodd"/>
    </w:pPr>
    <w:r>
      <w:rPr>
        <w:rFonts w:asciiTheme="minorHAnsi" w:hAnsiTheme="minorHAnsi" w:cstheme="minorHAnsi"/>
        <w:szCs w:val="16"/>
      </w:rPr>
      <w:tab/>
    </w:r>
    <w:r w:rsidR="00A002EB" w:rsidRPr="00DA0D6A">
      <w:rPr>
        <w:rFonts w:asciiTheme="minorHAnsi" w:hAnsiTheme="minorHAnsi" w:cstheme="minorHAnsi"/>
        <w:szCs w:val="16"/>
      </w:rPr>
      <w:t xml:space="preserve">Review of the </w:t>
    </w:r>
    <w:r>
      <w:rPr>
        <w:rFonts w:asciiTheme="minorHAnsi" w:hAnsiTheme="minorHAnsi" w:cstheme="minorHAnsi"/>
        <w:szCs w:val="16"/>
      </w:rPr>
      <w:t xml:space="preserve">NZ ETS </w:t>
    </w:r>
    <w:r w:rsidR="00A002EB">
      <w:rPr>
        <w:rFonts w:asciiTheme="minorHAnsi" w:hAnsiTheme="minorHAnsi" w:cstheme="minorHAnsi"/>
        <w:szCs w:val="16"/>
      </w:rPr>
      <w:t xml:space="preserve">– Key </w:t>
    </w:r>
    <w:r>
      <w:rPr>
        <w:rFonts w:asciiTheme="minorHAnsi" w:hAnsiTheme="minorHAnsi" w:cstheme="minorHAnsi"/>
        <w:szCs w:val="16"/>
      </w:rPr>
      <w:t>m</w:t>
    </w:r>
    <w:r w:rsidR="00A002EB">
      <w:rPr>
        <w:rFonts w:asciiTheme="minorHAnsi" w:hAnsiTheme="minorHAnsi" w:cstheme="minorHAnsi"/>
        <w:szCs w:val="16"/>
      </w:rPr>
      <w:t xml:space="preserve">essages from </w:t>
    </w:r>
    <w:r>
      <w:rPr>
        <w:rFonts w:asciiTheme="minorHAnsi" w:hAnsiTheme="minorHAnsi" w:cstheme="minorHAnsi"/>
        <w:szCs w:val="16"/>
      </w:rPr>
      <w:t>r</w:t>
    </w:r>
    <w:r w:rsidR="00A002EB">
      <w:rPr>
        <w:rFonts w:asciiTheme="minorHAnsi" w:hAnsiTheme="minorHAnsi" w:cstheme="minorHAnsi"/>
        <w:szCs w:val="16"/>
      </w:rPr>
      <w:t xml:space="preserve">egional </w:t>
    </w:r>
    <w:r>
      <w:rPr>
        <w:rFonts w:asciiTheme="minorHAnsi" w:hAnsiTheme="minorHAnsi" w:cstheme="minorHAnsi"/>
        <w:szCs w:val="16"/>
      </w:rPr>
      <w:t>h</w:t>
    </w:r>
    <w:r w:rsidR="00A002EB">
      <w:rPr>
        <w:rFonts w:asciiTheme="minorHAnsi" w:hAnsiTheme="minorHAnsi" w:cstheme="minorHAnsi"/>
        <w:szCs w:val="16"/>
      </w:rPr>
      <w:t>ui</w:t>
    </w:r>
    <w:r w:rsidR="0085118C">
      <w:tab/>
    </w:r>
    <w:r w:rsidR="0085118C">
      <w:fldChar w:fldCharType="begin"/>
    </w:r>
    <w:r w:rsidR="0085118C">
      <w:instrText xml:space="preserve"> PAGE   \* MERGEFORMAT </w:instrText>
    </w:r>
    <w:r w:rsidR="0085118C">
      <w:fldChar w:fldCharType="separate"/>
    </w:r>
    <w:r w:rsidR="0085118C">
      <w:t>1</w:t>
    </w:r>
    <w:r w:rsidR="0085118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86CDB" w14:textId="77777777" w:rsidR="005E27C5" w:rsidRDefault="005E27C5" w:rsidP="00CB5C5F">
      <w:pPr>
        <w:spacing w:before="0" w:after="80" w:line="240" w:lineRule="auto"/>
      </w:pPr>
      <w:bookmarkStart w:id="0" w:name="_Hlk86912439"/>
      <w:bookmarkEnd w:id="0"/>
      <w:r>
        <w:separator/>
      </w:r>
    </w:p>
  </w:footnote>
  <w:footnote w:type="continuationSeparator" w:id="0">
    <w:p w14:paraId="04B85064" w14:textId="77777777" w:rsidR="005E27C5" w:rsidRDefault="005E27C5" w:rsidP="0080531E">
      <w:pPr>
        <w:spacing w:before="0" w:after="0" w:line="240" w:lineRule="auto"/>
      </w:pPr>
      <w:r>
        <w:continuationSeparator/>
      </w:r>
    </w:p>
    <w:p w14:paraId="2DF0C9EC" w14:textId="77777777" w:rsidR="005E27C5" w:rsidRDefault="005E27C5"/>
  </w:footnote>
  <w:footnote w:type="continuationNotice" w:id="1">
    <w:p w14:paraId="6D4A12DA" w14:textId="77777777" w:rsidR="005E27C5" w:rsidRDefault="005E27C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3D43C77"/>
    <w:multiLevelType w:val="hybridMultilevel"/>
    <w:tmpl w:val="A7C81C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75169D"/>
    <w:multiLevelType w:val="hybridMultilevel"/>
    <w:tmpl w:val="810896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5"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7"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B7B59DE"/>
    <w:multiLevelType w:val="hybridMultilevel"/>
    <w:tmpl w:val="B7C6C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BA756EF"/>
    <w:multiLevelType w:val="hybridMultilevel"/>
    <w:tmpl w:val="65E440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D63787E"/>
    <w:multiLevelType w:val="hybridMultilevel"/>
    <w:tmpl w:val="069263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DE853CF"/>
    <w:multiLevelType w:val="hybridMultilevel"/>
    <w:tmpl w:val="FA30A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5"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DE315A"/>
    <w:multiLevelType w:val="hybridMultilevel"/>
    <w:tmpl w:val="F5EC2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B852818"/>
    <w:multiLevelType w:val="hybridMultilevel"/>
    <w:tmpl w:val="D3E816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C042717"/>
    <w:multiLevelType w:val="multilevel"/>
    <w:tmpl w:val="DCDEB9D0"/>
    <w:numStyleLink w:val="Style1"/>
  </w:abstractNum>
  <w:abstractNum w:abstractNumId="39"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1"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57196525">
    <w:abstractNumId w:val="15"/>
  </w:num>
  <w:num w:numId="2" w16cid:durableId="659116008">
    <w:abstractNumId w:val="26"/>
  </w:num>
  <w:num w:numId="3" w16cid:durableId="428039246">
    <w:abstractNumId w:val="43"/>
  </w:num>
  <w:num w:numId="4" w16cid:durableId="1688940720">
    <w:abstractNumId w:val="21"/>
  </w:num>
  <w:num w:numId="5" w16cid:durableId="1790082978">
    <w:abstractNumId w:val="13"/>
  </w:num>
  <w:num w:numId="6" w16cid:durableId="571161853">
    <w:abstractNumId w:val="7"/>
  </w:num>
  <w:num w:numId="7" w16cid:durableId="851066908">
    <w:abstractNumId w:val="24"/>
  </w:num>
  <w:num w:numId="8" w16cid:durableId="61224443">
    <w:abstractNumId w:val="23"/>
  </w:num>
  <w:num w:numId="9" w16cid:durableId="972250063">
    <w:abstractNumId w:val="42"/>
  </w:num>
  <w:num w:numId="10"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924372">
    <w:abstractNumId w:val="1"/>
  </w:num>
  <w:num w:numId="12" w16cid:durableId="279385941">
    <w:abstractNumId w:val="34"/>
  </w:num>
  <w:num w:numId="13" w16cid:durableId="948007045">
    <w:abstractNumId w:val="12"/>
  </w:num>
  <w:num w:numId="14" w16cid:durableId="823200718">
    <w:abstractNumId w:val="38"/>
  </w:num>
  <w:num w:numId="15" w16cid:durableId="703866721">
    <w:abstractNumId w:val="22"/>
  </w:num>
  <w:num w:numId="16" w16cid:durableId="192305151">
    <w:abstractNumId w:val="11"/>
  </w:num>
  <w:num w:numId="17" w16cid:durableId="24016450">
    <w:abstractNumId w:val="35"/>
  </w:num>
  <w:num w:numId="18" w16cid:durableId="717705514">
    <w:abstractNumId w:val="27"/>
  </w:num>
  <w:num w:numId="19" w16cid:durableId="691230062">
    <w:abstractNumId w:val="39"/>
  </w:num>
  <w:num w:numId="20" w16cid:durableId="1343435891">
    <w:abstractNumId w:val="14"/>
  </w:num>
  <w:num w:numId="21" w16cid:durableId="4983556">
    <w:abstractNumId w:val="28"/>
  </w:num>
  <w:num w:numId="22" w16cid:durableId="1442725474">
    <w:abstractNumId w:val="4"/>
  </w:num>
  <w:num w:numId="23" w16cid:durableId="380246717">
    <w:abstractNumId w:val="25"/>
  </w:num>
  <w:num w:numId="24" w16cid:durableId="1964146203">
    <w:abstractNumId w:val="16"/>
  </w:num>
  <w:num w:numId="25" w16cid:durableId="1810130802">
    <w:abstractNumId w:val="41"/>
  </w:num>
  <w:num w:numId="26" w16cid:durableId="404837251">
    <w:abstractNumId w:val="33"/>
  </w:num>
  <w:num w:numId="27" w16cid:durableId="1851795376">
    <w:abstractNumId w:val="0"/>
  </w:num>
  <w:num w:numId="28" w16cid:durableId="1318416344">
    <w:abstractNumId w:val="18"/>
  </w:num>
  <w:num w:numId="29" w16cid:durableId="1533492555">
    <w:abstractNumId w:val="9"/>
  </w:num>
  <w:num w:numId="30" w16cid:durableId="1154376177">
    <w:abstractNumId w:val="3"/>
  </w:num>
  <w:num w:numId="31" w16cid:durableId="944464173">
    <w:abstractNumId w:val="2"/>
  </w:num>
  <w:num w:numId="32" w16cid:durableId="1884168811">
    <w:abstractNumId w:val="5"/>
  </w:num>
  <w:num w:numId="33" w16cid:durableId="1627159036">
    <w:abstractNumId w:val="10"/>
  </w:num>
  <w:num w:numId="34" w16cid:durableId="1671175605">
    <w:abstractNumId w:val="19"/>
  </w:num>
  <w:num w:numId="35" w16cid:durableId="152792863">
    <w:abstractNumId w:val="17"/>
  </w:num>
  <w:num w:numId="36" w16cid:durableId="448669641">
    <w:abstractNumId w:val="6"/>
  </w:num>
  <w:num w:numId="37" w16cid:durableId="41442950">
    <w:abstractNumId w:val="40"/>
  </w:num>
  <w:num w:numId="38" w16cid:durableId="592393198">
    <w:abstractNumId w:val="26"/>
  </w:num>
  <w:num w:numId="39" w16cid:durableId="588536818">
    <w:abstractNumId w:val="6"/>
  </w:num>
  <w:num w:numId="40" w16cid:durableId="965770565">
    <w:abstractNumId w:val="36"/>
  </w:num>
  <w:num w:numId="41" w16cid:durableId="1782332839">
    <w:abstractNumId w:val="8"/>
  </w:num>
  <w:num w:numId="42" w16cid:durableId="2018648322">
    <w:abstractNumId w:val="32"/>
  </w:num>
  <w:num w:numId="43" w16cid:durableId="12850215">
    <w:abstractNumId w:val="31"/>
  </w:num>
  <w:num w:numId="44" w16cid:durableId="1221599819">
    <w:abstractNumId w:val="37"/>
  </w:num>
  <w:num w:numId="45" w16cid:durableId="1492714994">
    <w:abstractNumId w:val="29"/>
  </w:num>
  <w:num w:numId="46" w16cid:durableId="386953676">
    <w:abstractNumId w:val="20"/>
  </w:num>
  <w:num w:numId="47" w16cid:durableId="169295501">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6A"/>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D8"/>
    <w:rsid w:val="00037BEC"/>
    <w:rsid w:val="000400D9"/>
    <w:rsid w:val="0004035C"/>
    <w:rsid w:val="00040860"/>
    <w:rsid w:val="00040CED"/>
    <w:rsid w:val="00040EA1"/>
    <w:rsid w:val="0004205F"/>
    <w:rsid w:val="000423C6"/>
    <w:rsid w:val="00042EDB"/>
    <w:rsid w:val="00044A50"/>
    <w:rsid w:val="00044C65"/>
    <w:rsid w:val="00044C87"/>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30F"/>
    <w:rsid w:val="000619CB"/>
    <w:rsid w:val="00062387"/>
    <w:rsid w:val="000633A0"/>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47E"/>
    <w:rsid w:val="000735A2"/>
    <w:rsid w:val="0007517E"/>
    <w:rsid w:val="00075FE1"/>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86A"/>
    <w:rsid w:val="00087175"/>
    <w:rsid w:val="00087D35"/>
    <w:rsid w:val="00090F6A"/>
    <w:rsid w:val="00091796"/>
    <w:rsid w:val="00091BA2"/>
    <w:rsid w:val="00091CB0"/>
    <w:rsid w:val="00092D7C"/>
    <w:rsid w:val="000942BC"/>
    <w:rsid w:val="00094344"/>
    <w:rsid w:val="000953C6"/>
    <w:rsid w:val="000953F4"/>
    <w:rsid w:val="0009590C"/>
    <w:rsid w:val="000959E7"/>
    <w:rsid w:val="00095E7D"/>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99A"/>
    <w:rsid w:val="000B6D1F"/>
    <w:rsid w:val="000C062F"/>
    <w:rsid w:val="000C0668"/>
    <w:rsid w:val="000C17E7"/>
    <w:rsid w:val="000C3270"/>
    <w:rsid w:val="000C574D"/>
    <w:rsid w:val="000C577E"/>
    <w:rsid w:val="000D04BA"/>
    <w:rsid w:val="000D0B6E"/>
    <w:rsid w:val="000D0D65"/>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020C"/>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4B81"/>
    <w:rsid w:val="000F5285"/>
    <w:rsid w:val="000F52E0"/>
    <w:rsid w:val="000F53A9"/>
    <w:rsid w:val="000F6464"/>
    <w:rsid w:val="000F6628"/>
    <w:rsid w:val="000F6C25"/>
    <w:rsid w:val="000F76EB"/>
    <w:rsid w:val="000F78AE"/>
    <w:rsid w:val="000F7E25"/>
    <w:rsid w:val="001007EE"/>
    <w:rsid w:val="00100F76"/>
    <w:rsid w:val="0010148E"/>
    <w:rsid w:val="0010194C"/>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731C"/>
    <w:rsid w:val="00127945"/>
    <w:rsid w:val="00127D94"/>
    <w:rsid w:val="00127E90"/>
    <w:rsid w:val="001302C1"/>
    <w:rsid w:val="001306D3"/>
    <w:rsid w:val="001308F4"/>
    <w:rsid w:val="001310BF"/>
    <w:rsid w:val="00131EC2"/>
    <w:rsid w:val="00133E73"/>
    <w:rsid w:val="00133FDB"/>
    <w:rsid w:val="00134C79"/>
    <w:rsid w:val="00134F4A"/>
    <w:rsid w:val="00135E4E"/>
    <w:rsid w:val="00136246"/>
    <w:rsid w:val="001362A1"/>
    <w:rsid w:val="001364D4"/>
    <w:rsid w:val="001371C8"/>
    <w:rsid w:val="001372ED"/>
    <w:rsid w:val="001419E2"/>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A66"/>
    <w:rsid w:val="00152B87"/>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2D7"/>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4581"/>
    <w:rsid w:val="001A65C8"/>
    <w:rsid w:val="001A732E"/>
    <w:rsid w:val="001A7F30"/>
    <w:rsid w:val="001B06E2"/>
    <w:rsid w:val="001B103A"/>
    <w:rsid w:val="001B103D"/>
    <w:rsid w:val="001B1513"/>
    <w:rsid w:val="001B1767"/>
    <w:rsid w:val="001B2453"/>
    <w:rsid w:val="001B36D8"/>
    <w:rsid w:val="001B3D48"/>
    <w:rsid w:val="001B5AF9"/>
    <w:rsid w:val="001B6600"/>
    <w:rsid w:val="001B6B9B"/>
    <w:rsid w:val="001B6C27"/>
    <w:rsid w:val="001B7144"/>
    <w:rsid w:val="001B7B8A"/>
    <w:rsid w:val="001B7DB5"/>
    <w:rsid w:val="001B7E91"/>
    <w:rsid w:val="001C0748"/>
    <w:rsid w:val="001C147E"/>
    <w:rsid w:val="001C151B"/>
    <w:rsid w:val="001C19E5"/>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C6F"/>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0FD4"/>
    <w:rsid w:val="001F139F"/>
    <w:rsid w:val="001F2805"/>
    <w:rsid w:val="001F2ACA"/>
    <w:rsid w:val="001F2ADB"/>
    <w:rsid w:val="001F2E79"/>
    <w:rsid w:val="001F2F07"/>
    <w:rsid w:val="001F3123"/>
    <w:rsid w:val="001F376D"/>
    <w:rsid w:val="001F418C"/>
    <w:rsid w:val="001F46EB"/>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FB4"/>
    <w:rsid w:val="0023057E"/>
    <w:rsid w:val="002312BC"/>
    <w:rsid w:val="002337E5"/>
    <w:rsid w:val="00233C06"/>
    <w:rsid w:val="00233F24"/>
    <w:rsid w:val="00234943"/>
    <w:rsid w:val="00234BBB"/>
    <w:rsid w:val="002356F4"/>
    <w:rsid w:val="00235F02"/>
    <w:rsid w:val="00236D28"/>
    <w:rsid w:val="00237DA1"/>
    <w:rsid w:val="00237FE4"/>
    <w:rsid w:val="00240656"/>
    <w:rsid w:val="002412D0"/>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5E8C"/>
    <w:rsid w:val="00246CA3"/>
    <w:rsid w:val="00246EAE"/>
    <w:rsid w:val="00247116"/>
    <w:rsid w:val="002471E5"/>
    <w:rsid w:val="002517A8"/>
    <w:rsid w:val="00251EEE"/>
    <w:rsid w:val="00253177"/>
    <w:rsid w:val="002538B8"/>
    <w:rsid w:val="0025396F"/>
    <w:rsid w:val="00254319"/>
    <w:rsid w:val="0025539F"/>
    <w:rsid w:val="002554B8"/>
    <w:rsid w:val="00256388"/>
    <w:rsid w:val="00256E44"/>
    <w:rsid w:val="00260919"/>
    <w:rsid w:val="002612FD"/>
    <w:rsid w:val="002613DC"/>
    <w:rsid w:val="00261755"/>
    <w:rsid w:val="00261AAA"/>
    <w:rsid w:val="00262097"/>
    <w:rsid w:val="002626D7"/>
    <w:rsid w:val="00262D20"/>
    <w:rsid w:val="002634AB"/>
    <w:rsid w:val="002638E0"/>
    <w:rsid w:val="00263C19"/>
    <w:rsid w:val="00263E9F"/>
    <w:rsid w:val="00264F03"/>
    <w:rsid w:val="00264F8F"/>
    <w:rsid w:val="0026509E"/>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DAB"/>
    <w:rsid w:val="00287FB6"/>
    <w:rsid w:val="002900C5"/>
    <w:rsid w:val="002901E0"/>
    <w:rsid w:val="0029075B"/>
    <w:rsid w:val="00290ADD"/>
    <w:rsid w:val="00290BB1"/>
    <w:rsid w:val="00291BC1"/>
    <w:rsid w:val="002933B9"/>
    <w:rsid w:val="002933CA"/>
    <w:rsid w:val="00293A8F"/>
    <w:rsid w:val="00295155"/>
    <w:rsid w:val="00295D51"/>
    <w:rsid w:val="00296203"/>
    <w:rsid w:val="00296428"/>
    <w:rsid w:val="0029643D"/>
    <w:rsid w:val="00296A94"/>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7DD"/>
    <w:rsid w:val="002B18F7"/>
    <w:rsid w:val="002B3ED7"/>
    <w:rsid w:val="002B4778"/>
    <w:rsid w:val="002B4F0F"/>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7A02"/>
    <w:rsid w:val="002C7BD4"/>
    <w:rsid w:val="002D0107"/>
    <w:rsid w:val="002D062E"/>
    <w:rsid w:val="002D0D43"/>
    <w:rsid w:val="002D1368"/>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17F69"/>
    <w:rsid w:val="00320339"/>
    <w:rsid w:val="00320699"/>
    <w:rsid w:val="00321214"/>
    <w:rsid w:val="003213D5"/>
    <w:rsid w:val="003226E4"/>
    <w:rsid w:val="00323737"/>
    <w:rsid w:val="00323AD6"/>
    <w:rsid w:val="00323F27"/>
    <w:rsid w:val="003242EF"/>
    <w:rsid w:val="00325339"/>
    <w:rsid w:val="003255AA"/>
    <w:rsid w:val="003257C8"/>
    <w:rsid w:val="00326DF3"/>
    <w:rsid w:val="00327E5D"/>
    <w:rsid w:val="003314B6"/>
    <w:rsid w:val="00331A20"/>
    <w:rsid w:val="00331E65"/>
    <w:rsid w:val="00333107"/>
    <w:rsid w:val="0033343B"/>
    <w:rsid w:val="003336A1"/>
    <w:rsid w:val="0033393C"/>
    <w:rsid w:val="00333D3D"/>
    <w:rsid w:val="003357EE"/>
    <w:rsid w:val="00337368"/>
    <w:rsid w:val="00337B4D"/>
    <w:rsid w:val="003407A9"/>
    <w:rsid w:val="00340BA3"/>
    <w:rsid w:val="00340BAF"/>
    <w:rsid w:val="00340C2B"/>
    <w:rsid w:val="00340F9A"/>
    <w:rsid w:val="00341018"/>
    <w:rsid w:val="00341B09"/>
    <w:rsid w:val="003420D9"/>
    <w:rsid w:val="003423E0"/>
    <w:rsid w:val="003424E2"/>
    <w:rsid w:val="0034301A"/>
    <w:rsid w:val="00343D76"/>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F9E"/>
    <w:rsid w:val="003540D1"/>
    <w:rsid w:val="003545BF"/>
    <w:rsid w:val="0035586A"/>
    <w:rsid w:val="0035611A"/>
    <w:rsid w:val="00356C3D"/>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7BA1"/>
    <w:rsid w:val="00377FF0"/>
    <w:rsid w:val="00380616"/>
    <w:rsid w:val="00381022"/>
    <w:rsid w:val="003814B8"/>
    <w:rsid w:val="00382909"/>
    <w:rsid w:val="00382EE1"/>
    <w:rsid w:val="003841C3"/>
    <w:rsid w:val="00384258"/>
    <w:rsid w:val="00385131"/>
    <w:rsid w:val="0038620B"/>
    <w:rsid w:val="003863A8"/>
    <w:rsid w:val="00387647"/>
    <w:rsid w:val="0038791A"/>
    <w:rsid w:val="00390056"/>
    <w:rsid w:val="0039055C"/>
    <w:rsid w:val="00390718"/>
    <w:rsid w:val="00390767"/>
    <w:rsid w:val="00390883"/>
    <w:rsid w:val="0039140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6769"/>
    <w:rsid w:val="003A71AD"/>
    <w:rsid w:val="003A7D1D"/>
    <w:rsid w:val="003B0EE7"/>
    <w:rsid w:val="003B1688"/>
    <w:rsid w:val="003B1FA4"/>
    <w:rsid w:val="003B1FE6"/>
    <w:rsid w:val="003B2813"/>
    <w:rsid w:val="003B3106"/>
    <w:rsid w:val="003B3974"/>
    <w:rsid w:val="003B39E0"/>
    <w:rsid w:val="003B3DAB"/>
    <w:rsid w:val="003B404D"/>
    <w:rsid w:val="003B419E"/>
    <w:rsid w:val="003B4B34"/>
    <w:rsid w:val="003B4CDA"/>
    <w:rsid w:val="003B4F2D"/>
    <w:rsid w:val="003B5BD9"/>
    <w:rsid w:val="003B64A3"/>
    <w:rsid w:val="003B6DB8"/>
    <w:rsid w:val="003B72B9"/>
    <w:rsid w:val="003C0887"/>
    <w:rsid w:val="003C08AF"/>
    <w:rsid w:val="003C2EDD"/>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2543"/>
    <w:rsid w:val="003D3583"/>
    <w:rsid w:val="003D391E"/>
    <w:rsid w:val="003D3B6F"/>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676"/>
    <w:rsid w:val="003E67E7"/>
    <w:rsid w:val="003E6B3C"/>
    <w:rsid w:val="003E6B95"/>
    <w:rsid w:val="003E70FF"/>
    <w:rsid w:val="003E7F1B"/>
    <w:rsid w:val="003F0B41"/>
    <w:rsid w:val="003F1E39"/>
    <w:rsid w:val="003F229D"/>
    <w:rsid w:val="003F25F0"/>
    <w:rsid w:val="003F2D5B"/>
    <w:rsid w:val="003F4EFC"/>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4FB1"/>
    <w:rsid w:val="00425173"/>
    <w:rsid w:val="004255B4"/>
    <w:rsid w:val="00426766"/>
    <w:rsid w:val="004267D0"/>
    <w:rsid w:val="004276CB"/>
    <w:rsid w:val="004279CA"/>
    <w:rsid w:val="00427A82"/>
    <w:rsid w:val="00427EA2"/>
    <w:rsid w:val="00430115"/>
    <w:rsid w:val="004303CA"/>
    <w:rsid w:val="00430A4B"/>
    <w:rsid w:val="00431C46"/>
    <w:rsid w:val="004327E6"/>
    <w:rsid w:val="004329DC"/>
    <w:rsid w:val="00432AC6"/>
    <w:rsid w:val="00434657"/>
    <w:rsid w:val="00434C5E"/>
    <w:rsid w:val="00435765"/>
    <w:rsid w:val="004360B6"/>
    <w:rsid w:val="004362E5"/>
    <w:rsid w:val="00436356"/>
    <w:rsid w:val="0044041E"/>
    <w:rsid w:val="00440722"/>
    <w:rsid w:val="00440DF5"/>
    <w:rsid w:val="004425D9"/>
    <w:rsid w:val="00443244"/>
    <w:rsid w:val="00444AF6"/>
    <w:rsid w:val="0044519D"/>
    <w:rsid w:val="00445544"/>
    <w:rsid w:val="00445C0B"/>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3944"/>
    <w:rsid w:val="0046512A"/>
    <w:rsid w:val="00465234"/>
    <w:rsid w:val="00465B24"/>
    <w:rsid w:val="00466858"/>
    <w:rsid w:val="00466D0F"/>
    <w:rsid w:val="00467544"/>
    <w:rsid w:val="004676BA"/>
    <w:rsid w:val="0046784C"/>
    <w:rsid w:val="00467ECB"/>
    <w:rsid w:val="00470865"/>
    <w:rsid w:val="004710C3"/>
    <w:rsid w:val="00471459"/>
    <w:rsid w:val="00472274"/>
    <w:rsid w:val="004722D4"/>
    <w:rsid w:val="00472D9C"/>
    <w:rsid w:val="00473B60"/>
    <w:rsid w:val="00475AFF"/>
    <w:rsid w:val="00475D30"/>
    <w:rsid w:val="004765F4"/>
    <w:rsid w:val="00476B4D"/>
    <w:rsid w:val="00476CBC"/>
    <w:rsid w:val="00476E23"/>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A3"/>
    <w:rsid w:val="004B16C4"/>
    <w:rsid w:val="004B1867"/>
    <w:rsid w:val="004B2A64"/>
    <w:rsid w:val="004B3073"/>
    <w:rsid w:val="004B352E"/>
    <w:rsid w:val="004B41DA"/>
    <w:rsid w:val="004B470D"/>
    <w:rsid w:val="004B4764"/>
    <w:rsid w:val="004B4846"/>
    <w:rsid w:val="004B5394"/>
    <w:rsid w:val="004B5BDD"/>
    <w:rsid w:val="004B6E9E"/>
    <w:rsid w:val="004B6F83"/>
    <w:rsid w:val="004B7C29"/>
    <w:rsid w:val="004C06E5"/>
    <w:rsid w:val="004C198D"/>
    <w:rsid w:val="004C1B7D"/>
    <w:rsid w:val="004C1CE6"/>
    <w:rsid w:val="004C1E3C"/>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7541"/>
    <w:rsid w:val="004D1E71"/>
    <w:rsid w:val="004D2809"/>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55D6"/>
    <w:rsid w:val="004F565A"/>
    <w:rsid w:val="004F571B"/>
    <w:rsid w:val="004F64EB"/>
    <w:rsid w:val="004F756C"/>
    <w:rsid w:val="004F7A74"/>
    <w:rsid w:val="00500161"/>
    <w:rsid w:val="00500250"/>
    <w:rsid w:val="00500264"/>
    <w:rsid w:val="005007C3"/>
    <w:rsid w:val="00500824"/>
    <w:rsid w:val="00500DAB"/>
    <w:rsid w:val="00501144"/>
    <w:rsid w:val="005013EF"/>
    <w:rsid w:val="005019E0"/>
    <w:rsid w:val="0050211F"/>
    <w:rsid w:val="005022E7"/>
    <w:rsid w:val="00502A93"/>
    <w:rsid w:val="005037F9"/>
    <w:rsid w:val="005040DC"/>
    <w:rsid w:val="00506083"/>
    <w:rsid w:val="005068D6"/>
    <w:rsid w:val="00506B86"/>
    <w:rsid w:val="00506EEC"/>
    <w:rsid w:val="00506FD4"/>
    <w:rsid w:val="005107FF"/>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ABA"/>
    <w:rsid w:val="00534DA8"/>
    <w:rsid w:val="00535FFF"/>
    <w:rsid w:val="0053616F"/>
    <w:rsid w:val="005368AD"/>
    <w:rsid w:val="005370BC"/>
    <w:rsid w:val="00537B35"/>
    <w:rsid w:val="00537DE7"/>
    <w:rsid w:val="00537EC4"/>
    <w:rsid w:val="00537FE4"/>
    <w:rsid w:val="0054027D"/>
    <w:rsid w:val="00541222"/>
    <w:rsid w:val="00541A8D"/>
    <w:rsid w:val="00541D4D"/>
    <w:rsid w:val="00542693"/>
    <w:rsid w:val="0054309B"/>
    <w:rsid w:val="00544DA0"/>
    <w:rsid w:val="005454BD"/>
    <w:rsid w:val="005457E4"/>
    <w:rsid w:val="00546C49"/>
    <w:rsid w:val="0055010B"/>
    <w:rsid w:val="005502D3"/>
    <w:rsid w:val="00550D59"/>
    <w:rsid w:val="00550D66"/>
    <w:rsid w:val="0055110D"/>
    <w:rsid w:val="00551297"/>
    <w:rsid w:val="00551F81"/>
    <w:rsid w:val="0055210F"/>
    <w:rsid w:val="00552CD7"/>
    <w:rsid w:val="005533BE"/>
    <w:rsid w:val="00554B30"/>
    <w:rsid w:val="00554FFB"/>
    <w:rsid w:val="005568DE"/>
    <w:rsid w:val="0055699C"/>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7588"/>
    <w:rsid w:val="00567992"/>
    <w:rsid w:val="00567C3C"/>
    <w:rsid w:val="005702F8"/>
    <w:rsid w:val="00571231"/>
    <w:rsid w:val="00571767"/>
    <w:rsid w:val="00571A98"/>
    <w:rsid w:val="00571D4F"/>
    <w:rsid w:val="00571E44"/>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FCB"/>
    <w:rsid w:val="00581FA0"/>
    <w:rsid w:val="00582B90"/>
    <w:rsid w:val="005831A7"/>
    <w:rsid w:val="00583321"/>
    <w:rsid w:val="0058341E"/>
    <w:rsid w:val="00584F3A"/>
    <w:rsid w:val="005853AB"/>
    <w:rsid w:val="00585748"/>
    <w:rsid w:val="005859C5"/>
    <w:rsid w:val="00585C79"/>
    <w:rsid w:val="00586144"/>
    <w:rsid w:val="0058658F"/>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40CF"/>
    <w:rsid w:val="005A4A0A"/>
    <w:rsid w:val="005A4A9C"/>
    <w:rsid w:val="005A4BAE"/>
    <w:rsid w:val="005A4F10"/>
    <w:rsid w:val="005A4F39"/>
    <w:rsid w:val="005A574D"/>
    <w:rsid w:val="005A5B5C"/>
    <w:rsid w:val="005A6E93"/>
    <w:rsid w:val="005A707A"/>
    <w:rsid w:val="005A7340"/>
    <w:rsid w:val="005A7F93"/>
    <w:rsid w:val="005B07EA"/>
    <w:rsid w:val="005B0B20"/>
    <w:rsid w:val="005B0BD6"/>
    <w:rsid w:val="005B0C0E"/>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5143"/>
    <w:rsid w:val="005C5639"/>
    <w:rsid w:val="005C5742"/>
    <w:rsid w:val="005C760E"/>
    <w:rsid w:val="005C7E9E"/>
    <w:rsid w:val="005D18C9"/>
    <w:rsid w:val="005D1B72"/>
    <w:rsid w:val="005D23BD"/>
    <w:rsid w:val="005D2471"/>
    <w:rsid w:val="005D25A3"/>
    <w:rsid w:val="005D2779"/>
    <w:rsid w:val="005D2E2A"/>
    <w:rsid w:val="005D3242"/>
    <w:rsid w:val="005D610C"/>
    <w:rsid w:val="005D74E7"/>
    <w:rsid w:val="005D7F7B"/>
    <w:rsid w:val="005E27C5"/>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0D7E"/>
    <w:rsid w:val="0062159D"/>
    <w:rsid w:val="00621680"/>
    <w:rsid w:val="00621EC5"/>
    <w:rsid w:val="006223E0"/>
    <w:rsid w:val="006224D0"/>
    <w:rsid w:val="00622BCE"/>
    <w:rsid w:val="00622E29"/>
    <w:rsid w:val="00623643"/>
    <w:rsid w:val="006239DF"/>
    <w:rsid w:val="00623CA7"/>
    <w:rsid w:val="00624018"/>
    <w:rsid w:val="006240C4"/>
    <w:rsid w:val="00625304"/>
    <w:rsid w:val="0062581B"/>
    <w:rsid w:val="006261F4"/>
    <w:rsid w:val="0063164E"/>
    <w:rsid w:val="0063191D"/>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0B1"/>
    <w:rsid w:val="006578A1"/>
    <w:rsid w:val="006578A6"/>
    <w:rsid w:val="0066137B"/>
    <w:rsid w:val="0066174E"/>
    <w:rsid w:val="00661BBB"/>
    <w:rsid w:val="00661E57"/>
    <w:rsid w:val="006626E8"/>
    <w:rsid w:val="006629E4"/>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158"/>
    <w:rsid w:val="006B44C5"/>
    <w:rsid w:val="006B555F"/>
    <w:rsid w:val="006B6242"/>
    <w:rsid w:val="006B6C7C"/>
    <w:rsid w:val="006B6EA4"/>
    <w:rsid w:val="006B77BB"/>
    <w:rsid w:val="006B7F8F"/>
    <w:rsid w:val="006B7FC5"/>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75AA"/>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200A"/>
    <w:rsid w:val="006E2E45"/>
    <w:rsid w:val="006E3CB2"/>
    <w:rsid w:val="006E3DA8"/>
    <w:rsid w:val="006E5DAA"/>
    <w:rsid w:val="006E7006"/>
    <w:rsid w:val="006E746F"/>
    <w:rsid w:val="006F00E7"/>
    <w:rsid w:val="006F0566"/>
    <w:rsid w:val="006F0F6E"/>
    <w:rsid w:val="006F1B22"/>
    <w:rsid w:val="006F1BA4"/>
    <w:rsid w:val="006F1F06"/>
    <w:rsid w:val="006F2259"/>
    <w:rsid w:val="006F23E1"/>
    <w:rsid w:val="006F2F8F"/>
    <w:rsid w:val="006F2FDA"/>
    <w:rsid w:val="006F2FE5"/>
    <w:rsid w:val="006F3460"/>
    <w:rsid w:val="006F34FE"/>
    <w:rsid w:val="006F3615"/>
    <w:rsid w:val="006F3AC1"/>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5863"/>
    <w:rsid w:val="007360CB"/>
    <w:rsid w:val="0073653E"/>
    <w:rsid w:val="00737566"/>
    <w:rsid w:val="00741BA2"/>
    <w:rsid w:val="00741CF4"/>
    <w:rsid w:val="00741D6F"/>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2A7"/>
    <w:rsid w:val="00763777"/>
    <w:rsid w:val="00763CCB"/>
    <w:rsid w:val="007642B4"/>
    <w:rsid w:val="00764C45"/>
    <w:rsid w:val="00765A07"/>
    <w:rsid w:val="00766277"/>
    <w:rsid w:val="0076656A"/>
    <w:rsid w:val="00766701"/>
    <w:rsid w:val="00766911"/>
    <w:rsid w:val="00767793"/>
    <w:rsid w:val="007679D8"/>
    <w:rsid w:val="00770803"/>
    <w:rsid w:val="00771319"/>
    <w:rsid w:val="007713E8"/>
    <w:rsid w:val="00771794"/>
    <w:rsid w:val="00771CCF"/>
    <w:rsid w:val="00771F7D"/>
    <w:rsid w:val="00772B36"/>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18C5"/>
    <w:rsid w:val="007B1925"/>
    <w:rsid w:val="007B22E0"/>
    <w:rsid w:val="007B28CA"/>
    <w:rsid w:val="007B358D"/>
    <w:rsid w:val="007B5401"/>
    <w:rsid w:val="007B5FB4"/>
    <w:rsid w:val="007B6B2B"/>
    <w:rsid w:val="007B7949"/>
    <w:rsid w:val="007B7D30"/>
    <w:rsid w:val="007C0FA9"/>
    <w:rsid w:val="007C2413"/>
    <w:rsid w:val="007C25AE"/>
    <w:rsid w:val="007C3152"/>
    <w:rsid w:val="007C333B"/>
    <w:rsid w:val="007C3914"/>
    <w:rsid w:val="007C3CEA"/>
    <w:rsid w:val="007C3D92"/>
    <w:rsid w:val="007C3E6F"/>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64EA"/>
    <w:rsid w:val="007D674C"/>
    <w:rsid w:val="007D6B7B"/>
    <w:rsid w:val="007D6CF1"/>
    <w:rsid w:val="007D7131"/>
    <w:rsid w:val="007D7BEC"/>
    <w:rsid w:val="007D7CE3"/>
    <w:rsid w:val="007E051A"/>
    <w:rsid w:val="007E0798"/>
    <w:rsid w:val="007E0A66"/>
    <w:rsid w:val="007E1B72"/>
    <w:rsid w:val="007E3EE3"/>
    <w:rsid w:val="007E57DE"/>
    <w:rsid w:val="007E5902"/>
    <w:rsid w:val="007E6719"/>
    <w:rsid w:val="007E68ED"/>
    <w:rsid w:val="007E69ED"/>
    <w:rsid w:val="007E7B2D"/>
    <w:rsid w:val="007E7B30"/>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1D9C"/>
    <w:rsid w:val="00822310"/>
    <w:rsid w:val="00823794"/>
    <w:rsid w:val="008237B3"/>
    <w:rsid w:val="008237F4"/>
    <w:rsid w:val="00823F67"/>
    <w:rsid w:val="00824022"/>
    <w:rsid w:val="0082483A"/>
    <w:rsid w:val="00824A81"/>
    <w:rsid w:val="008257B8"/>
    <w:rsid w:val="00825D67"/>
    <w:rsid w:val="008260ED"/>
    <w:rsid w:val="0082699D"/>
    <w:rsid w:val="00826CB0"/>
    <w:rsid w:val="00826E6B"/>
    <w:rsid w:val="008275FD"/>
    <w:rsid w:val="00827A52"/>
    <w:rsid w:val="00830BA1"/>
    <w:rsid w:val="00830EB2"/>
    <w:rsid w:val="00831652"/>
    <w:rsid w:val="0083202E"/>
    <w:rsid w:val="0083304F"/>
    <w:rsid w:val="008334C9"/>
    <w:rsid w:val="00834122"/>
    <w:rsid w:val="008352C5"/>
    <w:rsid w:val="008358A6"/>
    <w:rsid w:val="008359FB"/>
    <w:rsid w:val="00835C56"/>
    <w:rsid w:val="008360FC"/>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C27"/>
    <w:rsid w:val="00845F37"/>
    <w:rsid w:val="00845FF5"/>
    <w:rsid w:val="00846001"/>
    <w:rsid w:val="0084615D"/>
    <w:rsid w:val="008463DF"/>
    <w:rsid w:val="0084642A"/>
    <w:rsid w:val="008465C4"/>
    <w:rsid w:val="00846710"/>
    <w:rsid w:val="008478ED"/>
    <w:rsid w:val="0085118C"/>
    <w:rsid w:val="00851728"/>
    <w:rsid w:val="00851DFF"/>
    <w:rsid w:val="00853064"/>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65C"/>
    <w:rsid w:val="00866E37"/>
    <w:rsid w:val="00866F9E"/>
    <w:rsid w:val="008672E2"/>
    <w:rsid w:val="0086793D"/>
    <w:rsid w:val="00867B1C"/>
    <w:rsid w:val="00867BF2"/>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448"/>
    <w:rsid w:val="00882F1D"/>
    <w:rsid w:val="00883A4D"/>
    <w:rsid w:val="00883B21"/>
    <w:rsid w:val="00883E9A"/>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635"/>
    <w:rsid w:val="00895B5F"/>
    <w:rsid w:val="0089637C"/>
    <w:rsid w:val="00896712"/>
    <w:rsid w:val="00896870"/>
    <w:rsid w:val="008969BD"/>
    <w:rsid w:val="00897CAB"/>
    <w:rsid w:val="008A13BD"/>
    <w:rsid w:val="008A1596"/>
    <w:rsid w:val="008A1CE1"/>
    <w:rsid w:val="008A1EDF"/>
    <w:rsid w:val="008A2695"/>
    <w:rsid w:val="008A2DC9"/>
    <w:rsid w:val="008A2FF1"/>
    <w:rsid w:val="008A32D4"/>
    <w:rsid w:val="008A34BA"/>
    <w:rsid w:val="008A367F"/>
    <w:rsid w:val="008A37AF"/>
    <w:rsid w:val="008A3D62"/>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3849"/>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5F2F"/>
    <w:rsid w:val="008D6752"/>
    <w:rsid w:val="008D69E7"/>
    <w:rsid w:val="008D6FC1"/>
    <w:rsid w:val="008E0140"/>
    <w:rsid w:val="008E0688"/>
    <w:rsid w:val="008E0BEF"/>
    <w:rsid w:val="008E266D"/>
    <w:rsid w:val="008E2F0C"/>
    <w:rsid w:val="008E3E23"/>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7656"/>
    <w:rsid w:val="00907E47"/>
    <w:rsid w:val="009107BA"/>
    <w:rsid w:val="009115EF"/>
    <w:rsid w:val="009116DD"/>
    <w:rsid w:val="009123B4"/>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33D3"/>
    <w:rsid w:val="009339B6"/>
    <w:rsid w:val="00933B4C"/>
    <w:rsid w:val="00933DC4"/>
    <w:rsid w:val="0093431B"/>
    <w:rsid w:val="009346D6"/>
    <w:rsid w:val="00934743"/>
    <w:rsid w:val="0093487E"/>
    <w:rsid w:val="00934FFE"/>
    <w:rsid w:val="00936405"/>
    <w:rsid w:val="00936B64"/>
    <w:rsid w:val="00936F76"/>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069"/>
    <w:rsid w:val="00947268"/>
    <w:rsid w:val="0094750E"/>
    <w:rsid w:val="00947C94"/>
    <w:rsid w:val="009507C8"/>
    <w:rsid w:val="0095115E"/>
    <w:rsid w:val="0095118A"/>
    <w:rsid w:val="00952468"/>
    <w:rsid w:val="00954767"/>
    <w:rsid w:val="0095487A"/>
    <w:rsid w:val="009548FB"/>
    <w:rsid w:val="0095538B"/>
    <w:rsid w:val="0095695D"/>
    <w:rsid w:val="00957AF7"/>
    <w:rsid w:val="00960ACA"/>
    <w:rsid w:val="00960C4F"/>
    <w:rsid w:val="00961AF9"/>
    <w:rsid w:val="009620AA"/>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4D1"/>
    <w:rsid w:val="00971761"/>
    <w:rsid w:val="0097216F"/>
    <w:rsid w:val="00972C3B"/>
    <w:rsid w:val="00973057"/>
    <w:rsid w:val="00973604"/>
    <w:rsid w:val="00974D50"/>
    <w:rsid w:val="009751AF"/>
    <w:rsid w:val="00975326"/>
    <w:rsid w:val="00975DEA"/>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566"/>
    <w:rsid w:val="00986CC1"/>
    <w:rsid w:val="00986F4E"/>
    <w:rsid w:val="00987191"/>
    <w:rsid w:val="00987A5A"/>
    <w:rsid w:val="00987CB4"/>
    <w:rsid w:val="0099097E"/>
    <w:rsid w:val="00991C15"/>
    <w:rsid w:val="009921FC"/>
    <w:rsid w:val="0099272B"/>
    <w:rsid w:val="00992A0E"/>
    <w:rsid w:val="0099399E"/>
    <w:rsid w:val="0099413C"/>
    <w:rsid w:val="00994230"/>
    <w:rsid w:val="0099479E"/>
    <w:rsid w:val="00994D02"/>
    <w:rsid w:val="009951D8"/>
    <w:rsid w:val="00995355"/>
    <w:rsid w:val="0099586F"/>
    <w:rsid w:val="0099716F"/>
    <w:rsid w:val="0099719E"/>
    <w:rsid w:val="00997C4F"/>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4E2"/>
    <w:rsid w:val="009B1B0E"/>
    <w:rsid w:val="009B2596"/>
    <w:rsid w:val="009B42B6"/>
    <w:rsid w:val="009B42CC"/>
    <w:rsid w:val="009B43D6"/>
    <w:rsid w:val="009B5081"/>
    <w:rsid w:val="009B6985"/>
    <w:rsid w:val="009B69B3"/>
    <w:rsid w:val="009B7011"/>
    <w:rsid w:val="009B71E4"/>
    <w:rsid w:val="009C04EE"/>
    <w:rsid w:val="009C0CD4"/>
    <w:rsid w:val="009C115D"/>
    <w:rsid w:val="009C15E7"/>
    <w:rsid w:val="009C17C8"/>
    <w:rsid w:val="009C385B"/>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2EB"/>
    <w:rsid w:val="00A0079A"/>
    <w:rsid w:val="00A008B5"/>
    <w:rsid w:val="00A01420"/>
    <w:rsid w:val="00A017B4"/>
    <w:rsid w:val="00A01C53"/>
    <w:rsid w:val="00A01D38"/>
    <w:rsid w:val="00A02414"/>
    <w:rsid w:val="00A025B9"/>
    <w:rsid w:val="00A02623"/>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22D"/>
    <w:rsid w:val="00A216BC"/>
    <w:rsid w:val="00A23931"/>
    <w:rsid w:val="00A23FD6"/>
    <w:rsid w:val="00A25317"/>
    <w:rsid w:val="00A25706"/>
    <w:rsid w:val="00A25C26"/>
    <w:rsid w:val="00A25D84"/>
    <w:rsid w:val="00A26029"/>
    <w:rsid w:val="00A262E4"/>
    <w:rsid w:val="00A267C2"/>
    <w:rsid w:val="00A268EA"/>
    <w:rsid w:val="00A2703A"/>
    <w:rsid w:val="00A31CE0"/>
    <w:rsid w:val="00A31FA9"/>
    <w:rsid w:val="00A333BF"/>
    <w:rsid w:val="00A33825"/>
    <w:rsid w:val="00A3398F"/>
    <w:rsid w:val="00A34598"/>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12F"/>
    <w:rsid w:val="00A64815"/>
    <w:rsid w:val="00A65043"/>
    <w:rsid w:val="00A66DF9"/>
    <w:rsid w:val="00A704E4"/>
    <w:rsid w:val="00A706FC"/>
    <w:rsid w:val="00A70BD2"/>
    <w:rsid w:val="00A7136A"/>
    <w:rsid w:val="00A71C44"/>
    <w:rsid w:val="00A72296"/>
    <w:rsid w:val="00A73268"/>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0AD"/>
    <w:rsid w:val="00AA4941"/>
    <w:rsid w:val="00AA49E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265"/>
    <w:rsid w:val="00AD2717"/>
    <w:rsid w:val="00AD3644"/>
    <w:rsid w:val="00AD3C99"/>
    <w:rsid w:val="00AD3DC4"/>
    <w:rsid w:val="00AD4A46"/>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36"/>
    <w:rsid w:val="00AF39AF"/>
    <w:rsid w:val="00AF3E3B"/>
    <w:rsid w:val="00AF3E5A"/>
    <w:rsid w:val="00AF46FE"/>
    <w:rsid w:val="00AF486F"/>
    <w:rsid w:val="00AF548B"/>
    <w:rsid w:val="00AF55E0"/>
    <w:rsid w:val="00AF5666"/>
    <w:rsid w:val="00AF5870"/>
    <w:rsid w:val="00AF5AAF"/>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3"/>
    <w:rsid w:val="00B04CEA"/>
    <w:rsid w:val="00B05607"/>
    <w:rsid w:val="00B05A08"/>
    <w:rsid w:val="00B05F14"/>
    <w:rsid w:val="00B0632C"/>
    <w:rsid w:val="00B06737"/>
    <w:rsid w:val="00B0784C"/>
    <w:rsid w:val="00B07CE9"/>
    <w:rsid w:val="00B101D5"/>
    <w:rsid w:val="00B10633"/>
    <w:rsid w:val="00B10B08"/>
    <w:rsid w:val="00B11A78"/>
    <w:rsid w:val="00B11CFB"/>
    <w:rsid w:val="00B12111"/>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47A1B"/>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A7D"/>
    <w:rsid w:val="00B87DF9"/>
    <w:rsid w:val="00B91951"/>
    <w:rsid w:val="00B91A58"/>
    <w:rsid w:val="00B91EAD"/>
    <w:rsid w:val="00B920B9"/>
    <w:rsid w:val="00B930D2"/>
    <w:rsid w:val="00B937CD"/>
    <w:rsid w:val="00B938BC"/>
    <w:rsid w:val="00B93997"/>
    <w:rsid w:val="00B93C98"/>
    <w:rsid w:val="00B97601"/>
    <w:rsid w:val="00B976BB"/>
    <w:rsid w:val="00BA01A7"/>
    <w:rsid w:val="00BA0224"/>
    <w:rsid w:val="00BA05C8"/>
    <w:rsid w:val="00BA09AA"/>
    <w:rsid w:val="00BA0AD5"/>
    <w:rsid w:val="00BA0CA0"/>
    <w:rsid w:val="00BA0E3C"/>
    <w:rsid w:val="00BA1F74"/>
    <w:rsid w:val="00BA1FE7"/>
    <w:rsid w:val="00BA2B1D"/>
    <w:rsid w:val="00BA386F"/>
    <w:rsid w:val="00BA3D14"/>
    <w:rsid w:val="00BA435A"/>
    <w:rsid w:val="00BA54BA"/>
    <w:rsid w:val="00BA5603"/>
    <w:rsid w:val="00BA56D9"/>
    <w:rsid w:val="00BA6194"/>
    <w:rsid w:val="00BA6CE3"/>
    <w:rsid w:val="00BA7EEE"/>
    <w:rsid w:val="00BB2008"/>
    <w:rsid w:val="00BB250E"/>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C9B"/>
    <w:rsid w:val="00BC1527"/>
    <w:rsid w:val="00BC2306"/>
    <w:rsid w:val="00BC2F31"/>
    <w:rsid w:val="00BC316E"/>
    <w:rsid w:val="00BC4036"/>
    <w:rsid w:val="00BC4F0A"/>
    <w:rsid w:val="00BC509F"/>
    <w:rsid w:val="00BC51D2"/>
    <w:rsid w:val="00BC555E"/>
    <w:rsid w:val="00BC64BE"/>
    <w:rsid w:val="00BC7155"/>
    <w:rsid w:val="00BC7550"/>
    <w:rsid w:val="00BD0B72"/>
    <w:rsid w:val="00BD2668"/>
    <w:rsid w:val="00BD3924"/>
    <w:rsid w:val="00BD3C33"/>
    <w:rsid w:val="00BD450F"/>
    <w:rsid w:val="00BD4512"/>
    <w:rsid w:val="00BD52AA"/>
    <w:rsid w:val="00BD7FF4"/>
    <w:rsid w:val="00BE1061"/>
    <w:rsid w:val="00BE1321"/>
    <w:rsid w:val="00BE2893"/>
    <w:rsid w:val="00BE2EB4"/>
    <w:rsid w:val="00BE2F5A"/>
    <w:rsid w:val="00BE357D"/>
    <w:rsid w:val="00BE37D3"/>
    <w:rsid w:val="00BE4098"/>
    <w:rsid w:val="00BE522A"/>
    <w:rsid w:val="00BE57B5"/>
    <w:rsid w:val="00BE5ABE"/>
    <w:rsid w:val="00BE7A7C"/>
    <w:rsid w:val="00BF0A44"/>
    <w:rsid w:val="00BF0CEC"/>
    <w:rsid w:val="00BF1A44"/>
    <w:rsid w:val="00BF1EDF"/>
    <w:rsid w:val="00BF40EE"/>
    <w:rsid w:val="00BF4D3D"/>
    <w:rsid w:val="00BF569C"/>
    <w:rsid w:val="00BF58D3"/>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29A6"/>
    <w:rsid w:val="00C13FED"/>
    <w:rsid w:val="00C14E7D"/>
    <w:rsid w:val="00C15722"/>
    <w:rsid w:val="00C16103"/>
    <w:rsid w:val="00C16897"/>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8C2"/>
    <w:rsid w:val="00C63EE8"/>
    <w:rsid w:val="00C6432E"/>
    <w:rsid w:val="00C65718"/>
    <w:rsid w:val="00C65B95"/>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EDD"/>
    <w:rsid w:val="00C84505"/>
    <w:rsid w:val="00C8495F"/>
    <w:rsid w:val="00C84BF1"/>
    <w:rsid w:val="00C84CA2"/>
    <w:rsid w:val="00C85A36"/>
    <w:rsid w:val="00C85CD1"/>
    <w:rsid w:val="00C86C56"/>
    <w:rsid w:val="00C8773E"/>
    <w:rsid w:val="00C90601"/>
    <w:rsid w:val="00C90B02"/>
    <w:rsid w:val="00C90D16"/>
    <w:rsid w:val="00C9116A"/>
    <w:rsid w:val="00C91DAF"/>
    <w:rsid w:val="00C9265D"/>
    <w:rsid w:val="00C92824"/>
    <w:rsid w:val="00C92FF5"/>
    <w:rsid w:val="00C937BA"/>
    <w:rsid w:val="00C949FC"/>
    <w:rsid w:val="00C94B5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13"/>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1E21"/>
    <w:rsid w:val="00CF21A5"/>
    <w:rsid w:val="00CF2518"/>
    <w:rsid w:val="00CF2DDE"/>
    <w:rsid w:val="00CF344A"/>
    <w:rsid w:val="00CF39A0"/>
    <w:rsid w:val="00CF3D1C"/>
    <w:rsid w:val="00CF4713"/>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2C5E"/>
    <w:rsid w:val="00D0330B"/>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60E"/>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5F7"/>
    <w:rsid w:val="00D30718"/>
    <w:rsid w:val="00D322FB"/>
    <w:rsid w:val="00D32475"/>
    <w:rsid w:val="00D32EC3"/>
    <w:rsid w:val="00D32EF4"/>
    <w:rsid w:val="00D33F81"/>
    <w:rsid w:val="00D34850"/>
    <w:rsid w:val="00D3486B"/>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BA2"/>
    <w:rsid w:val="00D47234"/>
    <w:rsid w:val="00D47281"/>
    <w:rsid w:val="00D47581"/>
    <w:rsid w:val="00D50295"/>
    <w:rsid w:val="00D5069A"/>
    <w:rsid w:val="00D50E43"/>
    <w:rsid w:val="00D51469"/>
    <w:rsid w:val="00D52B45"/>
    <w:rsid w:val="00D530EB"/>
    <w:rsid w:val="00D53393"/>
    <w:rsid w:val="00D535B6"/>
    <w:rsid w:val="00D5451D"/>
    <w:rsid w:val="00D55235"/>
    <w:rsid w:val="00D55D78"/>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08"/>
    <w:rsid w:val="00D72C72"/>
    <w:rsid w:val="00D74160"/>
    <w:rsid w:val="00D744CC"/>
    <w:rsid w:val="00D75D22"/>
    <w:rsid w:val="00D75DA5"/>
    <w:rsid w:val="00D76C58"/>
    <w:rsid w:val="00D76CF2"/>
    <w:rsid w:val="00D76E7C"/>
    <w:rsid w:val="00D774D1"/>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5F52"/>
    <w:rsid w:val="00D86466"/>
    <w:rsid w:val="00D870E8"/>
    <w:rsid w:val="00D87423"/>
    <w:rsid w:val="00D87452"/>
    <w:rsid w:val="00D87485"/>
    <w:rsid w:val="00D87E58"/>
    <w:rsid w:val="00D907CB"/>
    <w:rsid w:val="00D91BF2"/>
    <w:rsid w:val="00D93C1C"/>
    <w:rsid w:val="00D94026"/>
    <w:rsid w:val="00D94120"/>
    <w:rsid w:val="00D951DD"/>
    <w:rsid w:val="00D952ED"/>
    <w:rsid w:val="00D957FA"/>
    <w:rsid w:val="00D9664C"/>
    <w:rsid w:val="00D97404"/>
    <w:rsid w:val="00D975A3"/>
    <w:rsid w:val="00D979D0"/>
    <w:rsid w:val="00DA08CA"/>
    <w:rsid w:val="00DA0D6A"/>
    <w:rsid w:val="00DA0F37"/>
    <w:rsid w:val="00DA101A"/>
    <w:rsid w:val="00DA122C"/>
    <w:rsid w:val="00DA2FD5"/>
    <w:rsid w:val="00DA4838"/>
    <w:rsid w:val="00DA4989"/>
    <w:rsid w:val="00DA4B7A"/>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9C8"/>
    <w:rsid w:val="00DD5E81"/>
    <w:rsid w:val="00DD6C46"/>
    <w:rsid w:val="00DD6C7A"/>
    <w:rsid w:val="00DD6F44"/>
    <w:rsid w:val="00DD7CCA"/>
    <w:rsid w:val="00DE0A4F"/>
    <w:rsid w:val="00DE0BDE"/>
    <w:rsid w:val="00DE10CF"/>
    <w:rsid w:val="00DE1270"/>
    <w:rsid w:val="00DE1E1E"/>
    <w:rsid w:val="00DE223E"/>
    <w:rsid w:val="00DE2D33"/>
    <w:rsid w:val="00DE2D92"/>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757B"/>
    <w:rsid w:val="00E2792D"/>
    <w:rsid w:val="00E30828"/>
    <w:rsid w:val="00E30B37"/>
    <w:rsid w:val="00E30CA7"/>
    <w:rsid w:val="00E3109C"/>
    <w:rsid w:val="00E311D1"/>
    <w:rsid w:val="00E31C2D"/>
    <w:rsid w:val="00E32432"/>
    <w:rsid w:val="00E33B1E"/>
    <w:rsid w:val="00E34277"/>
    <w:rsid w:val="00E35C6C"/>
    <w:rsid w:val="00E3621B"/>
    <w:rsid w:val="00E36D6F"/>
    <w:rsid w:val="00E36F43"/>
    <w:rsid w:val="00E374FF"/>
    <w:rsid w:val="00E37F0C"/>
    <w:rsid w:val="00E40ADF"/>
    <w:rsid w:val="00E418E3"/>
    <w:rsid w:val="00E41F8B"/>
    <w:rsid w:val="00E423DE"/>
    <w:rsid w:val="00E4296F"/>
    <w:rsid w:val="00E42F07"/>
    <w:rsid w:val="00E4370F"/>
    <w:rsid w:val="00E4441D"/>
    <w:rsid w:val="00E453AB"/>
    <w:rsid w:val="00E462E6"/>
    <w:rsid w:val="00E463A0"/>
    <w:rsid w:val="00E465B5"/>
    <w:rsid w:val="00E47839"/>
    <w:rsid w:val="00E513CF"/>
    <w:rsid w:val="00E51CDE"/>
    <w:rsid w:val="00E5210B"/>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46B5"/>
    <w:rsid w:val="00E65427"/>
    <w:rsid w:val="00E6543F"/>
    <w:rsid w:val="00E655EF"/>
    <w:rsid w:val="00E661C0"/>
    <w:rsid w:val="00E663F5"/>
    <w:rsid w:val="00E66E97"/>
    <w:rsid w:val="00E67B78"/>
    <w:rsid w:val="00E70BD6"/>
    <w:rsid w:val="00E71305"/>
    <w:rsid w:val="00E72383"/>
    <w:rsid w:val="00E724D2"/>
    <w:rsid w:val="00E726C2"/>
    <w:rsid w:val="00E72D9F"/>
    <w:rsid w:val="00E732B8"/>
    <w:rsid w:val="00E73C41"/>
    <w:rsid w:val="00E74933"/>
    <w:rsid w:val="00E74EDC"/>
    <w:rsid w:val="00E75597"/>
    <w:rsid w:val="00E75737"/>
    <w:rsid w:val="00E75875"/>
    <w:rsid w:val="00E75886"/>
    <w:rsid w:val="00E75D6E"/>
    <w:rsid w:val="00E76007"/>
    <w:rsid w:val="00E76181"/>
    <w:rsid w:val="00E770F2"/>
    <w:rsid w:val="00E77EAC"/>
    <w:rsid w:val="00E80934"/>
    <w:rsid w:val="00E81069"/>
    <w:rsid w:val="00E817AD"/>
    <w:rsid w:val="00E817EF"/>
    <w:rsid w:val="00E8184F"/>
    <w:rsid w:val="00E8192B"/>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693B"/>
    <w:rsid w:val="00EB7BA9"/>
    <w:rsid w:val="00EB7D75"/>
    <w:rsid w:val="00EC0B20"/>
    <w:rsid w:val="00EC0EE7"/>
    <w:rsid w:val="00EC1C3A"/>
    <w:rsid w:val="00EC1F51"/>
    <w:rsid w:val="00EC2075"/>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3890"/>
    <w:rsid w:val="00ED4206"/>
    <w:rsid w:val="00ED58A2"/>
    <w:rsid w:val="00ED58C3"/>
    <w:rsid w:val="00ED5C71"/>
    <w:rsid w:val="00ED5EEE"/>
    <w:rsid w:val="00ED667C"/>
    <w:rsid w:val="00ED7966"/>
    <w:rsid w:val="00EE01CC"/>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599F"/>
    <w:rsid w:val="00EF708A"/>
    <w:rsid w:val="00EF71F5"/>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1C1"/>
    <w:rsid w:val="00F3769D"/>
    <w:rsid w:val="00F404F4"/>
    <w:rsid w:val="00F4143E"/>
    <w:rsid w:val="00F41CC5"/>
    <w:rsid w:val="00F41D25"/>
    <w:rsid w:val="00F423C2"/>
    <w:rsid w:val="00F433F8"/>
    <w:rsid w:val="00F433FE"/>
    <w:rsid w:val="00F43627"/>
    <w:rsid w:val="00F43781"/>
    <w:rsid w:val="00F43C9E"/>
    <w:rsid w:val="00F4463C"/>
    <w:rsid w:val="00F473A5"/>
    <w:rsid w:val="00F473F3"/>
    <w:rsid w:val="00F474B8"/>
    <w:rsid w:val="00F478CA"/>
    <w:rsid w:val="00F47CE2"/>
    <w:rsid w:val="00F501F3"/>
    <w:rsid w:val="00F50A98"/>
    <w:rsid w:val="00F50E5F"/>
    <w:rsid w:val="00F51460"/>
    <w:rsid w:val="00F51667"/>
    <w:rsid w:val="00F521DC"/>
    <w:rsid w:val="00F525D9"/>
    <w:rsid w:val="00F53199"/>
    <w:rsid w:val="00F541A1"/>
    <w:rsid w:val="00F54B09"/>
    <w:rsid w:val="00F54BEA"/>
    <w:rsid w:val="00F54E8A"/>
    <w:rsid w:val="00F55386"/>
    <w:rsid w:val="00F559A8"/>
    <w:rsid w:val="00F55C21"/>
    <w:rsid w:val="00F55E5F"/>
    <w:rsid w:val="00F55F6D"/>
    <w:rsid w:val="00F5736B"/>
    <w:rsid w:val="00F5746A"/>
    <w:rsid w:val="00F57880"/>
    <w:rsid w:val="00F606F3"/>
    <w:rsid w:val="00F608AB"/>
    <w:rsid w:val="00F60BE7"/>
    <w:rsid w:val="00F6150C"/>
    <w:rsid w:val="00F6159C"/>
    <w:rsid w:val="00F61714"/>
    <w:rsid w:val="00F6238F"/>
    <w:rsid w:val="00F63E59"/>
    <w:rsid w:val="00F64915"/>
    <w:rsid w:val="00F64BE0"/>
    <w:rsid w:val="00F65B68"/>
    <w:rsid w:val="00F67846"/>
    <w:rsid w:val="00F67B42"/>
    <w:rsid w:val="00F70B72"/>
    <w:rsid w:val="00F70DEF"/>
    <w:rsid w:val="00F70EA3"/>
    <w:rsid w:val="00F71398"/>
    <w:rsid w:val="00F7294C"/>
    <w:rsid w:val="00F72C5F"/>
    <w:rsid w:val="00F73549"/>
    <w:rsid w:val="00F7451B"/>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6E69"/>
    <w:rsid w:val="00F870F5"/>
    <w:rsid w:val="00F902D2"/>
    <w:rsid w:val="00F90B12"/>
    <w:rsid w:val="00F90CBD"/>
    <w:rsid w:val="00F9109E"/>
    <w:rsid w:val="00F9177E"/>
    <w:rsid w:val="00F91B0A"/>
    <w:rsid w:val="00F91E4F"/>
    <w:rsid w:val="00F91FDF"/>
    <w:rsid w:val="00F92AA1"/>
    <w:rsid w:val="00F92FDC"/>
    <w:rsid w:val="00F931D2"/>
    <w:rsid w:val="00F93431"/>
    <w:rsid w:val="00F93A4A"/>
    <w:rsid w:val="00F93D27"/>
    <w:rsid w:val="00F95DD6"/>
    <w:rsid w:val="00F962C3"/>
    <w:rsid w:val="00F96370"/>
    <w:rsid w:val="00F97940"/>
    <w:rsid w:val="00F97BA3"/>
    <w:rsid w:val="00F97EA2"/>
    <w:rsid w:val="00F97F0D"/>
    <w:rsid w:val="00FA0B0A"/>
    <w:rsid w:val="00FA0C86"/>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3471"/>
    <w:rsid w:val="00FC43AD"/>
    <w:rsid w:val="00FC5876"/>
    <w:rsid w:val="00FC62F5"/>
    <w:rsid w:val="00FC731E"/>
    <w:rsid w:val="00FC7F3E"/>
    <w:rsid w:val="00FD035A"/>
    <w:rsid w:val="00FD03D7"/>
    <w:rsid w:val="00FD042C"/>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3990"/>
    <w:rsid w:val="00FE4A60"/>
    <w:rsid w:val="00FE4DF3"/>
    <w:rsid w:val="00FE4F91"/>
    <w:rsid w:val="00FE54E0"/>
    <w:rsid w:val="00FE55F0"/>
    <w:rsid w:val="00FE6331"/>
    <w:rsid w:val="00FE685B"/>
    <w:rsid w:val="00FE6C12"/>
    <w:rsid w:val="00FE785C"/>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F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2270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91356B"/>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0D7EBF"/>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56B"/>
    <w:rPr>
      <w:rFonts w:ascii="Georgia" w:eastAsiaTheme="majorEastAsia" w:hAnsi="Georgia" w:cstheme="majorBidi"/>
      <w:b/>
      <w:bCs/>
      <w:color w:val="1B556B"/>
      <w:sz w:val="48"/>
      <w:szCs w:val="28"/>
    </w:rPr>
  </w:style>
  <w:style w:type="character" w:customStyle="1" w:styleId="Heading2Char">
    <w:name w:val="Heading 2 Char"/>
    <w:basedOn w:val="DefaultParagraphFont"/>
    <w:link w:val="Heading2"/>
    <w:rsid w:val="000D7EBF"/>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296A94"/>
    <w:pPr>
      <w:jc w:val="left"/>
    </w:pPr>
    <w:rPr>
      <w:rFonts w:ascii="Georgia" w:hAnsi="Georgia"/>
      <w:b/>
      <w:bCs/>
      <w:color w:val="FFFFFF" w:themeColor="background1"/>
      <w:sz w:val="56"/>
      <w:szCs w:val="56"/>
    </w:rPr>
  </w:style>
  <w:style w:type="character" w:customStyle="1" w:styleId="TitleChar">
    <w:name w:val="Title Char"/>
    <w:link w:val="Title"/>
    <w:uiPriority w:val="2"/>
    <w:rsid w:val="00296A94"/>
    <w:rPr>
      <w:rFonts w:ascii="Georgia" w:eastAsia="Times New Roman" w:hAnsi="Georgia"/>
      <w:b/>
      <w:bCs/>
      <w:color w:val="FFFFFF" w:themeColor="background1"/>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Book Antiqua" w:eastAsia="Times New Roman" w:hAnsi="Book Antiqua"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Book Antiqua" w:eastAsia="Times New Roman" w:hAnsi="Book Antiqua"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Book Antiqua" w:eastAsia="Times New Roman" w:hAnsi="Book Antiqua" w:cs="Times New Roman"/>
        <w:b/>
        <w:bCs/>
      </w:rPr>
    </w:tblStylePr>
    <w:tblStylePr w:type="lastCol">
      <w:rPr>
        <w:rFonts w:ascii="Book Antiqua" w:eastAsia="Times New Roman" w:hAnsi="Book Antiqua"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Book Antiqua" w:eastAsia="Times New Roman" w:hAnsi="Book Antiqua"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08250643">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 w:id="20871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2023-08-21T23:06:00Z</dcterms:created>
  <dcterms:modified xsi:type="dcterms:W3CDTF">2023-08-21T23:06:00Z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2023-08-21T23:06:58Z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c75737e4-0f8c-4fb5-a8cd-87d85bfe188f</vt:lpwstr>
  </property>
  <property fmtid="{D5CDD505-2E9C-101B-9397-08002B2CF9AE}" pid="8" name="MSIP_Label_52dda6cc-d61d-4fd2-bf18-9b3017d931cc_ContentBits">
    <vt:lpwstr>0</vt:lpwstr>
  </property>
</Properties>
</file>