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0AC26" w14:textId="0D90C811" w:rsidR="00A2262E" w:rsidRPr="00B87CC5" w:rsidRDefault="00876A9D" w:rsidP="002D54FA">
      <w:pPr>
        <w:rPr>
          <w:rStyle w:val="Heading1Char"/>
          <w:b w:val="0"/>
          <w:bCs w:val="0"/>
        </w:rPr>
      </w:pPr>
      <w:bookmarkStart w:id="0" w:name="_Toc345760336"/>
      <w:r>
        <w:rPr>
          <w:noProof/>
        </w:rPr>
        <w:drawing>
          <wp:anchor distT="0" distB="0" distL="114300" distR="114300" simplePos="0" relativeHeight="251658262" behindDoc="0" locked="0" layoutInCell="1" allowOverlap="1" wp14:anchorId="118E5BD5" wp14:editId="1B5D0E8E">
            <wp:simplePos x="0" y="0"/>
            <wp:positionH relativeFrom="column">
              <wp:posOffset>-1173007</wp:posOffset>
            </wp:positionH>
            <wp:positionV relativeFrom="paragraph">
              <wp:posOffset>-1317625</wp:posOffset>
            </wp:positionV>
            <wp:extent cx="7657264" cy="10830910"/>
            <wp:effectExtent l="0" t="0" r="1270" b="8890"/>
            <wp:wrapNone/>
            <wp:docPr id="1733630643" name="Picture 23"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30643" name="Picture 23" descr="A blue background with white text&#10;&#10;Description automatically generated"/>
                    <pic:cNvPicPr/>
                  </pic:nvPicPr>
                  <pic:blipFill>
                    <a:blip r:embed="rId11"/>
                    <a:stretch>
                      <a:fillRect/>
                    </a:stretch>
                  </pic:blipFill>
                  <pic:spPr>
                    <a:xfrm>
                      <a:off x="0" y="0"/>
                      <a:ext cx="7657264" cy="10830910"/>
                    </a:xfrm>
                    <a:prstGeom prst="rect">
                      <a:avLst/>
                    </a:prstGeom>
                  </pic:spPr>
                </pic:pic>
              </a:graphicData>
            </a:graphic>
            <wp14:sizeRelH relativeFrom="page">
              <wp14:pctWidth>0</wp14:pctWidth>
            </wp14:sizeRelH>
            <wp14:sizeRelV relativeFrom="page">
              <wp14:pctHeight>0</wp14:pctHeight>
            </wp14:sizeRelV>
          </wp:anchor>
        </w:drawing>
      </w:r>
    </w:p>
    <w:p w14:paraId="5C5CDA79" w14:textId="77777777" w:rsidR="00770537" w:rsidRPr="00B87CC5" w:rsidRDefault="00770537" w:rsidP="002D54FA">
      <w:pPr>
        <w:rPr>
          <w:rStyle w:val="Heading1Char"/>
          <w:b w:val="0"/>
          <w:bCs w:val="0"/>
        </w:rPr>
      </w:pPr>
    </w:p>
    <w:p w14:paraId="733BF440" w14:textId="77777777" w:rsidR="00770537" w:rsidRPr="00B87CC5" w:rsidRDefault="00770537" w:rsidP="002D54FA">
      <w:pPr>
        <w:rPr>
          <w:rStyle w:val="Heading1Char"/>
          <w:b w:val="0"/>
          <w:bCs w:val="0"/>
        </w:rPr>
      </w:pPr>
    </w:p>
    <w:p w14:paraId="14C010A7" w14:textId="77777777" w:rsidR="00770537" w:rsidRPr="00B87CC5" w:rsidRDefault="00770537" w:rsidP="002D54FA">
      <w:pPr>
        <w:rPr>
          <w:rStyle w:val="Heading1Char"/>
          <w:b w:val="0"/>
          <w:bCs w:val="0"/>
        </w:rPr>
      </w:pPr>
    </w:p>
    <w:p w14:paraId="13F6B9C2" w14:textId="77777777" w:rsidR="00A2262E" w:rsidRPr="00B87CC5" w:rsidRDefault="00A2262E" w:rsidP="002D54FA">
      <w:pPr>
        <w:rPr>
          <w:rStyle w:val="Heading1Char"/>
          <w:b w:val="0"/>
          <w:bCs w:val="0"/>
        </w:rPr>
      </w:pPr>
    </w:p>
    <w:p w14:paraId="27D0D05F" w14:textId="77777777" w:rsidR="00067BCF" w:rsidRPr="00B87CC5" w:rsidRDefault="00067BCF" w:rsidP="00205533">
      <w:pPr>
        <w:pStyle w:val="BodyText"/>
      </w:pPr>
    </w:p>
    <w:p w14:paraId="636CEFE0" w14:textId="77777777" w:rsidR="0049133B" w:rsidRPr="00B87CC5" w:rsidRDefault="0049133B" w:rsidP="00205533">
      <w:pPr>
        <w:pStyle w:val="BodyText"/>
        <w:sectPr w:rsidR="0049133B" w:rsidRPr="00B87CC5" w:rsidSect="00E26C7A">
          <w:headerReference w:type="default" r:id="rId12"/>
          <w:footerReference w:type="even" r:id="rId13"/>
          <w:footerReference w:type="default" r:id="rId14"/>
          <w:headerReference w:type="first" r:id="rId15"/>
          <w:footerReference w:type="first" r:id="rId16"/>
          <w:pgSz w:w="11907" w:h="16840" w:code="9"/>
          <w:pgMar w:top="1134" w:right="1701" w:bottom="1134" w:left="1701" w:header="567" w:footer="567" w:gutter="0"/>
          <w:cols w:space="720"/>
          <w:titlePg/>
          <w:docGrid w:linePitch="299"/>
        </w:sectPr>
      </w:pPr>
    </w:p>
    <w:p w14:paraId="2A6C77C7" w14:textId="77777777" w:rsidR="00AC41D4" w:rsidRPr="00B87CC5" w:rsidRDefault="00AC41D4" w:rsidP="00AC41D4">
      <w:pPr>
        <w:pStyle w:val="Imprint"/>
        <w:spacing w:before="0" w:after="0"/>
        <w:rPr>
          <w:b/>
        </w:rPr>
      </w:pPr>
      <w:r w:rsidRPr="00B87CC5">
        <w:rPr>
          <w:b/>
        </w:rPr>
        <w:lastRenderedPageBreak/>
        <w:t>Disclaimer</w:t>
      </w:r>
    </w:p>
    <w:p w14:paraId="7A94DB3A" w14:textId="42EAF2C6" w:rsidR="00AC41D4" w:rsidRPr="00B87CC5" w:rsidRDefault="00AC41D4" w:rsidP="00AC41D4">
      <w:pPr>
        <w:pStyle w:val="BodyText"/>
      </w:pPr>
      <w:r w:rsidRPr="00B87CC5">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BAB45D1" w14:textId="77777777" w:rsidR="00AC41D4" w:rsidRPr="00B87CC5" w:rsidRDefault="00AC41D4" w:rsidP="00AC41D4">
      <w:pPr>
        <w:pStyle w:val="Bullet"/>
        <w:numPr>
          <w:ilvl w:val="0"/>
          <w:numId w:val="13"/>
        </w:numPr>
        <w:tabs>
          <w:tab w:val="left" w:pos="397"/>
        </w:tabs>
      </w:pPr>
      <w:r w:rsidRPr="00B87CC5">
        <w:t xml:space="preserve">the information does not alter the laws of New Zealand, other official guidelines, or requirements </w:t>
      </w:r>
    </w:p>
    <w:p w14:paraId="34A2459B" w14:textId="77777777" w:rsidR="00AC41D4" w:rsidRPr="00B87CC5" w:rsidRDefault="00AC41D4" w:rsidP="00AC41D4">
      <w:pPr>
        <w:pStyle w:val="Bullet"/>
        <w:numPr>
          <w:ilvl w:val="0"/>
          <w:numId w:val="13"/>
        </w:numPr>
        <w:tabs>
          <w:tab w:val="left" w:pos="397"/>
        </w:tabs>
      </w:pPr>
      <w:r w:rsidRPr="00B87CC5">
        <w:t xml:space="preserve">it does not constitute legal advice, and users should take specific advice from qualified professionals before taking any action based on information in this publication </w:t>
      </w:r>
    </w:p>
    <w:p w14:paraId="50552D9D" w14:textId="77777777" w:rsidR="00AC41D4" w:rsidRPr="00B87CC5" w:rsidRDefault="00AC41D4" w:rsidP="00AC41D4">
      <w:pPr>
        <w:pStyle w:val="Bullet"/>
        <w:numPr>
          <w:ilvl w:val="0"/>
          <w:numId w:val="13"/>
        </w:numPr>
        <w:tabs>
          <w:tab w:val="left" w:pos="397"/>
        </w:tabs>
      </w:pPr>
      <w:r w:rsidRPr="00B87CC5">
        <w:t xml:space="preserve">the Ministry does not accept any responsibility or liability whatsoever whether in contract, tort, equity, or otherwise for any action taken </w:t>
      </w:r>
      <w:proofErr w:type="gramStart"/>
      <w:r w:rsidRPr="00B87CC5">
        <w:t>as a result of</w:t>
      </w:r>
      <w:proofErr w:type="gramEnd"/>
      <w:r w:rsidRPr="00B87CC5">
        <w:t xml:space="preserve"> reading, or reliance placed on this publication because of having read any part, or all, of the information in this publication or for any error, or inadequacy, deficiency, flaw in, or omission from the information in this publication </w:t>
      </w:r>
    </w:p>
    <w:p w14:paraId="6EC3C5DC" w14:textId="77777777" w:rsidR="00AC41D4" w:rsidRPr="00B87CC5" w:rsidRDefault="00AC41D4" w:rsidP="00AC41D4">
      <w:pPr>
        <w:pStyle w:val="Bullet"/>
        <w:numPr>
          <w:ilvl w:val="0"/>
          <w:numId w:val="13"/>
        </w:numPr>
        <w:tabs>
          <w:tab w:val="left" w:pos="397"/>
        </w:tabs>
      </w:pPr>
      <w:r w:rsidRPr="00B87CC5">
        <w:t>all references to websites, organisations or people not within the Ministry are for convenience only and should not be taken as endorsement of those websites or information contained in those websites nor of organisations or people referred to.</w:t>
      </w:r>
    </w:p>
    <w:p w14:paraId="2C8EBD29" w14:textId="77777777" w:rsidR="00AC41D4" w:rsidRPr="00B87CC5" w:rsidRDefault="00AC41D4" w:rsidP="00AC41D4">
      <w:pPr>
        <w:pStyle w:val="Imprint"/>
      </w:pPr>
    </w:p>
    <w:p w14:paraId="7AFB9D64" w14:textId="47174967" w:rsidR="00AC41D4" w:rsidRPr="00B87CC5" w:rsidRDefault="00AC41D4" w:rsidP="00AC41D4">
      <w:pPr>
        <w:pStyle w:val="Imprint"/>
      </w:pPr>
      <w:r w:rsidRPr="00B87CC5">
        <w:t xml:space="preserve">This document may be cited as: Ministry for the Environment. 2024. </w:t>
      </w:r>
      <w:r w:rsidR="009179FB" w:rsidRPr="00B87CC5">
        <w:rPr>
          <w:i/>
        </w:rPr>
        <w:t>New Zealand’s second emissions reduction plan (2026–30): Technical annex to the discussion document</w:t>
      </w:r>
      <w:r w:rsidRPr="00B87CC5">
        <w:t>. Wellington: Ministry for the Environment.</w:t>
      </w:r>
    </w:p>
    <w:p w14:paraId="21D1FAD1" w14:textId="77777777" w:rsidR="00AC41D4" w:rsidRPr="00B87CC5" w:rsidRDefault="00AC41D4" w:rsidP="00AC41D4">
      <w:pPr>
        <w:pStyle w:val="Imprint"/>
      </w:pPr>
    </w:p>
    <w:p w14:paraId="0F8FF693" w14:textId="77777777" w:rsidR="00AC41D4" w:rsidRPr="00B87CC5" w:rsidRDefault="00AC41D4" w:rsidP="00AC41D4">
      <w:pPr>
        <w:pStyle w:val="Imprint"/>
      </w:pPr>
    </w:p>
    <w:p w14:paraId="20F3264B" w14:textId="77777777" w:rsidR="00AC41D4" w:rsidRPr="00B87CC5" w:rsidRDefault="00AC41D4" w:rsidP="00AC41D4">
      <w:pPr>
        <w:pStyle w:val="Imprint"/>
      </w:pPr>
    </w:p>
    <w:p w14:paraId="3E2C3CF7" w14:textId="77777777" w:rsidR="00AC41D4" w:rsidRPr="00B87CC5" w:rsidRDefault="00AC41D4" w:rsidP="00AC41D4">
      <w:pPr>
        <w:pStyle w:val="Imprint"/>
      </w:pPr>
    </w:p>
    <w:p w14:paraId="422B944A" w14:textId="77777777" w:rsidR="00AC41D4" w:rsidRDefault="00AC41D4" w:rsidP="00AC41D4">
      <w:pPr>
        <w:pStyle w:val="Imprint"/>
      </w:pPr>
    </w:p>
    <w:p w14:paraId="0D8533FD" w14:textId="77777777" w:rsidR="0019720F" w:rsidRDefault="0019720F" w:rsidP="00AC41D4">
      <w:pPr>
        <w:pStyle w:val="Imprint"/>
      </w:pPr>
    </w:p>
    <w:p w14:paraId="7F456FF0" w14:textId="77777777" w:rsidR="0019720F" w:rsidRDefault="0019720F" w:rsidP="00AC41D4">
      <w:pPr>
        <w:pStyle w:val="Imprint"/>
      </w:pPr>
    </w:p>
    <w:p w14:paraId="412F19B3" w14:textId="77777777" w:rsidR="0019720F" w:rsidRPr="00B87CC5" w:rsidRDefault="0019720F" w:rsidP="00AC41D4">
      <w:pPr>
        <w:pStyle w:val="Imprint"/>
      </w:pPr>
    </w:p>
    <w:p w14:paraId="1CE4BC71" w14:textId="2947B73B" w:rsidR="00AC41D4" w:rsidRPr="00B87CC5" w:rsidRDefault="00AC41D4" w:rsidP="00AC41D4">
      <w:pPr>
        <w:pStyle w:val="Imprint"/>
      </w:pPr>
      <w:r w:rsidRPr="00B87CC5">
        <w:t xml:space="preserve">Published in </w:t>
      </w:r>
      <w:r w:rsidR="00097DCF">
        <w:t>Ju</w:t>
      </w:r>
      <w:r w:rsidR="0019720F">
        <w:t>ly</w:t>
      </w:r>
      <w:r w:rsidRPr="00B87CC5">
        <w:t xml:space="preserve"> 2024 by the</w:t>
      </w:r>
      <w:r w:rsidRPr="00B87CC5">
        <w:br/>
        <w:t xml:space="preserve">Ministry for the Environment </w:t>
      </w:r>
      <w:r w:rsidRPr="00B87CC5">
        <w:br/>
      </w:r>
      <w:proofErr w:type="spellStart"/>
      <w:r w:rsidRPr="00B87CC5">
        <w:t>Manatū</w:t>
      </w:r>
      <w:proofErr w:type="spellEnd"/>
      <w:r w:rsidRPr="00B87CC5">
        <w:t xml:space="preserve"> </w:t>
      </w:r>
      <w:proofErr w:type="spellStart"/>
      <w:r w:rsidRPr="00B87CC5">
        <w:t>mō</w:t>
      </w:r>
      <w:proofErr w:type="spellEnd"/>
      <w:r w:rsidRPr="00B87CC5">
        <w:t xml:space="preserve"> </w:t>
      </w:r>
      <w:proofErr w:type="spellStart"/>
      <w:r w:rsidRPr="00B87CC5">
        <w:t>te</w:t>
      </w:r>
      <w:proofErr w:type="spellEnd"/>
      <w:r w:rsidRPr="00B87CC5">
        <w:t xml:space="preserve"> Taiao</w:t>
      </w:r>
      <w:r w:rsidRPr="00B87CC5">
        <w:br/>
        <w:t>PO Box 10362, Wellington 6143, New Zealand</w:t>
      </w:r>
      <w:r w:rsidRPr="00B87CC5">
        <w:br/>
      </w:r>
      <w:hyperlink r:id="rId17" w:history="1">
        <w:r w:rsidRPr="00B87CC5">
          <w:rPr>
            <w:rStyle w:val="Hyperlink"/>
          </w:rPr>
          <w:t>environment.govt.nz</w:t>
        </w:r>
      </w:hyperlink>
    </w:p>
    <w:p w14:paraId="0E1E0190" w14:textId="7249CF71" w:rsidR="00AC41D4" w:rsidRPr="00B87CC5" w:rsidRDefault="00AC41D4" w:rsidP="00AC41D4">
      <w:pPr>
        <w:pStyle w:val="Imprint"/>
        <w:tabs>
          <w:tab w:val="left" w:pos="720"/>
        </w:tabs>
        <w:ind w:left="720" w:hanging="720"/>
      </w:pPr>
      <w:r w:rsidRPr="00B87CC5">
        <w:t>ISBN:</w:t>
      </w:r>
      <w:r w:rsidR="0019720F">
        <w:t xml:space="preserve"> </w:t>
      </w:r>
      <w:r w:rsidR="0019720F" w:rsidRPr="0019720F">
        <w:t xml:space="preserve">978-1-991140-28-9 </w:t>
      </w:r>
    </w:p>
    <w:p w14:paraId="302EA1DE" w14:textId="7DCEC1EA" w:rsidR="00AC41D4" w:rsidRPr="00B87CC5" w:rsidRDefault="00AC41D4" w:rsidP="00AC41D4">
      <w:pPr>
        <w:pStyle w:val="Imprint"/>
        <w:ind w:left="720" w:hanging="720"/>
      </w:pPr>
      <w:r w:rsidRPr="00B87CC5">
        <w:t xml:space="preserve">Publication number: </w:t>
      </w:r>
      <w:r w:rsidRPr="0019720F">
        <w:t xml:space="preserve">ME </w:t>
      </w:r>
      <w:r w:rsidR="0019720F">
        <w:t>1837</w:t>
      </w:r>
    </w:p>
    <w:p w14:paraId="0804901A" w14:textId="05DACB33" w:rsidR="00AC41D4" w:rsidRPr="00B87CC5" w:rsidRDefault="00AC41D4" w:rsidP="00AC41D4">
      <w:pPr>
        <w:pStyle w:val="Imprint"/>
        <w:spacing w:after="80"/>
      </w:pPr>
      <w:r w:rsidRPr="00B87CC5">
        <w:t>© Crown copyright New Zealand 2024</w:t>
      </w:r>
    </w:p>
    <w:p w14:paraId="75E0C241" w14:textId="77777777" w:rsidR="000A54BF" w:rsidRPr="00B87CC5" w:rsidRDefault="000A54BF" w:rsidP="00986436">
      <w:pPr>
        <w:pStyle w:val="BodyText"/>
        <w:sectPr w:rsidR="000A54BF" w:rsidRPr="00B87CC5" w:rsidSect="00E26C7A">
          <w:headerReference w:type="even" r:id="rId18"/>
          <w:headerReference w:type="default" r:id="rId19"/>
          <w:footerReference w:type="even" r:id="rId20"/>
          <w:footerReference w:type="default" r:id="rId21"/>
          <w:headerReference w:type="first" r:id="rId22"/>
          <w:pgSz w:w="11907" w:h="16840" w:code="9"/>
          <w:pgMar w:top="1134" w:right="1701" w:bottom="1134" w:left="1701" w:header="567" w:footer="567" w:gutter="0"/>
          <w:cols w:space="720"/>
          <w:docGrid w:linePitch="299"/>
        </w:sectPr>
      </w:pPr>
    </w:p>
    <w:p w14:paraId="79DC0194" w14:textId="2DECD868" w:rsidR="007D3C2B" w:rsidRPr="00B87CC5" w:rsidRDefault="007D3C2B" w:rsidP="00205533">
      <w:pPr>
        <w:pStyle w:val="Heading"/>
      </w:pPr>
      <w:r w:rsidRPr="00B87CC5">
        <w:lastRenderedPageBreak/>
        <w:t>Contents</w:t>
      </w:r>
    </w:p>
    <w:p w14:paraId="6EE74460" w14:textId="7C7D9D19" w:rsidR="008A2EBF" w:rsidRDefault="007D3C2B">
      <w:pPr>
        <w:pStyle w:val="TOC1"/>
        <w:rPr>
          <w:rFonts w:asciiTheme="minorHAnsi" w:hAnsiTheme="minorHAnsi"/>
          <w:noProof/>
          <w:kern w:val="2"/>
          <w:sz w:val="24"/>
          <w:szCs w:val="24"/>
          <w14:ligatures w14:val="standardContextual"/>
        </w:rPr>
      </w:pPr>
      <w:r w:rsidRPr="00B87CC5">
        <w:rPr>
          <w:color w:val="0092CF"/>
        </w:rPr>
        <w:fldChar w:fldCharType="begin"/>
      </w:r>
      <w:r w:rsidRPr="00B87CC5">
        <w:rPr>
          <w:color w:val="0092CF"/>
        </w:rPr>
        <w:instrText xml:space="preserve"> TOC \h \z \t "Heading 1,1,Heading 2,2" </w:instrText>
      </w:r>
      <w:r w:rsidRPr="00B87CC5">
        <w:rPr>
          <w:color w:val="0092CF"/>
        </w:rPr>
        <w:fldChar w:fldCharType="separate"/>
      </w:r>
      <w:hyperlink w:anchor="_Toc171609738" w:history="1">
        <w:r w:rsidR="008A2EBF" w:rsidRPr="007A7318">
          <w:rPr>
            <w:rStyle w:val="Hyperlink"/>
            <w:noProof/>
          </w:rPr>
          <w:t>Introduction</w:t>
        </w:r>
        <w:r w:rsidR="008A2EBF">
          <w:rPr>
            <w:noProof/>
            <w:webHidden/>
          </w:rPr>
          <w:tab/>
        </w:r>
        <w:r w:rsidR="008A2EBF">
          <w:rPr>
            <w:noProof/>
            <w:webHidden/>
          </w:rPr>
          <w:fldChar w:fldCharType="begin"/>
        </w:r>
        <w:r w:rsidR="008A2EBF">
          <w:rPr>
            <w:noProof/>
            <w:webHidden/>
          </w:rPr>
          <w:instrText xml:space="preserve"> PAGEREF _Toc171609738 \h </w:instrText>
        </w:r>
        <w:r w:rsidR="008A2EBF">
          <w:rPr>
            <w:noProof/>
            <w:webHidden/>
          </w:rPr>
        </w:r>
        <w:r w:rsidR="008A2EBF">
          <w:rPr>
            <w:noProof/>
            <w:webHidden/>
          </w:rPr>
          <w:fldChar w:fldCharType="separate"/>
        </w:r>
        <w:r w:rsidR="008A2EBF">
          <w:rPr>
            <w:noProof/>
            <w:webHidden/>
          </w:rPr>
          <w:t>6</w:t>
        </w:r>
        <w:r w:rsidR="008A2EBF">
          <w:rPr>
            <w:noProof/>
            <w:webHidden/>
          </w:rPr>
          <w:fldChar w:fldCharType="end"/>
        </w:r>
      </w:hyperlink>
    </w:p>
    <w:p w14:paraId="39371C66" w14:textId="46A1DF2F" w:rsidR="008A2EBF" w:rsidRDefault="00C52D07">
      <w:pPr>
        <w:pStyle w:val="TOC1"/>
        <w:rPr>
          <w:rFonts w:asciiTheme="minorHAnsi" w:hAnsiTheme="minorHAnsi"/>
          <w:noProof/>
          <w:kern w:val="2"/>
          <w:sz w:val="24"/>
          <w:szCs w:val="24"/>
          <w14:ligatures w14:val="standardContextual"/>
        </w:rPr>
      </w:pPr>
      <w:hyperlink w:anchor="_Toc171609739" w:history="1">
        <w:r w:rsidR="008A2EBF" w:rsidRPr="007A7318">
          <w:rPr>
            <w:rStyle w:val="Hyperlink"/>
            <w:noProof/>
          </w:rPr>
          <w:t>Baseline for consultation</w:t>
        </w:r>
        <w:r w:rsidR="008A2EBF">
          <w:rPr>
            <w:noProof/>
            <w:webHidden/>
          </w:rPr>
          <w:tab/>
        </w:r>
        <w:r w:rsidR="008A2EBF">
          <w:rPr>
            <w:noProof/>
            <w:webHidden/>
          </w:rPr>
          <w:fldChar w:fldCharType="begin"/>
        </w:r>
        <w:r w:rsidR="008A2EBF">
          <w:rPr>
            <w:noProof/>
            <w:webHidden/>
          </w:rPr>
          <w:instrText xml:space="preserve"> PAGEREF _Toc171609739 \h </w:instrText>
        </w:r>
        <w:r w:rsidR="008A2EBF">
          <w:rPr>
            <w:noProof/>
            <w:webHidden/>
          </w:rPr>
        </w:r>
        <w:r w:rsidR="008A2EBF">
          <w:rPr>
            <w:noProof/>
            <w:webHidden/>
          </w:rPr>
          <w:fldChar w:fldCharType="separate"/>
        </w:r>
        <w:r w:rsidR="008A2EBF">
          <w:rPr>
            <w:noProof/>
            <w:webHidden/>
          </w:rPr>
          <w:t>7</w:t>
        </w:r>
        <w:r w:rsidR="008A2EBF">
          <w:rPr>
            <w:noProof/>
            <w:webHidden/>
          </w:rPr>
          <w:fldChar w:fldCharType="end"/>
        </w:r>
      </w:hyperlink>
    </w:p>
    <w:p w14:paraId="124942E9" w14:textId="37739547" w:rsidR="008A2EBF" w:rsidRDefault="00C52D07">
      <w:pPr>
        <w:pStyle w:val="TOC1"/>
        <w:rPr>
          <w:rFonts w:asciiTheme="minorHAnsi" w:hAnsiTheme="minorHAnsi"/>
          <w:noProof/>
          <w:kern w:val="2"/>
          <w:sz w:val="24"/>
          <w:szCs w:val="24"/>
          <w14:ligatures w14:val="standardContextual"/>
        </w:rPr>
      </w:pPr>
      <w:hyperlink w:anchor="_Toc171609740" w:history="1">
        <w:r w:rsidR="008A2EBF" w:rsidRPr="007A7318">
          <w:rPr>
            <w:rStyle w:val="Hyperlink"/>
            <w:noProof/>
          </w:rPr>
          <w:t>The Emissions in New Zealand model</w:t>
        </w:r>
        <w:r w:rsidR="008A2EBF">
          <w:rPr>
            <w:noProof/>
            <w:webHidden/>
          </w:rPr>
          <w:tab/>
        </w:r>
        <w:r w:rsidR="008A2EBF">
          <w:rPr>
            <w:noProof/>
            <w:webHidden/>
          </w:rPr>
          <w:fldChar w:fldCharType="begin"/>
        </w:r>
        <w:r w:rsidR="008A2EBF">
          <w:rPr>
            <w:noProof/>
            <w:webHidden/>
          </w:rPr>
          <w:instrText xml:space="preserve"> PAGEREF _Toc171609740 \h </w:instrText>
        </w:r>
        <w:r w:rsidR="008A2EBF">
          <w:rPr>
            <w:noProof/>
            <w:webHidden/>
          </w:rPr>
        </w:r>
        <w:r w:rsidR="008A2EBF">
          <w:rPr>
            <w:noProof/>
            <w:webHidden/>
          </w:rPr>
          <w:fldChar w:fldCharType="separate"/>
        </w:r>
        <w:r w:rsidR="008A2EBF">
          <w:rPr>
            <w:noProof/>
            <w:webHidden/>
          </w:rPr>
          <w:t>10</w:t>
        </w:r>
        <w:r w:rsidR="008A2EBF">
          <w:rPr>
            <w:noProof/>
            <w:webHidden/>
          </w:rPr>
          <w:fldChar w:fldCharType="end"/>
        </w:r>
      </w:hyperlink>
    </w:p>
    <w:p w14:paraId="1F988D8F" w14:textId="5E41BD61" w:rsidR="008A2EBF" w:rsidRDefault="00C52D07">
      <w:pPr>
        <w:pStyle w:val="TOC1"/>
        <w:rPr>
          <w:rFonts w:asciiTheme="minorHAnsi" w:hAnsiTheme="minorHAnsi"/>
          <w:noProof/>
          <w:kern w:val="2"/>
          <w:sz w:val="24"/>
          <w:szCs w:val="24"/>
          <w14:ligatures w14:val="standardContextual"/>
        </w:rPr>
      </w:pPr>
      <w:hyperlink w:anchor="_Toc171609741" w:history="1">
        <w:r w:rsidR="008A2EBF" w:rsidRPr="007A7318">
          <w:rPr>
            <w:rStyle w:val="Hyperlink"/>
            <w:noProof/>
          </w:rPr>
          <w:t>Computable general equilibrium modelling</w:t>
        </w:r>
        <w:r w:rsidR="008A2EBF">
          <w:rPr>
            <w:noProof/>
            <w:webHidden/>
          </w:rPr>
          <w:tab/>
        </w:r>
        <w:r w:rsidR="008A2EBF">
          <w:rPr>
            <w:noProof/>
            <w:webHidden/>
          </w:rPr>
          <w:fldChar w:fldCharType="begin"/>
        </w:r>
        <w:r w:rsidR="008A2EBF">
          <w:rPr>
            <w:noProof/>
            <w:webHidden/>
          </w:rPr>
          <w:instrText xml:space="preserve"> PAGEREF _Toc171609741 \h </w:instrText>
        </w:r>
        <w:r w:rsidR="008A2EBF">
          <w:rPr>
            <w:noProof/>
            <w:webHidden/>
          </w:rPr>
        </w:r>
        <w:r w:rsidR="008A2EBF">
          <w:rPr>
            <w:noProof/>
            <w:webHidden/>
          </w:rPr>
          <w:fldChar w:fldCharType="separate"/>
        </w:r>
        <w:r w:rsidR="008A2EBF">
          <w:rPr>
            <w:noProof/>
            <w:webHidden/>
          </w:rPr>
          <w:t>12</w:t>
        </w:r>
        <w:r w:rsidR="008A2EBF">
          <w:rPr>
            <w:noProof/>
            <w:webHidden/>
          </w:rPr>
          <w:fldChar w:fldCharType="end"/>
        </w:r>
      </w:hyperlink>
    </w:p>
    <w:p w14:paraId="3A7B612B" w14:textId="7E4F0FFE" w:rsidR="008A2EBF" w:rsidRDefault="00C52D07">
      <w:pPr>
        <w:pStyle w:val="TOC2"/>
        <w:rPr>
          <w:rFonts w:asciiTheme="minorHAnsi" w:hAnsiTheme="minorHAnsi"/>
          <w:noProof/>
          <w:kern w:val="2"/>
          <w:sz w:val="24"/>
          <w:szCs w:val="24"/>
          <w14:ligatures w14:val="standardContextual"/>
        </w:rPr>
      </w:pPr>
      <w:hyperlink w:anchor="_Toc171609742" w:history="1">
        <w:r w:rsidR="008A2EBF" w:rsidRPr="007A7318">
          <w:rPr>
            <w:rStyle w:val="Hyperlink"/>
            <w:noProof/>
          </w:rPr>
          <w:t>CGE modelling for ERP2 consultation</w:t>
        </w:r>
        <w:r w:rsidR="008A2EBF">
          <w:rPr>
            <w:noProof/>
            <w:webHidden/>
          </w:rPr>
          <w:tab/>
        </w:r>
        <w:r w:rsidR="008A2EBF">
          <w:rPr>
            <w:noProof/>
            <w:webHidden/>
          </w:rPr>
          <w:fldChar w:fldCharType="begin"/>
        </w:r>
        <w:r w:rsidR="008A2EBF">
          <w:rPr>
            <w:noProof/>
            <w:webHidden/>
          </w:rPr>
          <w:instrText xml:space="preserve"> PAGEREF _Toc171609742 \h </w:instrText>
        </w:r>
        <w:r w:rsidR="008A2EBF">
          <w:rPr>
            <w:noProof/>
            <w:webHidden/>
          </w:rPr>
        </w:r>
        <w:r w:rsidR="008A2EBF">
          <w:rPr>
            <w:noProof/>
            <w:webHidden/>
          </w:rPr>
          <w:fldChar w:fldCharType="separate"/>
        </w:r>
        <w:r w:rsidR="008A2EBF">
          <w:rPr>
            <w:noProof/>
            <w:webHidden/>
          </w:rPr>
          <w:t>12</w:t>
        </w:r>
        <w:r w:rsidR="008A2EBF">
          <w:rPr>
            <w:noProof/>
            <w:webHidden/>
          </w:rPr>
          <w:fldChar w:fldCharType="end"/>
        </w:r>
      </w:hyperlink>
    </w:p>
    <w:p w14:paraId="2A4B8DA2" w14:textId="141C7562" w:rsidR="008A2EBF" w:rsidRDefault="00C52D07">
      <w:pPr>
        <w:pStyle w:val="TOC1"/>
        <w:rPr>
          <w:rFonts w:asciiTheme="minorHAnsi" w:hAnsiTheme="minorHAnsi"/>
          <w:noProof/>
          <w:kern w:val="2"/>
          <w:sz w:val="24"/>
          <w:szCs w:val="24"/>
          <w14:ligatures w14:val="standardContextual"/>
        </w:rPr>
      </w:pPr>
      <w:hyperlink w:anchor="_Toc171609743" w:history="1">
        <w:r w:rsidR="008A2EBF" w:rsidRPr="007A7318">
          <w:rPr>
            <w:rStyle w:val="Hyperlink"/>
            <w:noProof/>
          </w:rPr>
          <w:t>ENZ model results</w:t>
        </w:r>
        <w:r w:rsidR="008A2EBF">
          <w:rPr>
            <w:noProof/>
            <w:webHidden/>
          </w:rPr>
          <w:tab/>
        </w:r>
        <w:r w:rsidR="008A2EBF">
          <w:rPr>
            <w:noProof/>
            <w:webHidden/>
          </w:rPr>
          <w:fldChar w:fldCharType="begin"/>
        </w:r>
        <w:r w:rsidR="008A2EBF">
          <w:rPr>
            <w:noProof/>
            <w:webHidden/>
          </w:rPr>
          <w:instrText xml:space="preserve"> PAGEREF _Toc171609743 \h </w:instrText>
        </w:r>
        <w:r w:rsidR="008A2EBF">
          <w:rPr>
            <w:noProof/>
            <w:webHidden/>
          </w:rPr>
        </w:r>
        <w:r w:rsidR="008A2EBF">
          <w:rPr>
            <w:noProof/>
            <w:webHidden/>
          </w:rPr>
          <w:fldChar w:fldCharType="separate"/>
        </w:r>
        <w:r w:rsidR="008A2EBF">
          <w:rPr>
            <w:noProof/>
            <w:webHidden/>
          </w:rPr>
          <w:t>13</w:t>
        </w:r>
        <w:r w:rsidR="008A2EBF">
          <w:rPr>
            <w:noProof/>
            <w:webHidden/>
          </w:rPr>
          <w:fldChar w:fldCharType="end"/>
        </w:r>
      </w:hyperlink>
    </w:p>
    <w:p w14:paraId="2F853F9E" w14:textId="4A876B7E" w:rsidR="008A2EBF" w:rsidRDefault="00C52D07">
      <w:pPr>
        <w:pStyle w:val="TOC2"/>
        <w:rPr>
          <w:rFonts w:asciiTheme="minorHAnsi" w:hAnsiTheme="minorHAnsi"/>
          <w:noProof/>
          <w:kern w:val="2"/>
          <w:sz w:val="24"/>
          <w:szCs w:val="24"/>
          <w14:ligatures w14:val="standardContextual"/>
        </w:rPr>
      </w:pPr>
      <w:hyperlink w:anchor="_Toc171609744" w:history="1">
        <w:r w:rsidR="008A2EBF" w:rsidRPr="007A7318">
          <w:rPr>
            <w:rStyle w:val="Hyperlink"/>
            <w:noProof/>
            <w:lang w:eastAsia="en-US"/>
          </w:rPr>
          <w:t>Previously assumed baseline – the 2023 official greenhouse gas emissions projections</w:t>
        </w:r>
        <w:r w:rsidR="008A2EBF">
          <w:rPr>
            <w:noProof/>
            <w:webHidden/>
          </w:rPr>
          <w:tab/>
        </w:r>
        <w:r w:rsidR="008A2EBF">
          <w:rPr>
            <w:noProof/>
            <w:webHidden/>
          </w:rPr>
          <w:fldChar w:fldCharType="begin"/>
        </w:r>
        <w:r w:rsidR="008A2EBF">
          <w:rPr>
            <w:noProof/>
            <w:webHidden/>
          </w:rPr>
          <w:instrText xml:space="preserve"> PAGEREF _Toc171609744 \h </w:instrText>
        </w:r>
        <w:r w:rsidR="008A2EBF">
          <w:rPr>
            <w:noProof/>
            <w:webHidden/>
          </w:rPr>
        </w:r>
        <w:r w:rsidR="008A2EBF">
          <w:rPr>
            <w:noProof/>
            <w:webHidden/>
          </w:rPr>
          <w:fldChar w:fldCharType="separate"/>
        </w:r>
        <w:r w:rsidR="008A2EBF">
          <w:rPr>
            <w:noProof/>
            <w:webHidden/>
          </w:rPr>
          <w:t>13</w:t>
        </w:r>
        <w:r w:rsidR="008A2EBF">
          <w:rPr>
            <w:noProof/>
            <w:webHidden/>
          </w:rPr>
          <w:fldChar w:fldCharType="end"/>
        </w:r>
      </w:hyperlink>
    </w:p>
    <w:p w14:paraId="25E659FB" w14:textId="172A50A3" w:rsidR="008A2EBF" w:rsidRDefault="00C52D07">
      <w:pPr>
        <w:pStyle w:val="TOC2"/>
        <w:rPr>
          <w:rFonts w:asciiTheme="minorHAnsi" w:hAnsiTheme="minorHAnsi"/>
          <w:noProof/>
          <w:kern w:val="2"/>
          <w:sz w:val="24"/>
          <w:szCs w:val="24"/>
          <w14:ligatures w14:val="standardContextual"/>
        </w:rPr>
      </w:pPr>
      <w:hyperlink w:anchor="_Toc171609745" w:history="1">
        <w:r w:rsidR="008A2EBF" w:rsidRPr="007A7318">
          <w:rPr>
            <w:rStyle w:val="Hyperlink"/>
            <w:noProof/>
            <w:lang w:eastAsia="en-US"/>
          </w:rPr>
          <w:t>ERP2 consultation (interim) baseline</w:t>
        </w:r>
        <w:r w:rsidR="008A2EBF">
          <w:rPr>
            <w:noProof/>
            <w:webHidden/>
          </w:rPr>
          <w:tab/>
        </w:r>
        <w:r w:rsidR="008A2EBF">
          <w:rPr>
            <w:noProof/>
            <w:webHidden/>
          </w:rPr>
          <w:fldChar w:fldCharType="begin"/>
        </w:r>
        <w:r w:rsidR="008A2EBF">
          <w:rPr>
            <w:noProof/>
            <w:webHidden/>
          </w:rPr>
          <w:instrText xml:space="preserve"> PAGEREF _Toc171609745 \h </w:instrText>
        </w:r>
        <w:r w:rsidR="008A2EBF">
          <w:rPr>
            <w:noProof/>
            <w:webHidden/>
          </w:rPr>
        </w:r>
        <w:r w:rsidR="008A2EBF">
          <w:rPr>
            <w:noProof/>
            <w:webHidden/>
          </w:rPr>
          <w:fldChar w:fldCharType="separate"/>
        </w:r>
        <w:r w:rsidR="008A2EBF">
          <w:rPr>
            <w:noProof/>
            <w:webHidden/>
          </w:rPr>
          <w:t>13</w:t>
        </w:r>
        <w:r w:rsidR="008A2EBF">
          <w:rPr>
            <w:noProof/>
            <w:webHidden/>
          </w:rPr>
          <w:fldChar w:fldCharType="end"/>
        </w:r>
      </w:hyperlink>
    </w:p>
    <w:p w14:paraId="1116B3E6" w14:textId="446E1756" w:rsidR="008A2EBF" w:rsidRDefault="00C52D07">
      <w:pPr>
        <w:pStyle w:val="TOC2"/>
        <w:rPr>
          <w:rFonts w:asciiTheme="minorHAnsi" w:hAnsiTheme="minorHAnsi"/>
          <w:noProof/>
          <w:kern w:val="2"/>
          <w:sz w:val="24"/>
          <w:szCs w:val="24"/>
          <w14:ligatures w14:val="standardContextual"/>
        </w:rPr>
      </w:pPr>
      <w:hyperlink w:anchor="_Toc171609746" w:history="1">
        <w:r w:rsidR="008A2EBF" w:rsidRPr="007A7318">
          <w:rPr>
            <w:rStyle w:val="Hyperlink"/>
            <w:noProof/>
            <w:lang w:eastAsia="en-US"/>
          </w:rPr>
          <w:t>Progress relative to targets</w:t>
        </w:r>
        <w:r w:rsidR="008A2EBF">
          <w:rPr>
            <w:noProof/>
            <w:webHidden/>
          </w:rPr>
          <w:tab/>
        </w:r>
        <w:r w:rsidR="008A2EBF">
          <w:rPr>
            <w:noProof/>
            <w:webHidden/>
          </w:rPr>
          <w:fldChar w:fldCharType="begin"/>
        </w:r>
        <w:r w:rsidR="008A2EBF">
          <w:rPr>
            <w:noProof/>
            <w:webHidden/>
          </w:rPr>
          <w:instrText xml:space="preserve"> PAGEREF _Toc171609746 \h </w:instrText>
        </w:r>
        <w:r w:rsidR="008A2EBF">
          <w:rPr>
            <w:noProof/>
            <w:webHidden/>
          </w:rPr>
        </w:r>
        <w:r w:rsidR="008A2EBF">
          <w:rPr>
            <w:noProof/>
            <w:webHidden/>
          </w:rPr>
          <w:fldChar w:fldCharType="separate"/>
        </w:r>
        <w:r w:rsidR="008A2EBF">
          <w:rPr>
            <w:noProof/>
            <w:webHidden/>
          </w:rPr>
          <w:t>18</w:t>
        </w:r>
        <w:r w:rsidR="008A2EBF">
          <w:rPr>
            <w:noProof/>
            <w:webHidden/>
          </w:rPr>
          <w:fldChar w:fldCharType="end"/>
        </w:r>
      </w:hyperlink>
    </w:p>
    <w:p w14:paraId="2F003D7F" w14:textId="3B1EFFAD" w:rsidR="008A2EBF" w:rsidRDefault="00C52D07">
      <w:pPr>
        <w:pStyle w:val="TOC2"/>
        <w:rPr>
          <w:rFonts w:asciiTheme="minorHAnsi" w:hAnsiTheme="minorHAnsi"/>
          <w:noProof/>
          <w:kern w:val="2"/>
          <w:sz w:val="24"/>
          <w:szCs w:val="24"/>
          <w14:ligatures w14:val="standardContextual"/>
        </w:rPr>
      </w:pPr>
      <w:hyperlink w:anchor="_Toc171609747" w:history="1">
        <w:r w:rsidR="008A2EBF" w:rsidRPr="007A7318">
          <w:rPr>
            <w:rStyle w:val="Hyperlink"/>
            <w:noProof/>
            <w:lang w:eastAsia="en-US"/>
          </w:rPr>
          <w:t>Emission trends and sectoral results</w:t>
        </w:r>
        <w:r w:rsidR="008A2EBF">
          <w:rPr>
            <w:noProof/>
            <w:webHidden/>
          </w:rPr>
          <w:tab/>
        </w:r>
        <w:r w:rsidR="008A2EBF">
          <w:rPr>
            <w:noProof/>
            <w:webHidden/>
          </w:rPr>
          <w:fldChar w:fldCharType="begin"/>
        </w:r>
        <w:r w:rsidR="008A2EBF">
          <w:rPr>
            <w:noProof/>
            <w:webHidden/>
          </w:rPr>
          <w:instrText xml:space="preserve"> PAGEREF _Toc171609747 \h </w:instrText>
        </w:r>
        <w:r w:rsidR="008A2EBF">
          <w:rPr>
            <w:noProof/>
            <w:webHidden/>
          </w:rPr>
        </w:r>
        <w:r w:rsidR="008A2EBF">
          <w:rPr>
            <w:noProof/>
            <w:webHidden/>
          </w:rPr>
          <w:fldChar w:fldCharType="separate"/>
        </w:r>
        <w:r w:rsidR="008A2EBF">
          <w:rPr>
            <w:noProof/>
            <w:webHidden/>
          </w:rPr>
          <w:t>21</w:t>
        </w:r>
        <w:r w:rsidR="008A2EBF">
          <w:rPr>
            <w:noProof/>
            <w:webHidden/>
          </w:rPr>
          <w:fldChar w:fldCharType="end"/>
        </w:r>
      </w:hyperlink>
    </w:p>
    <w:p w14:paraId="3743FACB" w14:textId="523CF375" w:rsidR="008A2EBF" w:rsidRDefault="00C52D07">
      <w:pPr>
        <w:pStyle w:val="TOC1"/>
        <w:rPr>
          <w:rFonts w:asciiTheme="minorHAnsi" w:hAnsiTheme="minorHAnsi"/>
          <w:noProof/>
          <w:kern w:val="2"/>
          <w:sz w:val="24"/>
          <w:szCs w:val="24"/>
          <w14:ligatures w14:val="standardContextual"/>
        </w:rPr>
      </w:pPr>
      <w:hyperlink w:anchor="_Toc171609748" w:history="1">
        <w:r w:rsidR="008A2EBF" w:rsidRPr="007A7318">
          <w:rPr>
            <w:rStyle w:val="Hyperlink"/>
            <w:noProof/>
          </w:rPr>
          <w:t>Proposed new policies</w:t>
        </w:r>
        <w:r w:rsidR="008A2EBF">
          <w:rPr>
            <w:noProof/>
            <w:webHidden/>
          </w:rPr>
          <w:tab/>
        </w:r>
        <w:r w:rsidR="008A2EBF">
          <w:rPr>
            <w:noProof/>
            <w:webHidden/>
          </w:rPr>
          <w:fldChar w:fldCharType="begin"/>
        </w:r>
        <w:r w:rsidR="008A2EBF">
          <w:rPr>
            <w:noProof/>
            <w:webHidden/>
          </w:rPr>
          <w:instrText xml:space="preserve"> PAGEREF _Toc171609748 \h </w:instrText>
        </w:r>
        <w:r w:rsidR="008A2EBF">
          <w:rPr>
            <w:noProof/>
            <w:webHidden/>
          </w:rPr>
        </w:r>
        <w:r w:rsidR="008A2EBF">
          <w:rPr>
            <w:noProof/>
            <w:webHidden/>
          </w:rPr>
          <w:fldChar w:fldCharType="separate"/>
        </w:r>
        <w:r w:rsidR="008A2EBF">
          <w:rPr>
            <w:noProof/>
            <w:webHidden/>
          </w:rPr>
          <w:t>32</w:t>
        </w:r>
        <w:r w:rsidR="008A2EBF">
          <w:rPr>
            <w:noProof/>
            <w:webHidden/>
          </w:rPr>
          <w:fldChar w:fldCharType="end"/>
        </w:r>
      </w:hyperlink>
    </w:p>
    <w:p w14:paraId="45F9066D" w14:textId="20861EF7" w:rsidR="008A2EBF" w:rsidRDefault="00C52D07">
      <w:pPr>
        <w:pStyle w:val="TOC2"/>
        <w:rPr>
          <w:rFonts w:asciiTheme="minorHAnsi" w:hAnsiTheme="minorHAnsi"/>
          <w:noProof/>
          <w:kern w:val="2"/>
          <w:sz w:val="24"/>
          <w:szCs w:val="24"/>
          <w14:ligatures w14:val="standardContextual"/>
        </w:rPr>
      </w:pPr>
      <w:hyperlink w:anchor="_Toc171609749" w:history="1">
        <w:r w:rsidR="008A2EBF" w:rsidRPr="007A7318">
          <w:rPr>
            <w:rStyle w:val="Hyperlink"/>
            <w:noProof/>
          </w:rPr>
          <w:t>Policy options</w:t>
        </w:r>
        <w:r w:rsidR="008A2EBF">
          <w:rPr>
            <w:noProof/>
            <w:webHidden/>
          </w:rPr>
          <w:tab/>
        </w:r>
        <w:r w:rsidR="008A2EBF">
          <w:rPr>
            <w:noProof/>
            <w:webHidden/>
          </w:rPr>
          <w:fldChar w:fldCharType="begin"/>
        </w:r>
        <w:r w:rsidR="008A2EBF">
          <w:rPr>
            <w:noProof/>
            <w:webHidden/>
          </w:rPr>
          <w:instrText xml:space="preserve"> PAGEREF _Toc171609749 \h </w:instrText>
        </w:r>
        <w:r w:rsidR="008A2EBF">
          <w:rPr>
            <w:noProof/>
            <w:webHidden/>
          </w:rPr>
        </w:r>
        <w:r w:rsidR="008A2EBF">
          <w:rPr>
            <w:noProof/>
            <w:webHidden/>
          </w:rPr>
          <w:fldChar w:fldCharType="separate"/>
        </w:r>
        <w:r w:rsidR="008A2EBF">
          <w:rPr>
            <w:noProof/>
            <w:webHidden/>
          </w:rPr>
          <w:t>32</w:t>
        </w:r>
        <w:r w:rsidR="008A2EBF">
          <w:rPr>
            <w:noProof/>
            <w:webHidden/>
          </w:rPr>
          <w:fldChar w:fldCharType="end"/>
        </w:r>
      </w:hyperlink>
    </w:p>
    <w:p w14:paraId="7D7864C7" w14:textId="3924A361" w:rsidR="008A2EBF" w:rsidRDefault="00C52D07">
      <w:pPr>
        <w:pStyle w:val="TOC2"/>
        <w:rPr>
          <w:rFonts w:asciiTheme="minorHAnsi" w:hAnsiTheme="minorHAnsi"/>
          <w:noProof/>
          <w:kern w:val="2"/>
          <w:sz w:val="24"/>
          <w:szCs w:val="24"/>
          <w14:ligatures w14:val="standardContextual"/>
        </w:rPr>
      </w:pPr>
      <w:hyperlink w:anchor="_Toc171609750" w:history="1">
        <w:r w:rsidR="008A2EBF" w:rsidRPr="007A7318">
          <w:rPr>
            <w:rStyle w:val="Hyperlink"/>
            <w:noProof/>
          </w:rPr>
          <w:t>Intervention rationale</w:t>
        </w:r>
        <w:r w:rsidR="008A2EBF">
          <w:rPr>
            <w:noProof/>
            <w:webHidden/>
          </w:rPr>
          <w:tab/>
        </w:r>
        <w:r w:rsidR="008A2EBF">
          <w:rPr>
            <w:noProof/>
            <w:webHidden/>
          </w:rPr>
          <w:fldChar w:fldCharType="begin"/>
        </w:r>
        <w:r w:rsidR="008A2EBF">
          <w:rPr>
            <w:noProof/>
            <w:webHidden/>
          </w:rPr>
          <w:instrText xml:space="preserve"> PAGEREF _Toc171609750 \h </w:instrText>
        </w:r>
        <w:r w:rsidR="008A2EBF">
          <w:rPr>
            <w:noProof/>
            <w:webHidden/>
          </w:rPr>
        </w:r>
        <w:r w:rsidR="008A2EBF">
          <w:rPr>
            <w:noProof/>
            <w:webHidden/>
          </w:rPr>
          <w:fldChar w:fldCharType="separate"/>
        </w:r>
        <w:r w:rsidR="008A2EBF">
          <w:rPr>
            <w:noProof/>
            <w:webHidden/>
          </w:rPr>
          <w:t>33</w:t>
        </w:r>
        <w:r w:rsidR="008A2EBF">
          <w:rPr>
            <w:noProof/>
            <w:webHidden/>
          </w:rPr>
          <w:fldChar w:fldCharType="end"/>
        </w:r>
      </w:hyperlink>
    </w:p>
    <w:p w14:paraId="0EBF16B0" w14:textId="199EAFE5" w:rsidR="008A2EBF" w:rsidRDefault="00C52D07">
      <w:pPr>
        <w:pStyle w:val="TOC2"/>
        <w:rPr>
          <w:rFonts w:asciiTheme="minorHAnsi" w:hAnsiTheme="minorHAnsi"/>
          <w:noProof/>
          <w:kern w:val="2"/>
          <w:sz w:val="24"/>
          <w:szCs w:val="24"/>
          <w14:ligatures w14:val="standardContextual"/>
        </w:rPr>
      </w:pPr>
      <w:hyperlink w:anchor="_Toc171609751" w:history="1">
        <w:r w:rsidR="008A2EBF" w:rsidRPr="007A7318">
          <w:rPr>
            <w:rStyle w:val="Hyperlink"/>
            <w:noProof/>
          </w:rPr>
          <w:t>Estimates of effects on net emissions</w:t>
        </w:r>
        <w:r w:rsidR="008A2EBF">
          <w:rPr>
            <w:noProof/>
            <w:webHidden/>
          </w:rPr>
          <w:tab/>
        </w:r>
        <w:r w:rsidR="008A2EBF">
          <w:rPr>
            <w:noProof/>
            <w:webHidden/>
          </w:rPr>
          <w:fldChar w:fldCharType="begin"/>
        </w:r>
        <w:r w:rsidR="008A2EBF">
          <w:rPr>
            <w:noProof/>
            <w:webHidden/>
          </w:rPr>
          <w:instrText xml:space="preserve"> PAGEREF _Toc171609751 \h </w:instrText>
        </w:r>
        <w:r w:rsidR="008A2EBF">
          <w:rPr>
            <w:noProof/>
            <w:webHidden/>
          </w:rPr>
        </w:r>
        <w:r w:rsidR="008A2EBF">
          <w:rPr>
            <w:noProof/>
            <w:webHidden/>
          </w:rPr>
          <w:fldChar w:fldCharType="separate"/>
        </w:r>
        <w:r w:rsidR="008A2EBF">
          <w:rPr>
            <w:noProof/>
            <w:webHidden/>
          </w:rPr>
          <w:t>33</w:t>
        </w:r>
        <w:r w:rsidR="008A2EBF">
          <w:rPr>
            <w:noProof/>
            <w:webHidden/>
          </w:rPr>
          <w:fldChar w:fldCharType="end"/>
        </w:r>
      </w:hyperlink>
    </w:p>
    <w:p w14:paraId="53D62318" w14:textId="2D0EDEBE" w:rsidR="008A2EBF" w:rsidRDefault="00C52D07">
      <w:pPr>
        <w:pStyle w:val="TOC1"/>
        <w:rPr>
          <w:rFonts w:asciiTheme="minorHAnsi" w:hAnsiTheme="minorHAnsi"/>
          <w:noProof/>
          <w:kern w:val="2"/>
          <w:sz w:val="24"/>
          <w:szCs w:val="24"/>
          <w14:ligatures w14:val="standardContextual"/>
        </w:rPr>
      </w:pPr>
      <w:hyperlink w:anchor="_Toc171609752" w:history="1">
        <w:r w:rsidR="008A2EBF" w:rsidRPr="007A7318">
          <w:rPr>
            <w:rStyle w:val="Hyperlink"/>
            <w:noProof/>
          </w:rPr>
          <w:t>Macro-economic and distributional impacts</w:t>
        </w:r>
        <w:r w:rsidR="008A2EBF">
          <w:rPr>
            <w:noProof/>
            <w:webHidden/>
          </w:rPr>
          <w:tab/>
        </w:r>
        <w:r w:rsidR="008A2EBF">
          <w:rPr>
            <w:noProof/>
            <w:webHidden/>
          </w:rPr>
          <w:fldChar w:fldCharType="begin"/>
        </w:r>
        <w:r w:rsidR="008A2EBF">
          <w:rPr>
            <w:noProof/>
            <w:webHidden/>
          </w:rPr>
          <w:instrText xml:space="preserve"> PAGEREF _Toc171609752 \h </w:instrText>
        </w:r>
        <w:r w:rsidR="008A2EBF">
          <w:rPr>
            <w:noProof/>
            <w:webHidden/>
          </w:rPr>
        </w:r>
        <w:r w:rsidR="008A2EBF">
          <w:rPr>
            <w:noProof/>
            <w:webHidden/>
          </w:rPr>
          <w:fldChar w:fldCharType="separate"/>
        </w:r>
        <w:r w:rsidR="008A2EBF">
          <w:rPr>
            <w:noProof/>
            <w:webHidden/>
          </w:rPr>
          <w:t>36</w:t>
        </w:r>
        <w:r w:rsidR="008A2EBF">
          <w:rPr>
            <w:noProof/>
            <w:webHidden/>
          </w:rPr>
          <w:fldChar w:fldCharType="end"/>
        </w:r>
      </w:hyperlink>
    </w:p>
    <w:p w14:paraId="590D42A8" w14:textId="1F469A4E" w:rsidR="008A2EBF" w:rsidRDefault="00C52D07">
      <w:pPr>
        <w:pStyle w:val="TOC2"/>
        <w:rPr>
          <w:rFonts w:asciiTheme="minorHAnsi" w:hAnsiTheme="minorHAnsi"/>
          <w:noProof/>
          <w:kern w:val="2"/>
          <w:sz w:val="24"/>
          <w:szCs w:val="24"/>
          <w14:ligatures w14:val="standardContextual"/>
        </w:rPr>
      </w:pPr>
      <w:hyperlink w:anchor="_Toc171609753" w:history="1">
        <w:r w:rsidR="008A2EBF" w:rsidRPr="007A7318">
          <w:rPr>
            <w:rStyle w:val="Hyperlink"/>
            <w:noProof/>
          </w:rPr>
          <w:t>Macro-economic impacts</w:t>
        </w:r>
        <w:r w:rsidR="008A2EBF">
          <w:rPr>
            <w:noProof/>
            <w:webHidden/>
          </w:rPr>
          <w:tab/>
        </w:r>
        <w:r w:rsidR="008A2EBF">
          <w:rPr>
            <w:noProof/>
            <w:webHidden/>
          </w:rPr>
          <w:fldChar w:fldCharType="begin"/>
        </w:r>
        <w:r w:rsidR="008A2EBF">
          <w:rPr>
            <w:noProof/>
            <w:webHidden/>
          </w:rPr>
          <w:instrText xml:space="preserve"> PAGEREF _Toc171609753 \h </w:instrText>
        </w:r>
        <w:r w:rsidR="008A2EBF">
          <w:rPr>
            <w:noProof/>
            <w:webHidden/>
          </w:rPr>
        </w:r>
        <w:r w:rsidR="008A2EBF">
          <w:rPr>
            <w:noProof/>
            <w:webHidden/>
          </w:rPr>
          <w:fldChar w:fldCharType="separate"/>
        </w:r>
        <w:r w:rsidR="008A2EBF">
          <w:rPr>
            <w:noProof/>
            <w:webHidden/>
          </w:rPr>
          <w:t>36</w:t>
        </w:r>
        <w:r w:rsidR="008A2EBF">
          <w:rPr>
            <w:noProof/>
            <w:webHidden/>
          </w:rPr>
          <w:fldChar w:fldCharType="end"/>
        </w:r>
      </w:hyperlink>
    </w:p>
    <w:p w14:paraId="6CC3194B" w14:textId="7B44FAE9" w:rsidR="008A2EBF" w:rsidRDefault="00C52D07">
      <w:pPr>
        <w:pStyle w:val="TOC2"/>
        <w:rPr>
          <w:rFonts w:asciiTheme="minorHAnsi" w:hAnsiTheme="minorHAnsi"/>
          <w:noProof/>
          <w:kern w:val="2"/>
          <w:sz w:val="24"/>
          <w:szCs w:val="24"/>
          <w14:ligatures w14:val="standardContextual"/>
        </w:rPr>
      </w:pPr>
      <w:hyperlink w:anchor="_Toc171609754" w:history="1">
        <w:r w:rsidR="008A2EBF" w:rsidRPr="007A7318">
          <w:rPr>
            <w:rStyle w:val="Hyperlink"/>
            <w:noProof/>
          </w:rPr>
          <w:t>Impacts on households</w:t>
        </w:r>
        <w:r w:rsidR="008A2EBF">
          <w:rPr>
            <w:noProof/>
            <w:webHidden/>
          </w:rPr>
          <w:tab/>
        </w:r>
        <w:r w:rsidR="008A2EBF">
          <w:rPr>
            <w:noProof/>
            <w:webHidden/>
          </w:rPr>
          <w:fldChar w:fldCharType="begin"/>
        </w:r>
        <w:r w:rsidR="008A2EBF">
          <w:rPr>
            <w:noProof/>
            <w:webHidden/>
          </w:rPr>
          <w:instrText xml:space="preserve"> PAGEREF _Toc171609754 \h </w:instrText>
        </w:r>
        <w:r w:rsidR="008A2EBF">
          <w:rPr>
            <w:noProof/>
            <w:webHidden/>
          </w:rPr>
        </w:r>
        <w:r w:rsidR="008A2EBF">
          <w:rPr>
            <w:noProof/>
            <w:webHidden/>
          </w:rPr>
          <w:fldChar w:fldCharType="separate"/>
        </w:r>
        <w:r w:rsidR="008A2EBF">
          <w:rPr>
            <w:noProof/>
            <w:webHidden/>
          </w:rPr>
          <w:t>37</w:t>
        </w:r>
        <w:r w:rsidR="008A2EBF">
          <w:rPr>
            <w:noProof/>
            <w:webHidden/>
          </w:rPr>
          <w:fldChar w:fldCharType="end"/>
        </w:r>
      </w:hyperlink>
    </w:p>
    <w:p w14:paraId="13AE5287" w14:textId="323DEE6A" w:rsidR="008A2EBF" w:rsidRDefault="00C52D07">
      <w:pPr>
        <w:pStyle w:val="TOC2"/>
        <w:rPr>
          <w:rFonts w:asciiTheme="minorHAnsi" w:hAnsiTheme="minorHAnsi"/>
          <w:noProof/>
          <w:kern w:val="2"/>
          <w:sz w:val="24"/>
          <w:szCs w:val="24"/>
          <w14:ligatures w14:val="standardContextual"/>
        </w:rPr>
      </w:pPr>
      <w:hyperlink w:anchor="_Toc171609755" w:history="1">
        <w:r w:rsidR="008A2EBF" w:rsidRPr="007A7318">
          <w:rPr>
            <w:rStyle w:val="Hyperlink"/>
            <w:noProof/>
          </w:rPr>
          <w:t>Sectoral impacts</w:t>
        </w:r>
        <w:r w:rsidR="008A2EBF">
          <w:rPr>
            <w:noProof/>
            <w:webHidden/>
          </w:rPr>
          <w:tab/>
        </w:r>
        <w:r w:rsidR="008A2EBF">
          <w:rPr>
            <w:noProof/>
            <w:webHidden/>
          </w:rPr>
          <w:fldChar w:fldCharType="begin"/>
        </w:r>
        <w:r w:rsidR="008A2EBF">
          <w:rPr>
            <w:noProof/>
            <w:webHidden/>
          </w:rPr>
          <w:instrText xml:space="preserve"> PAGEREF _Toc171609755 \h </w:instrText>
        </w:r>
        <w:r w:rsidR="008A2EBF">
          <w:rPr>
            <w:noProof/>
            <w:webHidden/>
          </w:rPr>
        </w:r>
        <w:r w:rsidR="008A2EBF">
          <w:rPr>
            <w:noProof/>
            <w:webHidden/>
          </w:rPr>
          <w:fldChar w:fldCharType="separate"/>
        </w:r>
        <w:r w:rsidR="008A2EBF">
          <w:rPr>
            <w:noProof/>
            <w:webHidden/>
          </w:rPr>
          <w:t>38</w:t>
        </w:r>
        <w:r w:rsidR="008A2EBF">
          <w:rPr>
            <w:noProof/>
            <w:webHidden/>
          </w:rPr>
          <w:fldChar w:fldCharType="end"/>
        </w:r>
      </w:hyperlink>
    </w:p>
    <w:p w14:paraId="21A0B752" w14:textId="2F09B4D8" w:rsidR="008A2EBF" w:rsidRDefault="00C52D07">
      <w:pPr>
        <w:pStyle w:val="TOC2"/>
        <w:rPr>
          <w:rFonts w:asciiTheme="minorHAnsi" w:hAnsiTheme="minorHAnsi"/>
          <w:noProof/>
          <w:kern w:val="2"/>
          <w:sz w:val="24"/>
          <w:szCs w:val="24"/>
          <w14:ligatures w14:val="standardContextual"/>
        </w:rPr>
      </w:pPr>
      <w:hyperlink w:anchor="_Toc171609756" w:history="1">
        <w:r w:rsidR="008A2EBF" w:rsidRPr="007A7318">
          <w:rPr>
            <w:rStyle w:val="Hyperlink"/>
            <w:noProof/>
          </w:rPr>
          <w:t>Regional impacts</w:t>
        </w:r>
        <w:r w:rsidR="008A2EBF">
          <w:rPr>
            <w:noProof/>
            <w:webHidden/>
          </w:rPr>
          <w:tab/>
        </w:r>
        <w:r w:rsidR="008A2EBF">
          <w:rPr>
            <w:noProof/>
            <w:webHidden/>
          </w:rPr>
          <w:fldChar w:fldCharType="begin"/>
        </w:r>
        <w:r w:rsidR="008A2EBF">
          <w:rPr>
            <w:noProof/>
            <w:webHidden/>
          </w:rPr>
          <w:instrText xml:space="preserve"> PAGEREF _Toc171609756 \h </w:instrText>
        </w:r>
        <w:r w:rsidR="008A2EBF">
          <w:rPr>
            <w:noProof/>
            <w:webHidden/>
          </w:rPr>
        </w:r>
        <w:r w:rsidR="008A2EBF">
          <w:rPr>
            <w:noProof/>
            <w:webHidden/>
          </w:rPr>
          <w:fldChar w:fldCharType="separate"/>
        </w:r>
        <w:r w:rsidR="008A2EBF">
          <w:rPr>
            <w:noProof/>
            <w:webHidden/>
          </w:rPr>
          <w:t>39</w:t>
        </w:r>
        <w:r w:rsidR="008A2EBF">
          <w:rPr>
            <w:noProof/>
            <w:webHidden/>
          </w:rPr>
          <w:fldChar w:fldCharType="end"/>
        </w:r>
      </w:hyperlink>
    </w:p>
    <w:p w14:paraId="2DA59A0F" w14:textId="75584633" w:rsidR="008A2EBF" w:rsidRDefault="00C52D07">
      <w:pPr>
        <w:pStyle w:val="TOC1"/>
        <w:tabs>
          <w:tab w:val="left" w:pos="1440"/>
        </w:tabs>
        <w:rPr>
          <w:rFonts w:asciiTheme="minorHAnsi" w:hAnsiTheme="minorHAnsi"/>
          <w:noProof/>
          <w:kern w:val="2"/>
          <w:sz w:val="24"/>
          <w:szCs w:val="24"/>
          <w14:ligatures w14:val="standardContextual"/>
        </w:rPr>
      </w:pPr>
      <w:hyperlink w:anchor="_Toc171609757" w:history="1">
        <w:r w:rsidR="008A2EBF" w:rsidRPr="007A7318">
          <w:rPr>
            <w:rStyle w:val="Hyperlink"/>
            <w:noProof/>
          </w:rPr>
          <w:t>Appendix 1:</w:t>
        </w:r>
        <w:r w:rsidR="008A2EBF">
          <w:rPr>
            <w:rFonts w:asciiTheme="minorHAnsi" w:hAnsiTheme="minorHAnsi"/>
            <w:noProof/>
            <w:kern w:val="2"/>
            <w:sz w:val="24"/>
            <w:szCs w:val="24"/>
            <w14:ligatures w14:val="standardContextual"/>
          </w:rPr>
          <w:tab/>
        </w:r>
        <w:r w:rsidR="008A2EBF" w:rsidRPr="007A7318">
          <w:rPr>
            <w:rStyle w:val="Hyperlink"/>
            <w:noProof/>
          </w:rPr>
          <w:t>Baseline assumptions</w:t>
        </w:r>
        <w:r w:rsidR="008A2EBF">
          <w:rPr>
            <w:noProof/>
            <w:webHidden/>
          </w:rPr>
          <w:tab/>
        </w:r>
        <w:r w:rsidR="008A2EBF">
          <w:rPr>
            <w:noProof/>
            <w:webHidden/>
          </w:rPr>
          <w:fldChar w:fldCharType="begin"/>
        </w:r>
        <w:r w:rsidR="008A2EBF">
          <w:rPr>
            <w:noProof/>
            <w:webHidden/>
          </w:rPr>
          <w:instrText xml:space="preserve"> PAGEREF _Toc171609757 \h </w:instrText>
        </w:r>
        <w:r w:rsidR="008A2EBF">
          <w:rPr>
            <w:noProof/>
            <w:webHidden/>
          </w:rPr>
        </w:r>
        <w:r w:rsidR="008A2EBF">
          <w:rPr>
            <w:noProof/>
            <w:webHidden/>
          </w:rPr>
          <w:fldChar w:fldCharType="separate"/>
        </w:r>
        <w:r w:rsidR="008A2EBF">
          <w:rPr>
            <w:noProof/>
            <w:webHidden/>
          </w:rPr>
          <w:t>41</w:t>
        </w:r>
        <w:r w:rsidR="008A2EBF">
          <w:rPr>
            <w:noProof/>
            <w:webHidden/>
          </w:rPr>
          <w:fldChar w:fldCharType="end"/>
        </w:r>
      </w:hyperlink>
    </w:p>
    <w:p w14:paraId="4514000D" w14:textId="29D8E934" w:rsidR="008A2EBF" w:rsidRDefault="00C52D07">
      <w:pPr>
        <w:pStyle w:val="TOC1"/>
        <w:tabs>
          <w:tab w:val="left" w:pos="1440"/>
        </w:tabs>
        <w:rPr>
          <w:rFonts w:asciiTheme="minorHAnsi" w:hAnsiTheme="minorHAnsi"/>
          <w:noProof/>
          <w:kern w:val="2"/>
          <w:sz w:val="24"/>
          <w:szCs w:val="24"/>
          <w14:ligatures w14:val="standardContextual"/>
        </w:rPr>
      </w:pPr>
      <w:hyperlink w:anchor="_Toc171609758" w:history="1">
        <w:r w:rsidR="008A2EBF" w:rsidRPr="007A7318">
          <w:rPr>
            <w:rStyle w:val="Hyperlink"/>
            <w:noProof/>
          </w:rPr>
          <w:t>Appendix 2:</w:t>
        </w:r>
        <w:r w:rsidR="008A2EBF">
          <w:rPr>
            <w:rFonts w:asciiTheme="minorHAnsi" w:hAnsiTheme="minorHAnsi"/>
            <w:noProof/>
            <w:kern w:val="2"/>
            <w:sz w:val="24"/>
            <w:szCs w:val="24"/>
            <w14:ligatures w14:val="standardContextual"/>
          </w:rPr>
          <w:tab/>
        </w:r>
        <w:r w:rsidR="008A2EBF" w:rsidRPr="007A7318">
          <w:rPr>
            <w:rStyle w:val="Hyperlink"/>
            <w:noProof/>
          </w:rPr>
          <w:t>Intervention logic mapping</w:t>
        </w:r>
        <w:r w:rsidR="008A2EBF">
          <w:rPr>
            <w:noProof/>
            <w:webHidden/>
          </w:rPr>
          <w:tab/>
        </w:r>
        <w:r w:rsidR="008A2EBF">
          <w:rPr>
            <w:noProof/>
            <w:webHidden/>
          </w:rPr>
          <w:fldChar w:fldCharType="begin"/>
        </w:r>
        <w:r w:rsidR="008A2EBF">
          <w:rPr>
            <w:noProof/>
            <w:webHidden/>
          </w:rPr>
          <w:instrText xml:space="preserve"> PAGEREF _Toc171609758 \h </w:instrText>
        </w:r>
        <w:r w:rsidR="008A2EBF">
          <w:rPr>
            <w:noProof/>
            <w:webHidden/>
          </w:rPr>
        </w:r>
        <w:r w:rsidR="008A2EBF">
          <w:rPr>
            <w:noProof/>
            <w:webHidden/>
          </w:rPr>
          <w:fldChar w:fldCharType="separate"/>
        </w:r>
        <w:r w:rsidR="008A2EBF">
          <w:rPr>
            <w:noProof/>
            <w:webHidden/>
          </w:rPr>
          <w:t>49</w:t>
        </w:r>
        <w:r w:rsidR="008A2EBF">
          <w:rPr>
            <w:noProof/>
            <w:webHidden/>
          </w:rPr>
          <w:fldChar w:fldCharType="end"/>
        </w:r>
      </w:hyperlink>
    </w:p>
    <w:p w14:paraId="2B52BAF5" w14:textId="2F97B53B" w:rsidR="008A2EBF" w:rsidRDefault="00C52D07">
      <w:pPr>
        <w:pStyle w:val="TOC1"/>
        <w:tabs>
          <w:tab w:val="left" w:pos="1440"/>
        </w:tabs>
        <w:rPr>
          <w:rFonts w:asciiTheme="minorHAnsi" w:hAnsiTheme="minorHAnsi"/>
          <w:noProof/>
          <w:kern w:val="2"/>
          <w:sz w:val="24"/>
          <w:szCs w:val="24"/>
          <w14:ligatures w14:val="standardContextual"/>
        </w:rPr>
      </w:pPr>
      <w:hyperlink w:anchor="_Toc171609759" w:history="1">
        <w:r w:rsidR="008A2EBF" w:rsidRPr="007A7318">
          <w:rPr>
            <w:rStyle w:val="Hyperlink"/>
            <w:noProof/>
          </w:rPr>
          <w:t>Appendix 3:</w:t>
        </w:r>
        <w:r w:rsidR="008A2EBF">
          <w:rPr>
            <w:rFonts w:asciiTheme="minorHAnsi" w:hAnsiTheme="minorHAnsi"/>
            <w:noProof/>
            <w:kern w:val="2"/>
            <w:sz w:val="24"/>
            <w:szCs w:val="24"/>
            <w14:ligatures w14:val="standardContextual"/>
          </w:rPr>
          <w:tab/>
        </w:r>
        <w:r w:rsidR="008A2EBF" w:rsidRPr="007A7318">
          <w:rPr>
            <w:rStyle w:val="Hyperlink"/>
            <w:noProof/>
          </w:rPr>
          <w:t>Assumptions used in policy modelling</w:t>
        </w:r>
        <w:r w:rsidR="008A2EBF">
          <w:rPr>
            <w:noProof/>
            <w:webHidden/>
          </w:rPr>
          <w:tab/>
        </w:r>
        <w:r w:rsidR="008A2EBF">
          <w:rPr>
            <w:noProof/>
            <w:webHidden/>
          </w:rPr>
          <w:fldChar w:fldCharType="begin"/>
        </w:r>
        <w:r w:rsidR="008A2EBF">
          <w:rPr>
            <w:noProof/>
            <w:webHidden/>
          </w:rPr>
          <w:instrText xml:space="preserve"> PAGEREF _Toc171609759 \h </w:instrText>
        </w:r>
        <w:r w:rsidR="008A2EBF">
          <w:rPr>
            <w:noProof/>
            <w:webHidden/>
          </w:rPr>
        </w:r>
        <w:r w:rsidR="008A2EBF">
          <w:rPr>
            <w:noProof/>
            <w:webHidden/>
          </w:rPr>
          <w:fldChar w:fldCharType="separate"/>
        </w:r>
        <w:r w:rsidR="008A2EBF">
          <w:rPr>
            <w:noProof/>
            <w:webHidden/>
          </w:rPr>
          <w:t>63</w:t>
        </w:r>
        <w:r w:rsidR="008A2EBF">
          <w:rPr>
            <w:noProof/>
            <w:webHidden/>
          </w:rPr>
          <w:fldChar w:fldCharType="end"/>
        </w:r>
      </w:hyperlink>
    </w:p>
    <w:p w14:paraId="48E7EE29" w14:textId="1FDB0061" w:rsidR="00857CA5" w:rsidRPr="00B87CC5" w:rsidRDefault="007D3C2B" w:rsidP="00205533">
      <w:pPr>
        <w:pStyle w:val="BodyText"/>
      </w:pPr>
      <w:r w:rsidRPr="00B87CC5">
        <w:fldChar w:fldCharType="end"/>
      </w:r>
    </w:p>
    <w:p w14:paraId="0B11A342" w14:textId="77777777" w:rsidR="00857CA5" w:rsidRPr="00B87CC5" w:rsidRDefault="00857CA5" w:rsidP="00205533">
      <w:pPr>
        <w:pStyle w:val="BodyText"/>
      </w:pPr>
      <w:r w:rsidRPr="00B87CC5">
        <w:br w:type="page"/>
      </w:r>
    </w:p>
    <w:p w14:paraId="0C107AB6" w14:textId="77777777" w:rsidR="000E2D6B" w:rsidRPr="00B87CC5" w:rsidRDefault="000E2D6B" w:rsidP="0069513D">
      <w:pPr>
        <w:pStyle w:val="Heading"/>
      </w:pPr>
      <w:r w:rsidRPr="00B87CC5">
        <w:lastRenderedPageBreak/>
        <w:t>Tables</w:t>
      </w:r>
    </w:p>
    <w:p w14:paraId="08877922" w14:textId="1838AE13" w:rsidR="008A2EBF" w:rsidRDefault="000E2D6B">
      <w:pPr>
        <w:pStyle w:val="TableofFigures"/>
        <w:tabs>
          <w:tab w:val="right" w:pos="8495"/>
        </w:tabs>
        <w:rPr>
          <w:rFonts w:asciiTheme="minorHAnsi" w:hAnsiTheme="minorHAnsi"/>
          <w:noProof/>
          <w:kern w:val="2"/>
          <w:sz w:val="24"/>
          <w:szCs w:val="24"/>
          <w14:ligatures w14:val="standardContextual"/>
        </w:rPr>
      </w:pPr>
      <w:r w:rsidRPr="00B87CC5">
        <w:fldChar w:fldCharType="begin"/>
      </w:r>
      <w:r w:rsidRPr="00B87CC5">
        <w:instrText xml:space="preserve"> TOC \h \z \t "Table heading" \c </w:instrText>
      </w:r>
      <w:r w:rsidRPr="00B87CC5">
        <w:fldChar w:fldCharType="separate"/>
      </w:r>
      <w:hyperlink w:anchor="_Toc171609760" w:history="1">
        <w:r w:rsidR="008A2EBF" w:rsidRPr="0001743E">
          <w:rPr>
            <w:rStyle w:val="Hyperlink"/>
            <w:noProof/>
          </w:rPr>
          <w:t>Table 1:</w:t>
        </w:r>
        <w:r w:rsidR="008A2EBF">
          <w:rPr>
            <w:rFonts w:asciiTheme="minorHAnsi" w:hAnsiTheme="minorHAnsi"/>
            <w:noProof/>
            <w:kern w:val="2"/>
            <w:sz w:val="24"/>
            <w:szCs w:val="24"/>
            <w14:ligatures w14:val="standardContextual"/>
          </w:rPr>
          <w:tab/>
        </w:r>
        <w:r w:rsidR="008A2EBF" w:rsidRPr="0001743E">
          <w:rPr>
            <w:rStyle w:val="Hyperlink"/>
            <w:noProof/>
          </w:rPr>
          <w:t>Interim consultation baseline, excluding new policies, compared with 2023 projections per budget period (Mt CO</w:t>
        </w:r>
        <w:r w:rsidR="008A2EBF" w:rsidRPr="0001743E">
          <w:rPr>
            <w:rStyle w:val="Hyperlink"/>
            <w:noProof/>
            <w:vertAlign w:val="subscript"/>
          </w:rPr>
          <w:t>2</w:t>
        </w:r>
        <w:r w:rsidR="008A2EBF" w:rsidRPr="0001743E">
          <w:rPr>
            <w:rStyle w:val="Hyperlink"/>
            <w:noProof/>
          </w:rPr>
          <w:t>-e)</w:t>
        </w:r>
        <w:r w:rsidR="008A2EBF">
          <w:rPr>
            <w:noProof/>
            <w:webHidden/>
          </w:rPr>
          <w:tab/>
        </w:r>
        <w:r w:rsidR="008A2EBF">
          <w:rPr>
            <w:noProof/>
            <w:webHidden/>
          </w:rPr>
          <w:fldChar w:fldCharType="begin"/>
        </w:r>
        <w:r w:rsidR="008A2EBF">
          <w:rPr>
            <w:noProof/>
            <w:webHidden/>
          </w:rPr>
          <w:instrText xml:space="preserve"> PAGEREF _Toc171609760 \h </w:instrText>
        </w:r>
        <w:r w:rsidR="008A2EBF">
          <w:rPr>
            <w:noProof/>
            <w:webHidden/>
          </w:rPr>
        </w:r>
        <w:r w:rsidR="008A2EBF">
          <w:rPr>
            <w:noProof/>
            <w:webHidden/>
          </w:rPr>
          <w:fldChar w:fldCharType="separate"/>
        </w:r>
        <w:r w:rsidR="008A2EBF">
          <w:rPr>
            <w:noProof/>
            <w:webHidden/>
          </w:rPr>
          <w:t>14</w:t>
        </w:r>
        <w:r w:rsidR="008A2EBF">
          <w:rPr>
            <w:noProof/>
            <w:webHidden/>
          </w:rPr>
          <w:fldChar w:fldCharType="end"/>
        </w:r>
      </w:hyperlink>
    </w:p>
    <w:p w14:paraId="503EAFD1" w14:textId="20F81F4E"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61" w:history="1">
        <w:r w:rsidR="008A2EBF" w:rsidRPr="0001743E">
          <w:rPr>
            <w:rStyle w:val="Hyperlink"/>
            <w:noProof/>
          </w:rPr>
          <w:t>Table 2:</w:t>
        </w:r>
        <w:r w:rsidR="008A2EBF">
          <w:rPr>
            <w:rFonts w:asciiTheme="minorHAnsi" w:hAnsiTheme="minorHAnsi"/>
            <w:noProof/>
            <w:kern w:val="2"/>
            <w:sz w:val="24"/>
            <w:szCs w:val="24"/>
            <w14:ligatures w14:val="standardContextual"/>
          </w:rPr>
          <w:tab/>
        </w:r>
        <w:r w:rsidR="008A2EBF" w:rsidRPr="0001743E">
          <w:rPr>
            <w:rStyle w:val="Hyperlink"/>
            <w:noProof/>
          </w:rPr>
          <w:t>Sources of differences between the 2023 emissions projections and the ERP2 interim baseline (Mt CO</w:t>
        </w:r>
        <w:r w:rsidR="008A2EBF" w:rsidRPr="0001743E">
          <w:rPr>
            <w:rStyle w:val="Hyperlink"/>
            <w:noProof/>
            <w:vertAlign w:val="subscript"/>
          </w:rPr>
          <w:t>2</w:t>
        </w:r>
        <w:r w:rsidR="008A2EBF" w:rsidRPr="0001743E">
          <w:rPr>
            <w:rStyle w:val="Hyperlink"/>
            <w:noProof/>
          </w:rPr>
          <w:t>-e)</w:t>
        </w:r>
        <w:r w:rsidR="008A2EBF">
          <w:rPr>
            <w:noProof/>
            <w:webHidden/>
          </w:rPr>
          <w:tab/>
        </w:r>
        <w:r w:rsidR="008A2EBF">
          <w:rPr>
            <w:noProof/>
            <w:webHidden/>
          </w:rPr>
          <w:fldChar w:fldCharType="begin"/>
        </w:r>
        <w:r w:rsidR="008A2EBF">
          <w:rPr>
            <w:noProof/>
            <w:webHidden/>
          </w:rPr>
          <w:instrText xml:space="preserve"> PAGEREF _Toc171609761 \h </w:instrText>
        </w:r>
        <w:r w:rsidR="008A2EBF">
          <w:rPr>
            <w:noProof/>
            <w:webHidden/>
          </w:rPr>
        </w:r>
        <w:r w:rsidR="008A2EBF">
          <w:rPr>
            <w:noProof/>
            <w:webHidden/>
          </w:rPr>
          <w:fldChar w:fldCharType="separate"/>
        </w:r>
        <w:r w:rsidR="008A2EBF">
          <w:rPr>
            <w:noProof/>
            <w:webHidden/>
          </w:rPr>
          <w:t>16</w:t>
        </w:r>
        <w:r w:rsidR="008A2EBF">
          <w:rPr>
            <w:noProof/>
            <w:webHidden/>
          </w:rPr>
          <w:fldChar w:fldCharType="end"/>
        </w:r>
      </w:hyperlink>
    </w:p>
    <w:p w14:paraId="0FEBD40C" w14:textId="20388140"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62" w:history="1">
        <w:r w:rsidR="008A2EBF" w:rsidRPr="0001743E">
          <w:rPr>
            <w:rStyle w:val="Hyperlink"/>
            <w:noProof/>
          </w:rPr>
          <w:t>Table 3:</w:t>
        </w:r>
        <w:r w:rsidR="008A2EBF">
          <w:rPr>
            <w:rFonts w:asciiTheme="minorHAnsi" w:hAnsiTheme="minorHAnsi"/>
            <w:noProof/>
            <w:kern w:val="2"/>
            <w:sz w:val="24"/>
            <w:szCs w:val="24"/>
            <w14:ligatures w14:val="standardContextual"/>
          </w:rPr>
          <w:tab/>
        </w:r>
        <w:r w:rsidR="008A2EBF" w:rsidRPr="0001743E">
          <w:rPr>
            <w:rStyle w:val="Hyperlink"/>
            <w:noProof/>
          </w:rPr>
          <w:t>Assumptions varied in sensitivity analysis</w:t>
        </w:r>
        <w:r w:rsidR="008A2EBF">
          <w:rPr>
            <w:noProof/>
            <w:webHidden/>
          </w:rPr>
          <w:tab/>
        </w:r>
        <w:r w:rsidR="008A2EBF">
          <w:rPr>
            <w:noProof/>
            <w:webHidden/>
          </w:rPr>
          <w:fldChar w:fldCharType="begin"/>
        </w:r>
        <w:r w:rsidR="008A2EBF">
          <w:rPr>
            <w:noProof/>
            <w:webHidden/>
          </w:rPr>
          <w:instrText xml:space="preserve"> PAGEREF _Toc171609762 \h </w:instrText>
        </w:r>
        <w:r w:rsidR="008A2EBF">
          <w:rPr>
            <w:noProof/>
            <w:webHidden/>
          </w:rPr>
        </w:r>
        <w:r w:rsidR="008A2EBF">
          <w:rPr>
            <w:noProof/>
            <w:webHidden/>
          </w:rPr>
          <w:fldChar w:fldCharType="separate"/>
        </w:r>
        <w:r w:rsidR="008A2EBF">
          <w:rPr>
            <w:noProof/>
            <w:webHidden/>
          </w:rPr>
          <w:t>17</w:t>
        </w:r>
        <w:r w:rsidR="008A2EBF">
          <w:rPr>
            <w:noProof/>
            <w:webHidden/>
          </w:rPr>
          <w:fldChar w:fldCharType="end"/>
        </w:r>
      </w:hyperlink>
    </w:p>
    <w:p w14:paraId="65329225" w14:textId="04D8D231"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63" w:history="1">
        <w:r w:rsidR="008A2EBF" w:rsidRPr="0001743E">
          <w:rPr>
            <w:rStyle w:val="Hyperlink"/>
            <w:noProof/>
          </w:rPr>
          <w:t>Table 4:</w:t>
        </w:r>
        <w:r w:rsidR="008A2EBF">
          <w:rPr>
            <w:rFonts w:asciiTheme="minorHAnsi" w:hAnsiTheme="minorHAnsi"/>
            <w:noProof/>
            <w:kern w:val="2"/>
            <w:sz w:val="24"/>
            <w:szCs w:val="24"/>
            <w14:ligatures w14:val="standardContextual"/>
          </w:rPr>
          <w:tab/>
        </w:r>
        <w:r w:rsidR="008A2EBF" w:rsidRPr="0001743E">
          <w:rPr>
            <w:rStyle w:val="Hyperlink"/>
            <w:noProof/>
          </w:rPr>
          <w:t>Interim consultation baseline compared with 2023 projections per budget period (long</w:t>
        </w:r>
        <w:r w:rsidR="008A2EBF" w:rsidRPr="0001743E">
          <w:rPr>
            <w:rStyle w:val="Hyperlink"/>
            <w:noProof/>
          </w:rPr>
          <w:noBreakHyphen/>
          <w:t>lived gases)</w:t>
        </w:r>
        <w:r w:rsidR="008A2EBF">
          <w:rPr>
            <w:noProof/>
            <w:webHidden/>
          </w:rPr>
          <w:tab/>
        </w:r>
        <w:r w:rsidR="008A2EBF">
          <w:rPr>
            <w:noProof/>
            <w:webHidden/>
          </w:rPr>
          <w:fldChar w:fldCharType="begin"/>
        </w:r>
        <w:r w:rsidR="008A2EBF">
          <w:rPr>
            <w:noProof/>
            <w:webHidden/>
          </w:rPr>
          <w:instrText xml:space="preserve"> PAGEREF _Toc171609763 \h </w:instrText>
        </w:r>
        <w:r w:rsidR="008A2EBF">
          <w:rPr>
            <w:noProof/>
            <w:webHidden/>
          </w:rPr>
        </w:r>
        <w:r w:rsidR="008A2EBF">
          <w:rPr>
            <w:noProof/>
            <w:webHidden/>
          </w:rPr>
          <w:fldChar w:fldCharType="separate"/>
        </w:r>
        <w:r w:rsidR="008A2EBF">
          <w:rPr>
            <w:noProof/>
            <w:webHidden/>
          </w:rPr>
          <w:t>19</w:t>
        </w:r>
        <w:r w:rsidR="008A2EBF">
          <w:rPr>
            <w:noProof/>
            <w:webHidden/>
          </w:rPr>
          <w:fldChar w:fldCharType="end"/>
        </w:r>
      </w:hyperlink>
    </w:p>
    <w:p w14:paraId="601D81B6" w14:textId="464F0AE6"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64" w:history="1">
        <w:r w:rsidR="008A2EBF" w:rsidRPr="0001743E">
          <w:rPr>
            <w:rStyle w:val="Hyperlink"/>
            <w:noProof/>
          </w:rPr>
          <w:t>Table 5:</w:t>
        </w:r>
        <w:r w:rsidR="008A2EBF">
          <w:rPr>
            <w:rFonts w:asciiTheme="minorHAnsi" w:hAnsiTheme="minorHAnsi"/>
            <w:noProof/>
            <w:kern w:val="2"/>
            <w:sz w:val="24"/>
            <w:szCs w:val="24"/>
            <w14:ligatures w14:val="standardContextual"/>
          </w:rPr>
          <w:tab/>
        </w:r>
        <w:r w:rsidR="008A2EBF" w:rsidRPr="0001743E">
          <w:rPr>
            <w:rStyle w:val="Hyperlink"/>
            <w:noProof/>
          </w:rPr>
          <w:t>Interim consultation baseline compared with 2023 projections per budget period (biogenic methane) (</w:t>
        </w:r>
        <w:r w:rsidR="008A2EBF" w:rsidRPr="0001743E">
          <w:rPr>
            <w:rStyle w:val="Hyperlink"/>
            <w:noProof/>
            <w:lang w:eastAsia="en-US"/>
          </w:rPr>
          <w:t>Mt CO</w:t>
        </w:r>
        <w:r w:rsidR="008A2EBF" w:rsidRPr="0001743E">
          <w:rPr>
            <w:rStyle w:val="Hyperlink"/>
            <w:noProof/>
            <w:vertAlign w:val="subscript"/>
            <w:lang w:eastAsia="en-US"/>
          </w:rPr>
          <w:t>2</w:t>
        </w:r>
        <w:r w:rsidR="008A2EBF" w:rsidRPr="0001743E">
          <w:rPr>
            <w:rStyle w:val="Hyperlink"/>
            <w:noProof/>
            <w:lang w:eastAsia="en-US"/>
          </w:rPr>
          <w:t>-e</w:t>
        </w:r>
        <w:r w:rsidR="008A2EBF" w:rsidRPr="0001743E">
          <w:rPr>
            <w:rStyle w:val="Hyperlink"/>
            <w:noProof/>
          </w:rPr>
          <w:t>)</w:t>
        </w:r>
        <w:r w:rsidR="008A2EBF">
          <w:rPr>
            <w:noProof/>
            <w:webHidden/>
          </w:rPr>
          <w:tab/>
        </w:r>
        <w:r w:rsidR="008A2EBF">
          <w:rPr>
            <w:noProof/>
            <w:webHidden/>
          </w:rPr>
          <w:fldChar w:fldCharType="begin"/>
        </w:r>
        <w:r w:rsidR="008A2EBF">
          <w:rPr>
            <w:noProof/>
            <w:webHidden/>
          </w:rPr>
          <w:instrText xml:space="preserve"> PAGEREF _Toc171609764 \h </w:instrText>
        </w:r>
        <w:r w:rsidR="008A2EBF">
          <w:rPr>
            <w:noProof/>
            <w:webHidden/>
          </w:rPr>
        </w:r>
        <w:r w:rsidR="008A2EBF">
          <w:rPr>
            <w:noProof/>
            <w:webHidden/>
          </w:rPr>
          <w:fldChar w:fldCharType="separate"/>
        </w:r>
        <w:r w:rsidR="008A2EBF">
          <w:rPr>
            <w:noProof/>
            <w:webHidden/>
          </w:rPr>
          <w:t>20</w:t>
        </w:r>
        <w:r w:rsidR="008A2EBF">
          <w:rPr>
            <w:noProof/>
            <w:webHidden/>
          </w:rPr>
          <w:fldChar w:fldCharType="end"/>
        </w:r>
      </w:hyperlink>
    </w:p>
    <w:p w14:paraId="67060F03" w14:textId="6EFAE46B"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65" w:history="1">
        <w:r w:rsidR="008A2EBF" w:rsidRPr="0001743E">
          <w:rPr>
            <w:rStyle w:val="Hyperlink"/>
            <w:noProof/>
          </w:rPr>
          <w:t>Table 6:</w:t>
        </w:r>
        <w:r w:rsidR="008A2EBF">
          <w:rPr>
            <w:rFonts w:asciiTheme="minorHAnsi" w:hAnsiTheme="minorHAnsi"/>
            <w:noProof/>
            <w:kern w:val="2"/>
            <w:sz w:val="24"/>
            <w:szCs w:val="24"/>
            <w14:ligatures w14:val="standardContextual"/>
          </w:rPr>
          <w:tab/>
        </w:r>
        <w:r w:rsidR="008A2EBF" w:rsidRPr="0001743E">
          <w:rPr>
            <w:rStyle w:val="Hyperlink"/>
            <w:noProof/>
          </w:rPr>
          <w:t>Changes in emissions from 2018–22 average to 2030, 2035 and 2050 by sector (Mt CO</w:t>
        </w:r>
        <w:r w:rsidR="008A2EBF" w:rsidRPr="0001743E">
          <w:rPr>
            <w:rStyle w:val="Hyperlink"/>
            <w:noProof/>
            <w:vertAlign w:val="subscript"/>
          </w:rPr>
          <w:t>2</w:t>
        </w:r>
        <w:r w:rsidR="008A2EBF" w:rsidRPr="0001743E">
          <w:rPr>
            <w:rStyle w:val="Hyperlink"/>
            <w:noProof/>
          </w:rPr>
          <w:t>-e and percentage change)</w:t>
        </w:r>
        <w:r w:rsidR="008A2EBF">
          <w:rPr>
            <w:noProof/>
            <w:webHidden/>
          </w:rPr>
          <w:tab/>
        </w:r>
        <w:r w:rsidR="008A2EBF">
          <w:rPr>
            <w:noProof/>
            <w:webHidden/>
          </w:rPr>
          <w:fldChar w:fldCharType="begin"/>
        </w:r>
        <w:r w:rsidR="008A2EBF">
          <w:rPr>
            <w:noProof/>
            <w:webHidden/>
          </w:rPr>
          <w:instrText xml:space="preserve"> PAGEREF _Toc171609765 \h </w:instrText>
        </w:r>
        <w:r w:rsidR="008A2EBF">
          <w:rPr>
            <w:noProof/>
            <w:webHidden/>
          </w:rPr>
        </w:r>
        <w:r w:rsidR="008A2EBF">
          <w:rPr>
            <w:noProof/>
            <w:webHidden/>
          </w:rPr>
          <w:fldChar w:fldCharType="separate"/>
        </w:r>
        <w:r w:rsidR="008A2EBF">
          <w:rPr>
            <w:noProof/>
            <w:webHidden/>
          </w:rPr>
          <w:t>23</w:t>
        </w:r>
        <w:r w:rsidR="008A2EBF">
          <w:rPr>
            <w:noProof/>
            <w:webHidden/>
          </w:rPr>
          <w:fldChar w:fldCharType="end"/>
        </w:r>
      </w:hyperlink>
    </w:p>
    <w:p w14:paraId="6E7AD581" w14:textId="5AB12FFC"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66" w:history="1">
        <w:r w:rsidR="008A2EBF" w:rsidRPr="0001743E">
          <w:rPr>
            <w:rStyle w:val="Hyperlink"/>
            <w:noProof/>
          </w:rPr>
          <w:t>Table 7:</w:t>
        </w:r>
        <w:r w:rsidR="008A2EBF">
          <w:rPr>
            <w:rFonts w:asciiTheme="minorHAnsi" w:hAnsiTheme="minorHAnsi"/>
            <w:noProof/>
            <w:kern w:val="2"/>
            <w:sz w:val="24"/>
            <w:szCs w:val="24"/>
            <w14:ligatures w14:val="standardContextual"/>
          </w:rPr>
          <w:tab/>
        </w:r>
        <w:r w:rsidR="008A2EBF" w:rsidRPr="0001743E">
          <w:rPr>
            <w:rStyle w:val="Hyperlink"/>
            <w:noProof/>
          </w:rPr>
          <w:t>Changes in energy emissions from 2018–22 average to 2030, 2035 and 2050 by subsector (Mt CO</w:t>
        </w:r>
        <w:r w:rsidR="008A2EBF" w:rsidRPr="0001743E">
          <w:rPr>
            <w:rStyle w:val="Hyperlink"/>
            <w:noProof/>
            <w:vertAlign w:val="subscript"/>
          </w:rPr>
          <w:t>2</w:t>
        </w:r>
        <w:r w:rsidR="008A2EBF" w:rsidRPr="0001743E">
          <w:rPr>
            <w:rStyle w:val="Hyperlink"/>
            <w:noProof/>
          </w:rPr>
          <w:t>-e and percentage change)</w:t>
        </w:r>
        <w:r w:rsidR="008A2EBF">
          <w:rPr>
            <w:noProof/>
            <w:webHidden/>
          </w:rPr>
          <w:tab/>
        </w:r>
        <w:r w:rsidR="008A2EBF">
          <w:rPr>
            <w:noProof/>
            <w:webHidden/>
          </w:rPr>
          <w:fldChar w:fldCharType="begin"/>
        </w:r>
        <w:r w:rsidR="008A2EBF">
          <w:rPr>
            <w:noProof/>
            <w:webHidden/>
          </w:rPr>
          <w:instrText xml:space="preserve"> PAGEREF _Toc171609766 \h </w:instrText>
        </w:r>
        <w:r w:rsidR="008A2EBF">
          <w:rPr>
            <w:noProof/>
            <w:webHidden/>
          </w:rPr>
        </w:r>
        <w:r w:rsidR="008A2EBF">
          <w:rPr>
            <w:noProof/>
            <w:webHidden/>
          </w:rPr>
          <w:fldChar w:fldCharType="separate"/>
        </w:r>
        <w:r w:rsidR="008A2EBF">
          <w:rPr>
            <w:noProof/>
            <w:webHidden/>
          </w:rPr>
          <w:t>25</w:t>
        </w:r>
        <w:r w:rsidR="008A2EBF">
          <w:rPr>
            <w:noProof/>
            <w:webHidden/>
          </w:rPr>
          <w:fldChar w:fldCharType="end"/>
        </w:r>
      </w:hyperlink>
    </w:p>
    <w:p w14:paraId="795DB9E2" w14:textId="027A8597"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67" w:history="1">
        <w:r w:rsidR="008A2EBF" w:rsidRPr="0001743E">
          <w:rPr>
            <w:rStyle w:val="Hyperlink"/>
            <w:noProof/>
          </w:rPr>
          <w:t>Table 8:</w:t>
        </w:r>
        <w:r w:rsidR="008A2EBF">
          <w:rPr>
            <w:rFonts w:asciiTheme="minorHAnsi" w:hAnsiTheme="minorHAnsi"/>
            <w:noProof/>
            <w:kern w:val="2"/>
            <w:sz w:val="24"/>
            <w:szCs w:val="24"/>
            <w14:ligatures w14:val="standardContextual"/>
          </w:rPr>
          <w:tab/>
        </w:r>
        <w:r w:rsidR="008A2EBF" w:rsidRPr="0001743E">
          <w:rPr>
            <w:rStyle w:val="Hyperlink"/>
            <w:noProof/>
          </w:rPr>
          <w:t>Potential new policies for inclusion in ERP2</w:t>
        </w:r>
        <w:r w:rsidR="008A2EBF">
          <w:rPr>
            <w:noProof/>
            <w:webHidden/>
          </w:rPr>
          <w:tab/>
        </w:r>
        <w:r w:rsidR="008A2EBF">
          <w:rPr>
            <w:noProof/>
            <w:webHidden/>
          </w:rPr>
          <w:fldChar w:fldCharType="begin"/>
        </w:r>
        <w:r w:rsidR="008A2EBF">
          <w:rPr>
            <w:noProof/>
            <w:webHidden/>
          </w:rPr>
          <w:instrText xml:space="preserve"> PAGEREF _Toc171609767 \h </w:instrText>
        </w:r>
        <w:r w:rsidR="008A2EBF">
          <w:rPr>
            <w:noProof/>
            <w:webHidden/>
          </w:rPr>
        </w:r>
        <w:r w:rsidR="008A2EBF">
          <w:rPr>
            <w:noProof/>
            <w:webHidden/>
          </w:rPr>
          <w:fldChar w:fldCharType="separate"/>
        </w:r>
        <w:r w:rsidR="008A2EBF">
          <w:rPr>
            <w:noProof/>
            <w:webHidden/>
          </w:rPr>
          <w:t>32</w:t>
        </w:r>
        <w:r w:rsidR="008A2EBF">
          <w:rPr>
            <w:noProof/>
            <w:webHidden/>
          </w:rPr>
          <w:fldChar w:fldCharType="end"/>
        </w:r>
      </w:hyperlink>
    </w:p>
    <w:p w14:paraId="1BB11568" w14:textId="11C7B36C"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68" w:history="1">
        <w:r w:rsidR="008A2EBF" w:rsidRPr="0001743E">
          <w:rPr>
            <w:rStyle w:val="Hyperlink"/>
            <w:noProof/>
          </w:rPr>
          <w:t>Table 9:</w:t>
        </w:r>
        <w:r w:rsidR="008A2EBF">
          <w:rPr>
            <w:rFonts w:asciiTheme="minorHAnsi" w:hAnsiTheme="minorHAnsi"/>
            <w:noProof/>
            <w:kern w:val="2"/>
            <w:sz w:val="24"/>
            <w:szCs w:val="24"/>
            <w14:ligatures w14:val="standardContextual"/>
          </w:rPr>
          <w:tab/>
        </w:r>
        <w:r w:rsidR="008A2EBF" w:rsidRPr="0001743E">
          <w:rPr>
            <w:rStyle w:val="Hyperlink"/>
            <w:noProof/>
          </w:rPr>
          <w:t>Additional potential abatement options</w:t>
        </w:r>
        <w:r w:rsidR="008A2EBF">
          <w:rPr>
            <w:noProof/>
            <w:webHidden/>
          </w:rPr>
          <w:tab/>
        </w:r>
        <w:r w:rsidR="008A2EBF">
          <w:rPr>
            <w:noProof/>
            <w:webHidden/>
          </w:rPr>
          <w:fldChar w:fldCharType="begin"/>
        </w:r>
        <w:r w:rsidR="008A2EBF">
          <w:rPr>
            <w:noProof/>
            <w:webHidden/>
          </w:rPr>
          <w:instrText xml:space="preserve"> PAGEREF _Toc171609768 \h </w:instrText>
        </w:r>
        <w:r w:rsidR="008A2EBF">
          <w:rPr>
            <w:noProof/>
            <w:webHidden/>
          </w:rPr>
        </w:r>
        <w:r w:rsidR="008A2EBF">
          <w:rPr>
            <w:noProof/>
            <w:webHidden/>
          </w:rPr>
          <w:fldChar w:fldCharType="separate"/>
        </w:r>
        <w:r w:rsidR="008A2EBF">
          <w:rPr>
            <w:noProof/>
            <w:webHidden/>
          </w:rPr>
          <w:t>33</w:t>
        </w:r>
        <w:r w:rsidR="008A2EBF">
          <w:rPr>
            <w:noProof/>
            <w:webHidden/>
          </w:rPr>
          <w:fldChar w:fldCharType="end"/>
        </w:r>
      </w:hyperlink>
    </w:p>
    <w:p w14:paraId="738EE575" w14:textId="7CD6F2F0"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69" w:history="1">
        <w:r w:rsidR="008A2EBF" w:rsidRPr="0001743E">
          <w:rPr>
            <w:rStyle w:val="Hyperlink"/>
            <w:noProof/>
          </w:rPr>
          <w:t>Table 10:</w:t>
        </w:r>
        <w:r w:rsidR="008A2EBF">
          <w:rPr>
            <w:rFonts w:asciiTheme="minorHAnsi" w:hAnsiTheme="minorHAnsi"/>
            <w:noProof/>
            <w:kern w:val="2"/>
            <w:sz w:val="24"/>
            <w:szCs w:val="24"/>
            <w14:ligatures w14:val="standardContextual"/>
          </w:rPr>
          <w:tab/>
        </w:r>
        <w:r w:rsidR="008A2EBF" w:rsidRPr="0001743E">
          <w:rPr>
            <w:rStyle w:val="Hyperlink"/>
            <w:noProof/>
          </w:rPr>
          <w:t>Provisional estimated emissions reduction impacts of new policies in ERP2 on emissions budgets (Mt CO</w:t>
        </w:r>
        <w:r w:rsidR="008A2EBF" w:rsidRPr="0001743E">
          <w:rPr>
            <w:rStyle w:val="Hyperlink"/>
            <w:noProof/>
            <w:vertAlign w:val="subscript"/>
          </w:rPr>
          <w:t>2</w:t>
        </w:r>
        <w:r w:rsidR="008A2EBF" w:rsidRPr="0001743E">
          <w:rPr>
            <w:rStyle w:val="Hyperlink"/>
            <w:noProof/>
          </w:rPr>
          <w:t>-e)</w:t>
        </w:r>
        <w:r w:rsidR="008A2EBF">
          <w:rPr>
            <w:noProof/>
            <w:webHidden/>
          </w:rPr>
          <w:tab/>
        </w:r>
        <w:r w:rsidR="008A2EBF">
          <w:rPr>
            <w:noProof/>
            <w:webHidden/>
          </w:rPr>
          <w:fldChar w:fldCharType="begin"/>
        </w:r>
        <w:r w:rsidR="008A2EBF">
          <w:rPr>
            <w:noProof/>
            <w:webHidden/>
          </w:rPr>
          <w:instrText xml:space="preserve"> PAGEREF _Toc171609769 \h </w:instrText>
        </w:r>
        <w:r w:rsidR="008A2EBF">
          <w:rPr>
            <w:noProof/>
            <w:webHidden/>
          </w:rPr>
        </w:r>
        <w:r w:rsidR="008A2EBF">
          <w:rPr>
            <w:noProof/>
            <w:webHidden/>
          </w:rPr>
          <w:fldChar w:fldCharType="separate"/>
        </w:r>
        <w:r w:rsidR="008A2EBF">
          <w:rPr>
            <w:noProof/>
            <w:webHidden/>
          </w:rPr>
          <w:t>33</w:t>
        </w:r>
        <w:r w:rsidR="008A2EBF">
          <w:rPr>
            <w:noProof/>
            <w:webHidden/>
          </w:rPr>
          <w:fldChar w:fldCharType="end"/>
        </w:r>
      </w:hyperlink>
    </w:p>
    <w:p w14:paraId="4C05BFED" w14:textId="2B188C12"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70" w:history="1">
        <w:r w:rsidR="008A2EBF" w:rsidRPr="0001743E">
          <w:rPr>
            <w:rStyle w:val="Hyperlink"/>
            <w:noProof/>
          </w:rPr>
          <w:t>Table 11:</w:t>
        </w:r>
        <w:r w:rsidR="008A2EBF">
          <w:rPr>
            <w:rFonts w:asciiTheme="minorHAnsi" w:hAnsiTheme="minorHAnsi"/>
            <w:noProof/>
            <w:kern w:val="2"/>
            <w:sz w:val="24"/>
            <w:szCs w:val="24"/>
            <w14:ligatures w14:val="standardContextual"/>
          </w:rPr>
          <w:tab/>
        </w:r>
        <w:r w:rsidR="008A2EBF" w:rsidRPr="0001743E">
          <w:rPr>
            <w:rStyle w:val="Hyperlink"/>
            <w:noProof/>
          </w:rPr>
          <w:t>Provisional estimated emissions increase impact of new policies in ERP2 on emissions budgets (Mt CO</w:t>
        </w:r>
        <w:r w:rsidR="008A2EBF" w:rsidRPr="0001743E">
          <w:rPr>
            <w:rStyle w:val="Hyperlink"/>
            <w:noProof/>
            <w:vertAlign w:val="subscript"/>
          </w:rPr>
          <w:t>2</w:t>
        </w:r>
        <w:r w:rsidR="008A2EBF" w:rsidRPr="0001743E">
          <w:rPr>
            <w:rStyle w:val="Hyperlink"/>
            <w:noProof/>
          </w:rPr>
          <w:t>-e)</w:t>
        </w:r>
        <w:r w:rsidR="008A2EBF">
          <w:rPr>
            <w:noProof/>
            <w:webHidden/>
          </w:rPr>
          <w:tab/>
        </w:r>
        <w:r w:rsidR="008A2EBF">
          <w:rPr>
            <w:noProof/>
            <w:webHidden/>
          </w:rPr>
          <w:fldChar w:fldCharType="begin"/>
        </w:r>
        <w:r w:rsidR="008A2EBF">
          <w:rPr>
            <w:noProof/>
            <w:webHidden/>
          </w:rPr>
          <w:instrText xml:space="preserve"> PAGEREF _Toc171609770 \h </w:instrText>
        </w:r>
        <w:r w:rsidR="008A2EBF">
          <w:rPr>
            <w:noProof/>
            <w:webHidden/>
          </w:rPr>
        </w:r>
        <w:r w:rsidR="008A2EBF">
          <w:rPr>
            <w:noProof/>
            <w:webHidden/>
          </w:rPr>
          <w:fldChar w:fldCharType="separate"/>
        </w:r>
        <w:r w:rsidR="008A2EBF">
          <w:rPr>
            <w:noProof/>
            <w:webHidden/>
          </w:rPr>
          <w:t>34</w:t>
        </w:r>
        <w:r w:rsidR="008A2EBF">
          <w:rPr>
            <w:noProof/>
            <w:webHidden/>
          </w:rPr>
          <w:fldChar w:fldCharType="end"/>
        </w:r>
      </w:hyperlink>
    </w:p>
    <w:p w14:paraId="13A0BBD8" w14:textId="17E3245B"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71" w:history="1">
        <w:r w:rsidR="008A2EBF" w:rsidRPr="0001743E">
          <w:rPr>
            <w:rStyle w:val="Hyperlink"/>
            <w:noProof/>
          </w:rPr>
          <w:t>Table 12:</w:t>
        </w:r>
        <w:r w:rsidR="008A2EBF">
          <w:rPr>
            <w:rFonts w:asciiTheme="minorHAnsi" w:hAnsiTheme="minorHAnsi"/>
            <w:noProof/>
            <w:kern w:val="2"/>
            <w:sz w:val="24"/>
            <w:szCs w:val="24"/>
            <w14:ligatures w14:val="standardContextual"/>
          </w:rPr>
          <w:tab/>
        </w:r>
        <w:r w:rsidR="008A2EBF" w:rsidRPr="0001743E">
          <w:rPr>
            <w:rStyle w:val="Hyperlink"/>
            <w:noProof/>
          </w:rPr>
          <w:t>Projected effects of additional potential abatement options on the second and third emissions budgets</w:t>
        </w:r>
        <w:r w:rsidR="008A2EBF">
          <w:rPr>
            <w:noProof/>
            <w:webHidden/>
          </w:rPr>
          <w:tab/>
        </w:r>
        <w:r w:rsidR="008A2EBF">
          <w:rPr>
            <w:noProof/>
            <w:webHidden/>
          </w:rPr>
          <w:fldChar w:fldCharType="begin"/>
        </w:r>
        <w:r w:rsidR="008A2EBF">
          <w:rPr>
            <w:noProof/>
            <w:webHidden/>
          </w:rPr>
          <w:instrText xml:space="preserve"> PAGEREF _Toc171609771 \h </w:instrText>
        </w:r>
        <w:r w:rsidR="008A2EBF">
          <w:rPr>
            <w:noProof/>
            <w:webHidden/>
          </w:rPr>
        </w:r>
        <w:r w:rsidR="008A2EBF">
          <w:rPr>
            <w:noProof/>
            <w:webHidden/>
          </w:rPr>
          <w:fldChar w:fldCharType="separate"/>
        </w:r>
        <w:r w:rsidR="008A2EBF">
          <w:rPr>
            <w:noProof/>
            <w:webHidden/>
          </w:rPr>
          <w:t>35</w:t>
        </w:r>
        <w:r w:rsidR="008A2EBF">
          <w:rPr>
            <w:noProof/>
            <w:webHidden/>
          </w:rPr>
          <w:fldChar w:fldCharType="end"/>
        </w:r>
      </w:hyperlink>
    </w:p>
    <w:p w14:paraId="185311A8" w14:textId="67BBE55A"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72" w:history="1">
        <w:r w:rsidR="008A2EBF" w:rsidRPr="0001743E">
          <w:rPr>
            <w:rStyle w:val="Hyperlink"/>
            <w:noProof/>
          </w:rPr>
          <w:t>Table 13:</w:t>
        </w:r>
        <w:r w:rsidR="008A2EBF">
          <w:rPr>
            <w:rFonts w:asciiTheme="minorHAnsi" w:hAnsiTheme="minorHAnsi"/>
            <w:noProof/>
            <w:kern w:val="2"/>
            <w:sz w:val="24"/>
            <w:szCs w:val="24"/>
            <w14:ligatures w14:val="standardContextual"/>
          </w:rPr>
          <w:tab/>
        </w:r>
        <w:r w:rsidR="008A2EBF" w:rsidRPr="0001743E">
          <w:rPr>
            <w:rStyle w:val="Hyperlink"/>
            <w:noProof/>
          </w:rPr>
          <w:t>Interim projections of emissions and removals including effects of proposed new measures (Mt CO</w:t>
        </w:r>
        <w:r w:rsidR="008A2EBF" w:rsidRPr="0001743E">
          <w:rPr>
            <w:rStyle w:val="Hyperlink"/>
            <w:noProof/>
            <w:vertAlign w:val="subscript"/>
          </w:rPr>
          <w:t>2</w:t>
        </w:r>
        <w:r w:rsidR="008A2EBF" w:rsidRPr="0001743E">
          <w:rPr>
            <w:rStyle w:val="Hyperlink"/>
            <w:noProof/>
          </w:rPr>
          <w:t>-e), by budget period</w:t>
        </w:r>
        <w:r w:rsidR="008A2EBF">
          <w:rPr>
            <w:noProof/>
            <w:webHidden/>
          </w:rPr>
          <w:tab/>
        </w:r>
        <w:r w:rsidR="008A2EBF">
          <w:rPr>
            <w:noProof/>
            <w:webHidden/>
          </w:rPr>
          <w:fldChar w:fldCharType="begin"/>
        </w:r>
        <w:r w:rsidR="008A2EBF">
          <w:rPr>
            <w:noProof/>
            <w:webHidden/>
          </w:rPr>
          <w:instrText xml:space="preserve"> PAGEREF _Toc171609772 \h </w:instrText>
        </w:r>
        <w:r w:rsidR="008A2EBF">
          <w:rPr>
            <w:noProof/>
            <w:webHidden/>
          </w:rPr>
        </w:r>
        <w:r w:rsidR="008A2EBF">
          <w:rPr>
            <w:noProof/>
            <w:webHidden/>
          </w:rPr>
          <w:fldChar w:fldCharType="separate"/>
        </w:r>
        <w:r w:rsidR="008A2EBF">
          <w:rPr>
            <w:noProof/>
            <w:webHidden/>
          </w:rPr>
          <w:t>35</w:t>
        </w:r>
        <w:r w:rsidR="008A2EBF">
          <w:rPr>
            <w:noProof/>
            <w:webHidden/>
          </w:rPr>
          <w:fldChar w:fldCharType="end"/>
        </w:r>
      </w:hyperlink>
    </w:p>
    <w:p w14:paraId="45D918BF" w14:textId="1D87FCF1"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73" w:history="1">
        <w:r w:rsidR="008A2EBF" w:rsidRPr="0001743E">
          <w:rPr>
            <w:rStyle w:val="Hyperlink"/>
            <w:noProof/>
          </w:rPr>
          <w:t>Table A1.1:</w:t>
        </w:r>
        <w:r w:rsidR="008A2EBF">
          <w:rPr>
            <w:rFonts w:asciiTheme="minorHAnsi" w:hAnsiTheme="minorHAnsi"/>
            <w:noProof/>
            <w:kern w:val="2"/>
            <w:sz w:val="24"/>
            <w:szCs w:val="24"/>
            <w14:ligatures w14:val="standardContextual"/>
          </w:rPr>
          <w:tab/>
        </w:r>
        <w:r w:rsidR="008A2EBF" w:rsidRPr="0001743E">
          <w:rPr>
            <w:rStyle w:val="Hyperlink"/>
            <w:noProof/>
          </w:rPr>
          <w:t>List of assumptions for 2023 official projections (with existing measures, WEM), interim ERP2 baseline, low and high scenarios</w:t>
        </w:r>
        <w:r w:rsidR="008A2EBF">
          <w:rPr>
            <w:noProof/>
            <w:webHidden/>
          </w:rPr>
          <w:tab/>
        </w:r>
        <w:r w:rsidR="008A2EBF">
          <w:rPr>
            <w:noProof/>
            <w:webHidden/>
          </w:rPr>
          <w:fldChar w:fldCharType="begin"/>
        </w:r>
        <w:r w:rsidR="008A2EBF">
          <w:rPr>
            <w:noProof/>
            <w:webHidden/>
          </w:rPr>
          <w:instrText xml:space="preserve"> PAGEREF _Toc171609773 \h </w:instrText>
        </w:r>
        <w:r w:rsidR="008A2EBF">
          <w:rPr>
            <w:noProof/>
            <w:webHidden/>
          </w:rPr>
        </w:r>
        <w:r w:rsidR="008A2EBF">
          <w:rPr>
            <w:noProof/>
            <w:webHidden/>
          </w:rPr>
          <w:fldChar w:fldCharType="separate"/>
        </w:r>
        <w:r w:rsidR="008A2EBF">
          <w:rPr>
            <w:noProof/>
            <w:webHidden/>
          </w:rPr>
          <w:t>41</w:t>
        </w:r>
        <w:r w:rsidR="008A2EBF">
          <w:rPr>
            <w:noProof/>
            <w:webHidden/>
          </w:rPr>
          <w:fldChar w:fldCharType="end"/>
        </w:r>
      </w:hyperlink>
    </w:p>
    <w:p w14:paraId="34973280" w14:textId="2BD5AFBF"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74" w:history="1">
        <w:r w:rsidR="008A2EBF" w:rsidRPr="0001743E">
          <w:rPr>
            <w:rStyle w:val="Hyperlink"/>
            <w:noProof/>
          </w:rPr>
          <w:t>Table A2.1:</w:t>
        </w:r>
        <w:r w:rsidR="008A2EBF">
          <w:rPr>
            <w:rFonts w:asciiTheme="minorHAnsi" w:hAnsiTheme="minorHAnsi"/>
            <w:noProof/>
            <w:kern w:val="2"/>
            <w:sz w:val="24"/>
            <w:szCs w:val="24"/>
            <w14:ligatures w14:val="standardContextual"/>
          </w:rPr>
          <w:tab/>
        </w:r>
        <w:r w:rsidR="008A2EBF" w:rsidRPr="0001743E">
          <w:rPr>
            <w:rStyle w:val="Hyperlink"/>
            <w:noProof/>
          </w:rPr>
          <w:t>Logic maps explaining links between selected policies and emissions impacts</w:t>
        </w:r>
        <w:r w:rsidR="008A2EBF">
          <w:rPr>
            <w:noProof/>
            <w:webHidden/>
          </w:rPr>
          <w:tab/>
        </w:r>
        <w:r w:rsidR="008A2EBF">
          <w:rPr>
            <w:noProof/>
            <w:webHidden/>
          </w:rPr>
          <w:fldChar w:fldCharType="begin"/>
        </w:r>
        <w:r w:rsidR="008A2EBF">
          <w:rPr>
            <w:noProof/>
            <w:webHidden/>
          </w:rPr>
          <w:instrText xml:space="preserve"> PAGEREF _Toc171609774 \h </w:instrText>
        </w:r>
        <w:r w:rsidR="008A2EBF">
          <w:rPr>
            <w:noProof/>
            <w:webHidden/>
          </w:rPr>
        </w:r>
        <w:r w:rsidR="008A2EBF">
          <w:rPr>
            <w:noProof/>
            <w:webHidden/>
          </w:rPr>
          <w:fldChar w:fldCharType="separate"/>
        </w:r>
        <w:r w:rsidR="008A2EBF">
          <w:rPr>
            <w:noProof/>
            <w:webHidden/>
          </w:rPr>
          <w:t>49</w:t>
        </w:r>
        <w:r w:rsidR="008A2EBF">
          <w:rPr>
            <w:noProof/>
            <w:webHidden/>
          </w:rPr>
          <w:fldChar w:fldCharType="end"/>
        </w:r>
      </w:hyperlink>
    </w:p>
    <w:p w14:paraId="27792D8C" w14:textId="516E7E3D"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75" w:history="1">
        <w:r w:rsidR="008A2EBF" w:rsidRPr="0001743E">
          <w:rPr>
            <w:rStyle w:val="Hyperlink"/>
            <w:noProof/>
          </w:rPr>
          <w:t>Table A3.1:</w:t>
        </w:r>
        <w:r w:rsidR="008A2EBF">
          <w:rPr>
            <w:rFonts w:asciiTheme="minorHAnsi" w:hAnsiTheme="minorHAnsi"/>
            <w:noProof/>
            <w:kern w:val="2"/>
            <w:sz w:val="24"/>
            <w:szCs w:val="24"/>
            <w14:ligatures w14:val="standardContextual"/>
          </w:rPr>
          <w:tab/>
        </w:r>
        <w:r w:rsidR="008A2EBF" w:rsidRPr="0001743E">
          <w:rPr>
            <w:rStyle w:val="Hyperlink"/>
            <w:noProof/>
          </w:rPr>
          <w:t>Assumptions used for modelling proposed ERP2 policies</w:t>
        </w:r>
        <w:r w:rsidR="008A2EBF">
          <w:rPr>
            <w:noProof/>
            <w:webHidden/>
          </w:rPr>
          <w:tab/>
        </w:r>
        <w:r w:rsidR="008A2EBF">
          <w:rPr>
            <w:noProof/>
            <w:webHidden/>
          </w:rPr>
          <w:fldChar w:fldCharType="begin"/>
        </w:r>
        <w:r w:rsidR="008A2EBF">
          <w:rPr>
            <w:noProof/>
            <w:webHidden/>
          </w:rPr>
          <w:instrText xml:space="preserve"> PAGEREF _Toc171609775 \h </w:instrText>
        </w:r>
        <w:r w:rsidR="008A2EBF">
          <w:rPr>
            <w:noProof/>
            <w:webHidden/>
          </w:rPr>
        </w:r>
        <w:r w:rsidR="008A2EBF">
          <w:rPr>
            <w:noProof/>
            <w:webHidden/>
          </w:rPr>
          <w:fldChar w:fldCharType="separate"/>
        </w:r>
        <w:r w:rsidR="008A2EBF">
          <w:rPr>
            <w:noProof/>
            <w:webHidden/>
          </w:rPr>
          <w:t>63</w:t>
        </w:r>
        <w:r w:rsidR="008A2EBF">
          <w:rPr>
            <w:noProof/>
            <w:webHidden/>
          </w:rPr>
          <w:fldChar w:fldCharType="end"/>
        </w:r>
      </w:hyperlink>
    </w:p>
    <w:p w14:paraId="0785C273" w14:textId="6ED50D8D" w:rsidR="000E2D6B" w:rsidRPr="00B87CC5" w:rsidRDefault="000E2D6B" w:rsidP="0005427E">
      <w:pPr>
        <w:pStyle w:val="BodyText"/>
      </w:pPr>
      <w:r w:rsidRPr="00B87CC5">
        <w:fldChar w:fldCharType="end"/>
      </w:r>
    </w:p>
    <w:p w14:paraId="50298F27" w14:textId="0377019E" w:rsidR="0067188D" w:rsidRPr="00B87CC5" w:rsidRDefault="0067188D" w:rsidP="0069513D">
      <w:pPr>
        <w:pStyle w:val="Heading"/>
      </w:pPr>
      <w:r w:rsidRPr="00B87CC5">
        <w:lastRenderedPageBreak/>
        <w:t>Figures</w:t>
      </w:r>
    </w:p>
    <w:p w14:paraId="59FACA2C" w14:textId="71AA8746" w:rsidR="008A2EBF" w:rsidRDefault="0067188D">
      <w:pPr>
        <w:pStyle w:val="TableofFigures"/>
        <w:tabs>
          <w:tab w:val="right" w:pos="8495"/>
        </w:tabs>
        <w:rPr>
          <w:rFonts w:asciiTheme="minorHAnsi" w:hAnsiTheme="minorHAnsi"/>
          <w:noProof/>
          <w:kern w:val="2"/>
          <w:sz w:val="24"/>
          <w:szCs w:val="24"/>
          <w14:ligatures w14:val="standardContextual"/>
        </w:rPr>
      </w:pPr>
      <w:r w:rsidRPr="00B87CC5">
        <w:fldChar w:fldCharType="begin"/>
      </w:r>
      <w:r w:rsidRPr="00B87CC5">
        <w:instrText xml:space="preserve"> TOC \h \z \t "Figure heading" \c </w:instrText>
      </w:r>
      <w:r w:rsidRPr="00B87CC5">
        <w:fldChar w:fldCharType="separate"/>
      </w:r>
      <w:hyperlink w:anchor="_Toc171609776" w:history="1">
        <w:r w:rsidR="008A2EBF" w:rsidRPr="003238A5">
          <w:rPr>
            <w:rStyle w:val="Hyperlink"/>
            <w:noProof/>
          </w:rPr>
          <w:t>Figure 1:</w:t>
        </w:r>
        <w:r w:rsidR="008A2EBF">
          <w:rPr>
            <w:rFonts w:asciiTheme="minorHAnsi" w:hAnsiTheme="minorHAnsi"/>
            <w:noProof/>
            <w:kern w:val="2"/>
            <w:sz w:val="24"/>
            <w:szCs w:val="24"/>
            <w14:ligatures w14:val="standardContextual"/>
          </w:rPr>
          <w:tab/>
        </w:r>
        <w:r w:rsidR="008A2EBF" w:rsidRPr="003238A5">
          <w:rPr>
            <w:rStyle w:val="Hyperlink"/>
            <w:noProof/>
          </w:rPr>
          <w:t>Models used for official projections</w:t>
        </w:r>
        <w:r w:rsidR="008A2EBF">
          <w:rPr>
            <w:noProof/>
            <w:webHidden/>
          </w:rPr>
          <w:tab/>
        </w:r>
        <w:r w:rsidR="008A2EBF">
          <w:rPr>
            <w:noProof/>
            <w:webHidden/>
          </w:rPr>
          <w:fldChar w:fldCharType="begin"/>
        </w:r>
        <w:r w:rsidR="008A2EBF">
          <w:rPr>
            <w:noProof/>
            <w:webHidden/>
          </w:rPr>
          <w:instrText xml:space="preserve"> PAGEREF _Toc171609776 \h </w:instrText>
        </w:r>
        <w:r w:rsidR="008A2EBF">
          <w:rPr>
            <w:noProof/>
            <w:webHidden/>
          </w:rPr>
        </w:r>
        <w:r w:rsidR="008A2EBF">
          <w:rPr>
            <w:noProof/>
            <w:webHidden/>
          </w:rPr>
          <w:fldChar w:fldCharType="separate"/>
        </w:r>
        <w:r w:rsidR="008A2EBF">
          <w:rPr>
            <w:noProof/>
            <w:webHidden/>
          </w:rPr>
          <w:t>7</w:t>
        </w:r>
        <w:r w:rsidR="008A2EBF">
          <w:rPr>
            <w:noProof/>
            <w:webHidden/>
          </w:rPr>
          <w:fldChar w:fldCharType="end"/>
        </w:r>
      </w:hyperlink>
    </w:p>
    <w:p w14:paraId="052AEA4E" w14:textId="1E3BAD75"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77" w:history="1">
        <w:r w:rsidR="008A2EBF" w:rsidRPr="003238A5">
          <w:rPr>
            <w:rStyle w:val="Hyperlink"/>
            <w:noProof/>
          </w:rPr>
          <w:t>Figure 2:</w:t>
        </w:r>
        <w:r w:rsidR="008A2EBF">
          <w:rPr>
            <w:rFonts w:asciiTheme="minorHAnsi" w:hAnsiTheme="minorHAnsi"/>
            <w:noProof/>
            <w:kern w:val="2"/>
            <w:sz w:val="24"/>
            <w:szCs w:val="24"/>
            <w14:ligatures w14:val="standardContextual"/>
          </w:rPr>
          <w:tab/>
        </w:r>
        <w:r w:rsidR="008A2EBF" w:rsidRPr="003238A5">
          <w:rPr>
            <w:rStyle w:val="Hyperlink"/>
            <w:noProof/>
          </w:rPr>
          <w:t>High-level illustration of Emissions in New Zealand modelling approach</w:t>
        </w:r>
        <w:r w:rsidR="008A2EBF">
          <w:rPr>
            <w:noProof/>
            <w:webHidden/>
          </w:rPr>
          <w:tab/>
        </w:r>
        <w:r w:rsidR="008A2EBF">
          <w:rPr>
            <w:noProof/>
            <w:webHidden/>
          </w:rPr>
          <w:fldChar w:fldCharType="begin"/>
        </w:r>
        <w:r w:rsidR="008A2EBF">
          <w:rPr>
            <w:noProof/>
            <w:webHidden/>
          </w:rPr>
          <w:instrText xml:space="preserve"> PAGEREF _Toc171609777 \h </w:instrText>
        </w:r>
        <w:r w:rsidR="008A2EBF">
          <w:rPr>
            <w:noProof/>
            <w:webHidden/>
          </w:rPr>
        </w:r>
        <w:r w:rsidR="008A2EBF">
          <w:rPr>
            <w:noProof/>
            <w:webHidden/>
          </w:rPr>
          <w:fldChar w:fldCharType="separate"/>
        </w:r>
        <w:r w:rsidR="008A2EBF">
          <w:rPr>
            <w:noProof/>
            <w:webHidden/>
          </w:rPr>
          <w:t>10</w:t>
        </w:r>
        <w:r w:rsidR="008A2EBF">
          <w:rPr>
            <w:noProof/>
            <w:webHidden/>
          </w:rPr>
          <w:fldChar w:fldCharType="end"/>
        </w:r>
      </w:hyperlink>
    </w:p>
    <w:p w14:paraId="5A6B7086" w14:textId="7A763DBC"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78" w:history="1">
        <w:r w:rsidR="008A2EBF" w:rsidRPr="003238A5">
          <w:rPr>
            <w:rStyle w:val="Hyperlink"/>
            <w:noProof/>
          </w:rPr>
          <w:t>Figure 3:</w:t>
        </w:r>
        <w:r w:rsidR="008A2EBF">
          <w:rPr>
            <w:rFonts w:asciiTheme="minorHAnsi" w:hAnsiTheme="minorHAnsi"/>
            <w:noProof/>
            <w:kern w:val="2"/>
            <w:sz w:val="24"/>
            <w:szCs w:val="24"/>
            <w14:ligatures w14:val="standardContextual"/>
          </w:rPr>
          <w:tab/>
        </w:r>
        <w:r w:rsidR="008A2EBF" w:rsidRPr="003238A5">
          <w:rPr>
            <w:rStyle w:val="Hyperlink"/>
            <w:noProof/>
          </w:rPr>
          <w:t>Projections range from sensitivity analysis compared with a range based on historical deviation, 2022–50</w:t>
        </w:r>
        <w:r w:rsidR="008A2EBF">
          <w:rPr>
            <w:noProof/>
            <w:webHidden/>
          </w:rPr>
          <w:tab/>
        </w:r>
        <w:r w:rsidR="008A2EBF">
          <w:rPr>
            <w:noProof/>
            <w:webHidden/>
          </w:rPr>
          <w:fldChar w:fldCharType="begin"/>
        </w:r>
        <w:r w:rsidR="008A2EBF">
          <w:rPr>
            <w:noProof/>
            <w:webHidden/>
          </w:rPr>
          <w:instrText xml:space="preserve"> PAGEREF _Toc171609778 \h </w:instrText>
        </w:r>
        <w:r w:rsidR="008A2EBF">
          <w:rPr>
            <w:noProof/>
            <w:webHidden/>
          </w:rPr>
        </w:r>
        <w:r w:rsidR="008A2EBF">
          <w:rPr>
            <w:noProof/>
            <w:webHidden/>
          </w:rPr>
          <w:fldChar w:fldCharType="separate"/>
        </w:r>
        <w:r w:rsidR="008A2EBF">
          <w:rPr>
            <w:noProof/>
            <w:webHidden/>
          </w:rPr>
          <w:t>18</w:t>
        </w:r>
        <w:r w:rsidR="008A2EBF">
          <w:rPr>
            <w:noProof/>
            <w:webHidden/>
          </w:rPr>
          <w:fldChar w:fldCharType="end"/>
        </w:r>
      </w:hyperlink>
    </w:p>
    <w:p w14:paraId="66C8BBBD" w14:textId="53D02BD7"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79" w:history="1">
        <w:r w:rsidR="008A2EBF" w:rsidRPr="003238A5">
          <w:rPr>
            <w:rStyle w:val="Hyperlink"/>
            <w:noProof/>
          </w:rPr>
          <w:t>Figure 4:</w:t>
        </w:r>
        <w:r w:rsidR="008A2EBF">
          <w:rPr>
            <w:rFonts w:asciiTheme="minorHAnsi" w:hAnsiTheme="minorHAnsi"/>
            <w:noProof/>
            <w:kern w:val="2"/>
            <w:sz w:val="24"/>
            <w:szCs w:val="24"/>
            <w14:ligatures w14:val="standardContextual"/>
          </w:rPr>
          <w:tab/>
        </w:r>
        <w:r w:rsidR="008A2EBF" w:rsidRPr="003238A5">
          <w:rPr>
            <w:rStyle w:val="Hyperlink"/>
            <w:noProof/>
          </w:rPr>
          <w:t>Long-lived gas net emissions in interim ERP2 baseline for consultation, 2023–50</w:t>
        </w:r>
        <w:r w:rsidR="008A2EBF">
          <w:rPr>
            <w:noProof/>
            <w:webHidden/>
          </w:rPr>
          <w:tab/>
        </w:r>
        <w:r w:rsidR="008A2EBF">
          <w:rPr>
            <w:noProof/>
            <w:webHidden/>
          </w:rPr>
          <w:fldChar w:fldCharType="begin"/>
        </w:r>
        <w:r w:rsidR="008A2EBF">
          <w:rPr>
            <w:noProof/>
            <w:webHidden/>
          </w:rPr>
          <w:instrText xml:space="preserve"> PAGEREF _Toc171609779 \h </w:instrText>
        </w:r>
        <w:r w:rsidR="008A2EBF">
          <w:rPr>
            <w:noProof/>
            <w:webHidden/>
          </w:rPr>
        </w:r>
        <w:r w:rsidR="008A2EBF">
          <w:rPr>
            <w:noProof/>
            <w:webHidden/>
          </w:rPr>
          <w:fldChar w:fldCharType="separate"/>
        </w:r>
        <w:r w:rsidR="008A2EBF">
          <w:rPr>
            <w:noProof/>
            <w:webHidden/>
          </w:rPr>
          <w:t>19</w:t>
        </w:r>
        <w:r w:rsidR="008A2EBF">
          <w:rPr>
            <w:noProof/>
            <w:webHidden/>
          </w:rPr>
          <w:fldChar w:fldCharType="end"/>
        </w:r>
      </w:hyperlink>
    </w:p>
    <w:p w14:paraId="3DD7338D" w14:textId="64D7148B"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80" w:history="1">
        <w:r w:rsidR="008A2EBF" w:rsidRPr="003238A5">
          <w:rPr>
            <w:rStyle w:val="Hyperlink"/>
            <w:noProof/>
          </w:rPr>
          <w:t>Figure 5:</w:t>
        </w:r>
        <w:r w:rsidR="008A2EBF">
          <w:rPr>
            <w:rFonts w:asciiTheme="minorHAnsi" w:hAnsiTheme="minorHAnsi"/>
            <w:noProof/>
            <w:kern w:val="2"/>
            <w:sz w:val="24"/>
            <w:szCs w:val="24"/>
            <w14:ligatures w14:val="standardContextual"/>
          </w:rPr>
          <w:tab/>
        </w:r>
        <w:r w:rsidR="008A2EBF" w:rsidRPr="003238A5">
          <w:rPr>
            <w:rStyle w:val="Hyperlink"/>
            <w:noProof/>
          </w:rPr>
          <w:t>Biogenic methane emissions in interim ERP2 baseline for consultation, 2023–50</w:t>
        </w:r>
        <w:r w:rsidR="008A2EBF">
          <w:rPr>
            <w:noProof/>
            <w:webHidden/>
          </w:rPr>
          <w:tab/>
        </w:r>
        <w:r w:rsidR="008A2EBF">
          <w:rPr>
            <w:noProof/>
            <w:webHidden/>
          </w:rPr>
          <w:fldChar w:fldCharType="begin"/>
        </w:r>
        <w:r w:rsidR="008A2EBF">
          <w:rPr>
            <w:noProof/>
            <w:webHidden/>
          </w:rPr>
          <w:instrText xml:space="preserve"> PAGEREF _Toc171609780 \h </w:instrText>
        </w:r>
        <w:r w:rsidR="008A2EBF">
          <w:rPr>
            <w:noProof/>
            <w:webHidden/>
          </w:rPr>
        </w:r>
        <w:r w:rsidR="008A2EBF">
          <w:rPr>
            <w:noProof/>
            <w:webHidden/>
          </w:rPr>
          <w:fldChar w:fldCharType="separate"/>
        </w:r>
        <w:r w:rsidR="008A2EBF">
          <w:rPr>
            <w:noProof/>
            <w:webHidden/>
          </w:rPr>
          <w:t>20</w:t>
        </w:r>
        <w:r w:rsidR="008A2EBF">
          <w:rPr>
            <w:noProof/>
            <w:webHidden/>
          </w:rPr>
          <w:fldChar w:fldCharType="end"/>
        </w:r>
      </w:hyperlink>
    </w:p>
    <w:p w14:paraId="03E185AA" w14:textId="075019A5"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81" w:history="1">
        <w:r w:rsidR="008A2EBF" w:rsidRPr="003238A5">
          <w:rPr>
            <w:rStyle w:val="Hyperlink"/>
            <w:noProof/>
          </w:rPr>
          <w:t>Figure 6:</w:t>
        </w:r>
        <w:r w:rsidR="008A2EBF">
          <w:rPr>
            <w:rFonts w:asciiTheme="minorHAnsi" w:hAnsiTheme="minorHAnsi"/>
            <w:noProof/>
            <w:kern w:val="2"/>
            <w:sz w:val="24"/>
            <w:szCs w:val="24"/>
            <w14:ligatures w14:val="standardContextual"/>
          </w:rPr>
          <w:tab/>
        </w:r>
        <w:r w:rsidR="008A2EBF" w:rsidRPr="003238A5">
          <w:rPr>
            <w:rStyle w:val="Hyperlink"/>
            <w:noProof/>
          </w:rPr>
          <w:t>Interim baseline projections – gross and net emissions (using target accounting), 1990–2050</w:t>
        </w:r>
        <w:r w:rsidR="008A2EBF">
          <w:rPr>
            <w:noProof/>
            <w:webHidden/>
          </w:rPr>
          <w:tab/>
        </w:r>
        <w:r w:rsidR="008A2EBF">
          <w:rPr>
            <w:noProof/>
            <w:webHidden/>
          </w:rPr>
          <w:fldChar w:fldCharType="begin"/>
        </w:r>
        <w:r w:rsidR="008A2EBF">
          <w:rPr>
            <w:noProof/>
            <w:webHidden/>
          </w:rPr>
          <w:instrText xml:space="preserve"> PAGEREF _Toc171609781 \h </w:instrText>
        </w:r>
        <w:r w:rsidR="008A2EBF">
          <w:rPr>
            <w:noProof/>
            <w:webHidden/>
          </w:rPr>
        </w:r>
        <w:r w:rsidR="008A2EBF">
          <w:rPr>
            <w:noProof/>
            <w:webHidden/>
          </w:rPr>
          <w:fldChar w:fldCharType="separate"/>
        </w:r>
        <w:r w:rsidR="008A2EBF">
          <w:rPr>
            <w:noProof/>
            <w:webHidden/>
          </w:rPr>
          <w:t>21</w:t>
        </w:r>
        <w:r w:rsidR="008A2EBF">
          <w:rPr>
            <w:noProof/>
            <w:webHidden/>
          </w:rPr>
          <w:fldChar w:fldCharType="end"/>
        </w:r>
      </w:hyperlink>
    </w:p>
    <w:p w14:paraId="7DD16B46" w14:textId="6A553303"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82" w:history="1">
        <w:r w:rsidR="008A2EBF" w:rsidRPr="003238A5">
          <w:rPr>
            <w:rStyle w:val="Hyperlink"/>
            <w:noProof/>
          </w:rPr>
          <w:t>Figure 7:</w:t>
        </w:r>
        <w:r w:rsidR="008A2EBF">
          <w:rPr>
            <w:rFonts w:asciiTheme="minorHAnsi" w:hAnsiTheme="minorHAnsi"/>
            <w:noProof/>
            <w:kern w:val="2"/>
            <w:sz w:val="24"/>
            <w:szCs w:val="24"/>
            <w14:ligatures w14:val="standardContextual"/>
          </w:rPr>
          <w:tab/>
        </w:r>
        <w:r w:rsidR="008A2EBF" w:rsidRPr="003238A5">
          <w:rPr>
            <w:rStyle w:val="Hyperlink"/>
            <w:noProof/>
          </w:rPr>
          <w:t>Interim baseline emissions by sector, 1990–2050</w:t>
        </w:r>
        <w:r w:rsidR="008A2EBF">
          <w:rPr>
            <w:noProof/>
            <w:webHidden/>
          </w:rPr>
          <w:tab/>
        </w:r>
        <w:r w:rsidR="008A2EBF">
          <w:rPr>
            <w:noProof/>
            <w:webHidden/>
          </w:rPr>
          <w:fldChar w:fldCharType="begin"/>
        </w:r>
        <w:r w:rsidR="008A2EBF">
          <w:rPr>
            <w:noProof/>
            <w:webHidden/>
          </w:rPr>
          <w:instrText xml:space="preserve"> PAGEREF _Toc171609782 \h </w:instrText>
        </w:r>
        <w:r w:rsidR="008A2EBF">
          <w:rPr>
            <w:noProof/>
            <w:webHidden/>
          </w:rPr>
        </w:r>
        <w:r w:rsidR="008A2EBF">
          <w:rPr>
            <w:noProof/>
            <w:webHidden/>
          </w:rPr>
          <w:fldChar w:fldCharType="separate"/>
        </w:r>
        <w:r w:rsidR="008A2EBF">
          <w:rPr>
            <w:noProof/>
            <w:webHidden/>
          </w:rPr>
          <w:t>22</w:t>
        </w:r>
        <w:r w:rsidR="008A2EBF">
          <w:rPr>
            <w:noProof/>
            <w:webHidden/>
          </w:rPr>
          <w:fldChar w:fldCharType="end"/>
        </w:r>
      </w:hyperlink>
    </w:p>
    <w:p w14:paraId="660D5630" w14:textId="438CD157"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83" w:history="1">
        <w:r w:rsidR="008A2EBF" w:rsidRPr="003238A5">
          <w:rPr>
            <w:rStyle w:val="Hyperlink"/>
            <w:noProof/>
          </w:rPr>
          <w:t>Figure 8:</w:t>
        </w:r>
        <w:r w:rsidR="008A2EBF">
          <w:rPr>
            <w:rFonts w:asciiTheme="minorHAnsi" w:hAnsiTheme="minorHAnsi"/>
            <w:noProof/>
            <w:kern w:val="2"/>
            <w:sz w:val="24"/>
            <w:szCs w:val="24"/>
            <w14:ligatures w14:val="standardContextual"/>
          </w:rPr>
          <w:tab/>
        </w:r>
        <w:r w:rsidR="008A2EBF" w:rsidRPr="003238A5">
          <w:rPr>
            <w:rStyle w:val="Hyperlink"/>
            <w:noProof/>
          </w:rPr>
          <w:t>Historical and projected transport emissions by subsector, 1990–2050</w:t>
        </w:r>
        <w:r w:rsidR="008A2EBF">
          <w:rPr>
            <w:noProof/>
            <w:webHidden/>
          </w:rPr>
          <w:tab/>
        </w:r>
        <w:r w:rsidR="008A2EBF">
          <w:rPr>
            <w:noProof/>
            <w:webHidden/>
          </w:rPr>
          <w:fldChar w:fldCharType="begin"/>
        </w:r>
        <w:r w:rsidR="008A2EBF">
          <w:rPr>
            <w:noProof/>
            <w:webHidden/>
          </w:rPr>
          <w:instrText xml:space="preserve"> PAGEREF _Toc171609783 \h </w:instrText>
        </w:r>
        <w:r w:rsidR="008A2EBF">
          <w:rPr>
            <w:noProof/>
            <w:webHidden/>
          </w:rPr>
        </w:r>
        <w:r w:rsidR="008A2EBF">
          <w:rPr>
            <w:noProof/>
            <w:webHidden/>
          </w:rPr>
          <w:fldChar w:fldCharType="separate"/>
        </w:r>
        <w:r w:rsidR="008A2EBF">
          <w:rPr>
            <w:noProof/>
            <w:webHidden/>
          </w:rPr>
          <w:t>23</w:t>
        </w:r>
        <w:r w:rsidR="008A2EBF">
          <w:rPr>
            <w:noProof/>
            <w:webHidden/>
          </w:rPr>
          <w:fldChar w:fldCharType="end"/>
        </w:r>
      </w:hyperlink>
    </w:p>
    <w:p w14:paraId="28B04FB9" w14:textId="79682638"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84" w:history="1">
        <w:r w:rsidR="008A2EBF" w:rsidRPr="003238A5">
          <w:rPr>
            <w:rStyle w:val="Hyperlink"/>
            <w:noProof/>
          </w:rPr>
          <w:t>Figure 9:</w:t>
        </w:r>
        <w:r w:rsidR="008A2EBF">
          <w:rPr>
            <w:rFonts w:asciiTheme="minorHAnsi" w:hAnsiTheme="minorHAnsi"/>
            <w:noProof/>
            <w:kern w:val="2"/>
            <w:sz w:val="24"/>
            <w:szCs w:val="24"/>
            <w14:ligatures w14:val="standardContextual"/>
          </w:rPr>
          <w:tab/>
        </w:r>
        <w:r w:rsidR="008A2EBF" w:rsidRPr="003238A5">
          <w:rPr>
            <w:rStyle w:val="Hyperlink"/>
            <w:noProof/>
          </w:rPr>
          <w:t>Travel distance by vehicle type – all road vehicles, 2020–50</w:t>
        </w:r>
        <w:r w:rsidR="008A2EBF">
          <w:rPr>
            <w:noProof/>
            <w:webHidden/>
          </w:rPr>
          <w:tab/>
        </w:r>
        <w:r w:rsidR="008A2EBF">
          <w:rPr>
            <w:noProof/>
            <w:webHidden/>
          </w:rPr>
          <w:fldChar w:fldCharType="begin"/>
        </w:r>
        <w:r w:rsidR="008A2EBF">
          <w:rPr>
            <w:noProof/>
            <w:webHidden/>
          </w:rPr>
          <w:instrText xml:space="preserve"> PAGEREF _Toc171609784 \h </w:instrText>
        </w:r>
        <w:r w:rsidR="008A2EBF">
          <w:rPr>
            <w:noProof/>
            <w:webHidden/>
          </w:rPr>
        </w:r>
        <w:r w:rsidR="008A2EBF">
          <w:rPr>
            <w:noProof/>
            <w:webHidden/>
          </w:rPr>
          <w:fldChar w:fldCharType="separate"/>
        </w:r>
        <w:r w:rsidR="008A2EBF">
          <w:rPr>
            <w:noProof/>
            <w:webHidden/>
          </w:rPr>
          <w:t>24</w:t>
        </w:r>
        <w:r w:rsidR="008A2EBF">
          <w:rPr>
            <w:noProof/>
            <w:webHidden/>
          </w:rPr>
          <w:fldChar w:fldCharType="end"/>
        </w:r>
      </w:hyperlink>
    </w:p>
    <w:p w14:paraId="0EEF2F59" w14:textId="2479E0B5"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85" w:history="1">
        <w:r w:rsidR="008A2EBF" w:rsidRPr="003238A5">
          <w:rPr>
            <w:rStyle w:val="Hyperlink"/>
            <w:noProof/>
          </w:rPr>
          <w:t>Figure 10:</w:t>
        </w:r>
        <w:r w:rsidR="008A2EBF">
          <w:rPr>
            <w:rFonts w:asciiTheme="minorHAnsi" w:hAnsiTheme="minorHAnsi"/>
            <w:noProof/>
            <w:kern w:val="2"/>
            <w:sz w:val="24"/>
            <w:szCs w:val="24"/>
            <w14:ligatures w14:val="standardContextual"/>
          </w:rPr>
          <w:tab/>
        </w:r>
        <w:r w:rsidR="008A2EBF" w:rsidRPr="003238A5">
          <w:rPr>
            <w:rStyle w:val="Hyperlink"/>
            <w:noProof/>
          </w:rPr>
          <w:t>Historical and projected energy emissions by subsector, 1990–2050</w:t>
        </w:r>
        <w:r w:rsidR="008A2EBF">
          <w:rPr>
            <w:noProof/>
            <w:webHidden/>
          </w:rPr>
          <w:tab/>
        </w:r>
        <w:r w:rsidR="008A2EBF">
          <w:rPr>
            <w:noProof/>
            <w:webHidden/>
          </w:rPr>
          <w:fldChar w:fldCharType="begin"/>
        </w:r>
        <w:r w:rsidR="008A2EBF">
          <w:rPr>
            <w:noProof/>
            <w:webHidden/>
          </w:rPr>
          <w:instrText xml:space="preserve"> PAGEREF _Toc171609785 \h </w:instrText>
        </w:r>
        <w:r w:rsidR="008A2EBF">
          <w:rPr>
            <w:noProof/>
            <w:webHidden/>
          </w:rPr>
        </w:r>
        <w:r w:rsidR="008A2EBF">
          <w:rPr>
            <w:noProof/>
            <w:webHidden/>
          </w:rPr>
          <w:fldChar w:fldCharType="separate"/>
        </w:r>
        <w:r w:rsidR="008A2EBF">
          <w:rPr>
            <w:noProof/>
            <w:webHidden/>
          </w:rPr>
          <w:t>25</w:t>
        </w:r>
        <w:r w:rsidR="008A2EBF">
          <w:rPr>
            <w:noProof/>
            <w:webHidden/>
          </w:rPr>
          <w:fldChar w:fldCharType="end"/>
        </w:r>
      </w:hyperlink>
    </w:p>
    <w:p w14:paraId="08F81338" w14:textId="014FF10F"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86" w:history="1">
        <w:r w:rsidR="008A2EBF" w:rsidRPr="003238A5">
          <w:rPr>
            <w:rStyle w:val="Hyperlink"/>
            <w:noProof/>
          </w:rPr>
          <w:t>Figure 11:</w:t>
        </w:r>
        <w:r w:rsidR="008A2EBF">
          <w:rPr>
            <w:rFonts w:asciiTheme="minorHAnsi" w:hAnsiTheme="minorHAnsi"/>
            <w:noProof/>
            <w:kern w:val="2"/>
            <w:sz w:val="24"/>
            <w:szCs w:val="24"/>
            <w14:ligatures w14:val="standardContextual"/>
          </w:rPr>
          <w:tab/>
        </w:r>
        <w:r w:rsidR="008A2EBF" w:rsidRPr="003238A5">
          <w:rPr>
            <w:rStyle w:val="Hyperlink"/>
            <w:noProof/>
          </w:rPr>
          <w:t>Historical and projected manufacturing and construction emissions, 1990–2050</w:t>
        </w:r>
        <w:r w:rsidR="008A2EBF">
          <w:rPr>
            <w:noProof/>
            <w:webHidden/>
          </w:rPr>
          <w:tab/>
        </w:r>
        <w:r w:rsidR="008A2EBF">
          <w:rPr>
            <w:noProof/>
            <w:webHidden/>
          </w:rPr>
          <w:fldChar w:fldCharType="begin"/>
        </w:r>
        <w:r w:rsidR="008A2EBF">
          <w:rPr>
            <w:noProof/>
            <w:webHidden/>
          </w:rPr>
          <w:instrText xml:space="preserve"> PAGEREF _Toc171609786 \h </w:instrText>
        </w:r>
        <w:r w:rsidR="008A2EBF">
          <w:rPr>
            <w:noProof/>
            <w:webHidden/>
          </w:rPr>
        </w:r>
        <w:r w:rsidR="008A2EBF">
          <w:rPr>
            <w:noProof/>
            <w:webHidden/>
          </w:rPr>
          <w:fldChar w:fldCharType="separate"/>
        </w:r>
        <w:r w:rsidR="008A2EBF">
          <w:rPr>
            <w:noProof/>
            <w:webHidden/>
          </w:rPr>
          <w:t>26</w:t>
        </w:r>
        <w:r w:rsidR="008A2EBF">
          <w:rPr>
            <w:noProof/>
            <w:webHidden/>
          </w:rPr>
          <w:fldChar w:fldCharType="end"/>
        </w:r>
      </w:hyperlink>
    </w:p>
    <w:p w14:paraId="3006136D" w14:textId="68CB98BB"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87" w:history="1">
        <w:r w:rsidR="008A2EBF" w:rsidRPr="003238A5">
          <w:rPr>
            <w:rStyle w:val="Hyperlink"/>
            <w:noProof/>
          </w:rPr>
          <w:t>Figure 12:</w:t>
        </w:r>
        <w:r w:rsidR="008A2EBF">
          <w:rPr>
            <w:rFonts w:asciiTheme="minorHAnsi" w:hAnsiTheme="minorHAnsi"/>
            <w:noProof/>
            <w:kern w:val="2"/>
            <w:sz w:val="24"/>
            <w:szCs w:val="24"/>
            <w14:ligatures w14:val="standardContextual"/>
          </w:rPr>
          <w:tab/>
        </w:r>
        <w:r w:rsidR="008A2EBF" w:rsidRPr="003238A5">
          <w:rPr>
            <w:rStyle w:val="Hyperlink"/>
            <w:noProof/>
          </w:rPr>
          <w:t>Historical and ENZ interim projected agriculture emissions by gas, 1990–2050</w:t>
        </w:r>
        <w:r w:rsidR="008A2EBF">
          <w:rPr>
            <w:noProof/>
            <w:webHidden/>
          </w:rPr>
          <w:tab/>
        </w:r>
        <w:r w:rsidR="008A2EBF">
          <w:rPr>
            <w:noProof/>
            <w:webHidden/>
          </w:rPr>
          <w:fldChar w:fldCharType="begin"/>
        </w:r>
        <w:r w:rsidR="008A2EBF">
          <w:rPr>
            <w:noProof/>
            <w:webHidden/>
          </w:rPr>
          <w:instrText xml:space="preserve"> PAGEREF _Toc171609787 \h </w:instrText>
        </w:r>
        <w:r w:rsidR="008A2EBF">
          <w:rPr>
            <w:noProof/>
            <w:webHidden/>
          </w:rPr>
        </w:r>
        <w:r w:rsidR="008A2EBF">
          <w:rPr>
            <w:noProof/>
            <w:webHidden/>
          </w:rPr>
          <w:fldChar w:fldCharType="separate"/>
        </w:r>
        <w:r w:rsidR="008A2EBF">
          <w:rPr>
            <w:noProof/>
            <w:webHidden/>
          </w:rPr>
          <w:t>27</w:t>
        </w:r>
        <w:r w:rsidR="008A2EBF">
          <w:rPr>
            <w:noProof/>
            <w:webHidden/>
          </w:rPr>
          <w:fldChar w:fldCharType="end"/>
        </w:r>
      </w:hyperlink>
    </w:p>
    <w:p w14:paraId="74240C65" w14:textId="78F208BB"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88" w:history="1">
        <w:r w:rsidR="008A2EBF" w:rsidRPr="003238A5">
          <w:rPr>
            <w:rStyle w:val="Hyperlink"/>
            <w:noProof/>
          </w:rPr>
          <w:t>Figure 13:</w:t>
        </w:r>
        <w:r w:rsidR="008A2EBF">
          <w:rPr>
            <w:rFonts w:asciiTheme="minorHAnsi" w:hAnsiTheme="minorHAnsi"/>
            <w:noProof/>
            <w:kern w:val="2"/>
            <w:sz w:val="24"/>
            <w:szCs w:val="24"/>
            <w14:ligatures w14:val="standardContextual"/>
          </w:rPr>
          <w:tab/>
        </w:r>
        <w:r w:rsidR="008A2EBF" w:rsidRPr="003238A5">
          <w:rPr>
            <w:rStyle w:val="Hyperlink"/>
            <w:noProof/>
          </w:rPr>
          <w:t>Historical and ENZ interim projected agriculture emissions by source, 1990–2050</w:t>
        </w:r>
        <w:r w:rsidR="008A2EBF">
          <w:rPr>
            <w:noProof/>
            <w:webHidden/>
          </w:rPr>
          <w:tab/>
        </w:r>
        <w:r w:rsidR="008A2EBF">
          <w:rPr>
            <w:noProof/>
            <w:webHidden/>
          </w:rPr>
          <w:fldChar w:fldCharType="begin"/>
        </w:r>
        <w:r w:rsidR="008A2EBF">
          <w:rPr>
            <w:noProof/>
            <w:webHidden/>
          </w:rPr>
          <w:instrText xml:space="preserve"> PAGEREF _Toc171609788 \h </w:instrText>
        </w:r>
        <w:r w:rsidR="008A2EBF">
          <w:rPr>
            <w:noProof/>
            <w:webHidden/>
          </w:rPr>
        </w:r>
        <w:r w:rsidR="008A2EBF">
          <w:rPr>
            <w:noProof/>
            <w:webHidden/>
          </w:rPr>
          <w:fldChar w:fldCharType="separate"/>
        </w:r>
        <w:r w:rsidR="008A2EBF">
          <w:rPr>
            <w:noProof/>
            <w:webHidden/>
          </w:rPr>
          <w:t>27</w:t>
        </w:r>
        <w:r w:rsidR="008A2EBF">
          <w:rPr>
            <w:noProof/>
            <w:webHidden/>
          </w:rPr>
          <w:fldChar w:fldCharType="end"/>
        </w:r>
      </w:hyperlink>
    </w:p>
    <w:p w14:paraId="25FC69B1" w14:textId="606DDEA0"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89" w:history="1">
        <w:r w:rsidR="008A2EBF" w:rsidRPr="003238A5">
          <w:rPr>
            <w:rStyle w:val="Hyperlink"/>
            <w:noProof/>
          </w:rPr>
          <w:t>Figure 14:</w:t>
        </w:r>
        <w:r w:rsidR="008A2EBF">
          <w:rPr>
            <w:rFonts w:asciiTheme="minorHAnsi" w:hAnsiTheme="minorHAnsi"/>
            <w:noProof/>
            <w:kern w:val="2"/>
            <w:sz w:val="24"/>
            <w:szCs w:val="24"/>
            <w14:ligatures w14:val="standardContextual"/>
          </w:rPr>
          <w:tab/>
        </w:r>
        <w:r w:rsidR="008A2EBF" w:rsidRPr="003238A5">
          <w:rPr>
            <w:rStyle w:val="Hyperlink"/>
            <w:noProof/>
          </w:rPr>
          <w:t>Historical and ENZ interim projected stock numbers by stock type, 1990–2050</w:t>
        </w:r>
        <w:r w:rsidR="008A2EBF">
          <w:rPr>
            <w:noProof/>
            <w:webHidden/>
          </w:rPr>
          <w:tab/>
        </w:r>
        <w:r w:rsidR="008A2EBF">
          <w:rPr>
            <w:noProof/>
            <w:webHidden/>
          </w:rPr>
          <w:fldChar w:fldCharType="begin"/>
        </w:r>
        <w:r w:rsidR="008A2EBF">
          <w:rPr>
            <w:noProof/>
            <w:webHidden/>
          </w:rPr>
          <w:instrText xml:space="preserve"> PAGEREF _Toc171609789 \h </w:instrText>
        </w:r>
        <w:r w:rsidR="008A2EBF">
          <w:rPr>
            <w:noProof/>
            <w:webHidden/>
          </w:rPr>
        </w:r>
        <w:r w:rsidR="008A2EBF">
          <w:rPr>
            <w:noProof/>
            <w:webHidden/>
          </w:rPr>
          <w:fldChar w:fldCharType="separate"/>
        </w:r>
        <w:r w:rsidR="008A2EBF">
          <w:rPr>
            <w:noProof/>
            <w:webHidden/>
          </w:rPr>
          <w:t>28</w:t>
        </w:r>
        <w:r w:rsidR="008A2EBF">
          <w:rPr>
            <w:noProof/>
            <w:webHidden/>
          </w:rPr>
          <w:fldChar w:fldCharType="end"/>
        </w:r>
      </w:hyperlink>
    </w:p>
    <w:p w14:paraId="5F6F6D76" w14:textId="038B1BB2"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90" w:history="1">
        <w:r w:rsidR="008A2EBF" w:rsidRPr="003238A5">
          <w:rPr>
            <w:rStyle w:val="Hyperlink"/>
            <w:noProof/>
          </w:rPr>
          <w:t>Figure 15:</w:t>
        </w:r>
        <w:r w:rsidR="008A2EBF">
          <w:rPr>
            <w:rFonts w:asciiTheme="minorHAnsi" w:hAnsiTheme="minorHAnsi"/>
            <w:noProof/>
            <w:kern w:val="2"/>
            <w:sz w:val="24"/>
            <w:szCs w:val="24"/>
            <w14:ligatures w14:val="standardContextual"/>
          </w:rPr>
          <w:tab/>
        </w:r>
        <w:r w:rsidR="008A2EBF" w:rsidRPr="003238A5">
          <w:rPr>
            <w:rStyle w:val="Hyperlink"/>
            <w:noProof/>
          </w:rPr>
          <w:t>Historical and ENZ interim projected waste emissions, 1990–2050</w:t>
        </w:r>
        <w:r w:rsidR="008A2EBF">
          <w:rPr>
            <w:noProof/>
            <w:webHidden/>
          </w:rPr>
          <w:tab/>
        </w:r>
        <w:r w:rsidR="008A2EBF">
          <w:rPr>
            <w:noProof/>
            <w:webHidden/>
          </w:rPr>
          <w:fldChar w:fldCharType="begin"/>
        </w:r>
        <w:r w:rsidR="008A2EBF">
          <w:rPr>
            <w:noProof/>
            <w:webHidden/>
          </w:rPr>
          <w:instrText xml:space="preserve"> PAGEREF _Toc171609790 \h </w:instrText>
        </w:r>
        <w:r w:rsidR="008A2EBF">
          <w:rPr>
            <w:noProof/>
            <w:webHidden/>
          </w:rPr>
        </w:r>
        <w:r w:rsidR="008A2EBF">
          <w:rPr>
            <w:noProof/>
            <w:webHidden/>
          </w:rPr>
          <w:fldChar w:fldCharType="separate"/>
        </w:r>
        <w:r w:rsidR="008A2EBF">
          <w:rPr>
            <w:noProof/>
            <w:webHidden/>
          </w:rPr>
          <w:t>29</w:t>
        </w:r>
        <w:r w:rsidR="008A2EBF">
          <w:rPr>
            <w:noProof/>
            <w:webHidden/>
          </w:rPr>
          <w:fldChar w:fldCharType="end"/>
        </w:r>
      </w:hyperlink>
    </w:p>
    <w:p w14:paraId="50C7309E" w14:textId="5E0E5AE5"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91" w:history="1">
        <w:r w:rsidR="008A2EBF" w:rsidRPr="003238A5">
          <w:rPr>
            <w:rStyle w:val="Hyperlink"/>
            <w:noProof/>
          </w:rPr>
          <w:t>Figure 16:</w:t>
        </w:r>
        <w:r w:rsidR="008A2EBF">
          <w:rPr>
            <w:rFonts w:asciiTheme="minorHAnsi" w:hAnsiTheme="minorHAnsi"/>
            <w:noProof/>
            <w:kern w:val="2"/>
            <w:sz w:val="24"/>
            <w:szCs w:val="24"/>
            <w14:ligatures w14:val="standardContextual"/>
          </w:rPr>
          <w:tab/>
        </w:r>
        <w:r w:rsidR="008A2EBF" w:rsidRPr="003238A5">
          <w:rPr>
            <w:rStyle w:val="Hyperlink"/>
            <w:noProof/>
          </w:rPr>
          <w:t>Historical and ENZ interim projected waste tonnages by destination of waste, 1990–2050</w:t>
        </w:r>
        <w:r w:rsidR="008A2EBF">
          <w:rPr>
            <w:noProof/>
            <w:webHidden/>
          </w:rPr>
          <w:tab/>
        </w:r>
        <w:r w:rsidR="008A2EBF">
          <w:rPr>
            <w:noProof/>
            <w:webHidden/>
          </w:rPr>
          <w:fldChar w:fldCharType="begin"/>
        </w:r>
        <w:r w:rsidR="008A2EBF">
          <w:rPr>
            <w:noProof/>
            <w:webHidden/>
          </w:rPr>
          <w:instrText xml:space="preserve"> PAGEREF _Toc171609791 \h </w:instrText>
        </w:r>
        <w:r w:rsidR="008A2EBF">
          <w:rPr>
            <w:noProof/>
            <w:webHidden/>
          </w:rPr>
        </w:r>
        <w:r w:rsidR="008A2EBF">
          <w:rPr>
            <w:noProof/>
            <w:webHidden/>
          </w:rPr>
          <w:fldChar w:fldCharType="separate"/>
        </w:r>
        <w:r w:rsidR="008A2EBF">
          <w:rPr>
            <w:noProof/>
            <w:webHidden/>
          </w:rPr>
          <w:t>29</w:t>
        </w:r>
        <w:r w:rsidR="008A2EBF">
          <w:rPr>
            <w:noProof/>
            <w:webHidden/>
          </w:rPr>
          <w:fldChar w:fldCharType="end"/>
        </w:r>
      </w:hyperlink>
    </w:p>
    <w:p w14:paraId="04A0F4B2" w14:textId="48E620B8"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92" w:history="1">
        <w:r w:rsidR="008A2EBF" w:rsidRPr="003238A5">
          <w:rPr>
            <w:rStyle w:val="Hyperlink"/>
            <w:noProof/>
          </w:rPr>
          <w:t>Figure 17:</w:t>
        </w:r>
        <w:r w:rsidR="008A2EBF">
          <w:rPr>
            <w:rFonts w:asciiTheme="minorHAnsi" w:hAnsiTheme="minorHAnsi"/>
            <w:noProof/>
            <w:kern w:val="2"/>
            <w:sz w:val="24"/>
            <w:szCs w:val="24"/>
            <w14:ligatures w14:val="standardContextual"/>
          </w:rPr>
          <w:tab/>
        </w:r>
        <w:r w:rsidR="008A2EBF" w:rsidRPr="003238A5">
          <w:rPr>
            <w:rStyle w:val="Hyperlink"/>
            <w:noProof/>
          </w:rPr>
          <w:t>Historical and projected forestry removals, 1990–2050</w:t>
        </w:r>
        <w:r w:rsidR="008A2EBF">
          <w:rPr>
            <w:noProof/>
            <w:webHidden/>
          </w:rPr>
          <w:tab/>
        </w:r>
        <w:r w:rsidR="008A2EBF">
          <w:rPr>
            <w:noProof/>
            <w:webHidden/>
          </w:rPr>
          <w:fldChar w:fldCharType="begin"/>
        </w:r>
        <w:r w:rsidR="008A2EBF">
          <w:rPr>
            <w:noProof/>
            <w:webHidden/>
          </w:rPr>
          <w:instrText xml:space="preserve"> PAGEREF _Toc171609792 \h </w:instrText>
        </w:r>
        <w:r w:rsidR="008A2EBF">
          <w:rPr>
            <w:noProof/>
            <w:webHidden/>
          </w:rPr>
        </w:r>
        <w:r w:rsidR="008A2EBF">
          <w:rPr>
            <w:noProof/>
            <w:webHidden/>
          </w:rPr>
          <w:fldChar w:fldCharType="separate"/>
        </w:r>
        <w:r w:rsidR="008A2EBF">
          <w:rPr>
            <w:noProof/>
            <w:webHidden/>
          </w:rPr>
          <w:t>30</w:t>
        </w:r>
        <w:r w:rsidR="008A2EBF">
          <w:rPr>
            <w:noProof/>
            <w:webHidden/>
          </w:rPr>
          <w:fldChar w:fldCharType="end"/>
        </w:r>
      </w:hyperlink>
    </w:p>
    <w:p w14:paraId="2DD7F53B" w14:textId="48C13B0C"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93" w:history="1">
        <w:r w:rsidR="008A2EBF" w:rsidRPr="003238A5">
          <w:rPr>
            <w:rStyle w:val="Hyperlink"/>
            <w:noProof/>
          </w:rPr>
          <w:t>Figure 18:</w:t>
        </w:r>
        <w:r w:rsidR="008A2EBF">
          <w:rPr>
            <w:rFonts w:asciiTheme="minorHAnsi" w:hAnsiTheme="minorHAnsi"/>
            <w:noProof/>
            <w:kern w:val="2"/>
            <w:sz w:val="24"/>
            <w:szCs w:val="24"/>
            <w14:ligatures w14:val="standardContextual"/>
          </w:rPr>
          <w:tab/>
        </w:r>
        <w:r w:rsidR="008A2EBF" w:rsidRPr="003238A5">
          <w:rPr>
            <w:rStyle w:val="Hyperlink"/>
            <w:noProof/>
          </w:rPr>
          <w:t>Historical and projected land area in forestry and sheep and beef farms, 1990–2050</w:t>
        </w:r>
        <w:r w:rsidR="008A2EBF">
          <w:rPr>
            <w:noProof/>
            <w:webHidden/>
          </w:rPr>
          <w:tab/>
        </w:r>
        <w:r w:rsidR="008A2EBF">
          <w:rPr>
            <w:noProof/>
            <w:webHidden/>
          </w:rPr>
          <w:fldChar w:fldCharType="begin"/>
        </w:r>
        <w:r w:rsidR="008A2EBF">
          <w:rPr>
            <w:noProof/>
            <w:webHidden/>
          </w:rPr>
          <w:instrText xml:space="preserve"> PAGEREF _Toc171609793 \h </w:instrText>
        </w:r>
        <w:r w:rsidR="008A2EBF">
          <w:rPr>
            <w:noProof/>
            <w:webHidden/>
          </w:rPr>
        </w:r>
        <w:r w:rsidR="008A2EBF">
          <w:rPr>
            <w:noProof/>
            <w:webHidden/>
          </w:rPr>
          <w:fldChar w:fldCharType="separate"/>
        </w:r>
        <w:r w:rsidR="008A2EBF">
          <w:rPr>
            <w:noProof/>
            <w:webHidden/>
          </w:rPr>
          <w:t>30</w:t>
        </w:r>
        <w:r w:rsidR="008A2EBF">
          <w:rPr>
            <w:noProof/>
            <w:webHidden/>
          </w:rPr>
          <w:fldChar w:fldCharType="end"/>
        </w:r>
      </w:hyperlink>
    </w:p>
    <w:p w14:paraId="50E7A47C" w14:textId="6677647D"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94" w:history="1">
        <w:r w:rsidR="008A2EBF" w:rsidRPr="003238A5">
          <w:rPr>
            <w:rStyle w:val="Hyperlink"/>
            <w:noProof/>
          </w:rPr>
          <w:t>Figure 19:</w:t>
        </w:r>
        <w:r w:rsidR="008A2EBF">
          <w:rPr>
            <w:rFonts w:asciiTheme="minorHAnsi" w:hAnsiTheme="minorHAnsi"/>
            <w:noProof/>
            <w:kern w:val="2"/>
            <w:sz w:val="24"/>
            <w:szCs w:val="24"/>
            <w14:ligatures w14:val="standardContextual"/>
          </w:rPr>
          <w:tab/>
        </w:r>
        <w:r w:rsidR="008A2EBF" w:rsidRPr="003238A5">
          <w:rPr>
            <w:rStyle w:val="Hyperlink"/>
            <w:noProof/>
          </w:rPr>
          <w:t>Historical and projected afforestation rates for exotic (high, medium, low) and native forests, 1990–2050</w:t>
        </w:r>
        <w:r w:rsidR="008A2EBF">
          <w:rPr>
            <w:noProof/>
            <w:webHidden/>
          </w:rPr>
          <w:tab/>
        </w:r>
        <w:r w:rsidR="008A2EBF">
          <w:rPr>
            <w:noProof/>
            <w:webHidden/>
          </w:rPr>
          <w:fldChar w:fldCharType="begin"/>
        </w:r>
        <w:r w:rsidR="008A2EBF">
          <w:rPr>
            <w:noProof/>
            <w:webHidden/>
          </w:rPr>
          <w:instrText xml:space="preserve"> PAGEREF _Toc171609794 \h </w:instrText>
        </w:r>
        <w:r w:rsidR="008A2EBF">
          <w:rPr>
            <w:noProof/>
            <w:webHidden/>
          </w:rPr>
        </w:r>
        <w:r w:rsidR="008A2EBF">
          <w:rPr>
            <w:noProof/>
            <w:webHidden/>
          </w:rPr>
          <w:fldChar w:fldCharType="separate"/>
        </w:r>
        <w:r w:rsidR="008A2EBF">
          <w:rPr>
            <w:noProof/>
            <w:webHidden/>
          </w:rPr>
          <w:t>31</w:t>
        </w:r>
        <w:r w:rsidR="008A2EBF">
          <w:rPr>
            <w:noProof/>
            <w:webHidden/>
          </w:rPr>
          <w:fldChar w:fldCharType="end"/>
        </w:r>
      </w:hyperlink>
    </w:p>
    <w:p w14:paraId="619E10E5" w14:textId="4D9466C9"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95" w:history="1">
        <w:r w:rsidR="008A2EBF" w:rsidRPr="003238A5">
          <w:rPr>
            <w:rStyle w:val="Hyperlink"/>
            <w:noProof/>
          </w:rPr>
          <w:t>Figure 20:</w:t>
        </w:r>
        <w:r w:rsidR="008A2EBF">
          <w:rPr>
            <w:rFonts w:asciiTheme="minorHAnsi" w:hAnsiTheme="minorHAnsi"/>
            <w:noProof/>
            <w:kern w:val="2"/>
            <w:sz w:val="24"/>
            <w:szCs w:val="24"/>
            <w14:ligatures w14:val="standardContextual"/>
          </w:rPr>
          <w:tab/>
        </w:r>
        <w:r w:rsidR="008A2EBF" w:rsidRPr="003238A5">
          <w:rPr>
            <w:rStyle w:val="Hyperlink"/>
            <w:noProof/>
          </w:rPr>
          <w:t>Expected impact of ERP2 aligned pathway on household consumption, by household income and ethnicity, 2050</w:t>
        </w:r>
        <w:r w:rsidR="008A2EBF">
          <w:rPr>
            <w:noProof/>
            <w:webHidden/>
          </w:rPr>
          <w:tab/>
        </w:r>
        <w:r w:rsidR="008A2EBF">
          <w:rPr>
            <w:noProof/>
            <w:webHidden/>
          </w:rPr>
          <w:fldChar w:fldCharType="begin"/>
        </w:r>
        <w:r w:rsidR="008A2EBF">
          <w:rPr>
            <w:noProof/>
            <w:webHidden/>
          </w:rPr>
          <w:instrText xml:space="preserve"> PAGEREF _Toc171609795 \h </w:instrText>
        </w:r>
        <w:r w:rsidR="008A2EBF">
          <w:rPr>
            <w:noProof/>
            <w:webHidden/>
          </w:rPr>
        </w:r>
        <w:r w:rsidR="008A2EBF">
          <w:rPr>
            <w:noProof/>
            <w:webHidden/>
          </w:rPr>
          <w:fldChar w:fldCharType="separate"/>
        </w:r>
        <w:r w:rsidR="008A2EBF">
          <w:rPr>
            <w:noProof/>
            <w:webHidden/>
          </w:rPr>
          <w:t>37</w:t>
        </w:r>
        <w:r w:rsidR="008A2EBF">
          <w:rPr>
            <w:noProof/>
            <w:webHidden/>
          </w:rPr>
          <w:fldChar w:fldCharType="end"/>
        </w:r>
      </w:hyperlink>
    </w:p>
    <w:p w14:paraId="07FB17F5" w14:textId="5458C7D7"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96" w:history="1">
        <w:r w:rsidR="008A2EBF" w:rsidRPr="003238A5">
          <w:rPr>
            <w:rStyle w:val="Hyperlink"/>
            <w:noProof/>
          </w:rPr>
          <w:t>Figure 21:</w:t>
        </w:r>
        <w:r w:rsidR="008A2EBF">
          <w:rPr>
            <w:rFonts w:asciiTheme="minorHAnsi" w:hAnsiTheme="minorHAnsi"/>
            <w:noProof/>
            <w:kern w:val="2"/>
            <w:sz w:val="24"/>
            <w:szCs w:val="24"/>
            <w14:ligatures w14:val="standardContextual"/>
          </w:rPr>
          <w:tab/>
        </w:r>
        <w:r w:rsidR="008A2EBF" w:rsidRPr="003238A5">
          <w:rPr>
            <w:rStyle w:val="Hyperlink"/>
            <w:noProof/>
          </w:rPr>
          <w:t>Expected impact of mitigation policies on output, by sector, 2050</w:t>
        </w:r>
        <w:r w:rsidR="008A2EBF">
          <w:rPr>
            <w:noProof/>
            <w:webHidden/>
          </w:rPr>
          <w:tab/>
        </w:r>
        <w:r w:rsidR="008A2EBF">
          <w:rPr>
            <w:noProof/>
            <w:webHidden/>
          </w:rPr>
          <w:fldChar w:fldCharType="begin"/>
        </w:r>
        <w:r w:rsidR="008A2EBF">
          <w:rPr>
            <w:noProof/>
            <w:webHidden/>
          </w:rPr>
          <w:instrText xml:space="preserve"> PAGEREF _Toc171609796 \h </w:instrText>
        </w:r>
        <w:r w:rsidR="008A2EBF">
          <w:rPr>
            <w:noProof/>
            <w:webHidden/>
          </w:rPr>
        </w:r>
        <w:r w:rsidR="008A2EBF">
          <w:rPr>
            <w:noProof/>
            <w:webHidden/>
          </w:rPr>
          <w:fldChar w:fldCharType="separate"/>
        </w:r>
        <w:r w:rsidR="008A2EBF">
          <w:rPr>
            <w:noProof/>
            <w:webHidden/>
          </w:rPr>
          <w:t>38</w:t>
        </w:r>
        <w:r w:rsidR="008A2EBF">
          <w:rPr>
            <w:noProof/>
            <w:webHidden/>
          </w:rPr>
          <w:fldChar w:fldCharType="end"/>
        </w:r>
      </w:hyperlink>
    </w:p>
    <w:p w14:paraId="46D2C1A9" w14:textId="1A06F929" w:rsidR="008A2EBF" w:rsidRDefault="00C52D07">
      <w:pPr>
        <w:pStyle w:val="TableofFigures"/>
        <w:tabs>
          <w:tab w:val="right" w:pos="8495"/>
        </w:tabs>
        <w:rPr>
          <w:rFonts w:asciiTheme="minorHAnsi" w:hAnsiTheme="minorHAnsi"/>
          <w:noProof/>
          <w:kern w:val="2"/>
          <w:sz w:val="24"/>
          <w:szCs w:val="24"/>
          <w14:ligatures w14:val="standardContextual"/>
        </w:rPr>
      </w:pPr>
      <w:hyperlink w:anchor="_Toc171609797" w:history="1">
        <w:r w:rsidR="008A2EBF" w:rsidRPr="003238A5">
          <w:rPr>
            <w:rStyle w:val="Hyperlink"/>
            <w:noProof/>
          </w:rPr>
          <w:t>Figure 22:</w:t>
        </w:r>
        <w:r w:rsidR="008A2EBF">
          <w:rPr>
            <w:rFonts w:asciiTheme="minorHAnsi" w:hAnsiTheme="minorHAnsi"/>
            <w:noProof/>
            <w:kern w:val="2"/>
            <w:sz w:val="24"/>
            <w:szCs w:val="24"/>
            <w14:ligatures w14:val="standardContextual"/>
          </w:rPr>
          <w:tab/>
        </w:r>
        <w:r w:rsidR="008A2EBF" w:rsidRPr="003238A5">
          <w:rPr>
            <w:rStyle w:val="Hyperlink"/>
            <w:noProof/>
          </w:rPr>
          <w:t>Expected impact of mitigation policies on GDP, by region, 2050</w:t>
        </w:r>
        <w:r w:rsidR="008A2EBF">
          <w:rPr>
            <w:noProof/>
            <w:webHidden/>
          </w:rPr>
          <w:tab/>
        </w:r>
        <w:r w:rsidR="008A2EBF">
          <w:rPr>
            <w:noProof/>
            <w:webHidden/>
          </w:rPr>
          <w:fldChar w:fldCharType="begin"/>
        </w:r>
        <w:r w:rsidR="008A2EBF">
          <w:rPr>
            <w:noProof/>
            <w:webHidden/>
          </w:rPr>
          <w:instrText xml:space="preserve"> PAGEREF _Toc171609797 \h </w:instrText>
        </w:r>
        <w:r w:rsidR="008A2EBF">
          <w:rPr>
            <w:noProof/>
            <w:webHidden/>
          </w:rPr>
        </w:r>
        <w:r w:rsidR="008A2EBF">
          <w:rPr>
            <w:noProof/>
            <w:webHidden/>
          </w:rPr>
          <w:fldChar w:fldCharType="separate"/>
        </w:r>
        <w:r w:rsidR="008A2EBF">
          <w:rPr>
            <w:noProof/>
            <w:webHidden/>
          </w:rPr>
          <w:t>39</w:t>
        </w:r>
        <w:r w:rsidR="008A2EBF">
          <w:rPr>
            <w:noProof/>
            <w:webHidden/>
          </w:rPr>
          <w:fldChar w:fldCharType="end"/>
        </w:r>
      </w:hyperlink>
    </w:p>
    <w:p w14:paraId="6CFA3D36" w14:textId="1E5C37F4" w:rsidR="00205533" w:rsidRPr="00B87CC5" w:rsidRDefault="0067188D" w:rsidP="00205533">
      <w:r w:rsidRPr="00B87CC5">
        <w:fldChar w:fldCharType="end"/>
      </w:r>
    </w:p>
    <w:p w14:paraId="64D3F4B1" w14:textId="77777777" w:rsidR="00205533" w:rsidRPr="00B87CC5" w:rsidRDefault="00205533" w:rsidP="00205533">
      <w:pPr>
        <w:pStyle w:val="BodyText"/>
      </w:pPr>
      <w:r w:rsidRPr="00B87CC5">
        <w:br w:type="page"/>
      </w:r>
    </w:p>
    <w:p w14:paraId="47A98454" w14:textId="570B3A99" w:rsidR="00CC7CA3" w:rsidRPr="00B87CC5" w:rsidRDefault="00CC7CA3" w:rsidP="00205533">
      <w:pPr>
        <w:pStyle w:val="Heading1"/>
      </w:pPr>
      <w:bookmarkStart w:id="1" w:name="_Toc171609738"/>
      <w:r w:rsidRPr="00B87CC5">
        <w:lastRenderedPageBreak/>
        <w:t>Introduction</w:t>
      </w:r>
      <w:bookmarkEnd w:id="1"/>
    </w:p>
    <w:p w14:paraId="0986113A" w14:textId="619BDD37" w:rsidR="00473CAB" w:rsidRPr="00B87CC5" w:rsidRDefault="00EF11E6" w:rsidP="00504923">
      <w:pPr>
        <w:pStyle w:val="BodyText"/>
      </w:pPr>
      <w:r w:rsidRPr="00B87CC5">
        <w:t xml:space="preserve">This </w:t>
      </w:r>
      <w:r w:rsidR="00A30906" w:rsidRPr="00B87CC5">
        <w:t>t</w:t>
      </w:r>
      <w:r w:rsidR="002B4A11" w:rsidRPr="00B87CC5">
        <w:t xml:space="preserve">echnical </w:t>
      </w:r>
      <w:r w:rsidR="00A30906" w:rsidRPr="00B87CC5">
        <w:t>a</w:t>
      </w:r>
      <w:r w:rsidR="002B4A11" w:rsidRPr="00B87CC5">
        <w:t xml:space="preserve">nnex describes the </w:t>
      </w:r>
      <w:r w:rsidR="00CD7F9A" w:rsidRPr="00B87CC5">
        <w:t xml:space="preserve">modelling used to provide </w:t>
      </w:r>
      <w:r w:rsidR="006B6A2E" w:rsidRPr="00B87CC5">
        <w:t>emission</w:t>
      </w:r>
      <w:r w:rsidR="00A30906" w:rsidRPr="00B87CC5">
        <w:t>s</w:t>
      </w:r>
      <w:r w:rsidR="006B6A2E" w:rsidRPr="00B87CC5">
        <w:t xml:space="preserve"> projections for </w:t>
      </w:r>
      <w:r w:rsidR="005E672E" w:rsidRPr="00B87CC5">
        <w:t xml:space="preserve">the </w:t>
      </w:r>
      <w:r w:rsidR="00A30906" w:rsidRPr="00B87CC5">
        <w:t>second e</w:t>
      </w:r>
      <w:r w:rsidR="005E672E" w:rsidRPr="00B87CC5">
        <w:t>mission</w:t>
      </w:r>
      <w:r w:rsidR="00A30906" w:rsidRPr="00B87CC5">
        <w:t>s</w:t>
      </w:r>
      <w:r w:rsidR="005E672E" w:rsidRPr="00B87CC5">
        <w:t xml:space="preserve"> </w:t>
      </w:r>
      <w:r w:rsidR="00A30906" w:rsidRPr="00B87CC5">
        <w:t>r</w:t>
      </w:r>
      <w:r w:rsidR="005E672E" w:rsidRPr="00B87CC5">
        <w:t xml:space="preserve">eduction </w:t>
      </w:r>
      <w:r w:rsidR="00A30906" w:rsidRPr="00B87CC5">
        <w:t>p</w:t>
      </w:r>
      <w:r w:rsidR="005E672E" w:rsidRPr="00B87CC5">
        <w:t xml:space="preserve">lan (ERP2) consultation. </w:t>
      </w:r>
      <w:r w:rsidR="000E6A28" w:rsidRPr="00B87CC5">
        <w:t>Th</w:t>
      </w:r>
      <w:r w:rsidR="00F1079A" w:rsidRPr="00B87CC5">
        <w:t xml:space="preserve">e </w:t>
      </w:r>
      <w:r w:rsidR="001278D4" w:rsidRPr="00B87CC5">
        <w:t xml:space="preserve">focus is on </w:t>
      </w:r>
      <w:r w:rsidR="004E781B" w:rsidRPr="00B87CC5">
        <w:t xml:space="preserve">providing </w:t>
      </w:r>
      <w:r w:rsidR="004C484A" w:rsidRPr="00B87CC5">
        <w:t>an interim emissions baseline</w:t>
      </w:r>
      <w:r w:rsidR="00741A1F" w:rsidRPr="00B87CC5">
        <w:t xml:space="preserve"> that represents expected emissions in the </w:t>
      </w:r>
      <w:r w:rsidR="00E12B7D" w:rsidRPr="00B87CC5">
        <w:t>abs</w:t>
      </w:r>
      <w:r w:rsidR="007F61AF" w:rsidRPr="00B87CC5">
        <w:t xml:space="preserve">ence of </w:t>
      </w:r>
      <w:r w:rsidR="00D87F88" w:rsidRPr="00B87CC5">
        <w:t xml:space="preserve">any </w:t>
      </w:r>
      <w:r w:rsidR="007F61AF" w:rsidRPr="00B87CC5">
        <w:t>new policies</w:t>
      </w:r>
      <w:r w:rsidR="007051C2" w:rsidRPr="00B87CC5">
        <w:t xml:space="preserve">. </w:t>
      </w:r>
      <w:r w:rsidR="00E947FD" w:rsidRPr="00B87CC5">
        <w:t>In</w:t>
      </w:r>
      <w:r w:rsidR="00504923" w:rsidRPr="00B87CC5">
        <w:t> </w:t>
      </w:r>
      <w:r w:rsidR="00E947FD" w:rsidRPr="00B87CC5">
        <w:t xml:space="preserve">addition, some </w:t>
      </w:r>
      <w:r w:rsidR="007727C1" w:rsidRPr="00B87CC5">
        <w:t xml:space="preserve">provisional estimates </w:t>
      </w:r>
      <w:r w:rsidR="00E947FD" w:rsidRPr="00B87CC5">
        <w:t xml:space="preserve">have been made </w:t>
      </w:r>
      <w:r w:rsidR="007727C1" w:rsidRPr="00B87CC5">
        <w:t xml:space="preserve">of the </w:t>
      </w:r>
      <w:r w:rsidR="001417EA" w:rsidRPr="00B87CC5">
        <w:t xml:space="preserve">expected effects of </w:t>
      </w:r>
      <w:r w:rsidR="00D87F88" w:rsidRPr="00B87CC5">
        <w:t xml:space="preserve">proposed </w:t>
      </w:r>
      <w:r w:rsidR="001417EA" w:rsidRPr="00B87CC5">
        <w:t xml:space="preserve">new policies. </w:t>
      </w:r>
    </w:p>
    <w:p w14:paraId="26AADBE1" w14:textId="78C96860" w:rsidR="008B2BB0" w:rsidRPr="00B87CC5" w:rsidRDefault="001A484E" w:rsidP="002E0B33">
      <w:pPr>
        <w:pStyle w:val="BodyText"/>
      </w:pPr>
      <w:r w:rsidRPr="00B87CC5">
        <w:t xml:space="preserve">The </w:t>
      </w:r>
      <w:r w:rsidR="00375ABC" w:rsidRPr="00B87CC5">
        <w:t xml:space="preserve">interim </w:t>
      </w:r>
      <w:r w:rsidR="00CB3CB0" w:rsidRPr="00B87CC5">
        <w:t xml:space="preserve">emissions </w:t>
      </w:r>
      <w:r w:rsidRPr="00B87CC5">
        <w:t xml:space="preserve">baseline </w:t>
      </w:r>
      <w:r w:rsidR="00AB794F" w:rsidRPr="00B87CC5">
        <w:t xml:space="preserve">uses </w:t>
      </w:r>
      <w:r w:rsidR="00717BB4" w:rsidRPr="00B87CC5">
        <w:t xml:space="preserve">data and assumptions </w:t>
      </w:r>
      <w:r w:rsidR="00AB794F" w:rsidRPr="00B87CC5">
        <w:t xml:space="preserve">that have been updated since the </w:t>
      </w:r>
      <w:r w:rsidR="00CA43D6" w:rsidRPr="00B87CC5">
        <w:t>official emission</w:t>
      </w:r>
      <w:r w:rsidR="00A30906" w:rsidRPr="00B87CC5">
        <w:t>s</w:t>
      </w:r>
      <w:r w:rsidR="00CA43D6" w:rsidRPr="00B87CC5">
        <w:t xml:space="preserve"> projections were released in late 2023. </w:t>
      </w:r>
      <w:r w:rsidR="006C4F20" w:rsidRPr="00B87CC5">
        <w:t xml:space="preserve">It is also </w:t>
      </w:r>
      <w:r w:rsidR="00DA67CF" w:rsidRPr="00B87CC5">
        <w:t>based on</w:t>
      </w:r>
      <w:r w:rsidR="00600FA0" w:rsidRPr="00B87CC5">
        <w:t xml:space="preserve"> a different </w:t>
      </w:r>
      <w:r w:rsidR="00C62EA7" w:rsidRPr="00B87CC5">
        <w:t xml:space="preserve">model </w:t>
      </w:r>
      <w:r w:rsidR="008833C1" w:rsidRPr="00B87CC5">
        <w:t>from th</w:t>
      </w:r>
      <w:r w:rsidR="00864116" w:rsidRPr="00B87CC5">
        <w:t>e model</w:t>
      </w:r>
      <w:r w:rsidR="00536557" w:rsidRPr="00B87CC5">
        <w:t xml:space="preserve">(s) </w:t>
      </w:r>
      <w:r w:rsidR="008833C1" w:rsidRPr="00B87CC5">
        <w:t xml:space="preserve">used </w:t>
      </w:r>
      <w:r w:rsidR="00536557" w:rsidRPr="00B87CC5">
        <w:t xml:space="preserve">for the 2023 </w:t>
      </w:r>
      <w:r w:rsidR="001F2890" w:rsidRPr="00B87CC5">
        <w:t>projections.</w:t>
      </w:r>
      <w:r w:rsidR="00610866" w:rsidRPr="00B87CC5">
        <w:t xml:space="preserve"> </w:t>
      </w:r>
    </w:p>
    <w:p w14:paraId="20DC11B4" w14:textId="17FEF1D5" w:rsidR="00105797" w:rsidRPr="00B87CC5" w:rsidRDefault="0093167C" w:rsidP="00504923">
      <w:pPr>
        <w:pStyle w:val="BodyText"/>
      </w:pPr>
      <w:r w:rsidRPr="00B87CC5">
        <w:t xml:space="preserve">Alongside the emissions projection modelling, some </w:t>
      </w:r>
      <w:r w:rsidR="002B3BC6" w:rsidRPr="00B87CC5">
        <w:t xml:space="preserve">provisional </w:t>
      </w:r>
      <w:r w:rsidRPr="00B87CC5">
        <w:t xml:space="preserve">analysis </w:t>
      </w:r>
      <w:r w:rsidR="00A30906" w:rsidRPr="00B87CC5">
        <w:t>examined</w:t>
      </w:r>
      <w:r w:rsidR="00E529CC" w:rsidRPr="00B87CC5">
        <w:t xml:space="preserve"> the potential </w:t>
      </w:r>
      <w:r w:rsidR="00C93B0B" w:rsidRPr="00B87CC5">
        <w:t xml:space="preserve">wider economic </w:t>
      </w:r>
      <w:r w:rsidR="00E529CC" w:rsidRPr="00B87CC5">
        <w:t xml:space="preserve">impacts </w:t>
      </w:r>
      <w:r w:rsidR="00C93B0B" w:rsidRPr="00B87CC5">
        <w:t xml:space="preserve">of different </w:t>
      </w:r>
      <w:r w:rsidR="00EF12F7" w:rsidRPr="00B87CC5">
        <w:t xml:space="preserve">policy and </w:t>
      </w:r>
      <w:r w:rsidR="008B2BB0" w:rsidRPr="00B87CC5">
        <w:t>other scenarios</w:t>
      </w:r>
      <w:r w:rsidR="00427863" w:rsidRPr="00B87CC5">
        <w:t>, including impacts on</w:t>
      </w:r>
      <w:r w:rsidR="00504923" w:rsidRPr="00B87CC5">
        <w:t> </w:t>
      </w:r>
      <w:r w:rsidR="00A30906" w:rsidRPr="00B87CC5">
        <w:t>gross domestic product (</w:t>
      </w:r>
      <w:r w:rsidR="00427863" w:rsidRPr="00B87CC5">
        <w:t>GDP</w:t>
      </w:r>
      <w:r w:rsidR="00A30906" w:rsidRPr="00B87CC5">
        <w:t>)</w:t>
      </w:r>
      <w:r w:rsidR="00427863" w:rsidRPr="00B87CC5">
        <w:t xml:space="preserve"> and on different household types</w:t>
      </w:r>
      <w:r w:rsidR="008B2BB0" w:rsidRPr="00B87CC5">
        <w:t>. Th</w:t>
      </w:r>
      <w:r w:rsidR="005740B8" w:rsidRPr="00B87CC5">
        <w:t xml:space="preserve">is analysis was </w:t>
      </w:r>
      <w:r w:rsidR="008B2BB0" w:rsidRPr="00B87CC5">
        <w:t xml:space="preserve">undertaken </w:t>
      </w:r>
      <w:r w:rsidR="00466C9C" w:rsidRPr="00B87CC5">
        <w:t>before</w:t>
      </w:r>
      <w:r w:rsidR="008B2BB0" w:rsidRPr="00B87CC5">
        <w:t xml:space="preserve"> </w:t>
      </w:r>
      <w:r w:rsidR="005740B8" w:rsidRPr="00B87CC5">
        <w:t>many of the data and assumptions</w:t>
      </w:r>
      <w:r w:rsidR="00181AD5" w:rsidRPr="00B87CC5">
        <w:t xml:space="preserve"> </w:t>
      </w:r>
      <w:r w:rsidR="00466C9C" w:rsidRPr="00B87CC5">
        <w:t xml:space="preserve">were </w:t>
      </w:r>
      <w:r w:rsidR="00073741" w:rsidRPr="00B87CC5">
        <w:t>updated</w:t>
      </w:r>
      <w:r w:rsidR="00DC6012" w:rsidRPr="00B87CC5">
        <w:t xml:space="preserve">, such that the current results </w:t>
      </w:r>
      <w:r w:rsidR="00321971" w:rsidRPr="00B87CC5">
        <w:t>are provided more as an indicator of the expected analysis to be provided for the final</w:t>
      </w:r>
      <w:r w:rsidR="00504923" w:rsidRPr="00B87CC5">
        <w:t> </w:t>
      </w:r>
      <w:r w:rsidR="00EE4D98" w:rsidRPr="00B87CC5">
        <w:t>ERP2 documents.</w:t>
      </w:r>
    </w:p>
    <w:p w14:paraId="7B51393A" w14:textId="38D1B569" w:rsidR="00FF52B9" w:rsidRPr="00B87CC5" w:rsidRDefault="00FF52B9" w:rsidP="00504923">
      <w:pPr>
        <w:pStyle w:val="BodyText"/>
      </w:pPr>
      <w:r w:rsidRPr="00B87CC5">
        <w:t xml:space="preserve">The assessment of the effects of </w:t>
      </w:r>
      <w:r w:rsidR="004F1FE3" w:rsidRPr="00B87CC5">
        <w:t>new policies is provisional</w:t>
      </w:r>
      <w:r w:rsidR="00870C20" w:rsidRPr="00B87CC5">
        <w:t xml:space="preserve"> and </w:t>
      </w:r>
      <w:r w:rsidR="00E033BD" w:rsidRPr="00B87CC5">
        <w:t xml:space="preserve">is </w:t>
      </w:r>
      <w:r w:rsidR="00F4343C" w:rsidRPr="00B87CC5">
        <w:t>based on ou</w:t>
      </w:r>
      <w:r w:rsidR="00294E85" w:rsidRPr="00B87CC5">
        <w:t>r</w:t>
      </w:r>
      <w:r w:rsidR="00F4343C" w:rsidRPr="00B87CC5">
        <w:t xml:space="preserve"> understanding of how these policies might be implemented</w:t>
      </w:r>
      <w:r w:rsidR="00D23904" w:rsidRPr="00B87CC5">
        <w:t xml:space="preserve"> </w:t>
      </w:r>
      <w:r w:rsidR="00466C9C" w:rsidRPr="00B87CC5">
        <w:t>before</w:t>
      </w:r>
      <w:r w:rsidR="00D23904" w:rsidRPr="00B87CC5">
        <w:t xml:space="preserve"> </w:t>
      </w:r>
      <w:r w:rsidR="00497B00" w:rsidRPr="00B87CC5">
        <w:t xml:space="preserve">regulations </w:t>
      </w:r>
      <w:r w:rsidR="00466C9C" w:rsidRPr="00B87CC5">
        <w:t xml:space="preserve">are </w:t>
      </w:r>
      <w:r w:rsidR="006D118B" w:rsidRPr="00B87CC5">
        <w:t>finalised</w:t>
      </w:r>
      <w:r w:rsidR="004F1FE3" w:rsidRPr="00B87CC5">
        <w:t>.</w:t>
      </w:r>
      <w:r w:rsidR="00A96E96" w:rsidRPr="00B87CC5">
        <w:t xml:space="preserve"> </w:t>
      </w:r>
      <w:r w:rsidR="00DA67CF" w:rsidRPr="00B87CC5">
        <w:t>T</w:t>
      </w:r>
      <w:r w:rsidR="008847DE" w:rsidRPr="00B87CC5">
        <w:t xml:space="preserve">he assessment is </w:t>
      </w:r>
      <w:r w:rsidR="00854C1A" w:rsidRPr="00B87CC5">
        <w:t>limited</w:t>
      </w:r>
      <w:r w:rsidR="008847DE" w:rsidRPr="00B87CC5">
        <w:t xml:space="preserve"> </w:t>
      </w:r>
      <w:r w:rsidR="00DA67CF" w:rsidRPr="00B87CC5">
        <w:t xml:space="preserve">in some cases because of </w:t>
      </w:r>
      <w:r w:rsidR="008310FA" w:rsidRPr="00B87CC5">
        <w:t xml:space="preserve">a lack of </w:t>
      </w:r>
      <w:r w:rsidR="00663AE6" w:rsidRPr="00B87CC5">
        <w:t xml:space="preserve">empirical data </w:t>
      </w:r>
      <w:r w:rsidR="001F0074" w:rsidRPr="00B87CC5">
        <w:t xml:space="preserve">to inform </w:t>
      </w:r>
      <w:r w:rsidR="00663AE6" w:rsidRPr="00B87CC5">
        <w:t xml:space="preserve">the expected </w:t>
      </w:r>
      <w:r w:rsidR="00854C1A" w:rsidRPr="00B87CC5">
        <w:t>response to policy</w:t>
      </w:r>
      <w:r w:rsidR="00EE1C0B" w:rsidRPr="00B87CC5">
        <w:t xml:space="preserve"> and in other</w:t>
      </w:r>
      <w:r w:rsidR="00DA67CF" w:rsidRPr="00B87CC5">
        <w:t xml:space="preserve"> cases</w:t>
      </w:r>
      <w:r w:rsidR="00EE1C0B" w:rsidRPr="00B87CC5">
        <w:t xml:space="preserve"> </w:t>
      </w:r>
      <w:r w:rsidR="00F8149D" w:rsidRPr="00B87CC5">
        <w:t>because policy is in</w:t>
      </w:r>
      <w:r w:rsidR="007C40C5" w:rsidRPr="00B87CC5">
        <w:t xml:space="preserve"> the</w:t>
      </w:r>
      <w:r w:rsidR="00F8149D" w:rsidRPr="00B87CC5">
        <w:t xml:space="preserve"> early stages of development</w:t>
      </w:r>
      <w:r w:rsidR="00854C1A" w:rsidRPr="00B87CC5">
        <w:t>.</w:t>
      </w:r>
    </w:p>
    <w:p w14:paraId="599A9B64" w14:textId="0599AAC4" w:rsidR="001F0074" w:rsidRPr="00B87CC5" w:rsidRDefault="00466C9C" w:rsidP="00504923">
      <w:pPr>
        <w:pStyle w:val="BodyText"/>
      </w:pPr>
      <w:r w:rsidRPr="00B87CC5">
        <w:t xml:space="preserve">In this annex, </w:t>
      </w:r>
      <w:r w:rsidR="00A973A3" w:rsidRPr="00B87CC5">
        <w:t>we set out:</w:t>
      </w:r>
    </w:p>
    <w:p w14:paraId="1911E59B" w14:textId="7338C790" w:rsidR="00A973A3" w:rsidRPr="00B87CC5" w:rsidRDefault="00466C9C" w:rsidP="00504923">
      <w:pPr>
        <w:pStyle w:val="Bullet"/>
      </w:pPr>
      <w:r w:rsidRPr="00B87CC5">
        <w:t>t</w:t>
      </w:r>
      <w:r w:rsidR="00A973A3" w:rsidRPr="00B87CC5">
        <w:t xml:space="preserve">he background </w:t>
      </w:r>
      <w:r w:rsidR="00EA61FF" w:rsidRPr="00B87CC5">
        <w:t>to the setting of an interim baseline for ERP2</w:t>
      </w:r>
    </w:p>
    <w:p w14:paraId="5B956A29" w14:textId="2EB35F63" w:rsidR="00EA61FF" w:rsidRPr="00B87CC5" w:rsidRDefault="00466C9C" w:rsidP="00504923">
      <w:pPr>
        <w:pStyle w:val="Bullet"/>
      </w:pPr>
      <w:r w:rsidRPr="00B87CC5">
        <w:t>a</w:t>
      </w:r>
      <w:r w:rsidR="005B4372" w:rsidRPr="00B87CC5">
        <w:t xml:space="preserve"> description of the modelling</w:t>
      </w:r>
      <w:r w:rsidR="00C23916" w:rsidRPr="00B87CC5">
        <w:t xml:space="preserve">, including </w:t>
      </w:r>
      <w:r w:rsidR="004136B7" w:rsidRPr="00B87CC5">
        <w:t xml:space="preserve">that used for the baseline projections </w:t>
      </w:r>
      <w:r w:rsidR="00C23916" w:rsidRPr="00B87CC5">
        <w:t>a</w:t>
      </w:r>
      <w:r w:rsidR="004136B7" w:rsidRPr="00B87CC5">
        <w:t xml:space="preserve">nd for the </w:t>
      </w:r>
      <w:r w:rsidR="00E52EDB" w:rsidRPr="00B87CC5">
        <w:t>economic impacts</w:t>
      </w:r>
    </w:p>
    <w:p w14:paraId="55BB4120" w14:textId="7F917D5B" w:rsidR="00E52EDB" w:rsidRPr="00B87CC5" w:rsidRDefault="00466C9C" w:rsidP="00504923">
      <w:pPr>
        <w:pStyle w:val="Bullet"/>
      </w:pPr>
      <w:r w:rsidRPr="00B87CC5">
        <w:t>t</w:t>
      </w:r>
      <w:r w:rsidR="00BF2F15" w:rsidRPr="00B87CC5">
        <w:t xml:space="preserve">he </w:t>
      </w:r>
      <w:r w:rsidR="00716630" w:rsidRPr="00B87CC5">
        <w:t xml:space="preserve">description and provisional analysis of </w:t>
      </w:r>
      <w:r w:rsidR="001B00FC" w:rsidRPr="00B87CC5">
        <w:t>proposed new policies</w:t>
      </w:r>
    </w:p>
    <w:p w14:paraId="7011F8A1" w14:textId="3B8EAE21" w:rsidR="006346E8" w:rsidRPr="00B87CC5" w:rsidRDefault="00466C9C" w:rsidP="00504923">
      <w:pPr>
        <w:pStyle w:val="Bullet"/>
      </w:pPr>
      <w:r w:rsidRPr="00B87CC5">
        <w:t>d</w:t>
      </w:r>
      <w:r w:rsidR="006346E8" w:rsidRPr="00B87CC5">
        <w:t xml:space="preserve">istributional and wider economic analysis of </w:t>
      </w:r>
      <w:r w:rsidR="00AC650D" w:rsidRPr="00B87CC5">
        <w:t>scenarios broadly corresponding to ERP2</w:t>
      </w:r>
    </w:p>
    <w:p w14:paraId="17B355F1" w14:textId="7C903E3B" w:rsidR="001B00FC" w:rsidRPr="00B87CC5" w:rsidRDefault="00466C9C" w:rsidP="00504923">
      <w:pPr>
        <w:pStyle w:val="Bullet"/>
      </w:pPr>
      <w:r w:rsidRPr="00B87CC5">
        <w:t>a</w:t>
      </w:r>
      <w:r w:rsidR="001B00FC" w:rsidRPr="00B87CC5">
        <w:t xml:space="preserve">ppendices </w:t>
      </w:r>
      <w:r w:rsidR="00DA67CF" w:rsidRPr="00B87CC5">
        <w:t xml:space="preserve">that </w:t>
      </w:r>
      <w:r w:rsidR="001B00FC" w:rsidRPr="00B87CC5">
        <w:t>includ</w:t>
      </w:r>
      <w:r w:rsidR="00DA67CF" w:rsidRPr="00B87CC5">
        <w:t>e</w:t>
      </w:r>
      <w:r w:rsidR="001B00FC" w:rsidRPr="00B87CC5">
        <w:t xml:space="preserve"> the assumptions used in analysis.</w:t>
      </w:r>
    </w:p>
    <w:p w14:paraId="49DCA553" w14:textId="14FDAF74" w:rsidR="00473CAB" w:rsidRPr="00B87CC5" w:rsidRDefault="00A200DD" w:rsidP="00504923">
      <w:pPr>
        <w:pStyle w:val="BodyText"/>
      </w:pPr>
      <w:r w:rsidRPr="00B87CC5">
        <w:t>T</w:t>
      </w:r>
      <w:r w:rsidR="00B1512F" w:rsidRPr="00B87CC5">
        <w:t xml:space="preserve">he </w:t>
      </w:r>
      <w:r w:rsidRPr="00B87CC5">
        <w:t xml:space="preserve">historical and projection data are presented </w:t>
      </w:r>
      <w:r w:rsidR="006348A1" w:rsidRPr="00B87CC5">
        <w:t xml:space="preserve">in </w:t>
      </w:r>
      <w:r w:rsidR="00916E08" w:rsidRPr="00B87CC5">
        <w:t xml:space="preserve">this </w:t>
      </w:r>
      <w:r w:rsidR="00BF135A" w:rsidRPr="00B87CC5">
        <w:t>a</w:t>
      </w:r>
      <w:r w:rsidR="00974DF2" w:rsidRPr="00B87CC5">
        <w:t xml:space="preserve">nnex </w:t>
      </w:r>
      <w:r w:rsidR="002378A9" w:rsidRPr="00B87CC5">
        <w:t xml:space="preserve">in </w:t>
      </w:r>
      <w:r w:rsidR="006348A1" w:rsidRPr="00B87CC5">
        <w:t>carbon dioxide equivalents (CO</w:t>
      </w:r>
      <w:r w:rsidR="006348A1" w:rsidRPr="00B87CC5">
        <w:rPr>
          <w:vertAlign w:val="subscript"/>
        </w:rPr>
        <w:t>2</w:t>
      </w:r>
      <w:r w:rsidR="006348A1" w:rsidRPr="00B87CC5">
        <w:t xml:space="preserve">-e) using </w:t>
      </w:r>
      <w:r w:rsidR="008E7248" w:rsidRPr="00B87CC5">
        <w:t xml:space="preserve">100-year </w:t>
      </w:r>
      <w:r w:rsidR="00295139" w:rsidRPr="00B87CC5">
        <w:t>global warming potentials</w:t>
      </w:r>
      <w:r w:rsidR="00EB1963" w:rsidRPr="00B87CC5">
        <w:t xml:space="preserve"> (GWPs) </w:t>
      </w:r>
      <w:r w:rsidR="00646992" w:rsidRPr="00B87CC5">
        <w:t xml:space="preserve">from the </w:t>
      </w:r>
      <w:r w:rsidR="00632D5D" w:rsidRPr="00B87CC5">
        <w:t>Intergovernmental Panel on</w:t>
      </w:r>
      <w:r w:rsidR="008359BD" w:rsidRPr="00B87CC5">
        <w:t> </w:t>
      </w:r>
      <w:r w:rsidR="00632D5D" w:rsidRPr="00B87CC5">
        <w:t>Climate Change (IPCC)</w:t>
      </w:r>
      <w:r w:rsidR="00DB0DA9" w:rsidRPr="00B87CC5">
        <w:t xml:space="preserve"> Fifth Assessment Report (AR5).</w:t>
      </w:r>
      <w:r w:rsidR="00EB1963" w:rsidRPr="00B87CC5">
        <w:rPr>
          <w:rStyle w:val="FootnoteReference"/>
        </w:rPr>
        <w:footnoteReference w:id="2"/>
      </w:r>
    </w:p>
    <w:p w14:paraId="02147F26" w14:textId="77777777" w:rsidR="00504923" w:rsidRPr="00B87CC5" w:rsidRDefault="00504923" w:rsidP="00504923">
      <w:pPr>
        <w:pStyle w:val="BodyText"/>
      </w:pPr>
      <w:r w:rsidRPr="00B87CC5">
        <w:br w:type="page"/>
      </w:r>
    </w:p>
    <w:p w14:paraId="1EE5FF2B" w14:textId="68D5EAB0" w:rsidR="0080531E" w:rsidRPr="00B87CC5" w:rsidRDefault="007A5B4B" w:rsidP="0069513D">
      <w:pPr>
        <w:pStyle w:val="Heading1"/>
      </w:pPr>
      <w:bookmarkStart w:id="2" w:name="_Toc171609739"/>
      <w:r w:rsidRPr="00B87CC5">
        <w:lastRenderedPageBreak/>
        <w:t xml:space="preserve">Baseline for </w:t>
      </w:r>
      <w:r w:rsidR="00746DF5" w:rsidRPr="00B87CC5">
        <w:t>c</w:t>
      </w:r>
      <w:r w:rsidRPr="00B87CC5">
        <w:t>onsultation</w:t>
      </w:r>
      <w:bookmarkEnd w:id="2"/>
    </w:p>
    <w:p w14:paraId="4A09316A" w14:textId="5CCE64AE" w:rsidR="003971BF" w:rsidRPr="00B87CC5" w:rsidRDefault="001C0F99" w:rsidP="00504923">
      <w:pPr>
        <w:pStyle w:val="BodyText"/>
      </w:pPr>
      <w:r w:rsidRPr="00B87CC5">
        <w:t xml:space="preserve">The </w:t>
      </w:r>
      <w:r w:rsidR="001B00FC" w:rsidRPr="00B87CC5">
        <w:t xml:space="preserve">interim </w:t>
      </w:r>
      <w:r w:rsidRPr="00B87CC5">
        <w:t xml:space="preserve">baseline </w:t>
      </w:r>
      <w:r w:rsidR="00F26A18" w:rsidRPr="00B87CC5">
        <w:t xml:space="preserve">illustrates </w:t>
      </w:r>
      <w:r w:rsidR="002F70EB" w:rsidRPr="00B87CC5">
        <w:t xml:space="preserve">the </w:t>
      </w:r>
      <w:r w:rsidR="006D3B07" w:rsidRPr="00B87CC5">
        <w:t>expected future emissions in the absence of additional policies</w:t>
      </w:r>
      <w:r w:rsidR="00D5515A" w:rsidRPr="00B87CC5">
        <w:t xml:space="preserve"> and measures</w:t>
      </w:r>
      <w:r w:rsidR="00761538" w:rsidRPr="00B87CC5">
        <w:t>.</w:t>
      </w:r>
      <w:r w:rsidR="006D3B07" w:rsidRPr="00B87CC5">
        <w:t xml:space="preserve"> </w:t>
      </w:r>
      <w:r w:rsidR="00761538" w:rsidRPr="00B87CC5">
        <w:t xml:space="preserve">It </w:t>
      </w:r>
      <w:r w:rsidR="008F74AB" w:rsidRPr="00B87CC5">
        <w:t>provides</w:t>
      </w:r>
      <w:r w:rsidR="00761538" w:rsidRPr="00B87CC5">
        <w:t xml:space="preserve"> </w:t>
      </w:r>
      <w:r w:rsidR="008F74AB" w:rsidRPr="00B87CC5">
        <w:t xml:space="preserve">an </w:t>
      </w:r>
      <w:r w:rsidR="00E6489E" w:rsidRPr="00B87CC5">
        <w:t xml:space="preserve">understanding of </w:t>
      </w:r>
      <w:r w:rsidR="00761538" w:rsidRPr="00B87CC5">
        <w:t>the extent of the current challenge</w:t>
      </w:r>
      <w:r w:rsidR="00214B3A" w:rsidRPr="00B87CC5">
        <w:t xml:space="preserve"> </w:t>
      </w:r>
      <w:r w:rsidR="00DA67CF" w:rsidRPr="00B87CC5">
        <w:t xml:space="preserve">to </w:t>
      </w:r>
      <w:r w:rsidR="00E6489E" w:rsidRPr="00B87CC5">
        <w:t>meet emission</w:t>
      </w:r>
      <w:r w:rsidR="003165DF" w:rsidRPr="00B87CC5">
        <w:t>s</w:t>
      </w:r>
      <w:r w:rsidR="00E6489E" w:rsidRPr="00B87CC5">
        <w:t xml:space="preserve"> budgets and </w:t>
      </w:r>
      <w:r w:rsidR="008F74AB" w:rsidRPr="00B87CC5">
        <w:t xml:space="preserve">provides the counterfactual against which the </w:t>
      </w:r>
      <w:r w:rsidR="006D3B07" w:rsidRPr="00B87CC5">
        <w:t>expected effects of</w:t>
      </w:r>
      <w:r w:rsidR="002E0B33" w:rsidRPr="00B87CC5">
        <w:t> </w:t>
      </w:r>
      <w:r w:rsidR="006D3B07" w:rsidRPr="00B87CC5">
        <w:t xml:space="preserve">new policies </w:t>
      </w:r>
      <w:r w:rsidR="00DF3E21" w:rsidRPr="00B87CC5">
        <w:t>can</w:t>
      </w:r>
      <w:r w:rsidR="006D3B07" w:rsidRPr="00B87CC5">
        <w:t xml:space="preserve"> be evaluated.</w:t>
      </w:r>
    </w:p>
    <w:p w14:paraId="787AD415" w14:textId="19444145" w:rsidR="00884035" w:rsidRPr="00B87CC5" w:rsidRDefault="001B6E3F" w:rsidP="00746DF5">
      <w:pPr>
        <w:pStyle w:val="BodyText"/>
      </w:pPr>
      <w:r w:rsidRPr="00B87CC5">
        <w:t xml:space="preserve">The Ministry for the Environment </w:t>
      </w:r>
      <w:r w:rsidR="001F224D" w:rsidRPr="00B87CC5">
        <w:t xml:space="preserve">published </w:t>
      </w:r>
      <w:r w:rsidR="00D5515A" w:rsidRPr="00B87CC5">
        <w:t>the</w:t>
      </w:r>
      <w:r w:rsidR="00170D32" w:rsidRPr="00B87CC5">
        <w:t xml:space="preserve"> </w:t>
      </w:r>
      <w:r w:rsidR="00D5515A" w:rsidRPr="00B87CC5">
        <w:t xml:space="preserve">most recent </w:t>
      </w:r>
      <w:r w:rsidR="0040727A" w:rsidRPr="00B87CC5">
        <w:t xml:space="preserve">official </w:t>
      </w:r>
      <w:r w:rsidR="00371282" w:rsidRPr="00B87CC5">
        <w:t>greenhouse gas emission</w:t>
      </w:r>
      <w:r w:rsidR="004327D0" w:rsidRPr="00B87CC5">
        <w:t>s</w:t>
      </w:r>
      <w:r w:rsidR="00371282" w:rsidRPr="00B87CC5">
        <w:t xml:space="preserve"> projections </w:t>
      </w:r>
      <w:r w:rsidR="00D643F7" w:rsidRPr="00B87CC5">
        <w:t>in late 2023.</w:t>
      </w:r>
      <w:r w:rsidR="00392E54" w:rsidRPr="00B87CC5">
        <w:rPr>
          <w:rStyle w:val="FootnoteReference"/>
        </w:rPr>
        <w:footnoteReference w:id="3"/>
      </w:r>
      <w:r w:rsidR="00D643F7" w:rsidRPr="00B87CC5">
        <w:t xml:space="preserve"> This followed the requirements for international reporting that define the assumptions to use for a ‘with existing measures’ (WEM) projection. </w:t>
      </w:r>
      <w:r w:rsidR="00802AB2" w:rsidRPr="00B87CC5">
        <w:t xml:space="preserve">This includes assuming the effects of only those policies </w:t>
      </w:r>
      <w:r w:rsidR="00D5515A" w:rsidRPr="00B87CC5">
        <w:t xml:space="preserve">or measures </w:t>
      </w:r>
      <w:r w:rsidR="00802AB2" w:rsidRPr="00B87CC5">
        <w:t>that have been fully implemented.</w:t>
      </w:r>
      <w:r w:rsidR="002239ED" w:rsidRPr="00B87CC5">
        <w:t xml:space="preserve"> </w:t>
      </w:r>
      <w:r w:rsidR="00AD556B" w:rsidRPr="00B87CC5">
        <w:t>This</w:t>
      </w:r>
      <w:r w:rsidR="002E0B33" w:rsidRPr="00B87CC5">
        <w:t> </w:t>
      </w:r>
      <w:r w:rsidR="00AD556B" w:rsidRPr="00B87CC5">
        <w:t xml:space="preserve">is the same </w:t>
      </w:r>
      <w:r w:rsidR="0019273B" w:rsidRPr="00B87CC5">
        <w:t xml:space="preserve">as the </w:t>
      </w:r>
      <w:r w:rsidR="00AD556B" w:rsidRPr="00B87CC5">
        <w:t xml:space="preserve">requirement </w:t>
      </w:r>
      <w:r w:rsidR="0019273B" w:rsidRPr="00B87CC5">
        <w:t>for the ERP</w:t>
      </w:r>
      <w:r w:rsidR="009B71A4" w:rsidRPr="00B87CC5">
        <w:t>2 consultation baseline.</w:t>
      </w:r>
    </w:p>
    <w:p w14:paraId="626A17DF" w14:textId="7AA9FA7E" w:rsidR="00A565F8" w:rsidRPr="00B87CC5" w:rsidRDefault="005568EE" w:rsidP="00746DF5">
      <w:pPr>
        <w:pStyle w:val="BodyText"/>
      </w:pPr>
      <w:r w:rsidRPr="00B87CC5">
        <w:t xml:space="preserve">The </w:t>
      </w:r>
      <w:r w:rsidR="009B71A4" w:rsidRPr="00B87CC5">
        <w:t xml:space="preserve">2023 </w:t>
      </w:r>
      <w:r w:rsidRPr="00B87CC5">
        <w:t xml:space="preserve">WEM projection was produced from an aggregation of projections of sectoral emissions and removals. This </w:t>
      </w:r>
      <w:r w:rsidR="00C21081" w:rsidRPr="00B87CC5">
        <w:t xml:space="preserve">used the outputs </w:t>
      </w:r>
      <w:r w:rsidRPr="00B87CC5">
        <w:t xml:space="preserve">from several </w:t>
      </w:r>
      <w:r w:rsidR="00C21081" w:rsidRPr="00B87CC5">
        <w:t xml:space="preserve">individual </w:t>
      </w:r>
      <w:r w:rsidRPr="00B87CC5">
        <w:t xml:space="preserve">models </w:t>
      </w:r>
      <w:r w:rsidR="00C21081" w:rsidRPr="00B87CC5">
        <w:t xml:space="preserve">or calculations, </w:t>
      </w:r>
      <w:r w:rsidR="0024024C" w:rsidRPr="00B87CC5">
        <w:t>curated by different government agencies,</w:t>
      </w:r>
      <w:r w:rsidR="00C21081" w:rsidRPr="00B87CC5">
        <w:t xml:space="preserve"> </w:t>
      </w:r>
      <w:r w:rsidRPr="00B87CC5">
        <w:t>as</w:t>
      </w:r>
      <w:r w:rsidR="003165DF" w:rsidRPr="00B87CC5">
        <w:t xml:space="preserve"> figure 1</w:t>
      </w:r>
      <w:r w:rsidRPr="00B87CC5">
        <w:t xml:space="preserve"> summarise</w:t>
      </w:r>
      <w:r w:rsidR="003165DF" w:rsidRPr="00B87CC5">
        <w:t>s</w:t>
      </w:r>
      <w:r w:rsidR="00615898" w:rsidRPr="00B87CC5">
        <w:t xml:space="preserve">. </w:t>
      </w:r>
      <w:r w:rsidR="0024024C" w:rsidRPr="00B87CC5">
        <w:t>The process of generating projections</w:t>
      </w:r>
      <w:r w:rsidR="008E7D7D" w:rsidRPr="00B87CC5">
        <w:t xml:space="preserve"> includes agree</w:t>
      </w:r>
      <w:r w:rsidR="003165DF" w:rsidRPr="00B87CC5">
        <w:t>ing</w:t>
      </w:r>
      <w:r w:rsidR="008E7D7D" w:rsidRPr="00B87CC5">
        <w:t xml:space="preserve"> on a consistent set of input assumptions</w:t>
      </w:r>
      <w:r w:rsidR="003165DF" w:rsidRPr="00B87CC5">
        <w:t xml:space="preserve"> and then</w:t>
      </w:r>
      <w:r w:rsidR="0039780A" w:rsidRPr="00B87CC5">
        <w:t xml:space="preserve"> running individual models, some of which depend on inputs from other models. </w:t>
      </w:r>
      <w:r w:rsidR="00D5515A" w:rsidRPr="00B87CC5">
        <w:t xml:space="preserve">For example, </w:t>
      </w:r>
      <w:r w:rsidR="00A565F8" w:rsidRPr="00B87CC5">
        <w:t>the Ministry of Business, Innovation and Employment (</w:t>
      </w:r>
      <w:r w:rsidR="00C66DEB" w:rsidRPr="00B87CC5">
        <w:t>MBIE</w:t>
      </w:r>
      <w:r w:rsidR="00A565F8" w:rsidRPr="00B87CC5">
        <w:t>) has a</w:t>
      </w:r>
      <w:r w:rsidR="00C66DEB" w:rsidRPr="00B87CC5">
        <w:t xml:space="preserve"> Supply and Demand Energy Model (SADEM)</w:t>
      </w:r>
      <w:r w:rsidR="00D5515A" w:rsidRPr="00B87CC5">
        <w:t xml:space="preserve"> </w:t>
      </w:r>
      <w:r w:rsidR="00A565F8" w:rsidRPr="00B87CC5">
        <w:t xml:space="preserve">that </w:t>
      </w:r>
      <w:r w:rsidR="004154C7" w:rsidRPr="00B87CC5">
        <w:t>uses output</w:t>
      </w:r>
      <w:r w:rsidR="00137DFD" w:rsidRPr="00B87CC5">
        <w:t>s</w:t>
      </w:r>
      <w:r w:rsidR="004154C7" w:rsidRPr="00B87CC5">
        <w:t xml:space="preserve"> from</w:t>
      </w:r>
      <w:r w:rsidR="00A565F8" w:rsidRPr="00B87CC5">
        <w:t>:</w:t>
      </w:r>
    </w:p>
    <w:p w14:paraId="080E3635" w14:textId="26420535" w:rsidR="00A565F8" w:rsidRPr="00B87CC5" w:rsidRDefault="003920CE" w:rsidP="00A565F8">
      <w:pPr>
        <w:pStyle w:val="Bullet"/>
      </w:pPr>
      <w:r w:rsidRPr="00B87CC5">
        <w:t xml:space="preserve">the </w:t>
      </w:r>
      <w:r w:rsidR="003F188E" w:rsidRPr="00B87CC5">
        <w:t xml:space="preserve">Electricity Authority’s </w:t>
      </w:r>
      <w:r w:rsidR="002E1C91" w:rsidRPr="00B87CC5">
        <w:t>Generation Expansion Model (GEM)</w:t>
      </w:r>
      <w:r w:rsidR="00A565F8" w:rsidRPr="00B87CC5">
        <w:t>, which</w:t>
      </w:r>
      <w:r w:rsidR="002E1C91" w:rsidRPr="00B87CC5" w:rsidDel="00A565F8">
        <w:t xml:space="preserve"> </w:t>
      </w:r>
      <w:r w:rsidR="003F188E" w:rsidRPr="00B87CC5">
        <w:t xml:space="preserve">is used to </w:t>
      </w:r>
      <w:r w:rsidR="00C76020" w:rsidRPr="00B87CC5">
        <w:t xml:space="preserve">project future </w:t>
      </w:r>
      <w:r w:rsidR="00953C3F" w:rsidRPr="00B87CC5">
        <w:t xml:space="preserve">electricity generation build in response to demand </w:t>
      </w:r>
      <w:r w:rsidR="00244445" w:rsidRPr="00B87CC5">
        <w:t>projections</w:t>
      </w:r>
    </w:p>
    <w:p w14:paraId="44F49A3A" w14:textId="62332B66" w:rsidR="00503ADF" w:rsidRPr="00B87CC5" w:rsidRDefault="00503ADF" w:rsidP="00A565F8">
      <w:pPr>
        <w:pStyle w:val="Bullet"/>
      </w:pPr>
      <w:r w:rsidRPr="00B87CC5">
        <w:t>the Min</w:t>
      </w:r>
      <w:r w:rsidR="00FC7F1E" w:rsidRPr="00B87CC5">
        <w:t>i</w:t>
      </w:r>
      <w:r w:rsidRPr="00B87CC5">
        <w:t xml:space="preserve">stry of Transport’s </w:t>
      </w:r>
      <w:r w:rsidR="003920CE" w:rsidRPr="00B87CC5">
        <w:t xml:space="preserve">Vehicle Fleet Emissions </w:t>
      </w:r>
      <w:r w:rsidR="00FC7F1E" w:rsidRPr="00B87CC5">
        <w:t>m</w:t>
      </w:r>
      <w:r w:rsidR="003920CE" w:rsidRPr="00B87CC5">
        <w:t>odel</w:t>
      </w:r>
      <w:r w:rsidR="004964EC" w:rsidRPr="00B87CC5">
        <w:t xml:space="preserve"> and other transport models. </w:t>
      </w:r>
    </w:p>
    <w:p w14:paraId="388B74F9" w14:textId="4C8465B0" w:rsidR="005568EE" w:rsidRPr="00B87CC5" w:rsidRDefault="004964EC" w:rsidP="00503ADF">
      <w:pPr>
        <w:pStyle w:val="BodyText"/>
      </w:pPr>
      <w:r w:rsidRPr="00B87CC5">
        <w:t>This process</w:t>
      </w:r>
      <w:r w:rsidR="00503ADF" w:rsidRPr="00B87CC5">
        <w:t xml:space="preserve"> of generating projections</w:t>
      </w:r>
      <w:r w:rsidRPr="00B87CC5">
        <w:t xml:space="preserve"> takes </w:t>
      </w:r>
      <w:r w:rsidR="00015B7E" w:rsidRPr="00B87CC5">
        <w:t xml:space="preserve">considerable </w:t>
      </w:r>
      <w:r w:rsidRPr="00B87CC5">
        <w:t>time</w:t>
      </w:r>
      <w:r w:rsidR="00015B7E" w:rsidRPr="00B87CC5">
        <w:t>.</w:t>
      </w:r>
    </w:p>
    <w:p w14:paraId="052D9A40" w14:textId="2CD26E82" w:rsidR="00354E52" w:rsidRPr="00B87CC5" w:rsidRDefault="00354E52" w:rsidP="00354E52">
      <w:pPr>
        <w:pStyle w:val="Figureheading"/>
      </w:pPr>
      <w:bookmarkStart w:id="3" w:name="_Ref170312865"/>
      <w:bookmarkStart w:id="4" w:name="_Toc171609776"/>
      <w:r w:rsidRPr="00B87CC5">
        <w:t xml:space="preserve">Figure </w:t>
      </w:r>
      <w:r w:rsidR="00385111">
        <w:fldChar w:fldCharType="begin"/>
      </w:r>
      <w:r w:rsidR="00385111">
        <w:instrText xml:space="preserve"> SEQ Figure \* ARABIC </w:instrText>
      </w:r>
      <w:r w:rsidR="00385111">
        <w:fldChar w:fldCharType="separate"/>
      </w:r>
      <w:r w:rsidR="001B6E3F" w:rsidRPr="00B87CC5">
        <w:t>1</w:t>
      </w:r>
      <w:r w:rsidR="00385111">
        <w:fldChar w:fldCharType="end"/>
      </w:r>
      <w:bookmarkEnd w:id="3"/>
      <w:r w:rsidR="005E1D91" w:rsidRPr="00B87CC5">
        <w:t>:</w:t>
      </w:r>
      <w:r w:rsidR="005E1D91" w:rsidRPr="00B87CC5">
        <w:tab/>
        <w:t>M</w:t>
      </w:r>
      <w:r w:rsidRPr="00B87CC5">
        <w:t xml:space="preserve">odels used for </w:t>
      </w:r>
      <w:r w:rsidR="00661FBE" w:rsidRPr="00B87CC5">
        <w:t xml:space="preserve">official </w:t>
      </w:r>
      <w:r w:rsidRPr="00B87CC5">
        <w:t>projections</w:t>
      </w:r>
      <w:bookmarkEnd w:id="4"/>
    </w:p>
    <w:p w14:paraId="3C5BE86D" w14:textId="489D7720" w:rsidR="005568EE" w:rsidRPr="00B87CC5" w:rsidRDefault="00D23D18" w:rsidP="00884035">
      <w:r w:rsidRPr="00B87CC5">
        <w:rPr>
          <w:noProof/>
        </w:rPr>
        <mc:AlternateContent>
          <mc:Choice Requires="wps">
            <w:drawing>
              <wp:anchor distT="0" distB="0" distL="114300" distR="114300" simplePos="0" relativeHeight="251658254" behindDoc="0" locked="0" layoutInCell="1" allowOverlap="1" wp14:anchorId="7AB80BAA" wp14:editId="1C149A57">
                <wp:simplePos x="0" y="0"/>
                <wp:positionH relativeFrom="margin">
                  <wp:align>left</wp:align>
                </wp:positionH>
                <wp:positionV relativeFrom="paragraph">
                  <wp:posOffset>87932</wp:posOffset>
                </wp:positionV>
                <wp:extent cx="1040457" cy="1715770"/>
                <wp:effectExtent l="0" t="0" r="26670" b="17780"/>
                <wp:wrapNone/>
                <wp:docPr id="770508378" name="Text Box 1"/>
                <wp:cNvGraphicFramePr/>
                <a:graphic xmlns:a="http://schemas.openxmlformats.org/drawingml/2006/main">
                  <a:graphicData uri="http://schemas.microsoft.com/office/word/2010/wordprocessingShape">
                    <wps:wsp>
                      <wps:cNvSpPr txBox="1"/>
                      <wps:spPr>
                        <a:xfrm>
                          <a:off x="0" y="0"/>
                          <a:ext cx="1040457" cy="1715770"/>
                        </a:xfrm>
                        <a:prstGeom prst="rect">
                          <a:avLst/>
                        </a:prstGeom>
                        <a:noFill/>
                        <a:ln w="6350">
                          <a:solidFill>
                            <a:prstClr val="black"/>
                          </a:solidFill>
                          <a:prstDash val="dash"/>
                        </a:ln>
                      </wps:spPr>
                      <wps:txbx>
                        <w:txbxContent>
                          <w:p w14:paraId="382D9AEE" w14:textId="77777777" w:rsidR="00C21081" w:rsidRPr="00C21081" w:rsidRDefault="00C21081" w:rsidP="00C21081">
                            <w:pPr>
                              <w:spacing w:before="0" w:after="0" w:line="240" w:lineRule="atLeast"/>
                              <w:jc w:val="center"/>
                              <w:rPr>
                                <w:b/>
                                <w:bCs/>
                                <w:sz w:val="18"/>
                                <w:szCs w:val="18"/>
                              </w:rPr>
                            </w:pPr>
                            <w:r w:rsidRPr="00C21081">
                              <w:rPr>
                                <w:b/>
                                <w:bCs/>
                                <w:sz w:val="18"/>
                                <w:szCs w:val="18"/>
                              </w:rPr>
                              <w:t xml:space="preserve">MBIE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80BAA" id="_x0000_t202" coordsize="21600,21600" o:spt="202" path="m,l,21600r21600,l21600,xe">
                <v:stroke joinstyle="miter"/>
                <v:path gradientshapeok="t" o:connecttype="rect"/>
              </v:shapetype>
              <v:shape id="Text Box 1" o:spid="_x0000_s1026" type="#_x0000_t202" style="position:absolute;left:0;text-align:left;margin-left:0;margin-top:6.9pt;width:81.95pt;height:135.1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" filled="f" strokeweight=".5pt">
                <v:stroke dashstyle="dash"/>
                <v:textbox>
                  <w:txbxContent>
                    <w:p w14:paraId="382D9AEE" w14:textId="77777777" w:rsidR="00C21081" w:rsidRPr="00C21081" w:rsidRDefault="00C21081" w:rsidP="00C21081">
                      <w:pPr>
                        <w:spacing w:before="0" w:after="0" w:line="240" w:lineRule="atLeast"/>
                        <w:jc w:val="center"/>
                        <w:rPr>
                          <w:b/>
                          <w:bCs/>
                          <w:sz w:val="18"/>
                          <w:szCs w:val="18"/>
                        </w:rPr>
                      </w:pPr>
                      <w:r w:rsidRPr="00C21081">
                        <w:rPr>
                          <w:b/>
                          <w:bCs/>
                          <w:sz w:val="18"/>
                          <w:szCs w:val="18"/>
                        </w:rPr>
                        <w:t xml:space="preserve">MBIE </w:t>
                      </w:r>
                    </w:p>
                  </w:txbxContent>
                </v:textbox>
                <w10:wrap anchorx="margin"/>
              </v:shape>
            </w:pict>
          </mc:Fallback>
        </mc:AlternateContent>
      </w:r>
      <w:r w:rsidR="00D21515" w:rsidRPr="00B87CC5">
        <w:rPr>
          <w:noProof/>
        </w:rPr>
        <mc:AlternateContent>
          <mc:Choice Requires="wps">
            <w:drawing>
              <wp:anchor distT="0" distB="0" distL="114300" distR="114300" simplePos="0" relativeHeight="251658256" behindDoc="0" locked="0" layoutInCell="1" allowOverlap="1" wp14:anchorId="532A1D22" wp14:editId="1D52FDA1">
                <wp:simplePos x="0" y="0"/>
                <wp:positionH relativeFrom="margin">
                  <wp:posOffset>2242487</wp:posOffset>
                </wp:positionH>
                <wp:positionV relativeFrom="paragraph">
                  <wp:posOffset>78878</wp:posOffset>
                </wp:positionV>
                <wp:extent cx="856961" cy="1740535"/>
                <wp:effectExtent l="0" t="0" r="19685" b="12065"/>
                <wp:wrapNone/>
                <wp:docPr id="1643465871" name="Text Box 1"/>
                <wp:cNvGraphicFramePr/>
                <a:graphic xmlns:a="http://schemas.openxmlformats.org/drawingml/2006/main">
                  <a:graphicData uri="http://schemas.microsoft.com/office/word/2010/wordprocessingShape">
                    <wps:wsp>
                      <wps:cNvSpPr txBox="1"/>
                      <wps:spPr>
                        <a:xfrm>
                          <a:off x="0" y="0"/>
                          <a:ext cx="856961" cy="1740535"/>
                        </a:xfrm>
                        <a:prstGeom prst="rect">
                          <a:avLst/>
                        </a:prstGeom>
                        <a:noFill/>
                        <a:ln w="6350">
                          <a:solidFill>
                            <a:prstClr val="black"/>
                          </a:solidFill>
                          <a:prstDash val="dash"/>
                        </a:ln>
                      </wps:spPr>
                      <wps:txbx>
                        <w:txbxContent>
                          <w:p w14:paraId="25FD955D" w14:textId="77777777" w:rsidR="00C21081" w:rsidRDefault="00C21081" w:rsidP="00C21081">
                            <w:pPr>
                              <w:spacing w:before="0" w:after="0" w:line="240" w:lineRule="atLeast"/>
                              <w:jc w:val="center"/>
                              <w:rPr>
                                <w:b/>
                                <w:bCs/>
                                <w:sz w:val="18"/>
                                <w:szCs w:val="18"/>
                              </w:rPr>
                            </w:pPr>
                            <w:r w:rsidRPr="00C21081">
                              <w:rPr>
                                <w:b/>
                                <w:bCs/>
                                <w:sz w:val="18"/>
                                <w:szCs w:val="18"/>
                              </w:rPr>
                              <w:t>MfE</w:t>
                            </w:r>
                          </w:p>
                          <w:p w14:paraId="0C57C503" w14:textId="77777777" w:rsidR="00B77D51" w:rsidRPr="00C21081" w:rsidRDefault="00B77D51" w:rsidP="00C21081">
                            <w:pPr>
                              <w:spacing w:before="0" w:after="0" w:line="240" w:lineRule="atLeast"/>
                              <w:jc w:val="center"/>
                              <w:rPr>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A1D22" id="_x0000_s1027" type="#_x0000_t202" style="position:absolute;left:0;text-align:left;margin-left:176.55pt;margin-top:6.2pt;width:67.5pt;height:137.0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" filled="f" strokeweight=".5pt">
                <v:stroke dashstyle="dash"/>
                <v:textbox>
                  <w:txbxContent>
                    <w:p w14:paraId="25FD955D" w14:textId="77777777" w:rsidR="00C21081" w:rsidRDefault="00C21081" w:rsidP="00C21081">
                      <w:pPr>
                        <w:spacing w:before="0" w:after="0" w:line="240" w:lineRule="atLeast"/>
                        <w:jc w:val="center"/>
                        <w:rPr>
                          <w:b/>
                          <w:bCs/>
                          <w:sz w:val="18"/>
                          <w:szCs w:val="18"/>
                        </w:rPr>
                      </w:pPr>
                      <w:r w:rsidRPr="00C21081">
                        <w:rPr>
                          <w:b/>
                          <w:bCs/>
                          <w:sz w:val="18"/>
                          <w:szCs w:val="18"/>
                        </w:rPr>
                        <w:t>MfE</w:t>
                      </w:r>
                    </w:p>
                    <w:p w14:paraId="0C57C503" w14:textId="77777777" w:rsidR="00B77D51" w:rsidRPr="00C21081" w:rsidRDefault="00B77D51" w:rsidP="00C21081">
                      <w:pPr>
                        <w:spacing w:before="0" w:after="0" w:line="240" w:lineRule="atLeast"/>
                        <w:jc w:val="center"/>
                        <w:rPr>
                          <w:b/>
                          <w:bCs/>
                          <w:sz w:val="18"/>
                          <w:szCs w:val="18"/>
                        </w:rPr>
                      </w:pPr>
                    </w:p>
                  </w:txbxContent>
                </v:textbox>
                <w10:wrap anchorx="margin"/>
              </v:shape>
            </w:pict>
          </mc:Fallback>
        </mc:AlternateContent>
      </w:r>
      <w:r w:rsidR="00525D50" w:rsidRPr="00B87CC5">
        <w:rPr>
          <w:noProof/>
        </w:rPr>
        <mc:AlternateContent>
          <mc:Choice Requires="wps">
            <w:drawing>
              <wp:anchor distT="0" distB="0" distL="114300" distR="114300" simplePos="0" relativeHeight="251658255" behindDoc="0" locked="0" layoutInCell="1" allowOverlap="1" wp14:anchorId="2E10E220" wp14:editId="170468CE">
                <wp:simplePos x="0" y="0"/>
                <wp:positionH relativeFrom="margin">
                  <wp:posOffset>1167765</wp:posOffset>
                </wp:positionH>
                <wp:positionV relativeFrom="paragraph">
                  <wp:posOffset>81752</wp:posOffset>
                </wp:positionV>
                <wp:extent cx="946150" cy="1737360"/>
                <wp:effectExtent l="0" t="0" r="25400" b="15240"/>
                <wp:wrapNone/>
                <wp:docPr id="691015113" name="Text Box 1"/>
                <wp:cNvGraphicFramePr/>
                <a:graphic xmlns:a="http://schemas.openxmlformats.org/drawingml/2006/main">
                  <a:graphicData uri="http://schemas.microsoft.com/office/word/2010/wordprocessingShape">
                    <wps:wsp>
                      <wps:cNvSpPr txBox="1"/>
                      <wps:spPr>
                        <a:xfrm>
                          <a:off x="0" y="0"/>
                          <a:ext cx="946150" cy="1737360"/>
                        </a:xfrm>
                        <a:prstGeom prst="rect">
                          <a:avLst/>
                        </a:prstGeom>
                        <a:noFill/>
                        <a:ln w="6350">
                          <a:solidFill>
                            <a:prstClr val="black"/>
                          </a:solidFill>
                          <a:prstDash val="dash"/>
                        </a:ln>
                      </wps:spPr>
                      <wps:txbx>
                        <w:txbxContent>
                          <w:p w14:paraId="09DC1019" w14:textId="49187A65" w:rsidR="00C21081" w:rsidRPr="00C21081" w:rsidRDefault="00C21081" w:rsidP="00C21081">
                            <w:pPr>
                              <w:spacing w:before="0" w:after="0" w:line="240" w:lineRule="atLeast"/>
                              <w:jc w:val="center"/>
                              <w:rPr>
                                <w:b/>
                                <w:bCs/>
                                <w:sz w:val="18"/>
                                <w:szCs w:val="18"/>
                              </w:rPr>
                            </w:pPr>
                            <w:r w:rsidRPr="00C21081">
                              <w:rPr>
                                <w:b/>
                                <w:bCs/>
                                <w:sz w:val="18"/>
                                <w:szCs w:val="18"/>
                              </w:rPr>
                              <w:t>MoT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0E220" id="_x0000_s1028" type="#_x0000_t202" style="position:absolute;left:0;text-align:left;margin-left:91.95pt;margin-top:6.45pt;width:74.5pt;height:136.8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" filled="f" strokeweight=".5pt">
                <v:stroke dashstyle="dash"/>
                <v:textbox>
                  <w:txbxContent>
                    <w:p w14:paraId="09DC1019" w14:textId="49187A65" w:rsidR="00C21081" w:rsidRPr="00C21081" w:rsidRDefault="00C21081" w:rsidP="00C21081">
                      <w:pPr>
                        <w:spacing w:before="0" w:after="0" w:line="240" w:lineRule="atLeast"/>
                        <w:jc w:val="center"/>
                        <w:rPr>
                          <w:b/>
                          <w:bCs/>
                          <w:sz w:val="18"/>
                          <w:szCs w:val="18"/>
                        </w:rPr>
                      </w:pPr>
                      <w:r w:rsidRPr="00C21081">
                        <w:rPr>
                          <w:b/>
                          <w:bCs/>
                          <w:sz w:val="18"/>
                          <w:szCs w:val="18"/>
                        </w:rPr>
                        <w:t>MoT</w:t>
                      </w:r>
                    </w:p>
                  </w:txbxContent>
                </v:textbox>
                <w10:wrap anchorx="margin"/>
              </v:shape>
            </w:pict>
          </mc:Fallback>
        </mc:AlternateContent>
      </w:r>
      <w:r w:rsidR="00525D50" w:rsidRPr="00B87CC5">
        <w:rPr>
          <w:noProof/>
        </w:rPr>
        <mc:AlternateContent>
          <mc:Choice Requires="wps">
            <w:drawing>
              <wp:anchor distT="0" distB="0" distL="114300" distR="114300" simplePos="0" relativeHeight="251658257" behindDoc="0" locked="0" layoutInCell="1" allowOverlap="1" wp14:anchorId="5389CFD0" wp14:editId="03577B29">
                <wp:simplePos x="0" y="0"/>
                <wp:positionH relativeFrom="margin">
                  <wp:posOffset>3158018</wp:posOffset>
                </wp:positionH>
                <wp:positionV relativeFrom="paragraph">
                  <wp:posOffset>77470</wp:posOffset>
                </wp:positionV>
                <wp:extent cx="1899920" cy="1740535"/>
                <wp:effectExtent l="0" t="0" r="24130" b="12065"/>
                <wp:wrapNone/>
                <wp:docPr id="41838535" name="Text Box 1"/>
                <wp:cNvGraphicFramePr/>
                <a:graphic xmlns:a="http://schemas.openxmlformats.org/drawingml/2006/main">
                  <a:graphicData uri="http://schemas.microsoft.com/office/word/2010/wordprocessingShape">
                    <wps:wsp>
                      <wps:cNvSpPr txBox="1"/>
                      <wps:spPr>
                        <a:xfrm>
                          <a:off x="0" y="0"/>
                          <a:ext cx="1899920" cy="1740535"/>
                        </a:xfrm>
                        <a:prstGeom prst="rect">
                          <a:avLst/>
                        </a:prstGeom>
                        <a:noFill/>
                        <a:ln w="6350">
                          <a:solidFill>
                            <a:prstClr val="black"/>
                          </a:solidFill>
                          <a:prstDash val="dash"/>
                        </a:ln>
                      </wps:spPr>
                      <wps:txbx>
                        <w:txbxContent>
                          <w:p w14:paraId="11A3AE8E" w14:textId="20A08128" w:rsidR="00C21081" w:rsidRPr="00C21081" w:rsidRDefault="00C21081" w:rsidP="00C21081">
                            <w:pPr>
                              <w:spacing w:before="0" w:after="0" w:line="240" w:lineRule="atLeast"/>
                              <w:jc w:val="center"/>
                              <w:rPr>
                                <w:b/>
                                <w:bCs/>
                                <w:sz w:val="18"/>
                                <w:szCs w:val="18"/>
                              </w:rPr>
                            </w:pPr>
                            <w:r w:rsidRPr="00C21081">
                              <w:rPr>
                                <w:b/>
                                <w:bCs/>
                                <w:sz w:val="18"/>
                                <w:szCs w:val="18"/>
                              </w:rPr>
                              <w:t>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CFD0" id="_x0000_s1029" type="#_x0000_t202" style="position:absolute;left:0;text-align:left;margin-left:248.65pt;margin-top:6.1pt;width:149.6pt;height:137.0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" filled="f" strokeweight=".5pt">
                <v:stroke dashstyle="dash"/>
                <v:textbox>
                  <w:txbxContent>
                    <w:p w14:paraId="11A3AE8E" w14:textId="20A08128" w:rsidR="00C21081" w:rsidRPr="00C21081" w:rsidRDefault="00C21081" w:rsidP="00C21081">
                      <w:pPr>
                        <w:spacing w:before="0" w:after="0" w:line="240" w:lineRule="atLeast"/>
                        <w:jc w:val="center"/>
                        <w:rPr>
                          <w:b/>
                          <w:bCs/>
                          <w:sz w:val="18"/>
                          <w:szCs w:val="18"/>
                        </w:rPr>
                      </w:pPr>
                      <w:r w:rsidRPr="00C21081">
                        <w:rPr>
                          <w:b/>
                          <w:bCs/>
                          <w:sz w:val="18"/>
                          <w:szCs w:val="18"/>
                        </w:rPr>
                        <w:t>MPI</w:t>
                      </w:r>
                    </w:p>
                  </w:txbxContent>
                </v:textbox>
                <w10:wrap anchorx="margin"/>
              </v:shape>
            </w:pict>
          </mc:Fallback>
        </mc:AlternateContent>
      </w:r>
      <w:r w:rsidR="0024024C" w:rsidRPr="00B87CC5">
        <w:rPr>
          <w:noProof/>
        </w:rPr>
        <mc:AlternateContent>
          <mc:Choice Requires="wps">
            <w:drawing>
              <wp:anchor distT="0" distB="0" distL="114300" distR="114300" simplePos="0" relativeHeight="251658240" behindDoc="0" locked="0" layoutInCell="1" allowOverlap="1" wp14:anchorId="19868DF8" wp14:editId="4A1A4663">
                <wp:simplePos x="0" y="0"/>
                <wp:positionH relativeFrom="margin">
                  <wp:align>left</wp:align>
                </wp:positionH>
                <wp:positionV relativeFrom="paragraph">
                  <wp:posOffset>320382</wp:posOffset>
                </wp:positionV>
                <wp:extent cx="991235" cy="709295"/>
                <wp:effectExtent l="0" t="0" r="18415" b="14605"/>
                <wp:wrapNone/>
                <wp:docPr id="1261517162" name="Text Box 1"/>
                <wp:cNvGraphicFramePr/>
                <a:graphic xmlns:a="http://schemas.openxmlformats.org/drawingml/2006/main">
                  <a:graphicData uri="http://schemas.microsoft.com/office/word/2010/wordprocessingShape">
                    <wps:wsp>
                      <wps:cNvSpPr txBox="1"/>
                      <wps:spPr>
                        <a:xfrm>
                          <a:off x="0" y="0"/>
                          <a:ext cx="991235" cy="709295"/>
                        </a:xfrm>
                        <a:prstGeom prst="rect">
                          <a:avLst/>
                        </a:prstGeom>
                        <a:solidFill>
                          <a:schemeClr val="accent5"/>
                        </a:solidFill>
                        <a:ln w="6350">
                          <a:solidFill>
                            <a:prstClr val="black"/>
                          </a:solidFill>
                        </a:ln>
                      </wps:spPr>
                      <wps:txbx>
                        <w:txbxContent>
                          <w:p w14:paraId="2C3CB00C" w14:textId="03D84B1E" w:rsidR="00DE6B51" w:rsidRPr="00DE6B51" w:rsidRDefault="00DE6B51" w:rsidP="00DE6B51">
                            <w:pPr>
                              <w:spacing w:before="0" w:after="0" w:line="240" w:lineRule="atLeast"/>
                              <w:jc w:val="center"/>
                              <w:rPr>
                                <w:sz w:val="18"/>
                                <w:szCs w:val="18"/>
                              </w:rPr>
                            </w:pPr>
                            <w:r w:rsidRPr="00DE6B51">
                              <w:rPr>
                                <w:sz w:val="18"/>
                                <w:szCs w:val="18"/>
                              </w:rPr>
                              <w:t>Electricity</w:t>
                            </w:r>
                            <w:r w:rsidR="0024024C">
                              <w:rPr>
                                <w:sz w:val="18"/>
                                <w:szCs w:val="18"/>
                              </w:rPr>
                              <w:t xml:space="preserve"> Authority</w:t>
                            </w:r>
                            <w:r w:rsidRPr="00DE6B51">
                              <w:rPr>
                                <w:sz w:val="18"/>
                                <w:szCs w:val="18"/>
                              </w:rPr>
                              <w:t xml:space="preserve"> Generation </w:t>
                            </w:r>
                            <w:r w:rsidR="0024024C">
                              <w:rPr>
                                <w:sz w:val="18"/>
                                <w:szCs w:val="18"/>
                              </w:rPr>
                              <w:t xml:space="preserve">Expansion </w:t>
                            </w:r>
                            <w:r w:rsidRPr="00DE6B51">
                              <w:rPr>
                                <w:sz w:val="18"/>
                                <w:szCs w:val="18"/>
                              </w:rPr>
                              <w:t>Model</w:t>
                            </w:r>
                            <w:r w:rsidR="0024024C">
                              <w:rPr>
                                <w:sz w:val="18"/>
                                <w:szCs w:val="18"/>
                              </w:rPr>
                              <w:t xml:space="preserve"> (</w:t>
                            </w:r>
                            <w:r w:rsidR="0024024C" w:rsidRPr="00DE6B51">
                              <w:rPr>
                                <w:sz w:val="18"/>
                                <w:szCs w:val="18"/>
                              </w:rPr>
                              <w:t>GEM</w:t>
                            </w:r>
                            <w:r w:rsidR="0024024C">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68DF8" id="_x0000_s1030" type="#_x0000_t202" style="position:absolute;left:0;text-align:left;margin-left:0;margin-top:25.25pt;width:78.05pt;height:55.8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" fillcolor="#6fc7b7 [3208]" strokeweight=".5pt">
                <v:textbox>
                  <w:txbxContent>
                    <w:p w14:paraId="2C3CB00C" w14:textId="03D84B1E" w:rsidR="00DE6B51" w:rsidRPr="00DE6B51" w:rsidRDefault="00DE6B51" w:rsidP="00DE6B51">
                      <w:pPr>
                        <w:spacing w:before="0" w:after="0" w:line="240" w:lineRule="atLeast"/>
                        <w:jc w:val="center"/>
                        <w:rPr>
                          <w:sz w:val="18"/>
                          <w:szCs w:val="18"/>
                        </w:rPr>
                      </w:pPr>
                      <w:r w:rsidRPr="00DE6B51">
                        <w:rPr>
                          <w:sz w:val="18"/>
                          <w:szCs w:val="18"/>
                        </w:rPr>
                        <w:t>Electricity</w:t>
                      </w:r>
                      <w:r w:rsidR="0024024C">
                        <w:rPr>
                          <w:sz w:val="18"/>
                          <w:szCs w:val="18"/>
                        </w:rPr>
                        <w:t xml:space="preserve"> Authority</w:t>
                      </w:r>
                      <w:r w:rsidRPr="00DE6B51">
                        <w:rPr>
                          <w:sz w:val="18"/>
                          <w:szCs w:val="18"/>
                        </w:rPr>
                        <w:t xml:space="preserve"> Generation </w:t>
                      </w:r>
                      <w:r w:rsidR="0024024C">
                        <w:rPr>
                          <w:sz w:val="18"/>
                          <w:szCs w:val="18"/>
                        </w:rPr>
                        <w:t xml:space="preserve">Expansion </w:t>
                      </w:r>
                      <w:r w:rsidRPr="00DE6B51">
                        <w:rPr>
                          <w:sz w:val="18"/>
                          <w:szCs w:val="18"/>
                        </w:rPr>
                        <w:t>Model</w:t>
                      </w:r>
                      <w:r w:rsidR="0024024C">
                        <w:rPr>
                          <w:sz w:val="18"/>
                          <w:szCs w:val="18"/>
                        </w:rPr>
                        <w:t xml:space="preserve"> (</w:t>
                      </w:r>
                      <w:r w:rsidR="0024024C" w:rsidRPr="00DE6B51">
                        <w:rPr>
                          <w:sz w:val="18"/>
                          <w:szCs w:val="18"/>
                        </w:rPr>
                        <w:t>GEM</w:t>
                      </w:r>
                      <w:r w:rsidR="0024024C">
                        <w:rPr>
                          <w:sz w:val="18"/>
                          <w:szCs w:val="18"/>
                        </w:rPr>
                        <w:t>)</w:t>
                      </w:r>
                    </w:p>
                  </w:txbxContent>
                </v:textbox>
                <w10:wrap anchorx="margin"/>
              </v:shape>
            </w:pict>
          </mc:Fallback>
        </mc:AlternateContent>
      </w:r>
    </w:p>
    <w:p w14:paraId="20F4ABEC" w14:textId="394ED1D0" w:rsidR="005568EE" w:rsidRPr="00B87CC5" w:rsidRDefault="00D5515A" w:rsidP="00884035">
      <w:r w:rsidRPr="00B87CC5">
        <w:rPr>
          <w:noProof/>
        </w:rPr>
        <mc:AlternateContent>
          <mc:Choice Requires="wps">
            <w:drawing>
              <wp:anchor distT="0" distB="0" distL="114300" distR="114300" simplePos="0" relativeHeight="251658259" behindDoc="0" locked="0" layoutInCell="1" allowOverlap="1" wp14:anchorId="36BD62D2" wp14:editId="6D0B29A4">
                <wp:simplePos x="0" y="0"/>
                <wp:positionH relativeFrom="column">
                  <wp:posOffset>3173619</wp:posOffset>
                </wp:positionH>
                <wp:positionV relativeFrom="paragraph">
                  <wp:posOffset>128270</wp:posOffset>
                </wp:positionV>
                <wp:extent cx="866692" cy="620202"/>
                <wp:effectExtent l="0" t="0" r="10160" b="27940"/>
                <wp:wrapNone/>
                <wp:docPr id="1894225439" name="Text Box 1"/>
                <wp:cNvGraphicFramePr/>
                <a:graphic xmlns:a="http://schemas.openxmlformats.org/drawingml/2006/main">
                  <a:graphicData uri="http://schemas.microsoft.com/office/word/2010/wordprocessingShape">
                    <wps:wsp>
                      <wps:cNvSpPr txBox="1"/>
                      <wps:spPr>
                        <a:xfrm>
                          <a:off x="0" y="0"/>
                          <a:ext cx="866692" cy="620202"/>
                        </a:xfrm>
                        <a:prstGeom prst="rect">
                          <a:avLst/>
                        </a:prstGeom>
                        <a:solidFill>
                          <a:schemeClr val="bg2"/>
                        </a:solidFill>
                        <a:ln w="6350">
                          <a:solidFill>
                            <a:prstClr val="black"/>
                          </a:solidFill>
                        </a:ln>
                      </wps:spPr>
                      <wps:txbx>
                        <w:txbxContent>
                          <w:p w14:paraId="609A80D7" w14:textId="76460491" w:rsidR="00D5515A" w:rsidRPr="00DE6B51" w:rsidRDefault="00D5515A" w:rsidP="00D5515A">
                            <w:pPr>
                              <w:spacing w:before="0" w:after="0" w:line="240" w:lineRule="auto"/>
                              <w:jc w:val="center"/>
                              <w:rPr>
                                <w:sz w:val="16"/>
                                <w:szCs w:val="16"/>
                              </w:rPr>
                            </w:pPr>
                            <w:r>
                              <w:rPr>
                                <w:sz w:val="16"/>
                                <w:szCs w:val="16"/>
                              </w:rPr>
                              <w:t>Uptake of mitigation technologies (ADOPT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D62D2" id="_x0000_s1031" type="#_x0000_t202" style="position:absolute;left:0;text-align:left;margin-left:249.9pt;margin-top:10.1pt;width:68.25pt;height:48.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" fillcolor="#d2dde1 [3214]" strokeweight=".5pt">
                <v:textbox>
                  <w:txbxContent>
                    <w:p w14:paraId="609A80D7" w14:textId="76460491" w:rsidR="00D5515A" w:rsidRPr="00DE6B51" w:rsidRDefault="00D5515A" w:rsidP="00D5515A">
                      <w:pPr>
                        <w:spacing w:before="0" w:after="0" w:line="240" w:lineRule="auto"/>
                        <w:jc w:val="center"/>
                        <w:rPr>
                          <w:sz w:val="16"/>
                          <w:szCs w:val="16"/>
                        </w:rPr>
                      </w:pPr>
                      <w:r>
                        <w:rPr>
                          <w:sz w:val="16"/>
                          <w:szCs w:val="16"/>
                        </w:rPr>
                        <w:t>Uptake of mitigation technologies (ADOPT model)</w:t>
                      </w:r>
                    </w:p>
                  </w:txbxContent>
                </v:textbox>
              </v:shape>
            </w:pict>
          </mc:Fallback>
        </mc:AlternateContent>
      </w:r>
      <w:r w:rsidRPr="00B87CC5">
        <w:rPr>
          <w:noProof/>
        </w:rPr>
        <mc:AlternateContent>
          <mc:Choice Requires="wps">
            <w:drawing>
              <wp:anchor distT="0" distB="0" distL="114300" distR="114300" simplePos="0" relativeHeight="251658247" behindDoc="0" locked="0" layoutInCell="1" allowOverlap="1" wp14:anchorId="6535A2C4" wp14:editId="60496513">
                <wp:simplePos x="0" y="0"/>
                <wp:positionH relativeFrom="column">
                  <wp:posOffset>4167726</wp:posOffset>
                </wp:positionH>
                <wp:positionV relativeFrom="paragraph">
                  <wp:posOffset>128491</wp:posOffset>
                </wp:positionV>
                <wp:extent cx="866692" cy="627628"/>
                <wp:effectExtent l="0" t="0" r="10160" b="20320"/>
                <wp:wrapNone/>
                <wp:docPr id="830928780" name="Text Box 1"/>
                <wp:cNvGraphicFramePr/>
                <a:graphic xmlns:a="http://schemas.openxmlformats.org/drawingml/2006/main">
                  <a:graphicData uri="http://schemas.microsoft.com/office/word/2010/wordprocessingShape">
                    <wps:wsp>
                      <wps:cNvSpPr txBox="1"/>
                      <wps:spPr>
                        <a:xfrm>
                          <a:off x="0" y="0"/>
                          <a:ext cx="866692" cy="627628"/>
                        </a:xfrm>
                        <a:prstGeom prst="rect">
                          <a:avLst/>
                        </a:prstGeom>
                        <a:solidFill>
                          <a:srgbClr val="DA5A28"/>
                        </a:solidFill>
                        <a:ln w="6350">
                          <a:solidFill>
                            <a:prstClr val="black"/>
                          </a:solidFill>
                        </a:ln>
                      </wps:spPr>
                      <wps:txbx>
                        <w:txbxContent>
                          <w:p w14:paraId="11E34593" w14:textId="25CA8463" w:rsidR="00DE6B51" w:rsidRPr="00DE6B51" w:rsidRDefault="00DE6B51" w:rsidP="00D5515A">
                            <w:pPr>
                              <w:spacing w:before="0" w:after="0" w:line="240" w:lineRule="auto"/>
                              <w:jc w:val="center"/>
                              <w:rPr>
                                <w:b/>
                                <w:bCs/>
                                <w:sz w:val="16"/>
                                <w:szCs w:val="16"/>
                              </w:rPr>
                            </w:pPr>
                            <w:r>
                              <w:rPr>
                                <w:b/>
                                <w:bCs/>
                                <w:sz w:val="16"/>
                                <w:szCs w:val="16"/>
                              </w:rPr>
                              <w:t>Afforestation &amp; deforestation intentions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5A2C4" id="_x0000_s1032" type="#_x0000_t202" style="position:absolute;left:0;text-align:left;margin-left:328.15pt;margin-top:10.1pt;width:68.25pt;height:49.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" fillcolor="#da5a28" strokeweight=".5pt">
                <v:textbox>
                  <w:txbxContent>
                    <w:p w14:paraId="11E34593" w14:textId="25CA8463" w:rsidR="00DE6B51" w:rsidRPr="00DE6B51" w:rsidRDefault="00DE6B51" w:rsidP="00D5515A">
                      <w:pPr>
                        <w:spacing w:before="0" w:after="0" w:line="240" w:lineRule="auto"/>
                        <w:jc w:val="center"/>
                        <w:rPr>
                          <w:b/>
                          <w:bCs/>
                          <w:sz w:val="16"/>
                          <w:szCs w:val="16"/>
                        </w:rPr>
                      </w:pPr>
                      <w:r>
                        <w:rPr>
                          <w:b/>
                          <w:bCs/>
                          <w:sz w:val="16"/>
                          <w:szCs w:val="16"/>
                        </w:rPr>
                        <w:t>Afforestation &amp; deforestation intentions survey</w:t>
                      </w:r>
                    </w:p>
                  </w:txbxContent>
                </v:textbox>
              </v:shape>
            </w:pict>
          </mc:Fallback>
        </mc:AlternateContent>
      </w:r>
    </w:p>
    <w:p w14:paraId="7B184169" w14:textId="0A6DF197" w:rsidR="00884035" w:rsidRPr="00B87CC5" w:rsidRDefault="00884035" w:rsidP="00884035"/>
    <w:p w14:paraId="470CEAF9" w14:textId="7E20F12E" w:rsidR="00884035" w:rsidRPr="00B87CC5" w:rsidRDefault="00B651BD" w:rsidP="00884035">
      <w:r w:rsidRPr="00B87CC5">
        <w:rPr>
          <w:noProof/>
        </w:rPr>
        <mc:AlternateContent>
          <mc:Choice Requires="wps">
            <w:drawing>
              <wp:anchor distT="0" distB="0" distL="114300" distR="114300" simplePos="0" relativeHeight="251658248" behindDoc="0" locked="0" layoutInCell="1" allowOverlap="1" wp14:anchorId="0FD25B7A" wp14:editId="7AB76456">
                <wp:simplePos x="0" y="0"/>
                <wp:positionH relativeFrom="column">
                  <wp:posOffset>4573352</wp:posOffset>
                </wp:positionH>
                <wp:positionV relativeFrom="paragraph">
                  <wp:posOffset>91137</wp:posOffset>
                </wp:positionV>
                <wp:extent cx="7034" cy="177214"/>
                <wp:effectExtent l="76200" t="0" r="69215" b="51435"/>
                <wp:wrapNone/>
                <wp:docPr id="164271570" name="Straight Arrow Connector 6"/>
                <wp:cNvGraphicFramePr/>
                <a:graphic xmlns:a="http://schemas.openxmlformats.org/drawingml/2006/main">
                  <a:graphicData uri="http://schemas.microsoft.com/office/word/2010/wordprocessingShape">
                    <wps:wsp>
                      <wps:cNvCnPr/>
                      <wps:spPr>
                        <a:xfrm flipH="1">
                          <a:off x="0" y="0"/>
                          <a:ext cx="7034" cy="1772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325353" id="_x0000_t32" coordsize="21600,21600" o:spt="32" o:oned="t" path="m,l21600,21600e" filled="f">
                <v:path arrowok="t" fillok="f" o:connecttype="none"/>
                <o:lock v:ext="edit" shapetype="t"/>
              </v:shapetype>
              <v:shape id="Straight Arrow Connector 6" o:spid="_x0000_s1026" type="#_x0000_t32" style="position:absolute;margin-left:360.1pt;margin-top:7.2pt;width:.55pt;height:13.95pt;flip:x;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" strokecolor="#1a5066 [3044]">
                <v:stroke endarrow="block"/>
              </v:shape>
            </w:pict>
          </mc:Fallback>
        </mc:AlternateContent>
      </w:r>
      <w:r w:rsidRPr="00B87CC5">
        <w:rPr>
          <w:noProof/>
        </w:rPr>
        <mc:AlternateContent>
          <mc:Choice Requires="wps">
            <w:drawing>
              <wp:anchor distT="0" distB="0" distL="114300" distR="114300" simplePos="0" relativeHeight="251658246" behindDoc="0" locked="0" layoutInCell="1" allowOverlap="1" wp14:anchorId="5BE3DF4E" wp14:editId="689140A9">
                <wp:simplePos x="0" y="0"/>
                <wp:positionH relativeFrom="column">
                  <wp:posOffset>4267062</wp:posOffset>
                </wp:positionH>
                <wp:positionV relativeFrom="paragraph">
                  <wp:posOffset>251460</wp:posOffset>
                </wp:positionV>
                <wp:extent cx="717452" cy="561535"/>
                <wp:effectExtent l="0" t="0" r="26035" b="10160"/>
                <wp:wrapNone/>
                <wp:docPr id="676636446" name="Text Box 1"/>
                <wp:cNvGraphicFramePr/>
                <a:graphic xmlns:a="http://schemas.openxmlformats.org/drawingml/2006/main">
                  <a:graphicData uri="http://schemas.microsoft.com/office/word/2010/wordprocessingShape">
                    <wps:wsp>
                      <wps:cNvSpPr txBox="1"/>
                      <wps:spPr>
                        <a:xfrm>
                          <a:off x="0" y="0"/>
                          <a:ext cx="717452" cy="561535"/>
                        </a:xfrm>
                        <a:prstGeom prst="rect">
                          <a:avLst/>
                        </a:prstGeom>
                        <a:solidFill>
                          <a:srgbClr val="DA5A28"/>
                        </a:solidFill>
                        <a:ln w="6350">
                          <a:solidFill>
                            <a:prstClr val="black"/>
                          </a:solidFill>
                        </a:ln>
                      </wps:spPr>
                      <wps:txbx>
                        <w:txbxContent>
                          <w:p w14:paraId="18818D27" w14:textId="59260B51" w:rsidR="00DE6B51" w:rsidRPr="00DE6B51" w:rsidRDefault="00DE6B51" w:rsidP="00DE6B51">
                            <w:pPr>
                              <w:spacing w:before="0" w:after="0" w:line="240" w:lineRule="atLeast"/>
                              <w:jc w:val="center"/>
                              <w:rPr>
                                <w:b/>
                                <w:bCs/>
                                <w:sz w:val="16"/>
                                <w:szCs w:val="16"/>
                              </w:rPr>
                            </w:pPr>
                            <w:r w:rsidRPr="00DE6B51">
                              <w:rPr>
                                <w:b/>
                                <w:bCs/>
                                <w:sz w:val="16"/>
                                <w:szCs w:val="16"/>
                              </w:rPr>
                              <w:t>Forestry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3DF4E" id="_x0000_s1033" type="#_x0000_t202" style="position:absolute;left:0;text-align:left;margin-left:336pt;margin-top:19.8pt;width:56.5pt;height:44.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" fillcolor="#da5a28" strokeweight=".5pt">
                <v:textbox>
                  <w:txbxContent>
                    <w:p w14:paraId="18818D27" w14:textId="59260B51" w:rsidR="00DE6B51" w:rsidRPr="00DE6B51" w:rsidRDefault="00DE6B51" w:rsidP="00DE6B51">
                      <w:pPr>
                        <w:spacing w:before="0" w:after="0" w:line="240" w:lineRule="atLeast"/>
                        <w:jc w:val="center"/>
                        <w:rPr>
                          <w:b/>
                          <w:bCs/>
                          <w:sz w:val="16"/>
                          <w:szCs w:val="16"/>
                        </w:rPr>
                      </w:pPr>
                      <w:r w:rsidRPr="00DE6B51">
                        <w:rPr>
                          <w:b/>
                          <w:bCs/>
                          <w:sz w:val="16"/>
                          <w:szCs w:val="16"/>
                        </w:rPr>
                        <w:t>Forestry projections</w:t>
                      </w:r>
                    </w:p>
                  </w:txbxContent>
                </v:textbox>
              </v:shape>
            </w:pict>
          </mc:Fallback>
        </mc:AlternateContent>
      </w:r>
      <w:r w:rsidRPr="00B87CC5">
        <w:rPr>
          <w:noProof/>
        </w:rPr>
        <mc:AlternateContent>
          <mc:Choice Requires="wps">
            <w:drawing>
              <wp:anchor distT="0" distB="0" distL="114300" distR="114300" simplePos="0" relativeHeight="251658260" behindDoc="0" locked="0" layoutInCell="1" allowOverlap="1" wp14:anchorId="656EB783" wp14:editId="276A7255">
                <wp:simplePos x="0" y="0"/>
                <wp:positionH relativeFrom="column">
                  <wp:posOffset>3634988</wp:posOffset>
                </wp:positionH>
                <wp:positionV relativeFrom="paragraph">
                  <wp:posOffset>80341</wp:posOffset>
                </wp:positionV>
                <wp:extent cx="7952" cy="177165"/>
                <wp:effectExtent l="76200" t="0" r="68580" b="51435"/>
                <wp:wrapNone/>
                <wp:docPr id="1626217997" name="Straight Arrow Connector 1"/>
                <wp:cNvGraphicFramePr/>
                <a:graphic xmlns:a="http://schemas.openxmlformats.org/drawingml/2006/main">
                  <a:graphicData uri="http://schemas.microsoft.com/office/word/2010/wordprocessingShape">
                    <wps:wsp>
                      <wps:cNvCnPr/>
                      <wps:spPr>
                        <a:xfrm flipH="1">
                          <a:off x="0" y="0"/>
                          <a:ext cx="7952" cy="1771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BA5DDC" id="Straight Arrow Connector 1" o:spid="_x0000_s1026" type="#_x0000_t32" style="position:absolute;margin-left:286.2pt;margin-top:6.35pt;width:.65pt;height:13.95pt;flip:x;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" strokecolor="#1a5066 [3044]">
                <v:stroke endarrow="block"/>
              </v:shape>
            </w:pict>
          </mc:Fallback>
        </mc:AlternateContent>
      </w:r>
      <w:r w:rsidR="006A6811" w:rsidRPr="00B87CC5">
        <w:rPr>
          <w:noProof/>
        </w:rPr>
        <mc:AlternateContent>
          <mc:Choice Requires="wps">
            <w:drawing>
              <wp:anchor distT="0" distB="0" distL="114300" distR="114300" simplePos="0" relativeHeight="251658244" behindDoc="0" locked="0" layoutInCell="1" allowOverlap="1" wp14:anchorId="75464B65" wp14:editId="39B0DFAD">
                <wp:simplePos x="0" y="0"/>
                <wp:positionH relativeFrom="column">
                  <wp:posOffset>2291218</wp:posOffset>
                </wp:positionH>
                <wp:positionV relativeFrom="paragraph">
                  <wp:posOffset>86747</wp:posOffset>
                </wp:positionV>
                <wp:extent cx="752475" cy="720366"/>
                <wp:effectExtent l="0" t="0" r="28575" b="22860"/>
                <wp:wrapNone/>
                <wp:docPr id="1829540198" name="Text Box 1"/>
                <wp:cNvGraphicFramePr/>
                <a:graphic xmlns:a="http://schemas.openxmlformats.org/drawingml/2006/main">
                  <a:graphicData uri="http://schemas.microsoft.com/office/word/2010/wordprocessingShape">
                    <wps:wsp>
                      <wps:cNvSpPr txBox="1"/>
                      <wps:spPr>
                        <a:xfrm>
                          <a:off x="0" y="0"/>
                          <a:ext cx="752475" cy="720366"/>
                        </a:xfrm>
                        <a:prstGeom prst="rect">
                          <a:avLst/>
                        </a:prstGeom>
                        <a:solidFill>
                          <a:srgbClr val="000000"/>
                        </a:solidFill>
                        <a:ln w="6350">
                          <a:solidFill>
                            <a:prstClr val="black"/>
                          </a:solidFill>
                        </a:ln>
                      </wps:spPr>
                      <wps:txbx>
                        <w:txbxContent>
                          <w:p w14:paraId="0283928A" w14:textId="129B03C7" w:rsidR="00DE6B51" w:rsidRPr="00DE6B51" w:rsidRDefault="00DE6B51" w:rsidP="00DE6B51">
                            <w:pPr>
                              <w:spacing w:before="0" w:after="0" w:line="240" w:lineRule="atLeast"/>
                              <w:jc w:val="center"/>
                              <w:rPr>
                                <w:color w:val="FFFFFF" w:themeColor="background1"/>
                                <w:sz w:val="16"/>
                                <w:szCs w:val="16"/>
                              </w:rPr>
                            </w:pPr>
                            <w:r w:rsidRPr="00DE6B51">
                              <w:rPr>
                                <w:color w:val="FFFFFF" w:themeColor="background1"/>
                                <w:sz w:val="16"/>
                                <w:szCs w:val="16"/>
                              </w:rPr>
                              <w:t>Waste</w:t>
                            </w:r>
                            <w:r w:rsidR="00A17BE2">
                              <w:rPr>
                                <w:color w:val="FFFFFF" w:themeColor="background1"/>
                                <w:sz w:val="16"/>
                                <w:szCs w:val="16"/>
                              </w:rPr>
                              <w:t>,</w:t>
                            </w:r>
                            <w:r>
                              <w:rPr>
                                <w:color w:val="FFFFFF" w:themeColor="background1"/>
                                <w:sz w:val="16"/>
                                <w:szCs w:val="16"/>
                              </w:rPr>
                              <w:t xml:space="preserve"> F-gas </w:t>
                            </w:r>
                            <w:r w:rsidR="005B151D">
                              <w:rPr>
                                <w:color w:val="FFFFFF" w:themeColor="background1"/>
                                <w:sz w:val="16"/>
                                <w:szCs w:val="16"/>
                              </w:rPr>
                              <w:t>&amp; Tokelau</w:t>
                            </w:r>
                            <w:r w:rsidR="00A17BE2">
                              <w:rPr>
                                <w:color w:val="FFFFFF" w:themeColor="background1"/>
                                <w:sz w:val="16"/>
                                <w:szCs w:val="16"/>
                              </w:rPr>
                              <w:t xml:space="preserve"> </w:t>
                            </w:r>
                            <w:r w:rsidRPr="00DE6B51">
                              <w:rPr>
                                <w:color w:val="FFFFFF" w:themeColor="background1"/>
                                <w:sz w:val="16"/>
                                <w:szCs w:val="16"/>
                              </w:rPr>
                              <w:t>emission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64B65" id="_x0000_s1034" type="#_x0000_t202" style="position:absolute;left:0;text-align:left;margin-left:180.4pt;margin-top:6.85pt;width:59.25pt;height:56.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" fillcolor="black" strokeweight=".5pt">
                <v:textbox>
                  <w:txbxContent>
                    <w:p w14:paraId="0283928A" w14:textId="129B03C7" w:rsidR="00DE6B51" w:rsidRPr="00DE6B51" w:rsidRDefault="00DE6B51" w:rsidP="00DE6B51">
                      <w:pPr>
                        <w:spacing w:before="0" w:after="0" w:line="240" w:lineRule="atLeast"/>
                        <w:jc w:val="center"/>
                        <w:rPr>
                          <w:color w:val="FFFFFF" w:themeColor="background1"/>
                          <w:sz w:val="16"/>
                          <w:szCs w:val="16"/>
                        </w:rPr>
                      </w:pPr>
                      <w:r w:rsidRPr="00DE6B51">
                        <w:rPr>
                          <w:color w:val="FFFFFF" w:themeColor="background1"/>
                          <w:sz w:val="16"/>
                          <w:szCs w:val="16"/>
                        </w:rPr>
                        <w:t>Waste</w:t>
                      </w:r>
                      <w:r w:rsidR="00A17BE2">
                        <w:rPr>
                          <w:color w:val="FFFFFF" w:themeColor="background1"/>
                          <w:sz w:val="16"/>
                          <w:szCs w:val="16"/>
                        </w:rPr>
                        <w:t>,</w:t>
                      </w:r>
                      <w:r>
                        <w:rPr>
                          <w:color w:val="FFFFFF" w:themeColor="background1"/>
                          <w:sz w:val="16"/>
                          <w:szCs w:val="16"/>
                        </w:rPr>
                        <w:t xml:space="preserve"> F-gas </w:t>
                      </w:r>
                      <w:r w:rsidR="005B151D">
                        <w:rPr>
                          <w:color w:val="FFFFFF" w:themeColor="background1"/>
                          <w:sz w:val="16"/>
                          <w:szCs w:val="16"/>
                        </w:rPr>
                        <w:t>&amp; Tokelau</w:t>
                      </w:r>
                      <w:r w:rsidR="00A17BE2">
                        <w:rPr>
                          <w:color w:val="FFFFFF" w:themeColor="background1"/>
                          <w:sz w:val="16"/>
                          <w:szCs w:val="16"/>
                        </w:rPr>
                        <w:t xml:space="preserve"> </w:t>
                      </w:r>
                      <w:r w:rsidRPr="00DE6B51">
                        <w:rPr>
                          <w:color w:val="FFFFFF" w:themeColor="background1"/>
                          <w:sz w:val="16"/>
                          <w:szCs w:val="16"/>
                        </w:rPr>
                        <w:t>emission projections</w:t>
                      </w:r>
                    </w:p>
                  </w:txbxContent>
                </v:textbox>
              </v:shape>
            </w:pict>
          </mc:Fallback>
        </mc:AlternateContent>
      </w:r>
      <w:r w:rsidR="0024024C" w:rsidRPr="00B87CC5">
        <w:rPr>
          <w:noProof/>
        </w:rPr>
        <mc:AlternateContent>
          <mc:Choice Requires="wps">
            <w:drawing>
              <wp:anchor distT="0" distB="0" distL="114300" distR="114300" simplePos="0" relativeHeight="251658258" behindDoc="0" locked="0" layoutInCell="1" allowOverlap="1" wp14:anchorId="622DBF8B" wp14:editId="5181BD8C">
                <wp:simplePos x="0" y="0"/>
                <wp:positionH relativeFrom="column">
                  <wp:posOffset>536477</wp:posOffset>
                </wp:positionH>
                <wp:positionV relativeFrom="paragraph">
                  <wp:posOffset>39614</wp:posOffset>
                </wp:positionV>
                <wp:extent cx="8206" cy="191038"/>
                <wp:effectExtent l="76200" t="38100" r="68580" b="57150"/>
                <wp:wrapNone/>
                <wp:docPr id="1451021177" name="Straight Arrow Connector 10"/>
                <wp:cNvGraphicFramePr/>
                <a:graphic xmlns:a="http://schemas.openxmlformats.org/drawingml/2006/main">
                  <a:graphicData uri="http://schemas.microsoft.com/office/word/2010/wordprocessingShape">
                    <wps:wsp>
                      <wps:cNvCnPr/>
                      <wps:spPr>
                        <a:xfrm>
                          <a:off x="0" y="0"/>
                          <a:ext cx="8206" cy="19103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74A5B5" id="Straight Arrow Connector 10" o:spid="_x0000_s1026" type="#_x0000_t32" style="position:absolute;margin-left:42.25pt;margin-top:3.1pt;width:.65pt;height:15.05pt;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" strokecolor="#1a5066 [3044]">
                <v:stroke startarrow="block" endarrow="block"/>
              </v:shape>
            </w:pict>
          </mc:Fallback>
        </mc:AlternateContent>
      </w:r>
      <w:r w:rsidR="00DE6B51" w:rsidRPr="00B87CC5">
        <w:rPr>
          <w:noProof/>
        </w:rPr>
        <mc:AlternateContent>
          <mc:Choice Requires="wps">
            <w:drawing>
              <wp:anchor distT="0" distB="0" distL="114300" distR="114300" simplePos="0" relativeHeight="251658245" behindDoc="0" locked="0" layoutInCell="1" allowOverlap="1" wp14:anchorId="7A51AE40" wp14:editId="79518B8F">
                <wp:simplePos x="0" y="0"/>
                <wp:positionH relativeFrom="column">
                  <wp:posOffset>3224579</wp:posOffset>
                </wp:positionH>
                <wp:positionV relativeFrom="paragraph">
                  <wp:posOffset>253706</wp:posOffset>
                </wp:positionV>
                <wp:extent cx="717452" cy="561535"/>
                <wp:effectExtent l="0" t="0" r="26035" b="10160"/>
                <wp:wrapNone/>
                <wp:docPr id="649866301" name="Text Box 1"/>
                <wp:cNvGraphicFramePr/>
                <a:graphic xmlns:a="http://schemas.openxmlformats.org/drawingml/2006/main">
                  <a:graphicData uri="http://schemas.microsoft.com/office/word/2010/wordprocessingShape">
                    <wps:wsp>
                      <wps:cNvSpPr txBox="1"/>
                      <wps:spPr>
                        <a:xfrm>
                          <a:off x="0" y="0"/>
                          <a:ext cx="717452" cy="561535"/>
                        </a:xfrm>
                        <a:prstGeom prst="rect">
                          <a:avLst/>
                        </a:prstGeom>
                        <a:solidFill>
                          <a:schemeClr val="bg2"/>
                        </a:solidFill>
                        <a:ln w="6350">
                          <a:solidFill>
                            <a:prstClr val="black"/>
                          </a:solidFill>
                        </a:ln>
                      </wps:spPr>
                      <wps:txbx>
                        <w:txbxContent>
                          <w:p w14:paraId="046019A6" w14:textId="714F23BA" w:rsidR="00DE6B51" w:rsidRPr="00DE6B51" w:rsidRDefault="00DE6B51" w:rsidP="00DE6B51">
                            <w:pPr>
                              <w:spacing w:before="0" w:after="0" w:line="240" w:lineRule="atLeast"/>
                              <w:jc w:val="center"/>
                              <w:rPr>
                                <w:sz w:val="16"/>
                                <w:szCs w:val="16"/>
                              </w:rPr>
                            </w:pPr>
                            <w:r>
                              <w:rPr>
                                <w:sz w:val="16"/>
                                <w:szCs w:val="16"/>
                              </w:rPr>
                              <w:t>Agriculture inventory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1AE40" id="_x0000_s1035" type="#_x0000_t202" style="position:absolute;left:0;text-align:left;margin-left:253.9pt;margin-top:20pt;width:56.5pt;height:4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" fillcolor="#d2dde1 [3214]" strokeweight=".5pt">
                <v:textbox>
                  <w:txbxContent>
                    <w:p w14:paraId="046019A6" w14:textId="714F23BA" w:rsidR="00DE6B51" w:rsidRPr="00DE6B51" w:rsidRDefault="00DE6B51" w:rsidP="00DE6B51">
                      <w:pPr>
                        <w:spacing w:before="0" w:after="0" w:line="240" w:lineRule="atLeast"/>
                        <w:jc w:val="center"/>
                        <w:rPr>
                          <w:sz w:val="16"/>
                          <w:szCs w:val="16"/>
                        </w:rPr>
                      </w:pPr>
                      <w:r>
                        <w:rPr>
                          <w:sz w:val="16"/>
                          <w:szCs w:val="16"/>
                        </w:rPr>
                        <w:t>Agriculture inventory model</w:t>
                      </w:r>
                    </w:p>
                  </w:txbxContent>
                </v:textbox>
              </v:shape>
            </w:pict>
          </mc:Fallback>
        </mc:AlternateContent>
      </w:r>
      <w:r w:rsidR="00DE6B51" w:rsidRPr="00B87CC5">
        <w:rPr>
          <w:noProof/>
        </w:rPr>
        <mc:AlternateContent>
          <mc:Choice Requires="wps">
            <w:drawing>
              <wp:anchor distT="0" distB="0" distL="114300" distR="114300" simplePos="0" relativeHeight="251658241" behindDoc="0" locked="0" layoutInCell="1" allowOverlap="1" wp14:anchorId="475B0C30" wp14:editId="4863D5C6">
                <wp:simplePos x="0" y="0"/>
                <wp:positionH relativeFrom="column">
                  <wp:posOffset>1177730</wp:posOffset>
                </wp:positionH>
                <wp:positionV relativeFrom="paragraph">
                  <wp:posOffset>91929</wp:posOffset>
                </wp:positionV>
                <wp:extent cx="921433" cy="716720"/>
                <wp:effectExtent l="0" t="0" r="12065" b="26670"/>
                <wp:wrapNone/>
                <wp:docPr id="512954370" name="Text Box 1"/>
                <wp:cNvGraphicFramePr/>
                <a:graphic xmlns:a="http://schemas.openxmlformats.org/drawingml/2006/main">
                  <a:graphicData uri="http://schemas.microsoft.com/office/word/2010/wordprocessingShape">
                    <wps:wsp>
                      <wps:cNvSpPr txBox="1"/>
                      <wps:spPr>
                        <a:xfrm>
                          <a:off x="0" y="0"/>
                          <a:ext cx="921433" cy="716720"/>
                        </a:xfrm>
                        <a:prstGeom prst="rect">
                          <a:avLst/>
                        </a:prstGeom>
                        <a:solidFill>
                          <a:schemeClr val="accent2"/>
                        </a:solidFill>
                        <a:ln w="6350">
                          <a:solidFill>
                            <a:prstClr val="black"/>
                          </a:solidFill>
                        </a:ln>
                      </wps:spPr>
                      <wps:txbx>
                        <w:txbxContent>
                          <w:p w14:paraId="15505E2C" w14:textId="03B4629F" w:rsidR="00DE6B51" w:rsidRPr="00525D50" w:rsidRDefault="00DE6B51" w:rsidP="00DE6B51">
                            <w:pPr>
                              <w:spacing w:before="0" w:after="0" w:line="240" w:lineRule="atLeast"/>
                              <w:jc w:val="center"/>
                              <w:rPr>
                                <w:color w:val="FFFFFF" w:themeColor="background1"/>
                                <w:sz w:val="16"/>
                                <w:szCs w:val="16"/>
                              </w:rPr>
                            </w:pPr>
                            <w:r w:rsidRPr="00525D50">
                              <w:rPr>
                                <w:color w:val="FFFFFF" w:themeColor="background1"/>
                                <w:sz w:val="16"/>
                                <w:szCs w:val="16"/>
                              </w:rPr>
                              <w:t>Vehicle Fleet Emissions Model + other transport demand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B0C30" id="_x0000_t202" coordsize="21600,21600" o:spt="202" path="m,l,21600r21600,l21600,xe">
                <v:stroke joinstyle="miter"/>
                <v:path gradientshapeok="t" o:connecttype="rect"/>
              </v:shapetype>
              <v:shape id="_x0000_s1036" type="#_x0000_t202" style="position:absolute;left:0;text-align:left;margin-left:92.75pt;margin-top:7.25pt;width:72.55pt;height:56.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" fillcolor="#32809c [3205]" strokeweight=".5pt">
                <v:textbox>
                  <w:txbxContent>
                    <w:p w14:paraId="15505E2C" w14:textId="03B4629F" w:rsidR="00DE6B51" w:rsidRPr="00525D50" w:rsidRDefault="00DE6B51" w:rsidP="00DE6B51">
                      <w:pPr>
                        <w:spacing w:before="0" w:after="0" w:line="240" w:lineRule="atLeast"/>
                        <w:jc w:val="center"/>
                        <w:rPr>
                          <w:color w:val="FFFFFF" w:themeColor="background1"/>
                          <w:sz w:val="16"/>
                          <w:szCs w:val="16"/>
                        </w:rPr>
                      </w:pPr>
                      <w:r w:rsidRPr="00525D50">
                        <w:rPr>
                          <w:color w:val="FFFFFF" w:themeColor="background1"/>
                          <w:sz w:val="16"/>
                          <w:szCs w:val="16"/>
                        </w:rPr>
                        <w:t>Vehicle Fleet Emissions Model + other transport demand models</w:t>
                      </w:r>
                    </w:p>
                  </w:txbxContent>
                </v:textbox>
              </v:shape>
            </w:pict>
          </mc:Fallback>
        </mc:AlternateContent>
      </w:r>
      <w:r w:rsidR="00DE6B51" w:rsidRPr="00B87CC5">
        <w:rPr>
          <w:noProof/>
        </w:rPr>
        <mc:AlternateContent>
          <mc:Choice Requires="wps">
            <w:drawing>
              <wp:anchor distT="0" distB="0" distL="114300" distR="114300" simplePos="0" relativeHeight="251658242" behindDoc="0" locked="0" layoutInCell="1" allowOverlap="1" wp14:anchorId="3CA9E6A5" wp14:editId="390CEB44">
                <wp:simplePos x="0" y="0"/>
                <wp:positionH relativeFrom="margin">
                  <wp:align>left</wp:align>
                </wp:positionH>
                <wp:positionV relativeFrom="paragraph">
                  <wp:posOffset>230701</wp:posOffset>
                </wp:positionV>
                <wp:extent cx="991773" cy="562610"/>
                <wp:effectExtent l="0" t="0" r="18415" b="27940"/>
                <wp:wrapNone/>
                <wp:docPr id="1436093131" name="Text Box 1"/>
                <wp:cNvGraphicFramePr/>
                <a:graphic xmlns:a="http://schemas.openxmlformats.org/drawingml/2006/main">
                  <a:graphicData uri="http://schemas.microsoft.com/office/word/2010/wordprocessingShape">
                    <wps:wsp>
                      <wps:cNvSpPr txBox="1"/>
                      <wps:spPr>
                        <a:xfrm>
                          <a:off x="0" y="0"/>
                          <a:ext cx="991773" cy="562610"/>
                        </a:xfrm>
                        <a:prstGeom prst="rect">
                          <a:avLst/>
                        </a:prstGeom>
                        <a:solidFill>
                          <a:schemeClr val="accent5"/>
                        </a:solidFill>
                        <a:ln w="6350">
                          <a:solidFill>
                            <a:prstClr val="black"/>
                          </a:solidFill>
                        </a:ln>
                      </wps:spPr>
                      <wps:txbx>
                        <w:txbxContent>
                          <w:p w14:paraId="0C6FAFCE" w14:textId="77777777" w:rsidR="00DE6B51" w:rsidRPr="00DE6B51" w:rsidRDefault="00DE6B51" w:rsidP="00DE6B51">
                            <w:pPr>
                              <w:spacing w:before="0" w:after="0" w:line="240" w:lineRule="atLeast"/>
                              <w:jc w:val="center"/>
                              <w:rPr>
                                <w:sz w:val="18"/>
                                <w:szCs w:val="18"/>
                              </w:rPr>
                            </w:pPr>
                            <w:r>
                              <w:rPr>
                                <w:sz w:val="18"/>
                                <w:szCs w:val="18"/>
                              </w:rPr>
                              <w:t>Supply and Demand Energy Model (SADEM)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9E6A5" id="_x0000_s1037" type="#_x0000_t202" style="position:absolute;left:0;text-align:left;margin-left:0;margin-top:18.15pt;width:78.1pt;height:44.3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" fillcolor="#6fc7b7 [3208]" strokeweight=".5pt">
                <v:textbox>
                  <w:txbxContent>
                    <w:p w14:paraId="0C6FAFCE" w14:textId="77777777" w:rsidR="00DE6B51" w:rsidRPr="00DE6B51" w:rsidRDefault="00DE6B51" w:rsidP="00DE6B51">
                      <w:pPr>
                        <w:spacing w:before="0" w:after="0" w:line="240" w:lineRule="atLeast"/>
                        <w:jc w:val="center"/>
                        <w:rPr>
                          <w:sz w:val="18"/>
                          <w:szCs w:val="18"/>
                        </w:rPr>
                      </w:pPr>
                      <w:r>
                        <w:rPr>
                          <w:sz w:val="18"/>
                          <w:szCs w:val="18"/>
                        </w:rPr>
                        <w:t>Supply and Demand Energy Model (SADEM)</w:t>
                      </w:r>
                    </w:p>
                  </w:txbxContent>
                </v:textbox>
                <w10:wrap anchorx="margin"/>
              </v:shape>
            </w:pict>
          </mc:Fallback>
        </mc:AlternateContent>
      </w:r>
    </w:p>
    <w:p w14:paraId="75FC81CF" w14:textId="16EC47C3" w:rsidR="00DE6B51" w:rsidRPr="00B87CC5" w:rsidRDefault="00B651BD" w:rsidP="00884035">
      <w:r w:rsidRPr="00B87CC5">
        <w:rPr>
          <w:noProof/>
        </w:rPr>
        <mc:AlternateContent>
          <mc:Choice Requires="wps">
            <w:drawing>
              <wp:anchor distT="0" distB="0" distL="114300" distR="114300" simplePos="0" relativeHeight="251658261" behindDoc="0" locked="0" layoutInCell="1" allowOverlap="1" wp14:anchorId="721B482C" wp14:editId="54A2D9B7">
                <wp:simplePos x="0" y="0"/>
                <wp:positionH relativeFrom="column">
                  <wp:posOffset>3938436</wp:posOffset>
                </wp:positionH>
                <wp:positionV relativeFrom="paragraph">
                  <wp:posOffset>179512</wp:posOffset>
                </wp:positionV>
                <wp:extent cx="332657" cy="0"/>
                <wp:effectExtent l="38100" t="76200" r="0" b="95250"/>
                <wp:wrapNone/>
                <wp:docPr id="1564395151" name="Straight Arrow Connector 2"/>
                <wp:cNvGraphicFramePr/>
                <a:graphic xmlns:a="http://schemas.openxmlformats.org/drawingml/2006/main">
                  <a:graphicData uri="http://schemas.microsoft.com/office/word/2010/wordprocessingShape">
                    <wps:wsp>
                      <wps:cNvCnPr/>
                      <wps:spPr>
                        <a:xfrm flipH="1">
                          <a:off x="0" y="0"/>
                          <a:ext cx="33265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825BE4" id="Straight Arrow Connector 2" o:spid="_x0000_s1026" type="#_x0000_t32" style="position:absolute;margin-left:310.1pt;margin-top:14.15pt;width:26.2pt;height:0;flip:x;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" strokecolor="#1a5066 [3044]">
                <v:stroke endarrow="block"/>
              </v:shape>
            </w:pict>
          </mc:Fallback>
        </mc:AlternateContent>
      </w:r>
      <w:r w:rsidR="00DE6B51" w:rsidRPr="00B87CC5">
        <w:rPr>
          <w:noProof/>
        </w:rPr>
        <mc:AlternateContent>
          <mc:Choice Requires="wps">
            <w:drawing>
              <wp:anchor distT="0" distB="0" distL="114300" distR="114300" simplePos="0" relativeHeight="251658243" behindDoc="0" locked="0" layoutInCell="1" allowOverlap="1" wp14:anchorId="50ACFBD8" wp14:editId="18EA1D77">
                <wp:simplePos x="0" y="0"/>
                <wp:positionH relativeFrom="column">
                  <wp:posOffset>1001883</wp:posOffset>
                </wp:positionH>
                <wp:positionV relativeFrom="paragraph">
                  <wp:posOffset>148590</wp:posOffset>
                </wp:positionV>
                <wp:extent cx="168813" cy="7034"/>
                <wp:effectExtent l="19050" t="57150" r="0" b="88265"/>
                <wp:wrapNone/>
                <wp:docPr id="174174290" name="Straight Arrow Connector 5"/>
                <wp:cNvGraphicFramePr/>
                <a:graphic xmlns:a="http://schemas.openxmlformats.org/drawingml/2006/main">
                  <a:graphicData uri="http://schemas.microsoft.com/office/word/2010/wordprocessingShape">
                    <wps:wsp>
                      <wps:cNvCnPr/>
                      <wps:spPr>
                        <a:xfrm flipH="1">
                          <a:off x="0" y="0"/>
                          <a:ext cx="168813" cy="70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2FBDF3" id="Straight Arrow Connector 5" o:spid="_x0000_s1026" type="#_x0000_t32" style="position:absolute;margin-left:78.9pt;margin-top:11.7pt;width:13.3pt;height:.55pt;flip:x;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" strokecolor="#1a5066 [3044]">
                <v:stroke endarrow="block"/>
              </v:shape>
            </w:pict>
          </mc:Fallback>
        </mc:AlternateContent>
      </w:r>
    </w:p>
    <w:p w14:paraId="4E3FB338" w14:textId="0D472379" w:rsidR="00DE6B51" w:rsidRPr="00B87CC5" w:rsidRDefault="007C4675" w:rsidP="00884035">
      <w:r w:rsidRPr="00B87CC5">
        <w:rPr>
          <w:noProof/>
        </w:rPr>
        <mc:AlternateContent>
          <mc:Choice Requires="wps">
            <w:drawing>
              <wp:anchor distT="0" distB="0" distL="114300" distR="114300" simplePos="0" relativeHeight="251658253" behindDoc="0" locked="0" layoutInCell="1" allowOverlap="1" wp14:anchorId="1957E266" wp14:editId="3897845B">
                <wp:simplePos x="0" y="0"/>
                <wp:positionH relativeFrom="column">
                  <wp:posOffset>4637570</wp:posOffset>
                </wp:positionH>
                <wp:positionV relativeFrom="paragraph">
                  <wp:posOffset>170015</wp:posOffset>
                </wp:positionV>
                <wp:extent cx="0" cy="212383"/>
                <wp:effectExtent l="76200" t="0" r="57150" b="54610"/>
                <wp:wrapNone/>
                <wp:docPr id="416197100" name="Straight Arrow Connector 8"/>
                <wp:cNvGraphicFramePr/>
                <a:graphic xmlns:a="http://schemas.openxmlformats.org/drawingml/2006/main">
                  <a:graphicData uri="http://schemas.microsoft.com/office/word/2010/wordprocessingShape">
                    <wps:wsp>
                      <wps:cNvCnPr/>
                      <wps:spPr>
                        <a:xfrm>
                          <a:off x="0" y="0"/>
                          <a:ext cx="0" cy="212383"/>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CA4D2E" id="Straight Arrow Connector 8" o:spid="_x0000_s1026" type="#_x0000_t32" style="position:absolute;margin-left:365.15pt;margin-top:13.4pt;width:0;height:16.7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" strokecolor="#1b556b [3215]">
                <v:stroke endarrow="block"/>
              </v:shape>
            </w:pict>
          </mc:Fallback>
        </mc:AlternateContent>
      </w:r>
      <w:r w:rsidRPr="00B87CC5">
        <w:rPr>
          <w:noProof/>
        </w:rPr>
        <mc:AlternateContent>
          <mc:Choice Requires="wps">
            <w:drawing>
              <wp:anchor distT="0" distB="0" distL="114300" distR="114300" simplePos="0" relativeHeight="251658252" behindDoc="0" locked="0" layoutInCell="1" allowOverlap="1" wp14:anchorId="1FEA87EF" wp14:editId="66C70AA4">
                <wp:simplePos x="0" y="0"/>
                <wp:positionH relativeFrom="column">
                  <wp:posOffset>3615397</wp:posOffset>
                </wp:positionH>
                <wp:positionV relativeFrom="paragraph">
                  <wp:posOffset>158897</wp:posOffset>
                </wp:positionV>
                <wp:extent cx="0" cy="212383"/>
                <wp:effectExtent l="76200" t="0" r="57150" b="54610"/>
                <wp:wrapNone/>
                <wp:docPr id="1148348567" name="Straight Arrow Connector 8"/>
                <wp:cNvGraphicFramePr/>
                <a:graphic xmlns:a="http://schemas.openxmlformats.org/drawingml/2006/main">
                  <a:graphicData uri="http://schemas.microsoft.com/office/word/2010/wordprocessingShape">
                    <wps:wsp>
                      <wps:cNvCnPr/>
                      <wps:spPr>
                        <a:xfrm>
                          <a:off x="0" y="0"/>
                          <a:ext cx="0" cy="212383"/>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09C5E0" id="Straight Arrow Connector 8" o:spid="_x0000_s1026" type="#_x0000_t32" style="position:absolute;margin-left:284.7pt;margin-top:12.5pt;width:0;height:16.7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" strokecolor="#1b556b [3215]">
                <v:stroke endarrow="block"/>
              </v:shape>
            </w:pict>
          </mc:Fallback>
        </mc:AlternateContent>
      </w:r>
      <w:r w:rsidRPr="00B87CC5">
        <w:rPr>
          <w:noProof/>
        </w:rPr>
        <mc:AlternateContent>
          <mc:Choice Requires="wps">
            <w:drawing>
              <wp:anchor distT="0" distB="0" distL="114300" distR="114300" simplePos="0" relativeHeight="251658251" behindDoc="0" locked="0" layoutInCell="1" allowOverlap="1" wp14:anchorId="449CBCFD" wp14:editId="7CF0254B">
                <wp:simplePos x="0" y="0"/>
                <wp:positionH relativeFrom="column">
                  <wp:posOffset>2693963</wp:posOffset>
                </wp:positionH>
                <wp:positionV relativeFrom="paragraph">
                  <wp:posOffset>158897</wp:posOffset>
                </wp:positionV>
                <wp:extent cx="0" cy="212383"/>
                <wp:effectExtent l="76200" t="0" r="57150" b="54610"/>
                <wp:wrapNone/>
                <wp:docPr id="1881306826" name="Straight Arrow Connector 8"/>
                <wp:cNvGraphicFramePr/>
                <a:graphic xmlns:a="http://schemas.openxmlformats.org/drawingml/2006/main">
                  <a:graphicData uri="http://schemas.microsoft.com/office/word/2010/wordprocessingShape">
                    <wps:wsp>
                      <wps:cNvCnPr/>
                      <wps:spPr>
                        <a:xfrm>
                          <a:off x="0" y="0"/>
                          <a:ext cx="0" cy="212383"/>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D27CEF" id="Straight Arrow Connector 8" o:spid="_x0000_s1026" type="#_x0000_t32" style="position:absolute;margin-left:212.1pt;margin-top:12.5pt;width:0;height:16.7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" strokecolor="#1b556b [3215]">
                <v:stroke endarrow="block"/>
              </v:shape>
            </w:pict>
          </mc:Fallback>
        </mc:AlternateContent>
      </w:r>
      <w:r w:rsidRPr="00B87CC5">
        <w:rPr>
          <w:noProof/>
        </w:rPr>
        <mc:AlternateContent>
          <mc:Choice Requires="wps">
            <w:drawing>
              <wp:anchor distT="0" distB="0" distL="114300" distR="114300" simplePos="0" relativeHeight="251658250" behindDoc="0" locked="0" layoutInCell="1" allowOverlap="1" wp14:anchorId="2A655E7B" wp14:editId="23D3A7C8">
                <wp:simplePos x="0" y="0"/>
                <wp:positionH relativeFrom="column">
                  <wp:posOffset>537650</wp:posOffset>
                </wp:positionH>
                <wp:positionV relativeFrom="paragraph">
                  <wp:posOffset>154647</wp:posOffset>
                </wp:positionV>
                <wp:extent cx="0" cy="212383"/>
                <wp:effectExtent l="76200" t="0" r="57150" b="54610"/>
                <wp:wrapNone/>
                <wp:docPr id="1575644516" name="Straight Arrow Connector 8"/>
                <wp:cNvGraphicFramePr/>
                <a:graphic xmlns:a="http://schemas.openxmlformats.org/drawingml/2006/main">
                  <a:graphicData uri="http://schemas.microsoft.com/office/word/2010/wordprocessingShape">
                    <wps:wsp>
                      <wps:cNvCnPr/>
                      <wps:spPr>
                        <a:xfrm>
                          <a:off x="0" y="0"/>
                          <a:ext cx="0" cy="212383"/>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E56350" id="Straight Arrow Connector 8" o:spid="_x0000_s1026" type="#_x0000_t32" style="position:absolute;margin-left:42.35pt;margin-top:12.2pt;width:0;height:16.7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" strokecolor="#1b556b [3215]">
                <v:stroke endarrow="block"/>
              </v:shape>
            </w:pict>
          </mc:Fallback>
        </mc:AlternateContent>
      </w:r>
    </w:p>
    <w:p w14:paraId="1E0A23A9" w14:textId="1745CDE5" w:rsidR="00DE6B51" w:rsidRPr="00B87CC5" w:rsidRDefault="00DE6B51" w:rsidP="00884035">
      <w:r w:rsidRPr="00B87CC5">
        <w:rPr>
          <w:noProof/>
        </w:rPr>
        <mc:AlternateContent>
          <mc:Choice Requires="wps">
            <w:drawing>
              <wp:anchor distT="0" distB="0" distL="114300" distR="114300" simplePos="0" relativeHeight="251658249" behindDoc="0" locked="0" layoutInCell="1" allowOverlap="1" wp14:anchorId="5B18498C" wp14:editId="7F56C544">
                <wp:simplePos x="0" y="0"/>
                <wp:positionH relativeFrom="margin">
                  <wp:align>left</wp:align>
                </wp:positionH>
                <wp:positionV relativeFrom="paragraph">
                  <wp:posOffset>43864</wp:posOffset>
                </wp:positionV>
                <wp:extent cx="5049079" cy="286247"/>
                <wp:effectExtent l="0" t="0" r="18415" b="19050"/>
                <wp:wrapNone/>
                <wp:docPr id="1963431705" name="Text Box 1"/>
                <wp:cNvGraphicFramePr/>
                <a:graphic xmlns:a="http://schemas.openxmlformats.org/drawingml/2006/main">
                  <a:graphicData uri="http://schemas.microsoft.com/office/word/2010/wordprocessingShape">
                    <wps:wsp>
                      <wps:cNvSpPr txBox="1"/>
                      <wps:spPr>
                        <a:xfrm>
                          <a:off x="0" y="0"/>
                          <a:ext cx="5049079" cy="286247"/>
                        </a:xfrm>
                        <a:prstGeom prst="rect">
                          <a:avLst/>
                        </a:prstGeom>
                        <a:solidFill>
                          <a:schemeClr val="accent3"/>
                        </a:solidFill>
                        <a:ln w="6350">
                          <a:solidFill>
                            <a:prstClr val="black"/>
                          </a:solidFill>
                        </a:ln>
                      </wps:spPr>
                      <wps:txbx>
                        <w:txbxContent>
                          <w:p w14:paraId="328CAE47" w14:textId="1AA6282A" w:rsidR="00DE6B51" w:rsidRPr="00DE6B51" w:rsidRDefault="00DE6B51" w:rsidP="00DE6B51">
                            <w:pPr>
                              <w:spacing w:before="0" w:after="0" w:line="240" w:lineRule="atLeast"/>
                              <w:jc w:val="center"/>
                              <w:rPr>
                                <w:b/>
                                <w:bCs/>
                                <w:sz w:val="16"/>
                                <w:szCs w:val="16"/>
                              </w:rPr>
                            </w:pPr>
                            <w:r w:rsidRPr="00DE6B51">
                              <w:rPr>
                                <w:b/>
                                <w:bCs/>
                                <w:sz w:val="16"/>
                                <w:szCs w:val="16"/>
                              </w:rPr>
                              <w:t xml:space="preserve">Adding-up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8498C" id="_x0000_s1038" type="#_x0000_t202" style="position:absolute;left:0;text-align:left;margin-left:0;margin-top:3.45pt;width:397.55pt;height:22.5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" fillcolor="#d5ebe8 [3206]" strokeweight=".5pt">
                <v:textbox>
                  <w:txbxContent>
                    <w:p w14:paraId="328CAE47" w14:textId="1AA6282A" w:rsidR="00DE6B51" w:rsidRPr="00DE6B51" w:rsidRDefault="00DE6B51" w:rsidP="00DE6B51">
                      <w:pPr>
                        <w:spacing w:before="0" w:after="0" w:line="240" w:lineRule="atLeast"/>
                        <w:jc w:val="center"/>
                        <w:rPr>
                          <w:b/>
                          <w:bCs/>
                          <w:sz w:val="16"/>
                          <w:szCs w:val="16"/>
                        </w:rPr>
                      </w:pPr>
                      <w:r w:rsidRPr="00DE6B51">
                        <w:rPr>
                          <w:b/>
                          <w:bCs/>
                          <w:sz w:val="16"/>
                          <w:szCs w:val="16"/>
                        </w:rPr>
                        <w:t xml:space="preserve">Adding-up </w:t>
                      </w:r>
                    </w:p>
                  </w:txbxContent>
                </v:textbox>
                <w10:wrap anchorx="margin"/>
              </v:shape>
            </w:pict>
          </mc:Fallback>
        </mc:AlternateContent>
      </w:r>
    </w:p>
    <w:p w14:paraId="10627187" w14:textId="71F28141" w:rsidR="00503ADF" w:rsidRPr="00B87CC5" w:rsidRDefault="00503ADF" w:rsidP="00BE7195">
      <w:pPr>
        <w:pStyle w:val="Note"/>
        <w:rPr>
          <w:rStyle w:val="BodyTextChar"/>
        </w:rPr>
      </w:pPr>
      <w:r w:rsidRPr="00B87CC5">
        <w:rPr>
          <w:rStyle w:val="BodyTextChar"/>
        </w:rPr>
        <w:t>Note:</w:t>
      </w:r>
      <w:r w:rsidR="00E75F7C" w:rsidRPr="00B87CC5">
        <w:rPr>
          <w:rStyle w:val="BodyTextChar"/>
        </w:rPr>
        <w:t xml:space="preserve"> ADOPT model = </w:t>
      </w:r>
      <w:r w:rsidR="00E75F7C" w:rsidRPr="00B87CC5">
        <w:t>Adoption and Diffusion Outcome Prediction Tool model;</w:t>
      </w:r>
      <w:r w:rsidRPr="00B87CC5">
        <w:rPr>
          <w:rStyle w:val="BodyTextChar"/>
        </w:rPr>
        <w:t xml:space="preserve"> </w:t>
      </w:r>
      <w:r w:rsidR="00FC7F1E" w:rsidRPr="00B87CC5">
        <w:rPr>
          <w:rStyle w:val="BodyTextChar"/>
        </w:rPr>
        <w:t xml:space="preserve">F-gas = fluorinated gas; </w:t>
      </w:r>
      <w:r w:rsidRPr="00B87CC5">
        <w:rPr>
          <w:rStyle w:val="BodyTextChar"/>
        </w:rPr>
        <w:t>MBIE</w:t>
      </w:r>
      <w:r w:rsidR="00FA2162" w:rsidRPr="00B87CC5">
        <w:rPr>
          <w:rStyle w:val="BodyTextChar"/>
        </w:rPr>
        <w:t> </w:t>
      </w:r>
      <w:r w:rsidRPr="00B87CC5">
        <w:rPr>
          <w:rStyle w:val="BodyTextChar"/>
        </w:rPr>
        <w:t>=</w:t>
      </w:r>
      <w:r w:rsidR="00FA2162" w:rsidRPr="00B87CC5">
        <w:rPr>
          <w:rStyle w:val="BodyTextChar"/>
        </w:rPr>
        <w:t> </w:t>
      </w:r>
      <w:r w:rsidRPr="00B87CC5">
        <w:rPr>
          <w:rStyle w:val="BodyTextChar"/>
        </w:rPr>
        <w:t xml:space="preserve">Ministry of Business, Innovation and Employment; </w:t>
      </w:r>
      <w:proofErr w:type="spellStart"/>
      <w:r w:rsidRPr="00B87CC5">
        <w:rPr>
          <w:rStyle w:val="BodyTextChar"/>
        </w:rPr>
        <w:t>MoT</w:t>
      </w:r>
      <w:proofErr w:type="spellEnd"/>
      <w:r w:rsidRPr="00B87CC5">
        <w:rPr>
          <w:rStyle w:val="BodyTextChar"/>
        </w:rPr>
        <w:t xml:space="preserve"> = Ministry of Transport; </w:t>
      </w:r>
      <w:proofErr w:type="spellStart"/>
      <w:r w:rsidRPr="00B87CC5">
        <w:rPr>
          <w:rStyle w:val="BodyTextChar"/>
        </w:rPr>
        <w:t>MfE</w:t>
      </w:r>
      <w:proofErr w:type="spellEnd"/>
      <w:r w:rsidRPr="00B87CC5">
        <w:rPr>
          <w:rStyle w:val="BodyTextChar"/>
        </w:rPr>
        <w:t xml:space="preserve"> = Ministry for the</w:t>
      </w:r>
      <w:r w:rsidR="00FA2162" w:rsidRPr="00B87CC5">
        <w:rPr>
          <w:rStyle w:val="BodyTextChar"/>
        </w:rPr>
        <w:t> </w:t>
      </w:r>
      <w:r w:rsidRPr="00B87CC5">
        <w:rPr>
          <w:rStyle w:val="BodyTextChar"/>
        </w:rPr>
        <w:t>Environment; MPI = Ministry for Primary Industries.</w:t>
      </w:r>
    </w:p>
    <w:p w14:paraId="245F0981" w14:textId="0708F22C" w:rsidR="0024024C" w:rsidRPr="00B87CC5" w:rsidRDefault="0024024C" w:rsidP="00FA2162">
      <w:pPr>
        <w:pStyle w:val="BodyText"/>
        <w:keepNext/>
        <w:keepLines/>
      </w:pPr>
      <w:r w:rsidRPr="00B87CC5">
        <w:rPr>
          <w:rStyle w:val="BodyTextChar"/>
        </w:rPr>
        <w:lastRenderedPageBreak/>
        <w:t xml:space="preserve">The </w:t>
      </w:r>
      <w:r w:rsidR="00377FC0" w:rsidRPr="00B87CC5">
        <w:rPr>
          <w:rStyle w:val="BodyTextChar"/>
        </w:rPr>
        <w:t xml:space="preserve">2023 </w:t>
      </w:r>
      <w:r w:rsidRPr="00B87CC5">
        <w:rPr>
          <w:rStyle w:val="BodyTextChar"/>
        </w:rPr>
        <w:t xml:space="preserve">WEM projection adopted assumptions as of mid-2023. </w:t>
      </w:r>
      <w:r w:rsidR="00EA6F84" w:rsidRPr="00B87CC5">
        <w:rPr>
          <w:rStyle w:val="BodyTextChar"/>
        </w:rPr>
        <w:t>Several factors have changed since then</w:t>
      </w:r>
      <w:r w:rsidR="00FC7F1E" w:rsidRPr="00B87CC5">
        <w:rPr>
          <w:rStyle w:val="BodyTextChar"/>
        </w:rPr>
        <w:t>,</w:t>
      </w:r>
      <w:r w:rsidR="00EA6F84" w:rsidRPr="00B87CC5">
        <w:rPr>
          <w:rStyle w:val="BodyTextChar"/>
        </w:rPr>
        <w:t xml:space="preserve"> which mean</w:t>
      </w:r>
      <w:r w:rsidR="00FC7F1E" w:rsidRPr="00B87CC5">
        <w:rPr>
          <w:rStyle w:val="BodyTextChar"/>
        </w:rPr>
        <w:t>s</w:t>
      </w:r>
      <w:r w:rsidR="00EA6F84" w:rsidRPr="00B87CC5">
        <w:rPr>
          <w:rStyle w:val="BodyTextChar"/>
        </w:rPr>
        <w:t xml:space="preserve"> our current understanding of the expected future levels of emissions and removals is sufficiently different to warrant an updated baseline to support consultation</w:t>
      </w:r>
      <w:r w:rsidRPr="00B87CC5">
        <w:rPr>
          <w:rStyle w:val="BodyTextChar"/>
        </w:rPr>
        <w:t xml:space="preserve">. </w:t>
      </w:r>
      <w:r w:rsidR="00E75885" w:rsidRPr="00B87CC5">
        <w:rPr>
          <w:rStyle w:val="BodyTextChar"/>
        </w:rPr>
        <w:t>Factors</w:t>
      </w:r>
      <w:r w:rsidRPr="00B87CC5">
        <w:t xml:space="preserve"> that have changed include</w:t>
      </w:r>
      <w:r w:rsidR="00FC7F1E" w:rsidRPr="00B87CC5">
        <w:t xml:space="preserve"> the following.</w:t>
      </w:r>
    </w:p>
    <w:p w14:paraId="453E7065" w14:textId="34EE70ED" w:rsidR="0024024C" w:rsidRPr="00B87CC5" w:rsidRDefault="008C49AD" w:rsidP="00FA2162">
      <w:pPr>
        <w:pStyle w:val="Bullet"/>
      </w:pPr>
      <w:r w:rsidRPr="00B87CC5">
        <w:t>Assumptions arou</w:t>
      </w:r>
      <w:r w:rsidR="00CB531C" w:rsidRPr="00B87CC5">
        <w:t>nd</w:t>
      </w:r>
      <w:r w:rsidR="00FC7F1E" w:rsidRPr="00B87CC5">
        <w:t xml:space="preserve"> New Zealand Emissions Trading Scheme (NZ</w:t>
      </w:r>
      <w:r w:rsidR="00CB531C" w:rsidRPr="00B87CC5">
        <w:t xml:space="preserve"> </w:t>
      </w:r>
      <w:r w:rsidR="0024024C" w:rsidRPr="00B87CC5">
        <w:t>ETS</w:t>
      </w:r>
      <w:r w:rsidR="003C6C86" w:rsidRPr="00B87CC5">
        <w:t>)</w:t>
      </w:r>
      <w:r w:rsidR="0024024C" w:rsidRPr="00B87CC5">
        <w:t xml:space="preserve"> </w:t>
      </w:r>
      <w:r w:rsidR="001D6892" w:rsidRPr="00B87CC5">
        <w:t xml:space="preserve">prices </w:t>
      </w:r>
      <w:r w:rsidR="00FC7F1E" w:rsidRPr="00B87CC5">
        <w:t>have changed from</w:t>
      </w:r>
      <w:r w:rsidR="0024024C" w:rsidRPr="00B87CC5">
        <w:t xml:space="preserve"> the 2023 projections</w:t>
      </w:r>
      <w:r w:rsidR="00FC7F1E" w:rsidRPr="00B87CC5">
        <w:t>, which</w:t>
      </w:r>
      <w:r w:rsidR="0024024C" w:rsidRPr="00B87CC5">
        <w:t xml:space="preserve"> </w:t>
      </w:r>
      <w:r w:rsidR="005E0637" w:rsidRPr="00B87CC5">
        <w:t xml:space="preserve">used a </w:t>
      </w:r>
      <w:r w:rsidR="00FC7F1E" w:rsidRPr="00B87CC5">
        <w:t>New Zealand Unit (</w:t>
      </w:r>
      <w:r w:rsidR="005E0637" w:rsidRPr="00B87CC5">
        <w:t>NZU</w:t>
      </w:r>
      <w:r w:rsidR="00FC7F1E" w:rsidRPr="00B87CC5">
        <w:t>)</w:t>
      </w:r>
      <w:r w:rsidR="005E0637" w:rsidRPr="00B87CC5">
        <w:t xml:space="preserve"> price path that rose to $230</w:t>
      </w:r>
      <w:r w:rsidR="00E84703" w:rsidRPr="00B87CC5">
        <w:t xml:space="preserve"> per </w:t>
      </w:r>
      <w:r w:rsidR="005E0637" w:rsidRPr="00B87CC5">
        <w:t>t</w:t>
      </w:r>
      <w:r w:rsidR="00E84703" w:rsidRPr="00B87CC5">
        <w:t>onne</w:t>
      </w:r>
      <w:r w:rsidR="005E0637" w:rsidRPr="00B87CC5">
        <w:t xml:space="preserve"> in 2050 (in </w:t>
      </w:r>
      <w:proofErr w:type="gramStart"/>
      <w:r w:rsidR="00802AB2" w:rsidRPr="00B87CC5">
        <w:t>2023 dollar</w:t>
      </w:r>
      <w:proofErr w:type="gramEnd"/>
      <w:r w:rsidR="00802AB2" w:rsidRPr="00B87CC5">
        <w:t xml:space="preserve"> values)</w:t>
      </w:r>
      <w:r w:rsidR="00FC7F1E" w:rsidRPr="00B87CC5">
        <w:t>.</w:t>
      </w:r>
      <w:r w:rsidR="00802AB2" w:rsidRPr="00B87CC5">
        <w:t xml:space="preserve"> </w:t>
      </w:r>
      <w:r w:rsidR="00E84703" w:rsidRPr="00B87CC5">
        <w:t>M</w:t>
      </w:r>
      <w:r w:rsidR="00802AB2" w:rsidRPr="00B87CC5">
        <w:t xml:space="preserve">ore recent assessments </w:t>
      </w:r>
      <w:r w:rsidR="00232471" w:rsidRPr="00B87CC5">
        <w:rPr>
          <w:rFonts w:cs="Calibri"/>
        </w:rPr>
        <w:t>–</w:t>
      </w:r>
      <w:r w:rsidR="00232471" w:rsidRPr="00B87CC5">
        <w:t xml:space="preserve"> in addition to those released as part of the public consultation on the discontinued</w:t>
      </w:r>
      <w:r w:rsidR="001B1F69" w:rsidRPr="00B87CC5">
        <w:t xml:space="preserve"> NZ</w:t>
      </w:r>
      <w:r w:rsidR="00232471" w:rsidRPr="00B87CC5">
        <w:t xml:space="preserve"> ETS review</w:t>
      </w:r>
      <w:r w:rsidR="00232471" w:rsidRPr="00B87CC5">
        <w:rPr>
          <w:rStyle w:val="FootnoteReference"/>
        </w:rPr>
        <w:footnoteReference w:id="4"/>
      </w:r>
      <w:r w:rsidR="00232471" w:rsidRPr="00B87CC5">
        <w:t xml:space="preserve"> </w:t>
      </w:r>
      <w:r w:rsidR="00232471" w:rsidRPr="00B87CC5">
        <w:rPr>
          <w:rFonts w:cs="Calibri"/>
        </w:rPr>
        <w:t xml:space="preserve">– </w:t>
      </w:r>
      <w:r w:rsidR="00802AB2" w:rsidRPr="00B87CC5">
        <w:t>suggest</w:t>
      </w:r>
      <w:r w:rsidR="002E2D69" w:rsidRPr="00B87CC5">
        <w:t xml:space="preserve"> that</w:t>
      </w:r>
      <w:r w:rsidR="00802AB2" w:rsidRPr="00B87CC5">
        <w:t xml:space="preserve"> without </w:t>
      </w:r>
      <w:r w:rsidR="005A0815" w:rsidRPr="00B87CC5">
        <w:t>substantial changes to the scheme</w:t>
      </w:r>
      <w:r w:rsidR="00802AB2" w:rsidRPr="00B87CC5">
        <w:t xml:space="preserve">, NZU prices might fall </w:t>
      </w:r>
      <w:r w:rsidR="009210C7" w:rsidRPr="00B87CC5">
        <w:t xml:space="preserve">towards </w:t>
      </w:r>
      <w:r w:rsidR="00802AB2" w:rsidRPr="00B87CC5">
        <w:t>the long</w:t>
      </w:r>
      <w:r w:rsidR="002A0DA0" w:rsidRPr="00B87CC5">
        <w:t>-</w:t>
      </w:r>
      <w:r w:rsidR="00802AB2" w:rsidRPr="00B87CC5">
        <w:t xml:space="preserve">run supply costs of </w:t>
      </w:r>
      <w:r w:rsidR="00653D60" w:rsidRPr="00B87CC5">
        <w:t xml:space="preserve">NZUs from </w:t>
      </w:r>
      <w:r w:rsidR="00802AB2" w:rsidRPr="00B87CC5">
        <w:t>forestry</w:t>
      </w:r>
      <w:r w:rsidR="002A0DA0" w:rsidRPr="00B87CC5">
        <w:t>,</w:t>
      </w:r>
      <w:r w:rsidR="00335E26" w:rsidRPr="00B87CC5">
        <w:t xml:space="preserve"> which </w:t>
      </w:r>
      <w:r w:rsidR="00C26941" w:rsidRPr="00B87CC5">
        <w:t xml:space="preserve">may </w:t>
      </w:r>
      <w:r w:rsidR="00335E26" w:rsidRPr="00B87CC5">
        <w:t>be no more than $50</w:t>
      </w:r>
      <w:r w:rsidR="00C64711" w:rsidRPr="00B87CC5">
        <w:t> </w:t>
      </w:r>
      <w:r w:rsidR="00E84703" w:rsidRPr="00B87CC5">
        <w:t>per tonne</w:t>
      </w:r>
      <w:r w:rsidR="00335E26" w:rsidRPr="00B87CC5">
        <w:t>.</w:t>
      </w:r>
      <w:r w:rsidR="00BE6F0C" w:rsidRPr="00B87CC5">
        <w:rPr>
          <w:rStyle w:val="FootnoteReference"/>
        </w:rPr>
        <w:footnoteReference w:id="5"/>
      </w:r>
      <w:r w:rsidR="000F5991" w:rsidRPr="00B87CC5">
        <w:t xml:space="preserve"> Observed NZU prices have also been lower.</w:t>
      </w:r>
    </w:p>
    <w:p w14:paraId="4D0F50BD" w14:textId="5073CD7F" w:rsidR="0024024C" w:rsidRPr="00B87CC5" w:rsidRDefault="0024024C" w:rsidP="0024024C">
      <w:pPr>
        <w:pStyle w:val="Bullet"/>
      </w:pPr>
      <w:r w:rsidRPr="00B87CC5">
        <w:rPr>
          <w:rFonts w:asciiTheme="minorHAnsi" w:hAnsiTheme="minorHAnsi" w:cstheme="minorHAnsi"/>
        </w:rPr>
        <w:t xml:space="preserve">Some climate policies have been </w:t>
      </w:r>
      <w:r w:rsidR="00D5515A" w:rsidRPr="00B87CC5">
        <w:rPr>
          <w:rFonts w:asciiTheme="minorHAnsi" w:hAnsiTheme="minorHAnsi" w:cstheme="minorHAnsi"/>
        </w:rPr>
        <w:t>discontinued</w:t>
      </w:r>
      <w:r w:rsidRPr="00B87CC5">
        <w:rPr>
          <w:rFonts w:asciiTheme="minorHAnsi" w:hAnsiTheme="minorHAnsi" w:cstheme="minorHAnsi"/>
        </w:rPr>
        <w:t xml:space="preserve">, including the clean car discount </w:t>
      </w:r>
      <w:r w:rsidR="00335E26" w:rsidRPr="00B87CC5">
        <w:rPr>
          <w:rFonts w:asciiTheme="minorHAnsi" w:hAnsiTheme="minorHAnsi" w:cstheme="minorHAnsi"/>
        </w:rPr>
        <w:t xml:space="preserve">(CCD) </w:t>
      </w:r>
      <w:r w:rsidRPr="00B87CC5">
        <w:rPr>
          <w:rFonts w:asciiTheme="minorHAnsi" w:hAnsiTheme="minorHAnsi" w:cstheme="minorHAnsi"/>
        </w:rPr>
        <w:t>and</w:t>
      </w:r>
      <w:r w:rsidR="00C64711" w:rsidRPr="00B87CC5">
        <w:rPr>
          <w:rFonts w:asciiTheme="minorHAnsi" w:hAnsiTheme="minorHAnsi" w:cstheme="minorHAnsi"/>
        </w:rPr>
        <w:t> </w:t>
      </w:r>
      <w:r w:rsidR="00455054" w:rsidRPr="00B87CC5">
        <w:rPr>
          <w:rFonts w:asciiTheme="minorHAnsi" w:hAnsiTheme="minorHAnsi" w:cstheme="minorHAnsi"/>
        </w:rPr>
        <w:t xml:space="preserve">future </w:t>
      </w:r>
      <w:r w:rsidR="00097B16" w:rsidRPr="00B87CC5">
        <w:rPr>
          <w:rFonts w:asciiTheme="minorHAnsi" w:hAnsiTheme="minorHAnsi" w:cstheme="minorHAnsi"/>
        </w:rPr>
        <w:t xml:space="preserve">applications under </w:t>
      </w:r>
      <w:r w:rsidRPr="00B87CC5">
        <w:rPr>
          <w:rFonts w:asciiTheme="minorHAnsi" w:hAnsiTheme="minorHAnsi" w:cstheme="minorHAnsi"/>
        </w:rPr>
        <w:t xml:space="preserve">the Government Investment in Decarbonising Industry (GIDI) </w:t>
      </w:r>
      <w:r w:rsidR="002A0DA0" w:rsidRPr="00B87CC5">
        <w:rPr>
          <w:rFonts w:asciiTheme="minorHAnsi" w:hAnsiTheme="minorHAnsi" w:cstheme="minorHAnsi"/>
        </w:rPr>
        <w:t>f</w:t>
      </w:r>
      <w:r w:rsidRPr="00B87CC5">
        <w:rPr>
          <w:rFonts w:asciiTheme="minorHAnsi" w:hAnsiTheme="minorHAnsi" w:cstheme="minorHAnsi"/>
        </w:rPr>
        <w:t xml:space="preserve">und. </w:t>
      </w:r>
    </w:p>
    <w:p w14:paraId="5F994138" w14:textId="47FF0F59" w:rsidR="0024024C" w:rsidRPr="00B87CC5" w:rsidRDefault="0024024C" w:rsidP="0024024C">
      <w:pPr>
        <w:pStyle w:val="Bullet"/>
      </w:pPr>
      <w:r w:rsidRPr="00B87CC5">
        <w:t>Agriculture pricing has been delayed from 2025</w:t>
      </w:r>
      <w:r w:rsidR="009168F2" w:rsidRPr="00B87CC5">
        <w:t>. Although the Government has committed to pricing ag</w:t>
      </w:r>
      <w:r w:rsidR="00A95669" w:rsidRPr="00B87CC5">
        <w:t>riculture</w:t>
      </w:r>
      <w:r w:rsidR="009168F2" w:rsidRPr="00B87CC5">
        <w:t xml:space="preserve"> emissions by 2030, there are no concrete policy decision</w:t>
      </w:r>
      <w:r w:rsidR="00A95669" w:rsidRPr="00B87CC5">
        <w:t>s</w:t>
      </w:r>
      <w:r w:rsidR="006D0749" w:rsidRPr="00B87CC5">
        <w:t xml:space="preserve"> to date</w:t>
      </w:r>
      <w:r w:rsidRPr="00B87CC5">
        <w:t xml:space="preserve">. </w:t>
      </w:r>
    </w:p>
    <w:p w14:paraId="1567E407" w14:textId="25281750" w:rsidR="0024024C" w:rsidRPr="00B87CC5" w:rsidRDefault="0024024C" w:rsidP="0024024C">
      <w:pPr>
        <w:pStyle w:val="Bullet"/>
      </w:pPr>
      <w:r w:rsidRPr="00B87CC5">
        <w:t xml:space="preserve">The Tiwai Point aluminium smelter was </w:t>
      </w:r>
      <w:r w:rsidR="00A41AC1" w:rsidRPr="00B87CC5">
        <w:t xml:space="preserve">previously assumed </w:t>
      </w:r>
      <w:r w:rsidRPr="00B87CC5">
        <w:t>to close at the end of 2024</w:t>
      </w:r>
      <w:r w:rsidR="005A642C" w:rsidRPr="00B87CC5">
        <w:t xml:space="preserve"> </w:t>
      </w:r>
      <w:r w:rsidR="00145EDF" w:rsidRPr="00B87CC5">
        <w:t>(</w:t>
      </w:r>
      <w:r w:rsidR="009C638A" w:rsidRPr="00B87CC5">
        <w:t xml:space="preserve">when its previous </w:t>
      </w:r>
      <w:r w:rsidR="00C15E3E" w:rsidRPr="00B87CC5">
        <w:t>power supply agreement ends</w:t>
      </w:r>
      <w:r w:rsidR="006D55D0" w:rsidRPr="00B87CC5">
        <w:t>)</w:t>
      </w:r>
      <w:r w:rsidR="00335E26" w:rsidRPr="00B87CC5">
        <w:t>, but</w:t>
      </w:r>
      <w:r w:rsidR="005C7E72" w:rsidRPr="00B87CC5">
        <w:t xml:space="preserve"> </w:t>
      </w:r>
      <w:r w:rsidR="00634D01" w:rsidRPr="00B87CC5">
        <w:t xml:space="preserve">the </w:t>
      </w:r>
      <w:r w:rsidR="00D5679E" w:rsidRPr="00B87CC5">
        <w:t xml:space="preserve">smelter extended its </w:t>
      </w:r>
      <w:r w:rsidR="00892D72" w:rsidRPr="00B87CC5">
        <w:t xml:space="preserve">supply agreement in May 2024 </w:t>
      </w:r>
      <w:r w:rsidR="00D5679E" w:rsidRPr="00B87CC5">
        <w:t xml:space="preserve">and is </w:t>
      </w:r>
      <w:r w:rsidR="00F2156E" w:rsidRPr="00B87CC5">
        <w:t xml:space="preserve">now </w:t>
      </w:r>
      <w:r w:rsidR="00D5679E" w:rsidRPr="00B87CC5">
        <w:t>modelled as staying open</w:t>
      </w:r>
      <w:r w:rsidRPr="00B87CC5">
        <w:t xml:space="preserve">. </w:t>
      </w:r>
    </w:p>
    <w:p w14:paraId="5ABE9106" w14:textId="4639BFAF" w:rsidR="00D5515A" w:rsidRPr="00B87CC5" w:rsidRDefault="0024024C" w:rsidP="0024024C">
      <w:pPr>
        <w:pStyle w:val="Bullet"/>
      </w:pPr>
      <w:r w:rsidRPr="00B87CC5">
        <w:t xml:space="preserve">The 2024 </w:t>
      </w:r>
      <w:r w:rsidR="007D7550" w:rsidRPr="00B87CC5">
        <w:t xml:space="preserve">New Zealand </w:t>
      </w:r>
      <w:r w:rsidRPr="00B87CC5">
        <w:t xml:space="preserve">Greenhouse </w:t>
      </w:r>
      <w:r w:rsidR="007D7550" w:rsidRPr="00B87CC5">
        <w:t>Gas Inventory</w:t>
      </w:r>
      <w:r w:rsidR="001E6DB3" w:rsidRPr="00B87CC5">
        <w:t xml:space="preserve"> (the inventory)</w:t>
      </w:r>
      <w:r w:rsidR="007642AF" w:rsidRPr="00B87CC5">
        <w:t>,</w:t>
      </w:r>
      <w:r w:rsidR="007D7550" w:rsidRPr="00B87CC5">
        <w:t xml:space="preserve"> </w:t>
      </w:r>
      <w:r w:rsidRPr="00B87CC5">
        <w:t xml:space="preserve">published in April </w:t>
      </w:r>
      <w:r w:rsidR="008D6EEA" w:rsidRPr="00B87CC5">
        <w:t>2024</w:t>
      </w:r>
      <w:r w:rsidR="007642AF" w:rsidRPr="00B87CC5">
        <w:t>,</w:t>
      </w:r>
      <w:r w:rsidR="007D7550" w:rsidRPr="00B87CC5">
        <w:rPr>
          <w:rStyle w:val="FootnoteReference"/>
        </w:rPr>
        <w:footnoteReference w:id="6"/>
      </w:r>
      <w:r w:rsidRPr="00B87CC5">
        <w:t xml:space="preserve"> </w:t>
      </w:r>
      <w:r w:rsidR="008D6EEA" w:rsidRPr="00B87CC5">
        <w:t>contains</w:t>
      </w:r>
      <w:r w:rsidR="00D5515A" w:rsidRPr="00B87CC5">
        <w:t>:</w:t>
      </w:r>
      <w:r w:rsidRPr="00B87CC5">
        <w:t xml:space="preserve"> </w:t>
      </w:r>
    </w:p>
    <w:p w14:paraId="14E811EF" w14:textId="0C2CCA2A" w:rsidR="00D5515A" w:rsidRPr="00B87CC5" w:rsidRDefault="0024024C" w:rsidP="00FA2162">
      <w:pPr>
        <w:pStyle w:val="Sub-list"/>
      </w:pPr>
      <w:r w:rsidRPr="00B87CC5">
        <w:t xml:space="preserve">methodological improvements that have resulted in higher than </w:t>
      </w:r>
      <w:r w:rsidR="007642AF" w:rsidRPr="00B87CC5">
        <w:t xml:space="preserve">previously </w:t>
      </w:r>
      <w:r w:rsidRPr="00B87CC5">
        <w:t>reported historical agricultur</w:t>
      </w:r>
      <w:r w:rsidR="008D6EEA" w:rsidRPr="00B87CC5">
        <w:t>e</w:t>
      </w:r>
      <w:r w:rsidRPr="00B87CC5">
        <w:t xml:space="preserve"> emissions</w:t>
      </w:r>
    </w:p>
    <w:p w14:paraId="03660B62" w14:textId="723D0B20" w:rsidR="0024024C" w:rsidRPr="00B87CC5" w:rsidRDefault="00D5515A" w:rsidP="00FA2162">
      <w:pPr>
        <w:pStyle w:val="Sub-list"/>
      </w:pPr>
      <w:r w:rsidRPr="00B87CC5">
        <w:t xml:space="preserve">updated </w:t>
      </w:r>
      <w:r w:rsidR="00581C9E" w:rsidRPr="00B87CC5">
        <w:t xml:space="preserve">activity and emissions data, including for </w:t>
      </w:r>
      <w:r w:rsidR="007642AF" w:rsidRPr="00B87CC5">
        <w:t>land use, land-use change and forestry (</w:t>
      </w:r>
      <w:r w:rsidRPr="00B87CC5">
        <w:t>LULUCF</w:t>
      </w:r>
      <w:r w:rsidR="007642AF" w:rsidRPr="00B87CC5">
        <w:t>)</w:t>
      </w:r>
      <w:r w:rsidR="00581C9E" w:rsidRPr="00B87CC5">
        <w:t xml:space="preserve">, with </w:t>
      </w:r>
      <w:r w:rsidRPr="00B87CC5">
        <w:t>revised time</w:t>
      </w:r>
      <w:r w:rsidR="00481DD2" w:rsidRPr="00B87CC5">
        <w:t xml:space="preserve"> </w:t>
      </w:r>
      <w:r w:rsidRPr="00B87CC5">
        <w:t>series and new estimated actuals for 2021 and 2022 on levels of deforestation and afforestation.</w:t>
      </w:r>
      <w:r w:rsidR="007F3BE3" w:rsidRPr="00B87CC5">
        <w:rPr>
          <w:rStyle w:val="FootnoteReference"/>
        </w:rPr>
        <w:footnoteReference w:id="7"/>
      </w:r>
    </w:p>
    <w:p w14:paraId="2637E652" w14:textId="68B069FD" w:rsidR="00A7351F" w:rsidRPr="00B87CC5" w:rsidRDefault="00412B3E" w:rsidP="00055461">
      <w:pPr>
        <w:pStyle w:val="Bullet"/>
      </w:pPr>
      <w:r w:rsidRPr="00B87CC5">
        <w:t>More recently</w:t>
      </w:r>
      <w:r w:rsidR="00A7351F" w:rsidRPr="00B87CC5">
        <w:t xml:space="preserve"> (and since the publication of the </w:t>
      </w:r>
      <w:r w:rsidR="00F15C7A" w:rsidRPr="00B87CC5">
        <w:t xml:space="preserve">2024 </w:t>
      </w:r>
      <w:r w:rsidR="00B55635" w:rsidRPr="00B87CC5">
        <w:t>inventory)</w:t>
      </w:r>
      <w:r w:rsidR="00A7351F" w:rsidRPr="00B87CC5">
        <w:t>:</w:t>
      </w:r>
    </w:p>
    <w:p w14:paraId="12D20F8D" w14:textId="0FAA242D" w:rsidR="00055461" w:rsidRPr="00B87CC5" w:rsidRDefault="000C55AD" w:rsidP="00FA2162">
      <w:pPr>
        <w:pStyle w:val="Sub-list"/>
      </w:pPr>
      <w:r w:rsidRPr="00B87CC5">
        <w:t xml:space="preserve">new </w:t>
      </w:r>
      <w:r w:rsidR="009A52CE" w:rsidRPr="00B87CC5">
        <w:t xml:space="preserve">reported </w:t>
      </w:r>
      <w:r w:rsidR="000F7E78" w:rsidRPr="00B87CC5">
        <w:t xml:space="preserve">animal numbers </w:t>
      </w:r>
      <w:r w:rsidR="00F62E8E" w:rsidRPr="00B87CC5">
        <w:t xml:space="preserve">(which fell significantly </w:t>
      </w:r>
      <w:r w:rsidR="00A7351F" w:rsidRPr="00B87CC5">
        <w:t xml:space="preserve">in 2022) </w:t>
      </w:r>
      <w:r w:rsidR="000F7E78" w:rsidRPr="00B87CC5">
        <w:t xml:space="preserve">have revised </w:t>
      </w:r>
      <w:r w:rsidR="00501EF4" w:rsidRPr="00B87CC5">
        <w:t>agricultur</w:t>
      </w:r>
      <w:r w:rsidR="008D6EEA" w:rsidRPr="00B87CC5">
        <w:t>e</w:t>
      </w:r>
      <w:r w:rsidR="00501EF4" w:rsidRPr="00B87CC5">
        <w:t xml:space="preserve"> emissions down again</w:t>
      </w:r>
    </w:p>
    <w:p w14:paraId="3224984A" w14:textId="5EA76D92" w:rsidR="00E049BF" w:rsidRPr="00B87CC5" w:rsidRDefault="00493CE6" w:rsidP="00FA2162">
      <w:pPr>
        <w:pStyle w:val="Sub-list"/>
      </w:pPr>
      <w:r w:rsidRPr="00B87CC5">
        <w:t xml:space="preserve">the </w:t>
      </w:r>
      <w:r w:rsidR="006D598D" w:rsidRPr="00B87CC5">
        <w:t xml:space="preserve">results of the </w:t>
      </w:r>
      <w:r w:rsidR="008925C6" w:rsidRPr="00B87CC5">
        <w:t xml:space="preserve">latest </w:t>
      </w:r>
      <w:r w:rsidR="00F85B76" w:rsidRPr="00B87CC5">
        <w:t>afforestation and deforestation intentions survey</w:t>
      </w:r>
      <w:r w:rsidR="006D598D" w:rsidRPr="00B87CC5">
        <w:t>,</w:t>
      </w:r>
      <w:r w:rsidR="00484F39" w:rsidRPr="00B87CC5">
        <w:rPr>
          <w:rStyle w:val="FootnoteReference"/>
        </w:rPr>
        <w:footnoteReference w:id="8"/>
      </w:r>
      <w:r w:rsidR="00F85B76" w:rsidRPr="00B87CC5">
        <w:t xml:space="preserve"> </w:t>
      </w:r>
      <w:r w:rsidR="006D598D" w:rsidRPr="00B87CC5">
        <w:t xml:space="preserve">combined with </w:t>
      </w:r>
      <w:r w:rsidR="001D117B" w:rsidRPr="00B87CC5">
        <w:t xml:space="preserve">new estimates of </w:t>
      </w:r>
      <w:r w:rsidR="008A571C" w:rsidRPr="00B87CC5">
        <w:t>land ex</w:t>
      </w:r>
      <w:r w:rsidR="00954C6B" w:rsidRPr="00B87CC5">
        <w:t>p</w:t>
      </w:r>
      <w:r w:rsidR="008A571C" w:rsidRPr="00B87CC5">
        <w:t>ected to be made available for forestry</w:t>
      </w:r>
      <w:r w:rsidR="00735B4E" w:rsidRPr="00B87CC5">
        <w:t xml:space="preserve">, have </w:t>
      </w:r>
      <w:r w:rsidR="00954C6B" w:rsidRPr="00B87CC5">
        <w:t>resulted in lower expected future afforestation levels.</w:t>
      </w:r>
    </w:p>
    <w:p w14:paraId="0023C877" w14:textId="24E7A660" w:rsidR="00335E26" w:rsidRPr="00B87CC5" w:rsidRDefault="0024024C" w:rsidP="00746DF5">
      <w:pPr>
        <w:pStyle w:val="BodyText"/>
        <w:rPr>
          <w:lang w:eastAsia="en-US"/>
        </w:rPr>
      </w:pPr>
      <w:r w:rsidRPr="00B87CC5">
        <w:rPr>
          <w:lang w:eastAsia="en-US"/>
        </w:rPr>
        <w:t xml:space="preserve">The </w:t>
      </w:r>
      <w:r w:rsidR="00335E26" w:rsidRPr="00B87CC5">
        <w:rPr>
          <w:lang w:eastAsia="en-US"/>
        </w:rPr>
        <w:t>Government has made proposals for new policies, including the roll-out of 10,000 electric vehicle (EV) chargers, reduc</w:t>
      </w:r>
      <w:r w:rsidR="008D6EEA" w:rsidRPr="00B87CC5">
        <w:rPr>
          <w:lang w:eastAsia="en-US"/>
        </w:rPr>
        <w:t>tions in</w:t>
      </w:r>
      <w:r w:rsidR="00335E26" w:rsidRPr="00B87CC5">
        <w:rPr>
          <w:lang w:eastAsia="en-US"/>
        </w:rPr>
        <w:t xml:space="preserve"> barriers to consenting renewable electricity generation</w:t>
      </w:r>
      <w:r w:rsidR="00E53FE6" w:rsidRPr="00B87CC5">
        <w:rPr>
          <w:lang w:eastAsia="en-US"/>
        </w:rPr>
        <w:t xml:space="preserve"> (as part of </w:t>
      </w:r>
      <w:r w:rsidR="00851FED" w:rsidRPr="00B87CC5">
        <w:rPr>
          <w:lang w:eastAsia="en-US"/>
        </w:rPr>
        <w:t xml:space="preserve">the </w:t>
      </w:r>
      <w:r w:rsidR="00E53FE6" w:rsidRPr="00B87CC5">
        <w:rPr>
          <w:lang w:eastAsia="en-US"/>
        </w:rPr>
        <w:t>Electrify N</w:t>
      </w:r>
      <w:r w:rsidR="0068659D" w:rsidRPr="00B87CC5">
        <w:rPr>
          <w:lang w:eastAsia="en-US"/>
        </w:rPr>
        <w:t>Z</w:t>
      </w:r>
      <w:r w:rsidR="001059BA" w:rsidRPr="00B87CC5">
        <w:rPr>
          <w:lang w:eastAsia="en-US"/>
        </w:rPr>
        <w:t xml:space="preserve"> strategy)</w:t>
      </w:r>
      <w:r w:rsidR="00E826E7" w:rsidRPr="00B87CC5">
        <w:rPr>
          <w:lang w:eastAsia="en-US"/>
        </w:rPr>
        <w:t>,</w:t>
      </w:r>
      <w:r w:rsidR="00335E26" w:rsidRPr="00B87CC5">
        <w:rPr>
          <w:lang w:eastAsia="en-US"/>
        </w:rPr>
        <w:t xml:space="preserve"> limits on land</w:t>
      </w:r>
      <w:r w:rsidR="0068659D" w:rsidRPr="00B87CC5">
        <w:rPr>
          <w:lang w:eastAsia="en-US"/>
        </w:rPr>
        <w:t>-</w:t>
      </w:r>
      <w:r w:rsidR="00335E26" w:rsidRPr="00B87CC5">
        <w:rPr>
          <w:lang w:eastAsia="en-US"/>
        </w:rPr>
        <w:t>use change to forestry fr</w:t>
      </w:r>
      <w:r w:rsidR="004C6361" w:rsidRPr="00B87CC5">
        <w:rPr>
          <w:lang w:eastAsia="en-US"/>
        </w:rPr>
        <w:t>om</w:t>
      </w:r>
      <w:r w:rsidR="00335E26" w:rsidRPr="00B87CC5">
        <w:rPr>
          <w:lang w:eastAsia="en-US"/>
        </w:rPr>
        <w:t xml:space="preserve"> </w:t>
      </w:r>
      <w:r w:rsidR="000B651C" w:rsidRPr="00B87CC5">
        <w:rPr>
          <w:lang w:eastAsia="en-US"/>
        </w:rPr>
        <w:t xml:space="preserve">more productive </w:t>
      </w:r>
      <w:r w:rsidR="00335E26" w:rsidRPr="00B87CC5">
        <w:rPr>
          <w:lang w:eastAsia="en-US"/>
        </w:rPr>
        <w:t>land</w:t>
      </w:r>
      <w:r w:rsidR="0068659D" w:rsidRPr="00B87CC5">
        <w:rPr>
          <w:lang w:eastAsia="en-US"/>
        </w:rPr>
        <w:t>-</w:t>
      </w:r>
      <w:r w:rsidR="00335E26" w:rsidRPr="00B87CC5">
        <w:rPr>
          <w:lang w:eastAsia="en-US"/>
        </w:rPr>
        <w:t>use classes</w:t>
      </w:r>
      <w:r w:rsidR="00DE0F5D" w:rsidRPr="00B87CC5">
        <w:rPr>
          <w:lang w:eastAsia="en-US"/>
        </w:rPr>
        <w:t xml:space="preserve"> and </w:t>
      </w:r>
      <w:r w:rsidR="00991843" w:rsidRPr="00B87CC5">
        <w:rPr>
          <w:lang w:eastAsia="en-US"/>
        </w:rPr>
        <w:t xml:space="preserve">the </w:t>
      </w:r>
      <w:r w:rsidR="00024911" w:rsidRPr="00B87CC5">
        <w:rPr>
          <w:lang w:eastAsia="en-US"/>
        </w:rPr>
        <w:t>introduction of agriculture emissions pricing by 2030</w:t>
      </w:r>
      <w:r w:rsidR="00335E26" w:rsidRPr="00B87CC5">
        <w:rPr>
          <w:lang w:eastAsia="en-US"/>
        </w:rPr>
        <w:t>.</w:t>
      </w:r>
      <w:r w:rsidR="00274E7E" w:rsidRPr="00B87CC5">
        <w:rPr>
          <w:lang w:eastAsia="en-US"/>
        </w:rPr>
        <w:t xml:space="preserve"> However, these </w:t>
      </w:r>
      <w:r w:rsidR="0068659D" w:rsidRPr="00B87CC5">
        <w:rPr>
          <w:lang w:eastAsia="en-US"/>
        </w:rPr>
        <w:lastRenderedPageBreak/>
        <w:t xml:space="preserve">proposed policies </w:t>
      </w:r>
      <w:r w:rsidR="00B24DD3" w:rsidRPr="00B87CC5">
        <w:rPr>
          <w:lang w:eastAsia="en-US"/>
        </w:rPr>
        <w:t>have</w:t>
      </w:r>
      <w:r w:rsidR="00274E7E" w:rsidRPr="00B87CC5">
        <w:rPr>
          <w:lang w:eastAsia="en-US"/>
        </w:rPr>
        <w:t xml:space="preserve"> not </w:t>
      </w:r>
      <w:r w:rsidR="00B24DD3" w:rsidRPr="00B87CC5">
        <w:rPr>
          <w:lang w:eastAsia="en-US"/>
        </w:rPr>
        <w:t xml:space="preserve">been </w:t>
      </w:r>
      <w:r w:rsidR="00274E7E" w:rsidRPr="00B87CC5">
        <w:rPr>
          <w:lang w:eastAsia="en-US"/>
        </w:rPr>
        <w:t xml:space="preserve">fully designed or implemented </w:t>
      </w:r>
      <w:r w:rsidR="00B24DD3" w:rsidRPr="00B87CC5">
        <w:rPr>
          <w:lang w:eastAsia="en-US"/>
        </w:rPr>
        <w:t xml:space="preserve">as at the </w:t>
      </w:r>
      <w:r w:rsidR="00274E7E" w:rsidRPr="00B87CC5">
        <w:rPr>
          <w:lang w:eastAsia="en-US"/>
        </w:rPr>
        <w:t>date</w:t>
      </w:r>
      <w:r w:rsidR="00B24DD3" w:rsidRPr="00B87CC5">
        <w:rPr>
          <w:lang w:eastAsia="en-US"/>
        </w:rPr>
        <w:t xml:space="preserve"> of the development of the interim emissions baseline (and therefore</w:t>
      </w:r>
      <w:r w:rsidR="0068659D" w:rsidRPr="00B87CC5">
        <w:rPr>
          <w:lang w:eastAsia="en-US"/>
        </w:rPr>
        <w:t>,</w:t>
      </w:r>
      <w:r w:rsidR="00B24DD3" w:rsidRPr="00B87CC5">
        <w:rPr>
          <w:lang w:eastAsia="en-US"/>
        </w:rPr>
        <w:t xml:space="preserve"> in accordance with the definition of the baseline, are not included). T</w:t>
      </w:r>
      <w:r w:rsidR="003F3864" w:rsidRPr="00B87CC5">
        <w:rPr>
          <w:lang w:eastAsia="en-US"/>
        </w:rPr>
        <w:t xml:space="preserve">he </w:t>
      </w:r>
      <w:r w:rsidR="00546C53" w:rsidRPr="00B87CC5">
        <w:rPr>
          <w:lang w:eastAsia="en-US"/>
        </w:rPr>
        <w:t>impact</w:t>
      </w:r>
      <w:r w:rsidR="00B24DD3" w:rsidRPr="00B87CC5">
        <w:rPr>
          <w:lang w:eastAsia="en-US"/>
        </w:rPr>
        <w:t>s</w:t>
      </w:r>
      <w:r w:rsidR="003F3864" w:rsidRPr="00B87CC5">
        <w:rPr>
          <w:lang w:eastAsia="en-US"/>
        </w:rPr>
        <w:t xml:space="preserve"> are still to be fully estimated</w:t>
      </w:r>
      <w:r w:rsidR="009D3919" w:rsidRPr="00B87CC5">
        <w:rPr>
          <w:lang w:eastAsia="en-US"/>
        </w:rPr>
        <w:t xml:space="preserve"> but some initial estimates of the effects of these policies </w:t>
      </w:r>
      <w:r w:rsidR="00303BA6" w:rsidRPr="00B87CC5">
        <w:rPr>
          <w:lang w:eastAsia="en-US"/>
        </w:rPr>
        <w:t xml:space="preserve">are included in this </w:t>
      </w:r>
      <w:r w:rsidR="0068659D" w:rsidRPr="00B87CC5">
        <w:rPr>
          <w:lang w:eastAsia="en-US"/>
        </w:rPr>
        <w:t>a</w:t>
      </w:r>
      <w:r w:rsidR="00303BA6" w:rsidRPr="00B87CC5">
        <w:rPr>
          <w:lang w:eastAsia="en-US"/>
        </w:rPr>
        <w:t>nnex</w:t>
      </w:r>
      <w:r w:rsidR="00C41D5B" w:rsidRPr="00B87CC5">
        <w:rPr>
          <w:lang w:eastAsia="en-US"/>
        </w:rPr>
        <w:t>.</w:t>
      </w:r>
    </w:p>
    <w:p w14:paraId="0FC0E172" w14:textId="2BEAB306" w:rsidR="00C41D5B" w:rsidRPr="00B87CC5" w:rsidRDefault="00B24DD3" w:rsidP="00746DF5">
      <w:pPr>
        <w:pStyle w:val="BodyText"/>
        <w:rPr>
          <w:lang w:eastAsia="en-US"/>
        </w:rPr>
      </w:pPr>
      <w:r w:rsidRPr="00B87CC5">
        <w:rPr>
          <w:lang w:eastAsia="en-US"/>
        </w:rPr>
        <w:t xml:space="preserve">Due to logistical constraints associated with </w:t>
      </w:r>
      <w:r w:rsidR="00C41D5B" w:rsidRPr="00B87CC5">
        <w:rPr>
          <w:lang w:eastAsia="en-US"/>
        </w:rPr>
        <w:t xml:space="preserve">re-running the </w:t>
      </w:r>
      <w:r w:rsidR="00C44644" w:rsidRPr="00B87CC5">
        <w:rPr>
          <w:lang w:eastAsia="en-US"/>
        </w:rPr>
        <w:t>cross</w:t>
      </w:r>
      <w:r w:rsidR="001E1051" w:rsidRPr="00B87CC5">
        <w:rPr>
          <w:lang w:eastAsia="en-US"/>
        </w:rPr>
        <w:t>-</w:t>
      </w:r>
      <w:r w:rsidR="00C44644" w:rsidRPr="00B87CC5">
        <w:rPr>
          <w:lang w:eastAsia="en-US"/>
        </w:rPr>
        <w:t xml:space="preserve">government projection </w:t>
      </w:r>
      <w:r w:rsidR="00C41D5B" w:rsidRPr="00B87CC5">
        <w:rPr>
          <w:lang w:eastAsia="en-US"/>
        </w:rPr>
        <w:t>models as shown in</w:t>
      </w:r>
      <w:r w:rsidR="00A32798" w:rsidRPr="00B87CC5">
        <w:rPr>
          <w:lang w:eastAsia="en-US"/>
        </w:rPr>
        <w:t xml:space="preserve"> </w:t>
      </w:r>
      <w:r w:rsidR="0068659D" w:rsidRPr="00B87CC5">
        <w:rPr>
          <w:lang w:eastAsia="en-US"/>
        </w:rPr>
        <w:t>figure 1</w:t>
      </w:r>
      <w:r w:rsidR="00A32798" w:rsidRPr="00B87CC5">
        <w:rPr>
          <w:lang w:eastAsia="en-US"/>
        </w:rPr>
        <w:fldChar w:fldCharType="begin"/>
      </w:r>
      <w:r w:rsidR="00A32798" w:rsidRPr="00B87CC5">
        <w:rPr>
          <w:lang w:eastAsia="en-US"/>
        </w:rPr>
        <w:instrText xml:space="preserve"> REF _Ref170312865 \h </w:instrText>
      </w:r>
      <w:r w:rsidR="00A32798" w:rsidRPr="00B87CC5">
        <w:rPr>
          <w:lang w:eastAsia="en-US"/>
        </w:rPr>
      </w:r>
      <w:r w:rsidR="00C52D07">
        <w:rPr>
          <w:lang w:eastAsia="en-US"/>
        </w:rPr>
        <w:fldChar w:fldCharType="separate"/>
      </w:r>
      <w:r w:rsidR="00A32798" w:rsidRPr="00B87CC5">
        <w:rPr>
          <w:lang w:eastAsia="en-US"/>
        </w:rPr>
        <w:fldChar w:fldCharType="end"/>
      </w:r>
      <w:r w:rsidRPr="00B87CC5">
        <w:rPr>
          <w:lang w:eastAsia="en-US"/>
        </w:rPr>
        <w:t xml:space="preserve">, </w:t>
      </w:r>
      <w:r w:rsidR="00C41D5B" w:rsidRPr="00B87CC5">
        <w:rPr>
          <w:lang w:eastAsia="en-US"/>
        </w:rPr>
        <w:t>an alternative modelling solution has been used</w:t>
      </w:r>
      <w:r w:rsidR="008740DF" w:rsidRPr="00B87CC5">
        <w:rPr>
          <w:lang w:eastAsia="en-US"/>
        </w:rPr>
        <w:t xml:space="preserve"> to develop a</w:t>
      </w:r>
      <w:r w:rsidR="003F3864" w:rsidRPr="00B87CC5">
        <w:rPr>
          <w:lang w:eastAsia="en-US"/>
        </w:rPr>
        <w:t>n interim</w:t>
      </w:r>
      <w:r w:rsidR="008740DF" w:rsidRPr="00B87CC5">
        <w:rPr>
          <w:lang w:eastAsia="en-US"/>
        </w:rPr>
        <w:t xml:space="preserve"> baseline to support ERP2 consultation</w:t>
      </w:r>
      <w:r w:rsidR="00C41D5B" w:rsidRPr="00B87CC5">
        <w:rPr>
          <w:lang w:eastAsia="en-US"/>
        </w:rPr>
        <w:t>. This</w:t>
      </w:r>
      <w:r w:rsidR="0068659D" w:rsidRPr="00B87CC5">
        <w:rPr>
          <w:lang w:eastAsia="en-US"/>
        </w:rPr>
        <w:t xml:space="preserve"> solution</w:t>
      </w:r>
      <w:r w:rsidR="00C41D5B" w:rsidRPr="00B87CC5">
        <w:rPr>
          <w:lang w:eastAsia="en-US"/>
        </w:rPr>
        <w:t xml:space="preserve"> is the E</w:t>
      </w:r>
      <w:r w:rsidR="00E84224" w:rsidRPr="00B87CC5">
        <w:rPr>
          <w:lang w:eastAsia="en-US"/>
        </w:rPr>
        <w:t>missions</w:t>
      </w:r>
      <w:r w:rsidR="00C41D5B" w:rsidRPr="00B87CC5">
        <w:rPr>
          <w:lang w:eastAsia="en-US"/>
        </w:rPr>
        <w:t xml:space="preserve"> in New Zealand (ENZ) model</w:t>
      </w:r>
      <w:r w:rsidR="00A53164" w:rsidRPr="00B87CC5">
        <w:rPr>
          <w:lang w:eastAsia="en-US"/>
        </w:rPr>
        <w:t>.</w:t>
      </w:r>
      <w:r w:rsidRPr="00B87CC5">
        <w:rPr>
          <w:lang w:eastAsia="en-US"/>
        </w:rPr>
        <w:t xml:space="preserve"> </w:t>
      </w:r>
      <w:r w:rsidR="00A53164" w:rsidRPr="00B87CC5">
        <w:rPr>
          <w:lang w:eastAsia="en-US"/>
        </w:rPr>
        <w:t>The ENZ</w:t>
      </w:r>
      <w:r w:rsidRPr="00B87CC5">
        <w:rPr>
          <w:lang w:eastAsia="en-US"/>
        </w:rPr>
        <w:t xml:space="preserve"> model</w:t>
      </w:r>
      <w:r w:rsidR="00C41D5B" w:rsidRPr="00B87CC5">
        <w:rPr>
          <w:lang w:eastAsia="en-US"/>
        </w:rPr>
        <w:t xml:space="preserve"> </w:t>
      </w:r>
      <w:r w:rsidR="00F15A61" w:rsidRPr="00B87CC5">
        <w:rPr>
          <w:lang w:eastAsia="en-US"/>
        </w:rPr>
        <w:t xml:space="preserve">was </w:t>
      </w:r>
      <w:r w:rsidR="00C41D5B" w:rsidRPr="00B87CC5">
        <w:rPr>
          <w:lang w:eastAsia="en-US"/>
        </w:rPr>
        <w:t xml:space="preserve">also used </w:t>
      </w:r>
      <w:r w:rsidR="00F15A61" w:rsidRPr="00B87CC5">
        <w:rPr>
          <w:lang w:eastAsia="en-US"/>
        </w:rPr>
        <w:t xml:space="preserve">for the </w:t>
      </w:r>
      <w:r w:rsidR="008D6EEA" w:rsidRPr="00B87CC5">
        <w:rPr>
          <w:lang w:eastAsia="en-US"/>
        </w:rPr>
        <w:t xml:space="preserve">Boston Consulting Group’s </w:t>
      </w:r>
      <w:r w:rsidR="00F15A61" w:rsidRPr="00B87CC5">
        <w:rPr>
          <w:i/>
          <w:iCs/>
          <w:lang w:eastAsia="en-US"/>
        </w:rPr>
        <w:t>The Future is Electric</w:t>
      </w:r>
      <w:r w:rsidR="00F15A61" w:rsidRPr="00B87CC5">
        <w:rPr>
          <w:lang w:eastAsia="en-US"/>
        </w:rPr>
        <w:t xml:space="preserve"> report</w:t>
      </w:r>
      <w:r w:rsidR="00F15A61" w:rsidRPr="00B87CC5">
        <w:rPr>
          <w:rStyle w:val="FootnoteReference"/>
          <w:lang w:eastAsia="en-US"/>
        </w:rPr>
        <w:footnoteReference w:id="9"/>
      </w:r>
      <w:r w:rsidR="00F15A61" w:rsidRPr="00B87CC5">
        <w:rPr>
          <w:lang w:eastAsia="en-US"/>
        </w:rPr>
        <w:t xml:space="preserve"> and </w:t>
      </w:r>
      <w:r w:rsidRPr="00B87CC5">
        <w:rPr>
          <w:lang w:eastAsia="en-US"/>
        </w:rPr>
        <w:t xml:space="preserve">by </w:t>
      </w:r>
      <w:r w:rsidR="00C41D5B" w:rsidRPr="00B87CC5">
        <w:rPr>
          <w:lang w:eastAsia="en-US"/>
        </w:rPr>
        <w:t>the Climate Change Commission</w:t>
      </w:r>
      <w:r w:rsidR="0068659D" w:rsidRPr="00B87CC5">
        <w:t>| He Pou a Rangi</w:t>
      </w:r>
      <w:r w:rsidR="00C41D5B" w:rsidRPr="00B87CC5">
        <w:rPr>
          <w:lang w:eastAsia="en-US"/>
        </w:rPr>
        <w:t xml:space="preserve"> for its </w:t>
      </w:r>
      <w:r w:rsidR="00BE489C" w:rsidRPr="00B87CC5">
        <w:rPr>
          <w:lang w:eastAsia="en-US"/>
        </w:rPr>
        <w:t xml:space="preserve">demonstration </w:t>
      </w:r>
      <w:r w:rsidR="00BE5BAC" w:rsidRPr="00B87CC5">
        <w:rPr>
          <w:lang w:eastAsia="en-US"/>
        </w:rPr>
        <w:t xml:space="preserve">and other </w:t>
      </w:r>
      <w:r w:rsidR="00BE489C" w:rsidRPr="00B87CC5">
        <w:rPr>
          <w:lang w:eastAsia="en-US"/>
        </w:rPr>
        <w:t>pathway</w:t>
      </w:r>
      <w:r w:rsidR="00BE5BAC" w:rsidRPr="00B87CC5">
        <w:rPr>
          <w:lang w:eastAsia="en-US"/>
        </w:rPr>
        <w:t>s</w:t>
      </w:r>
      <w:r w:rsidR="00BE489C" w:rsidRPr="00B87CC5">
        <w:rPr>
          <w:lang w:eastAsia="en-US"/>
        </w:rPr>
        <w:t xml:space="preserve"> </w:t>
      </w:r>
      <w:r w:rsidR="00C41D5B" w:rsidRPr="00B87CC5">
        <w:rPr>
          <w:lang w:eastAsia="en-US"/>
        </w:rPr>
        <w:t>and advice.</w:t>
      </w:r>
      <w:r w:rsidR="00D106A9" w:rsidRPr="00B87CC5">
        <w:rPr>
          <w:rStyle w:val="FootnoteReference"/>
          <w:lang w:eastAsia="en-US"/>
        </w:rPr>
        <w:footnoteReference w:id="10"/>
      </w:r>
      <w:r w:rsidR="00F15A61" w:rsidRPr="00B87CC5">
        <w:rPr>
          <w:lang w:eastAsia="en-US"/>
        </w:rPr>
        <w:t xml:space="preserve"> </w:t>
      </w:r>
      <w:r w:rsidR="0068659D" w:rsidRPr="00B87CC5">
        <w:rPr>
          <w:lang w:eastAsia="en-US"/>
        </w:rPr>
        <w:t xml:space="preserve">The Ministry for the Environment </w:t>
      </w:r>
      <w:r w:rsidR="00F83846" w:rsidRPr="00B87CC5">
        <w:rPr>
          <w:lang w:eastAsia="en-US"/>
        </w:rPr>
        <w:t>will publish official projections based on agency models later this year</w:t>
      </w:r>
      <w:r w:rsidR="0068659D" w:rsidRPr="00B87CC5">
        <w:rPr>
          <w:lang w:eastAsia="en-US"/>
        </w:rPr>
        <w:t>,</w:t>
      </w:r>
      <w:r w:rsidR="00F83846" w:rsidRPr="00B87CC5">
        <w:rPr>
          <w:lang w:eastAsia="en-US"/>
        </w:rPr>
        <w:t xml:space="preserve"> which will provide an</w:t>
      </w:r>
      <w:r w:rsidR="00F15A61" w:rsidRPr="00B87CC5">
        <w:rPr>
          <w:lang w:eastAsia="en-US"/>
        </w:rPr>
        <w:t xml:space="preserve"> updated baseline projection </w:t>
      </w:r>
      <w:r w:rsidR="00F83846" w:rsidRPr="00B87CC5">
        <w:rPr>
          <w:lang w:eastAsia="en-US"/>
        </w:rPr>
        <w:t>for ERP2. This</w:t>
      </w:r>
      <w:r w:rsidR="00F15A61" w:rsidRPr="00B87CC5">
        <w:rPr>
          <w:lang w:eastAsia="en-US"/>
        </w:rPr>
        <w:t xml:space="preserve"> is expected to produce different results from those using </w:t>
      </w:r>
      <w:r w:rsidR="008D6EEA" w:rsidRPr="00B87CC5">
        <w:rPr>
          <w:lang w:eastAsia="en-US"/>
        </w:rPr>
        <w:t xml:space="preserve">the </w:t>
      </w:r>
      <w:r w:rsidR="00F15A61" w:rsidRPr="00B87CC5">
        <w:rPr>
          <w:lang w:eastAsia="en-US"/>
        </w:rPr>
        <w:t>ENZ</w:t>
      </w:r>
      <w:r w:rsidR="00D0674C">
        <w:rPr>
          <w:lang w:eastAsia="en-US"/>
        </w:rPr>
        <w:t> </w:t>
      </w:r>
      <w:r w:rsidR="008D6EEA" w:rsidRPr="00B87CC5">
        <w:rPr>
          <w:lang w:eastAsia="en-US"/>
        </w:rPr>
        <w:t>model</w:t>
      </w:r>
      <w:r w:rsidR="00F15A61" w:rsidRPr="00B87CC5">
        <w:rPr>
          <w:lang w:eastAsia="en-US"/>
        </w:rPr>
        <w:t>.</w:t>
      </w:r>
    </w:p>
    <w:p w14:paraId="118C2802" w14:textId="77777777" w:rsidR="0069513D" w:rsidRPr="00B87CC5" w:rsidRDefault="0069513D" w:rsidP="00FA2162">
      <w:pPr>
        <w:pStyle w:val="BodyText"/>
      </w:pPr>
    </w:p>
    <w:p w14:paraId="22772A4F" w14:textId="77777777" w:rsidR="00FA2162" w:rsidRPr="00B87CC5" w:rsidRDefault="00FA2162" w:rsidP="00FA2162">
      <w:pPr>
        <w:pStyle w:val="BodyText"/>
      </w:pPr>
      <w:r w:rsidRPr="00B87CC5">
        <w:br w:type="page"/>
      </w:r>
    </w:p>
    <w:p w14:paraId="7EFB52CE" w14:textId="1F83E865" w:rsidR="00D106A9" w:rsidRPr="00B87CC5" w:rsidRDefault="00D106A9" w:rsidP="00FA2162">
      <w:pPr>
        <w:pStyle w:val="Heading1"/>
      </w:pPr>
      <w:bookmarkStart w:id="5" w:name="_Toc171609740"/>
      <w:r w:rsidRPr="00B87CC5">
        <w:lastRenderedPageBreak/>
        <w:t xml:space="preserve">The </w:t>
      </w:r>
      <w:r w:rsidR="0068659D" w:rsidRPr="00B87CC5">
        <w:t xml:space="preserve">Emissions in New Zealand </w:t>
      </w:r>
      <w:r w:rsidR="003165DF" w:rsidRPr="00B87CC5">
        <w:t>m</w:t>
      </w:r>
      <w:r w:rsidRPr="00B87CC5">
        <w:t>odel</w:t>
      </w:r>
      <w:bookmarkEnd w:id="5"/>
    </w:p>
    <w:p w14:paraId="6C8051DC" w14:textId="0D4EAFB5" w:rsidR="0061701C" w:rsidRPr="00B87CC5" w:rsidRDefault="00E84224" w:rsidP="00FA2162">
      <w:pPr>
        <w:pStyle w:val="BodyText"/>
        <w:rPr>
          <w:lang w:eastAsia="en-US"/>
        </w:rPr>
      </w:pPr>
      <w:r w:rsidRPr="00B87CC5">
        <w:rPr>
          <w:lang w:eastAsia="en-US"/>
        </w:rPr>
        <w:t xml:space="preserve">The ENZ </w:t>
      </w:r>
      <w:r w:rsidR="0068659D" w:rsidRPr="00B87CC5">
        <w:rPr>
          <w:lang w:eastAsia="en-US"/>
        </w:rPr>
        <w:t>m</w:t>
      </w:r>
      <w:r w:rsidRPr="00B87CC5">
        <w:rPr>
          <w:lang w:eastAsia="en-US"/>
        </w:rPr>
        <w:t>odel has been developed by Concept Consulting</w:t>
      </w:r>
      <w:r w:rsidR="00387E05" w:rsidRPr="00B87CC5">
        <w:rPr>
          <w:lang w:eastAsia="en-US"/>
        </w:rPr>
        <w:t>,</w:t>
      </w:r>
      <w:r w:rsidRPr="00B87CC5">
        <w:rPr>
          <w:lang w:eastAsia="en-US"/>
        </w:rPr>
        <w:t xml:space="preserve"> building on the work undertaken to </w:t>
      </w:r>
      <w:r w:rsidR="00387E05" w:rsidRPr="00B87CC5">
        <w:rPr>
          <w:lang w:eastAsia="en-US"/>
        </w:rPr>
        <w:t xml:space="preserve">develop </w:t>
      </w:r>
      <w:r w:rsidRPr="00B87CC5">
        <w:rPr>
          <w:lang w:eastAsia="en-US"/>
        </w:rPr>
        <w:t>marginal abatement cost</w:t>
      </w:r>
      <w:r w:rsidRPr="00B87CC5" w:rsidDel="00387E05">
        <w:rPr>
          <w:lang w:eastAsia="en-US"/>
        </w:rPr>
        <w:t xml:space="preserve"> </w:t>
      </w:r>
      <w:r w:rsidRPr="00B87CC5">
        <w:rPr>
          <w:lang w:eastAsia="en-US"/>
        </w:rPr>
        <w:t xml:space="preserve">curves for </w:t>
      </w:r>
      <w:r w:rsidR="00387E05" w:rsidRPr="00B87CC5">
        <w:rPr>
          <w:lang w:eastAsia="en-US"/>
        </w:rPr>
        <w:t>the Ministry for the Environment</w:t>
      </w:r>
      <w:r w:rsidRPr="00B87CC5">
        <w:rPr>
          <w:lang w:eastAsia="en-US"/>
        </w:rPr>
        <w:t>.</w:t>
      </w:r>
      <w:r w:rsidRPr="00B87CC5">
        <w:rPr>
          <w:rStyle w:val="FootnoteReference"/>
          <w:lang w:eastAsia="en-US"/>
        </w:rPr>
        <w:footnoteReference w:id="11"/>
      </w:r>
      <w:r w:rsidRPr="00B87CC5">
        <w:rPr>
          <w:lang w:eastAsia="en-US"/>
        </w:rPr>
        <w:t xml:space="preserve"> ENZ is a </w:t>
      </w:r>
      <w:r w:rsidR="00774DC4" w:rsidRPr="00B87CC5">
        <w:rPr>
          <w:lang w:eastAsia="en-US"/>
        </w:rPr>
        <w:t>bottom-up</w:t>
      </w:r>
      <w:r w:rsidR="00026EE1" w:rsidRPr="00B87CC5">
        <w:rPr>
          <w:lang w:eastAsia="en-US"/>
        </w:rPr>
        <w:t xml:space="preserve"> model </w:t>
      </w:r>
      <w:r w:rsidR="005044C7" w:rsidRPr="00B87CC5">
        <w:rPr>
          <w:lang w:eastAsia="en-US"/>
        </w:rPr>
        <w:t>as</w:t>
      </w:r>
      <w:r w:rsidR="00026EE1" w:rsidRPr="00B87CC5">
        <w:rPr>
          <w:lang w:eastAsia="en-US"/>
        </w:rPr>
        <w:t xml:space="preserve"> it includes data to represent </w:t>
      </w:r>
      <w:r w:rsidR="000761BD" w:rsidRPr="00B87CC5">
        <w:rPr>
          <w:lang w:eastAsia="en-US"/>
        </w:rPr>
        <w:t xml:space="preserve">individual industries and technologies, </w:t>
      </w:r>
      <w:r w:rsidR="0061701C" w:rsidRPr="00B87CC5">
        <w:rPr>
          <w:lang w:eastAsia="en-US"/>
        </w:rPr>
        <w:t xml:space="preserve">for example, </w:t>
      </w:r>
      <w:r w:rsidR="002326B1" w:rsidRPr="00B87CC5">
        <w:rPr>
          <w:lang w:eastAsia="en-US"/>
        </w:rPr>
        <w:t>effici</w:t>
      </w:r>
      <w:r w:rsidR="00D6139D" w:rsidRPr="00B87CC5">
        <w:rPr>
          <w:lang w:eastAsia="en-US"/>
        </w:rPr>
        <w:t xml:space="preserve">encies </w:t>
      </w:r>
      <w:r w:rsidR="00A84287" w:rsidRPr="00B87CC5">
        <w:rPr>
          <w:lang w:eastAsia="en-US"/>
        </w:rPr>
        <w:t>and numbers of industrial boilers</w:t>
      </w:r>
      <w:r w:rsidR="00DE125F" w:rsidRPr="00B87CC5">
        <w:rPr>
          <w:lang w:eastAsia="en-US"/>
        </w:rPr>
        <w:t>,</w:t>
      </w:r>
      <w:r w:rsidR="00387E05" w:rsidRPr="00B87CC5">
        <w:rPr>
          <w:lang w:eastAsia="en-US"/>
        </w:rPr>
        <w:t xml:space="preserve"> and</w:t>
      </w:r>
      <w:r w:rsidR="00DE125F" w:rsidRPr="00B87CC5">
        <w:rPr>
          <w:lang w:eastAsia="en-US"/>
        </w:rPr>
        <w:t xml:space="preserve"> numbers of </w:t>
      </w:r>
      <w:r w:rsidR="00CF30A5" w:rsidRPr="00B87CC5">
        <w:rPr>
          <w:lang w:eastAsia="en-US"/>
        </w:rPr>
        <w:t>EV</w:t>
      </w:r>
      <w:r w:rsidR="00387E05" w:rsidRPr="00B87CC5">
        <w:rPr>
          <w:lang w:eastAsia="en-US"/>
        </w:rPr>
        <w:t>s</w:t>
      </w:r>
      <w:r w:rsidR="00CF30A5" w:rsidRPr="00B87CC5">
        <w:rPr>
          <w:lang w:eastAsia="en-US"/>
        </w:rPr>
        <w:t xml:space="preserve"> </w:t>
      </w:r>
      <w:r w:rsidR="002468A6" w:rsidRPr="00B87CC5">
        <w:rPr>
          <w:lang w:eastAsia="en-US"/>
        </w:rPr>
        <w:t xml:space="preserve">and </w:t>
      </w:r>
      <w:r w:rsidR="00B133BB" w:rsidRPr="00B87CC5">
        <w:rPr>
          <w:lang w:eastAsia="en-US"/>
        </w:rPr>
        <w:t xml:space="preserve">internal combustion </w:t>
      </w:r>
      <w:r w:rsidR="00CF30A5" w:rsidRPr="00B87CC5">
        <w:rPr>
          <w:lang w:eastAsia="en-US"/>
        </w:rPr>
        <w:t xml:space="preserve">engine (ICE) </w:t>
      </w:r>
      <w:r w:rsidR="002468A6" w:rsidRPr="00B87CC5">
        <w:rPr>
          <w:lang w:eastAsia="en-US"/>
        </w:rPr>
        <w:t>vehicles</w:t>
      </w:r>
      <w:r w:rsidR="00203A9F" w:rsidRPr="00B87CC5">
        <w:rPr>
          <w:lang w:eastAsia="en-US"/>
        </w:rPr>
        <w:t>.</w:t>
      </w:r>
      <w:r w:rsidR="000761BD" w:rsidRPr="00B87CC5">
        <w:rPr>
          <w:lang w:eastAsia="en-US"/>
        </w:rPr>
        <w:t xml:space="preserve"> </w:t>
      </w:r>
      <w:r w:rsidR="000761BD" w:rsidRPr="00B87CC5">
        <w:t>For</w:t>
      </w:r>
      <w:r w:rsidR="000761BD" w:rsidRPr="00B87CC5">
        <w:rPr>
          <w:lang w:eastAsia="en-US"/>
        </w:rPr>
        <w:t xml:space="preserve"> agriculture, th</w:t>
      </w:r>
      <w:r w:rsidR="00AA1220" w:rsidRPr="00B87CC5">
        <w:rPr>
          <w:lang w:eastAsia="en-US"/>
        </w:rPr>
        <w:t>e model</w:t>
      </w:r>
      <w:r w:rsidR="000761BD" w:rsidRPr="00B87CC5">
        <w:rPr>
          <w:lang w:eastAsia="en-US"/>
        </w:rPr>
        <w:t xml:space="preserve"> includes stock numbers for sheep, cattle and deer</w:t>
      </w:r>
      <w:r w:rsidR="00203A9F" w:rsidRPr="00B87CC5">
        <w:rPr>
          <w:lang w:eastAsia="en-US"/>
        </w:rPr>
        <w:t>.</w:t>
      </w:r>
      <w:r w:rsidR="00DB35D2" w:rsidRPr="00B87CC5">
        <w:rPr>
          <w:lang w:eastAsia="en-US"/>
        </w:rPr>
        <w:t xml:space="preserve"> This </w:t>
      </w:r>
      <w:r w:rsidR="0055188E" w:rsidRPr="00B87CC5">
        <w:rPr>
          <w:lang w:eastAsia="en-US"/>
        </w:rPr>
        <w:t xml:space="preserve">level of </w:t>
      </w:r>
      <w:r w:rsidR="005F48B5" w:rsidRPr="00B87CC5">
        <w:rPr>
          <w:lang w:eastAsia="en-US"/>
        </w:rPr>
        <w:t xml:space="preserve">detail enables the model to </w:t>
      </w:r>
      <w:r w:rsidR="0059781C" w:rsidRPr="00B87CC5">
        <w:rPr>
          <w:lang w:eastAsia="en-US"/>
        </w:rPr>
        <w:t xml:space="preserve">estimate the impacts of </w:t>
      </w:r>
      <w:r w:rsidR="000F74FF" w:rsidRPr="00B87CC5">
        <w:rPr>
          <w:lang w:eastAsia="en-US"/>
        </w:rPr>
        <w:t>policies</w:t>
      </w:r>
      <w:r w:rsidR="00E32BC0" w:rsidRPr="00B87CC5">
        <w:rPr>
          <w:lang w:eastAsia="en-US"/>
        </w:rPr>
        <w:t xml:space="preserve"> or of technology trends, </w:t>
      </w:r>
      <w:r w:rsidR="00387E05" w:rsidRPr="00B87CC5">
        <w:rPr>
          <w:lang w:eastAsia="en-US"/>
        </w:rPr>
        <w:t xml:space="preserve">such as </w:t>
      </w:r>
      <w:r w:rsidR="00E32BC0" w:rsidRPr="00B87CC5">
        <w:rPr>
          <w:lang w:eastAsia="en-US"/>
        </w:rPr>
        <w:t>uptake rates for EVs</w:t>
      </w:r>
      <w:r w:rsidR="001F680C" w:rsidRPr="00B87CC5">
        <w:rPr>
          <w:lang w:eastAsia="en-US"/>
        </w:rPr>
        <w:t>.</w:t>
      </w:r>
      <w:r w:rsidR="00813D24" w:rsidRPr="00B87CC5">
        <w:rPr>
          <w:lang w:eastAsia="en-US"/>
        </w:rPr>
        <w:t xml:space="preserve"> </w:t>
      </w:r>
    </w:p>
    <w:p w14:paraId="460F9ABE" w14:textId="266824C0" w:rsidR="00D106A9" w:rsidRPr="00B87CC5" w:rsidRDefault="0061701C" w:rsidP="00FA2162">
      <w:pPr>
        <w:pStyle w:val="BodyText"/>
      </w:pPr>
      <w:r w:rsidRPr="00B87CC5">
        <w:rPr>
          <w:lang w:eastAsia="en-US"/>
        </w:rPr>
        <w:t xml:space="preserve">The </w:t>
      </w:r>
      <w:r w:rsidR="00813D24" w:rsidRPr="00B87CC5">
        <w:rPr>
          <w:lang w:eastAsia="en-US"/>
        </w:rPr>
        <w:t>ENZ</w:t>
      </w:r>
      <w:r w:rsidRPr="00B87CC5">
        <w:rPr>
          <w:lang w:eastAsia="en-US"/>
        </w:rPr>
        <w:t xml:space="preserve"> model</w:t>
      </w:r>
      <w:r w:rsidR="00813D24" w:rsidRPr="00B87CC5">
        <w:rPr>
          <w:lang w:eastAsia="en-US"/>
        </w:rPr>
        <w:t>:</w:t>
      </w:r>
    </w:p>
    <w:p w14:paraId="1C10F0A2" w14:textId="532C3532" w:rsidR="00994B62" w:rsidRPr="00B87CC5" w:rsidRDefault="00994B62" w:rsidP="00FA2162">
      <w:pPr>
        <w:pStyle w:val="Bullet"/>
      </w:pPr>
      <w:r w:rsidRPr="00B87CC5">
        <w:t>project</w:t>
      </w:r>
      <w:r w:rsidR="00813D24" w:rsidRPr="00B87CC5">
        <w:t>s</w:t>
      </w:r>
      <w:r w:rsidRPr="00B87CC5">
        <w:t xml:space="preserve"> the economic and emissions outcomes of the various sectors in New Zealand that produce greenhouse gas emissions</w:t>
      </w:r>
    </w:p>
    <w:p w14:paraId="50EC2648" w14:textId="62019927" w:rsidR="00994B62" w:rsidRPr="00B87CC5" w:rsidRDefault="00994B62" w:rsidP="00FA2162">
      <w:pPr>
        <w:pStyle w:val="Bullet"/>
      </w:pPr>
      <w:r w:rsidRPr="00B87CC5">
        <w:t>provide</w:t>
      </w:r>
      <w:r w:rsidR="00813D24" w:rsidRPr="00B87CC5">
        <w:t>s</w:t>
      </w:r>
      <w:r w:rsidRPr="00B87CC5">
        <w:t xml:space="preserve"> insights into how such outcomes may vary given variations in future ‘state-of-the-world’ drivers (</w:t>
      </w:r>
      <w:proofErr w:type="spellStart"/>
      <w:r w:rsidRPr="00B87CC5">
        <w:t>eg</w:t>
      </w:r>
      <w:proofErr w:type="spellEnd"/>
      <w:r w:rsidRPr="00B87CC5">
        <w:t>, future technology or commodity prices), or policy settings (</w:t>
      </w:r>
      <w:proofErr w:type="spellStart"/>
      <w:r w:rsidRPr="00B87CC5">
        <w:t>eg</w:t>
      </w:r>
      <w:proofErr w:type="spellEnd"/>
      <w:r w:rsidRPr="00B87CC5">
        <w:t xml:space="preserve">, </w:t>
      </w:r>
      <w:r w:rsidR="00687180" w:rsidRPr="00B87CC5">
        <w:t>agriculture emissions pricing</w:t>
      </w:r>
      <w:r w:rsidRPr="00B87CC5">
        <w:t>, or whether</w:t>
      </w:r>
      <w:r w:rsidR="00A61C43" w:rsidRPr="00B87CC5">
        <w:t xml:space="preserve"> or </w:t>
      </w:r>
      <w:r w:rsidRPr="00B87CC5">
        <w:t>how passenger vehicle sales should be subjected to a Clean Car Standard).</w:t>
      </w:r>
    </w:p>
    <w:p w14:paraId="0E85712D" w14:textId="64BA5BC9" w:rsidR="00994B62" w:rsidRPr="00B87CC5" w:rsidRDefault="001B6E3F" w:rsidP="00994B62">
      <w:r w:rsidRPr="00B87CC5">
        <w:t>Figure 2</w:t>
      </w:r>
      <w:r w:rsidR="005213D3" w:rsidRPr="00B87CC5">
        <w:t xml:space="preserve"> </w:t>
      </w:r>
      <w:r w:rsidR="00994B62" w:rsidRPr="00B87CC5">
        <w:t xml:space="preserve">illustrates the key features of </w:t>
      </w:r>
      <w:r w:rsidR="000F0C64" w:rsidRPr="00B87CC5">
        <w:t xml:space="preserve">the </w:t>
      </w:r>
      <w:r w:rsidR="00994B62" w:rsidRPr="00B87CC5">
        <w:t>ENZ</w:t>
      </w:r>
      <w:r w:rsidR="000F0C64" w:rsidRPr="00B87CC5">
        <w:t xml:space="preserve"> model</w:t>
      </w:r>
      <w:r w:rsidR="00994B62" w:rsidRPr="00B87CC5">
        <w:t>.</w:t>
      </w:r>
    </w:p>
    <w:p w14:paraId="47B2251A" w14:textId="7EE88437" w:rsidR="00354E52" w:rsidRPr="00B87CC5" w:rsidRDefault="00354E52" w:rsidP="00354E52">
      <w:pPr>
        <w:pStyle w:val="Figureheading"/>
      </w:pPr>
      <w:bookmarkStart w:id="6" w:name="_Ref170312887"/>
      <w:bookmarkStart w:id="7" w:name="_Toc171609777"/>
      <w:r w:rsidRPr="00B87CC5">
        <w:t xml:space="preserve">Figure </w:t>
      </w:r>
      <w:r w:rsidR="00385111">
        <w:fldChar w:fldCharType="begin"/>
      </w:r>
      <w:r w:rsidR="00385111">
        <w:instrText xml:space="preserve"> SEQ Figure \* ARABIC </w:instrText>
      </w:r>
      <w:r w:rsidR="00385111">
        <w:fldChar w:fldCharType="separate"/>
      </w:r>
      <w:r w:rsidR="001B6E3F" w:rsidRPr="00B87CC5">
        <w:t>2</w:t>
      </w:r>
      <w:r w:rsidR="00385111">
        <w:fldChar w:fldCharType="end"/>
      </w:r>
      <w:bookmarkEnd w:id="6"/>
      <w:r w:rsidR="005E1D91" w:rsidRPr="00B87CC5">
        <w:t>:</w:t>
      </w:r>
      <w:r w:rsidR="005E1D91" w:rsidRPr="00B87CC5">
        <w:tab/>
      </w:r>
      <w:r w:rsidRPr="00B87CC5">
        <w:t>High</w:t>
      </w:r>
      <w:r w:rsidR="005E1D91" w:rsidRPr="00B87CC5">
        <w:t>-</w:t>
      </w:r>
      <w:r w:rsidRPr="00B87CC5">
        <w:t xml:space="preserve">level illustration of </w:t>
      </w:r>
      <w:r w:rsidR="00A61C43" w:rsidRPr="00B87CC5">
        <w:t xml:space="preserve">Emissions in New Zealand </w:t>
      </w:r>
      <w:r w:rsidRPr="00B87CC5">
        <w:t>modelling approach</w:t>
      </w:r>
      <w:bookmarkEnd w:id="7"/>
    </w:p>
    <w:p w14:paraId="0CFEC44B" w14:textId="1B4EE0AA" w:rsidR="00994B62" w:rsidRPr="00B87CC5" w:rsidRDefault="00731629" w:rsidP="0002559C">
      <w:pPr>
        <w:jc w:val="center"/>
      </w:pPr>
      <w:r w:rsidRPr="00B87CC5">
        <w:rPr>
          <w:noProof/>
        </w:rPr>
        <w:drawing>
          <wp:inline distT="0" distB="0" distL="0" distR="0" wp14:anchorId="3C0D9075" wp14:editId="44BC50E3">
            <wp:extent cx="4362450" cy="2925740"/>
            <wp:effectExtent l="0" t="0" r="0" b="8255"/>
            <wp:docPr id="1223463111" name="Picture 1" descr="A diagram explaining the inputs and outputs of the ENZ model. Inputs include:&#10;• State of the world parameters, e.g. commodity prices, population growth, technology costs and effectiveness&#10;• Policy settings&#10;• Carbon prices&#10;• Decisions by producers and households , e.g. technology uptake, fuel switching, and land-use change&#10;Outputs of the model include emissions and economic inform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63111" name="Picture 1" descr="A diagram explaining the inputs and outputs of the ENZ model. Inputs include:&#10;• State of the world parameters, e.g. commodity prices, population growth, technology costs and effectiveness&#10;• Policy settings&#10;• Carbon prices&#10;• Decisions by producers and households , e.g. technology uptake, fuel switching, and land-use change&#10;Outputs of the model include emissions and economic information. &#10;"/>
                    <pic:cNvPicPr/>
                  </pic:nvPicPr>
                  <pic:blipFill>
                    <a:blip r:embed="rId23"/>
                    <a:stretch>
                      <a:fillRect/>
                    </a:stretch>
                  </pic:blipFill>
                  <pic:spPr>
                    <a:xfrm>
                      <a:off x="0" y="0"/>
                      <a:ext cx="4366682" cy="2928578"/>
                    </a:xfrm>
                    <a:prstGeom prst="rect">
                      <a:avLst/>
                    </a:prstGeom>
                  </pic:spPr>
                </pic:pic>
              </a:graphicData>
            </a:graphic>
          </wp:inline>
        </w:drawing>
      </w:r>
    </w:p>
    <w:p w14:paraId="08C782FE" w14:textId="43AB83CC" w:rsidR="00A61C43" w:rsidRPr="00B87CC5" w:rsidRDefault="00A61C43" w:rsidP="0002559C">
      <w:pPr>
        <w:pStyle w:val="Note"/>
      </w:pPr>
      <w:r w:rsidRPr="00B87CC5">
        <w:t>Note: CH</w:t>
      </w:r>
      <w:r w:rsidRPr="00B87CC5">
        <w:rPr>
          <w:vertAlign w:val="subscript"/>
        </w:rPr>
        <w:t>4</w:t>
      </w:r>
      <w:r w:rsidRPr="00B87CC5">
        <w:t xml:space="preserve"> = methane; </w:t>
      </w:r>
      <w:r w:rsidR="00EE3F7F">
        <w:t>NZ</w:t>
      </w:r>
      <w:r w:rsidR="00F87EFC">
        <w:t xml:space="preserve"> </w:t>
      </w:r>
      <w:r w:rsidRPr="00B87CC5">
        <w:t>ETS = New Zealand Emissions Trading Scheme.</w:t>
      </w:r>
    </w:p>
    <w:p w14:paraId="252A27F1" w14:textId="19F47CBD" w:rsidR="00F2053E" w:rsidRPr="00B87CC5" w:rsidRDefault="00F2053E" w:rsidP="0002559C">
      <w:pPr>
        <w:pStyle w:val="Source"/>
        <w:spacing w:before="0"/>
      </w:pPr>
      <w:r w:rsidRPr="00B87CC5">
        <w:t xml:space="preserve">Source: </w:t>
      </w:r>
      <w:r w:rsidR="00A61C43" w:rsidRPr="00B87CC5">
        <w:t xml:space="preserve">Concept Consulting. 2023. </w:t>
      </w:r>
      <w:r w:rsidR="006F268D" w:rsidRPr="00B87CC5">
        <w:rPr>
          <w:i/>
          <w:iCs/>
        </w:rPr>
        <w:t>Initial results from running ENZ in policy-evaluation mode</w:t>
      </w:r>
      <w:r w:rsidR="00A61C43" w:rsidRPr="00B87CC5">
        <w:t>.</w:t>
      </w:r>
      <w:r w:rsidR="006F268D" w:rsidRPr="00B87CC5">
        <w:t xml:space="preserve"> </w:t>
      </w:r>
      <w:r w:rsidR="00A61C43" w:rsidRPr="00B87CC5">
        <w:t>P</w:t>
      </w:r>
      <w:r w:rsidR="00614F0C" w:rsidRPr="00B87CC5">
        <w:t>resentation to government agencies, November</w:t>
      </w:r>
      <w:r w:rsidR="00A61C43" w:rsidRPr="00B87CC5">
        <w:t>.</w:t>
      </w:r>
    </w:p>
    <w:p w14:paraId="59102081" w14:textId="7664446B" w:rsidR="009070DD" w:rsidRPr="00B87CC5" w:rsidRDefault="0010355C" w:rsidP="00746DF5">
      <w:pPr>
        <w:pStyle w:val="BodyText"/>
      </w:pPr>
      <w:r w:rsidRPr="00B87CC5">
        <w:lastRenderedPageBreak/>
        <w:t xml:space="preserve">The </w:t>
      </w:r>
      <w:r w:rsidR="00EB561E" w:rsidRPr="00B87CC5">
        <w:t>ENZ</w:t>
      </w:r>
      <w:r w:rsidR="009070DD" w:rsidRPr="00B87CC5">
        <w:t xml:space="preserve"> </w:t>
      </w:r>
      <w:r w:rsidRPr="00B87CC5">
        <w:t>model</w:t>
      </w:r>
      <w:r w:rsidR="009070DD" w:rsidRPr="00B87CC5">
        <w:t xml:space="preserve"> projects the future economic and emissions outcomes of decisions that range from whether households buy an EV or ICE vehicle to whether </w:t>
      </w:r>
      <w:proofErr w:type="gramStart"/>
      <w:r w:rsidR="009070DD" w:rsidRPr="00B87CC5">
        <w:t>land</w:t>
      </w:r>
      <w:r w:rsidR="00C32760" w:rsidRPr="00B87CC5">
        <w:t xml:space="preserve"> </w:t>
      </w:r>
      <w:r w:rsidR="009070DD" w:rsidRPr="00B87CC5">
        <w:t>owners</w:t>
      </w:r>
      <w:proofErr w:type="gramEnd"/>
      <w:r w:rsidR="009070DD" w:rsidRPr="00B87CC5">
        <w:t xml:space="preserve"> switch from sheep </w:t>
      </w:r>
      <w:r w:rsidR="00AF6116" w:rsidRPr="00B87CC5">
        <w:t>and</w:t>
      </w:r>
      <w:r w:rsidR="009070DD" w:rsidRPr="00B87CC5">
        <w:t xml:space="preserve"> beef farming to forestry. In many </w:t>
      </w:r>
      <w:r w:rsidR="00830E56" w:rsidRPr="00B87CC5">
        <w:t>cases</w:t>
      </w:r>
      <w:r w:rsidR="009070DD" w:rsidRPr="00B87CC5">
        <w:t>, these decisions can be endogenous</w:t>
      </w:r>
      <w:r w:rsidR="00B24DD3" w:rsidRPr="00B87CC5">
        <w:t xml:space="preserve"> (</w:t>
      </w:r>
      <w:proofErr w:type="spellStart"/>
      <w:r w:rsidR="00B24DD3" w:rsidRPr="00B87CC5">
        <w:t>ie</w:t>
      </w:r>
      <w:proofErr w:type="spellEnd"/>
      <w:r w:rsidR="00C32760" w:rsidRPr="00B87CC5">
        <w:t>,</w:t>
      </w:r>
      <w:r w:rsidR="00B24DD3" w:rsidRPr="00B87CC5">
        <w:t xml:space="preserve"> defined by activity within the model)</w:t>
      </w:r>
      <w:r w:rsidR="009070DD" w:rsidRPr="00B87CC5">
        <w:t xml:space="preserve">, where decision-makers </w:t>
      </w:r>
      <w:r w:rsidR="00EE232A" w:rsidRPr="00B87CC5">
        <w:t xml:space="preserve">are assumed to </w:t>
      </w:r>
      <w:r w:rsidR="009070DD" w:rsidRPr="00B87CC5">
        <w:t xml:space="preserve">choose the least-cost option driven by </w:t>
      </w:r>
      <w:r w:rsidR="00117748" w:rsidRPr="00B87CC5">
        <w:t xml:space="preserve">relative </w:t>
      </w:r>
      <w:r w:rsidR="009070DD" w:rsidRPr="00B87CC5">
        <w:t>price</w:t>
      </w:r>
      <w:r w:rsidR="00117748" w:rsidRPr="00B87CC5">
        <w:t>s</w:t>
      </w:r>
      <w:r w:rsidR="009070DD" w:rsidRPr="00B87CC5">
        <w:t xml:space="preserve"> </w:t>
      </w:r>
      <w:r w:rsidR="00C32760" w:rsidRPr="00B87CC5">
        <w:t>(</w:t>
      </w:r>
      <w:proofErr w:type="spellStart"/>
      <w:r w:rsidR="009070DD" w:rsidRPr="00B87CC5">
        <w:t>e</w:t>
      </w:r>
      <w:r w:rsidR="00614FEC" w:rsidRPr="00B87CC5">
        <w:t>g</w:t>
      </w:r>
      <w:proofErr w:type="spellEnd"/>
      <w:r w:rsidR="00C32760" w:rsidRPr="00B87CC5">
        <w:t>,</w:t>
      </w:r>
      <w:r w:rsidR="009070DD" w:rsidRPr="00B87CC5">
        <w:t xml:space="preserve"> EV vs ICE </w:t>
      </w:r>
      <w:r w:rsidR="00C32760" w:rsidRPr="00B87CC5">
        <w:t xml:space="preserve">vehicle </w:t>
      </w:r>
      <w:r w:rsidR="009070DD" w:rsidRPr="00B87CC5">
        <w:t>purchase prices</w:t>
      </w:r>
      <w:r w:rsidR="00C32760" w:rsidRPr="00B87CC5">
        <w:t>)</w:t>
      </w:r>
      <w:r w:rsidR="009070DD" w:rsidRPr="00B87CC5">
        <w:t xml:space="preserve">. In </w:t>
      </w:r>
      <w:r w:rsidR="00D86A76" w:rsidRPr="00B87CC5">
        <w:t>other cases</w:t>
      </w:r>
      <w:r w:rsidR="009070DD" w:rsidRPr="00B87CC5">
        <w:t xml:space="preserve">, the decisions are exogenously specified </w:t>
      </w:r>
      <w:r w:rsidR="00B24DD3" w:rsidRPr="00B87CC5">
        <w:t>(</w:t>
      </w:r>
      <w:proofErr w:type="spellStart"/>
      <w:r w:rsidR="00D327B4" w:rsidRPr="00B87CC5">
        <w:t>ie</w:t>
      </w:r>
      <w:proofErr w:type="spellEnd"/>
      <w:r w:rsidR="00D327B4" w:rsidRPr="00B87CC5">
        <w:t xml:space="preserve">, </w:t>
      </w:r>
      <w:r w:rsidR="00B24DD3" w:rsidRPr="00B87CC5">
        <w:t xml:space="preserve">defined as an external assumption that is </w:t>
      </w:r>
      <w:r w:rsidR="00ED42C7" w:rsidRPr="00B87CC5">
        <w:t xml:space="preserve">an </w:t>
      </w:r>
      <w:r w:rsidR="00B24DD3" w:rsidRPr="00B87CC5">
        <w:t xml:space="preserve">input to the model) </w:t>
      </w:r>
      <w:r w:rsidR="009070DD" w:rsidRPr="00B87CC5">
        <w:t>given current lack of information on key drivers (</w:t>
      </w:r>
      <w:proofErr w:type="spellStart"/>
      <w:r w:rsidR="009070DD" w:rsidRPr="00B87CC5">
        <w:t>eg</w:t>
      </w:r>
      <w:proofErr w:type="spellEnd"/>
      <w:r w:rsidR="009070DD" w:rsidRPr="00B87CC5">
        <w:t>, the costs of zero-emission</w:t>
      </w:r>
      <w:r w:rsidR="0027776F" w:rsidRPr="00B87CC5">
        <w:t>s</w:t>
      </w:r>
      <w:r w:rsidR="009070DD" w:rsidRPr="00B87CC5">
        <w:t xml:space="preserve"> aircraft). Areas</w:t>
      </w:r>
      <w:r w:rsidR="009070DD" w:rsidRPr="00B87CC5" w:rsidDel="0027776F">
        <w:t xml:space="preserve"> </w:t>
      </w:r>
      <w:r w:rsidR="0027776F" w:rsidRPr="00B87CC5">
        <w:t xml:space="preserve">that </w:t>
      </w:r>
      <w:r w:rsidR="009070DD" w:rsidRPr="00B87CC5">
        <w:t>allow for endogenous decisions can also be exogenously specified.</w:t>
      </w:r>
      <w:r w:rsidR="00E4003E" w:rsidRPr="00B87CC5">
        <w:t xml:space="preserve"> </w:t>
      </w:r>
    </w:p>
    <w:p w14:paraId="0C444286" w14:textId="2B2606B6" w:rsidR="009070DD" w:rsidRPr="00B87CC5" w:rsidRDefault="009070DD" w:rsidP="00746DF5">
      <w:pPr>
        <w:pStyle w:val="BodyText"/>
      </w:pPr>
      <w:r w:rsidRPr="00B87CC5">
        <w:t xml:space="preserve">The </w:t>
      </w:r>
      <w:r w:rsidR="0027776F" w:rsidRPr="00B87CC5">
        <w:rPr>
          <w:b/>
          <w:bCs/>
        </w:rPr>
        <w:t>o</w:t>
      </w:r>
      <w:r w:rsidRPr="00B87CC5">
        <w:rPr>
          <w:b/>
          <w:bCs/>
        </w:rPr>
        <w:t>ut</w:t>
      </w:r>
      <w:r w:rsidR="00923B37" w:rsidRPr="00B87CC5">
        <w:rPr>
          <w:b/>
          <w:bCs/>
        </w:rPr>
        <w:t>puts</w:t>
      </w:r>
      <w:r w:rsidRPr="00B87CC5">
        <w:t xml:space="preserve"> from the model include emissions, capital and operating costs, consumer prices and various other key metrics such as electricity demand, number of </w:t>
      </w:r>
      <w:r w:rsidR="00364BEA" w:rsidRPr="00B87CC5">
        <w:t xml:space="preserve">road </w:t>
      </w:r>
      <w:r w:rsidRPr="00B87CC5">
        <w:t>vehicles, tonnes of</w:t>
      </w:r>
      <w:r w:rsidR="0002559C" w:rsidRPr="00B87CC5">
        <w:t> </w:t>
      </w:r>
      <w:r w:rsidRPr="00B87CC5">
        <w:t>waste going to landfill</w:t>
      </w:r>
      <w:r w:rsidR="00D327B4" w:rsidRPr="00B87CC5">
        <w:t>,</w:t>
      </w:r>
      <w:r w:rsidRPr="00B87CC5">
        <w:t xml:space="preserve"> and milk production.</w:t>
      </w:r>
      <w:r w:rsidRPr="00B87CC5" w:rsidDel="0027776F">
        <w:t xml:space="preserve"> </w:t>
      </w:r>
      <w:r w:rsidR="001A0350" w:rsidRPr="00B87CC5">
        <w:t xml:space="preserve">Calculating outputs takes account of </w:t>
      </w:r>
      <w:r w:rsidRPr="00B87CC5">
        <w:t>the significant feedback loops that can occur throughout the economy. For example, fuel switching from fossil to electric options (</w:t>
      </w:r>
      <w:proofErr w:type="spellStart"/>
      <w:r w:rsidRPr="00B87CC5">
        <w:t>eg</w:t>
      </w:r>
      <w:proofErr w:type="spellEnd"/>
      <w:r w:rsidRPr="00B87CC5">
        <w:t>, EVs, industrial electro-boilers, home heat pumps) will increase electricity demand, which will drive the need for generation and network investment, which will increase electricity prices, which will affect the rate of fuel switching from fossil to electric. Similarly, the extent of conversion from pastoral farming to forestry will determine the demand for food</w:t>
      </w:r>
      <w:r w:rsidR="0027776F" w:rsidRPr="00B87CC5">
        <w:t>-</w:t>
      </w:r>
      <w:r w:rsidRPr="00B87CC5">
        <w:t>processing energy plus the potential availability of biomass for industrial boiler heat decarbonisation.</w:t>
      </w:r>
      <w:r w:rsidR="00364BEA" w:rsidRPr="00B87CC5">
        <w:t xml:space="preserve"> </w:t>
      </w:r>
      <w:r w:rsidRPr="00B87CC5">
        <w:t xml:space="preserve">ENZ </w:t>
      </w:r>
      <w:r w:rsidR="00B24DD3" w:rsidRPr="00B87CC5">
        <w:t xml:space="preserve">is a ‘dynamic recursive’ model. This means it </w:t>
      </w:r>
      <w:r w:rsidRPr="00B87CC5">
        <w:t xml:space="preserve">solves for these circularities in </w:t>
      </w:r>
      <w:r w:rsidR="00364BEA" w:rsidRPr="00B87CC5">
        <w:t>one</w:t>
      </w:r>
      <w:r w:rsidRPr="00B87CC5">
        <w:t xml:space="preserve"> year, </w:t>
      </w:r>
      <w:r w:rsidR="00B24DD3" w:rsidRPr="00B87CC5">
        <w:t xml:space="preserve">and </w:t>
      </w:r>
      <w:r w:rsidRPr="00B87CC5">
        <w:t xml:space="preserve">the </w:t>
      </w:r>
      <w:r w:rsidR="005F66A4" w:rsidRPr="00B87CC5">
        <w:t xml:space="preserve">results </w:t>
      </w:r>
      <w:r w:rsidRPr="00B87CC5">
        <w:t xml:space="preserve">are </w:t>
      </w:r>
      <w:r w:rsidR="00B24DD3" w:rsidRPr="00B87CC5">
        <w:t xml:space="preserve">used </w:t>
      </w:r>
      <w:r w:rsidRPr="00B87CC5">
        <w:t xml:space="preserve">as starting parameters for the </w:t>
      </w:r>
      <w:r w:rsidR="005F66A4" w:rsidRPr="00B87CC5">
        <w:t>next</w:t>
      </w:r>
      <w:r w:rsidRPr="00B87CC5">
        <w:t xml:space="preserve"> year.</w:t>
      </w:r>
    </w:p>
    <w:p w14:paraId="31B8C2FB" w14:textId="11ED34C5" w:rsidR="009070DD" w:rsidRPr="00B87CC5" w:rsidRDefault="009070DD" w:rsidP="00746DF5">
      <w:pPr>
        <w:pStyle w:val="BodyText"/>
      </w:pPr>
      <w:r w:rsidRPr="00B87CC5">
        <w:rPr>
          <w:b/>
          <w:bCs/>
        </w:rPr>
        <w:t>Carbon prices</w:t>
      </w:r>
      <w:r w:rsidRPr="00B87CC5">
        <w:t xml:space="preserve"> are a key feature of the model. These can be exogenously specified or can be endogenously determined by solving for a carbon price trajectory that will achieve a specified emissions objective (</w:t>
      </w:r>
      <w:proofErr w:type="spellStart"/>
      <w:r w:rsidRPr="00B87CC5">
        <w:t>eg</w:t>
      </w:r>
      <w:proofErr w:type="spellEnd"/>
      <w:r w:rsidRPr="00B87CC5">
        <w:t>, net</w:t>
      </w:r>
      <w:r w:rsidR="0027776F" w:rsidRPr="00B87CC5">
        <w:t xml:space="preserve"> </w:t>
      </w:r>
      <w:r w:rsidRPr="00B87CC5">
        <w:t xml:space="preserve">zero long-lived gases by 2050 plus a </w:t>
      </w:r>
      <w:r w:rsidR="005F66A4" w:rsidRPr="00B87CC5">
        <w:t>targeted</w:t>
      </w:r>
      <w:r w:rsidRPr="00B87CC5">
        <w:t xml:space="preserve"> reduction in biogenic methane by 2050).</w:t>
      </w:r>
    </w:p>
    <w:p w14:paraId="181CE8C9" w14:textId="552D3355" w:rsidR="009070DD" w:rsidRPr="00B87CC5" w:rsidRDefault="009070DD" w:rsidP="00746DF5">
      <w:pPr>
        <w:pStyle w:val="BodyText"/>
      </w:pPr>
      <w:r w:rsidRPr="00B87CC5">
        <w:rPr>
          <w:b/>
          <w:bCs/>
        </w:rPr>
        <w:t xml:space="preserve">Scenario </w:t>
      </w:r>
      <w:r w:rsidRPr="00B87CC5">
        <w:t>functionality allow</w:t>
      </w:r>
      <w:r w:rsidR="0027776F" w:rsidRPr="00B87CC5">
        <w:t>s</w:t>
      </w:r>
      <w:r w:rsidRPr="00B87CC5">
        <w:t xml:space="preserve"> users to test how outcomes may vary for different external state</w:t>
      </w:r>
      <w:r w:rsidR="00C04301" w:rsidRPr="00B87CC5">
        <w:noBreakHyphen/>
      </w:r>
      <w:r w:rsidRPr="00B87CC5">
        <w:t>of-the-world or policy settings.</w:t>
      </w:r>
    </w:p>
    <w:p w14:paraId="2ACECDC4" w14:textId="794E9675" w:rsidR="00992914" w:rsidRPr="00B87CC5" w:rsidRDefault="001B668F" w:rsidP="00D106A9">
      <w:pPr>
        <w:pStyle w:val="BodyText"/>
        <w:rPr>
          <w:lang w:eastAsia="en-US"/>
        </w:rPr>
      </w:pPr>
      <w:r w:rsidRPr="00B87CC5">
        <w:rPr>
          <w:lang w:eastAsia="en-US"/>
        </w:rPr>
        <w:t>State</w:t>
      </w:r>
      <w:r w:rsidR="0027776F" w:rsidRPr="00B87CC5">
        <w:rPr>
          <w:lang w:eastAsia="en-US"/>
        </w:rPr>
        <w:t>-</w:t>
      </w:r>
      <w:r w:rsidRPr="00B87CC5">
        <w:rPr>
          <w:lang w:eastAsia="en-US"/>
        </w:rPr>
        <w:t>of</w:t>
      </w:r>
      <w:r w:rsidR="0027776F" w:rsidRPr="00B87CC5">
        <w:rPr>
          <w:lang w:eastAsia="en-US"/>
        </w:rPr>
        <w:t>-</w:t>
      </w:r>
      <w:r w:rsidRPr="00B87CC5">
        <w:rPr>
          <w:lang w:eastAsia="en-US"/>
        </w:rPr>
        <w:t>the</w:t>
      </w:r>
      <w:r w:rsidR="0027776F" w:rsidRPr="00B87CC5">
        <w:rPr>
          <w:lang w:eastAsia="en-US"/>
        </w:rPr>
        <w:t>-</w:t>
      </w:r>
      <w:r w:rsidRPr="00B87CC5">
        <w:rPr>
          <w:lang w:eastAsia="en-US"/>
        </w:rPr>
        <w:t>world i</w:t>
      </w:r>
      <w:r w:rsidR="000761BD" w:rsidRPr="00B87CC5">
        <w:rPr>
          <w:lang w:eastAsia="en-US"/>
        </w:rPr>
        <w:t>nputs to the ENZ model include</w:t>
      </w:r>
      <w:r w:rsidR="00C725FF" w:rsidRPr="00B87CC5">
        <w:rPr>
          <w:lang w:eastAsia="en-US"/>
        </w:rPr>
        <w:t xml:space="preserve"> </w:t>
      </w:r>
      <w:r w:rsidR="00D327B4" w:rsidRPr="00B87CC5">
        <w:rPr>
          <w:lang w:eastAsia="en-US"/>
        </w:rPr>
        <w:t xml:space="preserve">the following </w:t>
      </w:r>
      <w:r w:rsidR="00C725FF" w:rsidRPr="00B87CC5">
        <w:rPr>
          <w:lang w:eastAsia="en-US"/>
        </w:rPr>
        <w:t>variables</w:t>
      </w:r>
      <w:r w:rsidR="00992914" w:rsidRPr="00B87CC5">
        <w:rPr>
          <w:lang w:eastAsia="en-US"/>
        </w:rPr>
        <w:t>:</w:t>
      </w:r>
      <w:r w:rsidR="000761BD" w:rsidRPr="00B87CC5">
        <w:rPr>
          <w:lang w:eastAsia="en-US"/>
        </w:rPr>
        <w:t xml:space="preserve"> </w:t>
      </w:r>
    </w:p>
    <w:p w14:paraId="2F121CE9" w14:textId="56EF09DA" w:rsidR="007B0D3F" w:rsidRPr="00B87CC5" w:rsidRDefault="002A24BC" w:rsidP="00B84DAE">
      <w:pPr>
        <w:pStyle w:val="Bullet"/>
        <w:rPr>
          <w:lang w:eastAsia="en-US"/>
        </w:rPr>
      </w:pPr>
      <w:r w:rsidRPr="00B87CC5">
        <w:rPr>
          <w:lang w:eastAsia="en-US"/>
        </w:rPr>
        <w:t>macro</w:t>
      </w:r>
      <w:r w:rsidR="00933EC4" w:rsidRPr="00B87CC5">
        <w:rPr>
          <w:lang w:eastAsia="en-US"/>
        </w:rPr>
        <w:t xml:space="preserve">-indicators, such as GDP </w:t>
      </w:r>
      <w:r w:rsidR="00992914" w:rsidRPr="00B87CC5">
        <w:rPr>
          <w:lang w:eastAsia="en-US"/>
        </w:rPr>
        <w:t>and population</w:t>
      </w:r>
    </w:p>
    <w:p w14:paraId="45BAF631" w14:textId="07FB412C" w:rsidR="007B0D3F" w:rsidRPr="00B87CC5" w:rsidRDefault="007B0D3F" w:rsidP="0002559C">
      <w:pPr>
        <w:pStyle w:val="Bullet"/>
        <w:rPr>
          <w:lang w:eastAsia="en-US"/>
        </w:rPr>
      </w:pPr>
      <w:r w:rsidRPr="00B87CC5">
        <w:rPr>
          <w:lang w:eastAsia="en-US"/>
        </w:rPr>
        <w:t xml:space="preserve">commodity </w:t>
      </w:r>
      <w:r w:rsidRPr="00B87CC5">
        <w:t>prices</w:t>
      </w:r>
      <w:r w:rsidRPr="00B87CC5">
        <w:rPr>
          <w:lang w:eastAsia="en-US"/>
        </w:rPr>
        <w:t xml:space="preserve">, </w:t>
      </w:r>
      <w:r w:rsidR="0027776F" w:rsidRPr="00B87CC5">
        <w:rPr>
          <w:lang w:eastAsia="en-US"/>
        </w:rPr>
        <w:t>such as</w:t>
      </w:r>
      <w:r w:rsidR="00D327B4" w:rsidRPr="00B87CC5">
        <w:rPr>
          <w:lang w:eastAsia="en-US"/>
        </w:rPr>
        <w:t xml:space="preserve"> for</w:t>
      </w:r>
      <w:r w:rsidRPr="00B87CC5">
        <w:rPr>
          <w:lang w:eastAsia="en-US"/>
        </w:rPr>
        <w:t xml:space="preserve"> gas, coal, oil, milk</w:t>
      </w:r>
      <w:r w:rsidR="0027776F" w:rsidRPr="00B87CC5">
        <w:rPr>
          <w:lang w:eastAsia="en-US"/>
        </w:rPr>
        <w:t xml:space="preserve"> and</w:t>
      </w:r>
      <w:r w:rsidRPr="00B87CC5">
        <w:rPr>
          <w:lang w:eastAsia="en-US"/>
        </w:rPr>
        <w:t xml:space="preserve"> timber</w:t>
      </w:r>
    </w:p>
    <w:p w14:paraId="4F82BAE9" w14:textId="524114B0" w:rsidR="007B0D3F" w:rsidRPr="00B87CC5" w:rsidRDefault="007B0D3F" w:rsidP="00B84DAE">
      <w:pPr>
        <w:pStyle w:val="Bullet"/>
        <w:rPr>
          <w:lang w:eastAsia="en-US"/>
        </w:rPr>
      </w:pPr>
      <w:r w:rsidRPr="00B87CC5">
        <w:rPr>
          <w:lang w:eastAsia="en-US"/>
        </w:rPr>
        <w:t>costs of</w:t>
      </w:r>
      <w:r w:rsidRPr="00B87CC5" w:rsidDel="00D327B4">
        <w:rPr>
          <w:lang w:eastAsia="en-US"/>
        </w:rPr>
        <w:t xml:space="preserve"> </w:t>
      </w:r>
      <w:r w:rsidRPr="00B87CC5">
        <w:rPr>
          <w:lang w:eastAsia="en-US"/>
        </w:rPr>
        <w:t>both renewable and fossil</w:t>
      </w:r>
      <w:r w:rsidR="00D327B4" w:rsidRPr="00B87CC5">
        <w:rPr>
          <w:lang w:eastAsia="en-US"/>
        </w:rPr>
        <w:t xml:space="preserve"> technologies</w:t>
      </w:r>
      <w:r w:rsidR="00101C2A" w:rsidRPr="00B87CC5">
        <w:rPr>
          <w:lang w:eastAsia="en-US"/>
        </w:rPr>
        <w:t>,</w:t>
      </w:r>
      <w:r w:rsidR="0027776F" w:rsidRPr="00B87CC5">
        <w:rPr>
          <w:lang w:eastAsia="en-US"/>
        </w:rPr>
        <w:t xml:space="preserve"> such as</w:t>
      </w:r>
      <w:r w:rsidRPr="00B87CC5">
        <w:rPr>
          <w:lang w:eastAsia="en-US"/>
        </w:rPr>
        <w:t xml:space="preserve"> power generation, industrial boilers, space heating, cars</w:t>
      </w:r>
      <w:r w:rsidR="0027776F" w:rsidRPr="00B87CC5">
        <w:rPr>
          <w:lang w:eastAsia="en-US"/>
        </w:rPr>
        <w:t xml:space="preserve"> and</w:t>
      </w:r>
      <w:r w:rsidRPr="00B87CC5">
        <w:rPr>
          <w:lang w:eastAsia="en-US"/>
        </w:rPr>
        <w:t xml:space="preserve"> batteries.</w:t>
      </w:r>
    </w:p>
    <w:p w14:paraId="09F8342E" w14:textId="36D25E5B" w:rsidR="006E6573" w:rsidRPr="00B87CC5" w:rsidRDefault="00B3697A" w:rsidP="00B3697A">
      <w:pPr>
        <w:pStyle w:val="BodyText"/>
        <w:rPr>
          <w:lang w:eastAsia="en-US"/>
        </w:rPr>
      </w:pPr>
      <w:r w:rsidRPr="00B87CC5">
        <w:rPr>
          <w:lang w:eastAsia="en-US"/>
        </w:rPr>
        <w:t>Given inherent uncertainty over most of the above state-of-the-world parameters, scenario functionality allows for these</w:t>
      </w:r>
      <w:r w:rsidR="0027776F" w:rsidRPr="00B87CC5">
        <w:rPr>
          <w:lang w:eastAsia="en-US"/>
        </w:rPr>
        <w:t xml:space="preserve"> inputs</w:t>
      </w:r>
      <w:r w:rsidRPr="00B87CC5">
        <w:rPr>
          <w:lang w:eastAsia="en-US"/>
        </w:rPr>
        <w:t xml:space="preserve"> to be varied to explore the sensitivity of outcomes to such</w:t>
      </w:r>
      <w:r w:rsidR="0002559C" w:rsidRPr="00B87CC5">
        <w:rPr>
          <w:lang w:eastAsia="en-US"/>
        </w:rPr>
        <w:t> </w:t>
      </w:r>
      <w:r w:rsidRPr="00B87CC5">
        <w:rPr>
          <w:lang w:eastAsia="en-US"/>
        </w:rPr>
        <w:t xml:space="preserve">factors. </w:t>
      </w:r>
    </w:p>
    <w:p w14:paraId="25957C1D" w14:textId="17EA4EDF" w:rsidR="00B3697A" w:rsidRPr="00B87CC5" w:rsidRDefault="00B3697A" w:rsidP="00B3697A">
      <w:pPr>
        <w:pStyle w:val="BodyText"/>
        <w:rPr>
          <w:lang w:eastAsia="en-US"/>
        </w:rPr>
      </w:pPr>
      <w:r w:rsidRPr="00B87CC5">
        <w:rPr>
          <w:b/>
          <w:bCs/>
          <w:lang w:eastAsia="en-US"/>
        </w:rPr>
        <w:t>Policy settings</w:t>
      </w:r>
      <w:r w:rsidRPr="00B87CC5">
        <w:rPr>
          <w:lang w:eastAsia="en-US"/>
        </w:rPr>
        <w:t xml:space="preserve"> can be ‘turned</w:t>
      </w:r>
      <w:r w:rsidR="0027776F" w:rsidRPr="00B87CC5">
        <w:rPr>
          <w:lang w:eastAsia="en-US"/>
        </w:rPr>
        <w:t xml:space="preserve"> </w:t>
      </w:r>
      <w:r w:rsidRPr="00B87CC5">
        <w:rPr>
          <w:lang w:eastAsia="en-US"/>
        </w:rPr>
        <w:t>on’ or ‘turned</w:t>
      </w:r>
      <w:r w:rsidR="0027776F" w:rsidRPr="00B87CC5">
        <w:rPr>
          <w:lang w:eastAsia="en-US"/>
        </w:rPr>
        <w:t xml:space="preserve"> </w:t>
      </w:r>
      <w:r w:rsidRPr="00B87CC5">
        <w:rPr>
          <w:lang w:eastAsia="en-US"/>
        </w:rPr>
        <w:t xml:space="preserve">off’ on a scenario basis to explore the potential effect of different policies on emissions and economic outcomes. Examples </w:t>
      </w:r>
      <w:r w:rsidR="0078724A" w:rsidRPr="00B87CC5">
        <w:rPr>
          <w:lang w:eastAsia="en-US"/>
        </w:rPr>
        <w:t xml:space="preserve">include limits on specific technologies, </w:t>
      </w:r>
      <w:r w:rsidRPr="00B87CC5">
        <w:rPr>
          <w:lang w:eastAsia="en-US"/>
        </w:rPr>
        <w:t xml:space="preserve">the Clean Car Standard, limitations on new forestry planting entering the </w:t>
      </w:r>
      <w:r w:rsidR="0027776F" w:rsidRPr="00B87CC5">
        <w:rPr>
          <w:lang w:eastAsia="en-US"/>
        </w:rPr>
        <w:t xml:space="preserve">NZ </w:t>
      </w:r>
      <w:r w:rsidRPr="00B87CC5">
        <w:rPr>
          <w:lang w:eastAsia="en-US"/>
        </w:rPr>
        <w:t>ETS</w:t>
      </w:r>
      <w:r w:rsidR="006D15FA" w:rsidRPr="00B87CC5">
        <w:rPr>
          <w:lang w:eastAsia="en-US"/>
        </w:rPr>
        <w:t xml:space="preserve"> by land</w:t>
      </w:r>
      <w:r w:rsidR="000971AE" w:rsidRPr="00B87CC5">
        <w:rPr>
          <w:lang w:eastAsia="en-US"/>
        </w:rPr>
        <w:t>-</w:t>
      </w:r>
      <w:r w:rsidR="006D15FA" w:rsidRPr="00B87CC5">
        <w:rPr>
          <w:lang w:eastAsia="en-US"/>
        </w:rPr>
        <w:t>use class</w:t>
      </w:r>
      <w:r w:rsidRPr="00B87CC5">
        <w:rPr>
          <w:lang w:eastAsia="en-US"/>
        </w:rPr>
        <w:t>, agricultural pricing, prohibitions on certain technologies</w:t>
      </w:r>
      <w:r w:rsidR="00BB77C9" w:rsidRPr="00B87CC5">
        <w:rPr>
          <w:lang w:eastAsia="en-US"/>
        </w:rPr>
        <w:t xml:space="preserve"> or fuels</w:t>
      </w:r>
      <w:r w:rsidRPr="00B87CC5">
        <w:rPr>
          <w:lang w:eastAsia="en-US"/>
        </w:rPr>
        <w:t>,</w:t>
      </w:r>
      <w:r w:rsidR="000971AE" w:rsidRPr="00B87CC5">
        <w:rPr>
          <w:lang w:eastAsia="en-US"/>
        </w:rPr>
        <w:t xml:space="preserve"> and</w:t>
      </w:r>
      <w:r w:rsidRPr="00B87CC5">
        <w:rPr>
          <w:lang w:eastAsia="en-US"/>
        </w:rPr>
        <w:t xml:space="preserve"> subsidies for fuel switching for different types of consumer situation</w:t>
      </w:r>
      <w:r w:rsidR="000971AE" w:rsidRPr="00B87CC5">
        <w:rPr>
          <w:lang w:eastAsia="en-US"/>
        </w:rPr>
        <w:t>s</w:t>
      </w:r>
      <w:r w:rsidRPr="00B87CC5">
        <w:rPr>
          <w:lang w:eastAsia="en-US"/>
        </w:rPr>
        <w:t>.</w:t>
      </w:r>
    </w:p>
    <w:p w14:paraId="74BCA7C0" w14:textId="0AB669CC" w:rsidR="00A02ADA" w:rsidRPr="00B87CC5" w:rsidRDefault="00B3697A" w:rsidP="00B3697A">
      <w:pPr>
        <w:pStyle w:val="BodyText"/>
        <w:rPr>
          <w:lang w:eastAsia="en-US"/>
        </w:rPr>
      </w:pPr>
      <w:r w:rsidRPr="00B87CC5">
        <w:rPr>
          <w:lang w:eastAsia="en-US"/>
        </w:rPr>
        <w:t xml:space="preserve">Given the many different individual state-of-the-world and policy scenarios, a scenario management module allows for the use of ‘composite scenarios’ </w:t>
      </w:r>
      <w:r w:rsidR="00903B7F" w:rsidRPr="00B87CC5">
        <w:rPr>
          <w:lang w:eastAsia="en-US"/>
        </w:rPr>
        <w:t xml:space="preserve">to </w:t>
      </w:r>
      <w:r w:rsidRPr="00B87CC5">
        <w:rPr>
          <w:lang w:eastAsia="en-US"/>
        </w:rPr>
        <w:t>consider different combinations of individual scenarios.</w:t>
      </w:r>
    </w:p>
    <w:p w14:paraId="442ED89C" w14:textId="3FDE7573" w:rsidR="00025C96" w:rsidRPr="00B87CC5" w:rsidRDefault="00025C96" w:rsidP="00351FC4">
      <w:pPr>
        <w:pStyle w:val="Heading1"/>
        <w:spacing w:after="240"/>
      </w:pPr>
      <w:bookmarkStart w:id="8" w:name="_Toc171609741"/>
      <w:r w:rsidRPr="00B87CC5">
        <w:lastRenderedPageBreak/>
        <w:t xml:space="preserve">Computable </w:t>
      </w:r>
      <w:r w:rsidR="00746DF5" w:rsidRPr="00B87CC5">
        <w:t>g</w:t>
      </w:r>
      <w:r w:rsidRPr="00B87CC5">
        <w:t xml:space="preserve">eneral </w:t>
      </w:r>
      <w:r w:rsidR="00746DF5" w:rsidRPr="00B87CC5">
        <w:t>e</w:t>
      </w:r>
      <w:r w:rsidRPr="00B87CC5">
        <w:t xml:space="preserve">quilibrium </w:t>
      </w:r>
      <w:r w:rsidR="00746DF5" w:rsidRPr="00B87CC5">
        <w:t>m</w:t>
      </w:r>
      <w:r w:rsidRPr="00B87CC5">
        <w:t>odelling</w:t>
      </w:r>
      <w:bookmarkEnd w:id="8"/>
    </w:p>
    <w:p w14:paraId="3E918FE6" w14:textId="01EA90C1" w:rsidR="00C27F52" w:rsidRPr="00B87CC5" w:rsidRDefault="00C27F52" w:rsidP="00351FC4">
      <w:pPr>
        <w:pStyle w:val="BodyText"/>
        <w:spacing w:before="100" w:after="100"/>
      </w:pPr>
      <w:r w:rsidRPr="00B87CC5">
        <w:t>Computable general equilibrium (CGE) models use economic data and relationships founded in</w:t>
      </w:r>
      <w:r w:rsidR="0002559C" w:rsidRPr="00B87CC5">
        <w:t> </w:t>
      </w:r>
      <w:r w:rsidRPr="00B87CC5">
        <w:t>micro</w:t>
      </w:r>
      <w:r w:rsidR="00622A0F" w:rsidRPr="00B87CC5">
        <w:t>-</w:t>
      </w:r>
      <w:r w:rsidRPr="00B87CC5">
        <w:t xml:space="preserve">economic theory to estimate how an economy might react to changes in policy </w:t>
      </w:r>
      <w:r w:rsidR="003E77D9" w:rsidRPr="00B87CC5">
        <w:t>instruments</w:t>
      </w:r>
      <w:r w:rsidRPr="00B87CC5">
        <w:t xml:space="preserve"> (</w:t>
      </w:r>
      <w:proofErr w:type="spellStart"/>
      <w:r w:rsidR="00D56171" w:rsidRPr="00B87CC5">
        <w:t>eg</w:t>
      </w:r>
      <w:proofErr w:type="spellEnd"/>
      <w:r w:rsidR="00D56171" w:rsidRPr="00B87CC5">
        <w:t>,</w:t>
      </w:r>
      <w:r w:rsidRPr="00B87CC5">
        <w:t xml:space="preserve"> emissions prices) or technology (</w:t>
      </w:r>
      <w:proofErr w:type="spellStart"/>
      <w:r w:rsidR="00D56171" w:rsidRPr="00B87CC5">
        <w:t>eg</w:t>
      </w:r>
      <w:proofErr w:type="spellEnd"/>
      <w:r w:rsidR="00D56171" w:rsidRPr="00B87CC5">
        <w:t>,</w:t>
      </w:r>
      <w:r w:rsidRPr="00B87CC5">
        <w:t xml:space="preserve"> </w:t>
      </w:r>
      <w:r w:rsidR="00903B7F" w:rsidRPr="00B87CC5">
        <w:t>EV</w:t>
      </w:r>
      <w:r w:rsidRPr="00B87CC5">
        <w:t xml:space="preserve"> uptake). A key advantage of CGE models is that they consider the flow-on effects of changes in one part of the economy to changes in other parts of the economy. However, CGE models are quite aggregated and lack the granularity of policy impacts that can be modelled in sector-specific models.</w:t>
      </w:r>
      <w:r w:rsidR="00D05D89" w:rsidRPr="00B87CC5">
        <w:t xml:space="preserve"> They are therefore a useful complementary tool</w:t>
      </w:r>
      <w:r w:rsidR="00C91233" w:rsidRPr="00B87CC5">
        <w:t xml:space="preserve"> </w:t>
      </w:r>
      <w:r w:rsidR="005349D0" w:rsidRPr="00B87CC5">
        <w:t>to ENZ and sector-specific models.</w:t>
      </w:r>
    </w:p>
    <w:p w14:paraId="33F4CE6B" w14:textId="00C7506B" w:rsidR="00254659" w:rsidRPr="00B87CC5" w:rsidRDefault="00254659" w:rsidP="00351FC4">
      <w:pPr>
        <w:pStyle w:val="BodyText"/>
        <w:spacing w:before="100" w:after="100"/>
      </w:pPr>
      <w:r w:rsidRPr="00B87CC5">
        <w:t xml:space="preserve">One notable limitation of the CGE modelling is that it </w:t>
      </w:r>
      <w:r w:rsidR="00C358CA" w:rsidRPr="00B87CC5">
        <w:t>neither</w:t>
      </w:r>
      <w:r w:rsidRPr="00B87CC5">
        <w:t xml:space="preserve"> account</w:t>
      </w:r>
      <w:r w:rsidR="00C358CA" w:rsidRPr="00B87CC5">
        <w:t>s</w:t>
      </w:r>
      <w:r w:rsidRPr="00B87CC5">
        <w:t xml:space="preserve"> for the impacts of climate change itself on society and the economy, nor</w:t>
      </w:r>
      <w:r w:rsidR="000971AE" w:rsidRPr="00B87CC5">
        <w:t xml:space="preserve"> for</w:t>
      </w:r>
      <w:r w:rsidRPr="00B87CC5">
        <w:t xml:space="preserve"> the benefits of mitigating climate change impacts. The economic impacts of climate mitigation actions, which are mostly negative when compared </w:t>
      </w:r>
      <w:r w:rsidR="000971AE" w:rsidRPr="00B87CC5">
        <w:t xml:space="preserve">with </w:t>
      </w:r>
      <w:r w:rsidRPr="00B87CC5">
        <w:t xml:space="preserve">a counterfactual without mitigation actions, need to be considered in that context. </w:t>
      </w:r>
    </w:p>
    <w:p w14:paraId="7C46A059" w14:textId="128CB6DB" w:rsidR="003F33C4" w:rsidRPr="00B87CC5" w:rsidRDefault="003F33C4" w:rsidP="00351FC4">
      <w:pPr>
        <w:pStyle w:val="Heading2"/>
        <w:spacing w:before="280" w:line="400" w:lineRule="atLeast"/>
      </w:pPr>
      <w:bookmarkStart w:id="9" w:name="_Toc171609742"/>
      <w:r w:rsidRPr="00B87CC5">
        <w:t xml:space="preserve">CGE </w:t>
      </w:r>
      <w:r w:rsidR="00746DF5" w:rsidRPr="00B87CC5">
        <w:t>m</w:t>
      </w:r>
      <w:r w:rsidRPr="00B87CC5">
        <w:t xml:space="preserve">odelling for ERP2 </w:t>
      </w:r>
      <w:r w:rsidR="00746DF5" w:rsidRPr="00B87CC5">
        <w:t>c</w:t>
      </w:r>
      <w:r w:rsidR="002366FE" w:rsidRPr="00B87CC5">
        <w:t>onsultation</w:t>
      </w:r>
      <w:bookmarkEnd w:id="9"/>
    </w:p>
    <w:p w14:paraId="2D3D08D5" w14:textId="46AD2AA1" w:rsidR="00031ADF" w:rsidRPr="00B87CC5" w:rsidRDefault="000971AE" w:rsidP="00351FC4">
      <w:pPr>
        <w:pStyle w:val="BodyText"/>
        <w:spacing w:before="100" w:after="100"/>
      </w:pPr>
      <w:r w:rsidRPr="00B87CC5">
        <w:t xml:space="preserve">The Ministry for the Environment </w:t>
      </w:r>
      <w:r w:rsidR="002B3F84" w:rsidRPr="00B87CC5">
        <w:t xml:space="preserve">contracted a consortium of </w:t>
      </w:r>
      <w:r w:rsidR="00B13402" w:rsidRPr="00B87CC5">
        <w:t>experienced CGE modellers</w:t>
      </w:r>
      <w:r w:rsidR="00BD6315" w:rsidRPr="00B87CC5">
        <w:t xml:space="preserve"> (</w:t>
      </w:r>
      <w:r w:rsidR="00B13402" w:rsidRPr="00B87CC5">
        <w:t xml:space="preserve">Principal Economics, </w:t>
      </w:r>
      <w:proofErr w:type="spellStart"/>
      <w:r w:rsidR="00B13402" w:rsidRPr="00B87CC5">
        <w:t>Infometrics</w:t>
      </w:r>
      <w:proofErr w:type="spellEnd"/>
      <w:r w:rsidR="003F743B" w:rsidRPr="00B87CC5">
        <w:t>,</w:t>
      </w:r>
      <w:r w:rsidR="00B13402" w:rsidRPr="00B87CC5">
        <w:t xml:space="preserve"> and the Centre of Policy Studies, Victoria University of Melbourne</w:t>
      </w:r>
      <w:r w:rsidR="00BD6315" w:rsidRPr="00B87CC5">
        <w:t>)</w:t>
      </w:r>
      <w:r w:rsidR="00B13402" w:rsidRPr="00B87CC5">
        <w:t xml:space="preserve"> to </w:t>
      </w:r>
      <w:r w:rsidR="0072467B" w:rsidRPr="00B87CC5">
        <w:t>undertake initial CGE mo</w:t>
      </w:r>
      <w:r w:rsidR="00FD05BA" w:rsidRPr="00B87CC5">
        <w:t xml:space="preserve">delling of ERP2 </w:t>
      </w:r>
      <w:r w:rsidR="008A1CC1" w:rsidRPr="00B87CC5">
        <w:t xml:space="preserve">policy </w:t>
      </w:r>
      <w:r w:rsidR="008C30F5" w:rsidRPr="00B87CC5">
        <w:t>options</w:t>
      </w:r>
      <w:r w:rsidR="008A1CC1" w:rsidRPr="00B87CC5">
        <w:t xml:space="preserve"> being considered</w:t>
      </w:r>
      <w:r w:rsidR="00FD05BA" w:rsidRPr="00B87CC5">
        <w:t>.</w:t>
      </w:r>
      <w:r w:rsidR="00C81161" w:rsidRPr="00B87CC5">
        <w:t xml:space="preserve"> </w:t>
      </w:r>
      <w:r w:rsidR="00031ADF" w:rsidRPr="00B87CC5">
        <w:t>In</w:t>
      </w:r>
      <w:r w:rsidR="0002559C" w:rsidRPr="00B87CC5">
        <w:t> </w:t>
      </w:r>
      <w:r w:rsidR="00031ADF" w:rsidRPr="00B87CC5">
        <w:t>addition to the usual estimates of macro</w:t>
      </w:r>
      <w:r w:rsidR="00622A0F" w:rsidRPr="00B87CC5">
        <w:t>-</w:t>
      </w:r>
      <w:r w:rsidR="00031ADF" w:rsidRPr="00B87CC5">
        <w:t xml:space="preserve">economic impacts, the consortium has </w:t>
      </w:r>
      <w:r w:rsidR="009B5A5E" w:rsidRPr="00B87CC5">
        <w:t xml:space="preserve">a sophisticated </w:t>
      </w:r>
      <w:r w:rsidR="00135450" w:rsidRPr="00B87CC5">
        <w:t xml:space="preserve">framework </w:t>
      </w:r>
      <w:r w:rsidR="002A6FF9" w:rsidRPr="00B87CC5">
        <w:t xml:space="preserve">and evidence base </w:t>
      </w:r>
      <w:r w:rsidR="00135450" w:rsidRPr="00B87CC5">
        <w:t>for assessing distributional impacts</w:t>
      </w:r>
      <w:r w:rsidR="00ED6FD1" w:rsidRPr="00B87CC5">
        <w:t>.</w:t>
      </w:r>
    </w:p>
    <w:p w14:paraId="18BA59C9" w14:textId="22038406" w:rsidR="002B3F84" w:rsidRPr="00B87CC5" w:rsidRDefault="00744B72" w:rsidP="00351FC4">
      <w:pPr>
        <w:pStyle w:val="BodyText"/>
        <w:spacing w:before="100" w:after="100"/>
      </w:pPr>
      <w:r w:rsidRPr="00B87CC5">
        <w:t>The initial phase of</w:t>
      </w:r>
      <w:r w:rsidR="00AC5938" w:rsidRPr="00B87CC5">
        <w:t xml:space="preserve"> </w:t>
      </w:r>
      <w:r w:rsidR="00931B2E" w:rsidRPr="00B87CC5">
        <w:t xml:space="preserve">modelling took place </w:t>
      </w:r>
      <w:r w:rsidR="00F73AD3" w:rsidRPr="00B87CC5">
        <w:t xml:space="preserve">before </w:t>
      </w:r>
      <w:r w:rsidR="00740C65" w:rsidRPr="00B87CC5">
        <w:t>the 2024</w:t>
      </w:r>
      <w:r w:rsidR="00DE0962" w:rsidRPr="00B87CC5">
        <w:t xml:space="preserve"> </w:t>
      </w:r>
      <w:r w:rsidR="0022133A" w:rsidRPr="00B87CC5">
        <w:t xml:space="preserve">inventory </w:t>
      </w:r>
      <w:r w:rsidR="00C009CF" w:rsidRPr="00B87CC5">
        <w:t>was published</w:t>
      </w:r>
      <w:r w:rsidR="0022133A" w:rsidRPr="00B87CC5">
        <w:t xml:space="preserve"> and other </w:t>
      </w:r>
      <w:r w:rsidR="00322923" w:rsidRPr="00B87CC5">
        <w:t>changes to input assumptions</w:t>
      </w:r>
      <w:r w:rsidR="000971AE" w:rsidRPr="00B87CC5">
        <w:t xml:space="preserve"> were</w:t>
      </w:r>
      <w:r w:rsidR="00C009CF" w:rsidRPr="00B87CC5">
        <w:t xml:space="preserve"> identified</w:t>
      </w:r>
      <w:r w:rsidR="00322923" w:rsidRPr="00B87CC5">
        <w:t xml:space="preserve">. </w:t>
      </w:r>
      <w:r w:rsidR="00B84C07" w:rsidRPr="00B87CC5">
        <w:t xml:space="preserve">The consortium’s modelling therefore has relied on the 2023 projections to inform its analysis. </w:t>
      </w:r>
      <w:r w:rsidR="008C30F5" w:rsidRPr="00B87CC5">
        <w:t>The modelling has assessed the impacts of</w:t>
      </w:r>
      <w:r w:rsidR="004376C1" w:rsidRPr="00B87CC5">
        <w:t xml:space="preserve"> </w:t>
      </w:r>
      <w:r w:rsidR="00531122" w:rsidRPr="00B87CC5">
        <w:t>high</w:t>
      </w:r>
      <w:r w:rsidR="0002559C" w:rsidRPr="00B87CC5">
        <w:noBreakHyphen/>
      </w:r>
      <w:r w:rsidR="00531122" w:rsidRPr="00B87CC5">
        <w:t>level</w:t>
      </w:r>
      <w:r w:rsidR="00A51467" w:rsidRPr="00B87CC5">
        <w:t xml:space="preserve"> and </w:t>
      </w:r>
      <w:r w:rsidR="00764FAC" w:rsidRPr="00B87CC5">
        <w:t>policy-agnostic</w:t>
      </w:r>
      <w:r w:rsidR="00A87F9C" w:rsidRPr="00B87CC5">
        <w:t xml:space="preserve"> scenarios</w:t>
      </w:r>
      <w:r w:rsidR="00740C65" w:rsidRPr="00B87CC5">
        <w:t xml:space="preserve"> in addition to </w:t>
      </w:r>
      <w:r w:rsidR="00E34234" w:rsidRPr="00B87CC5">
        <w:t xml:space="preserve">a limited number of </w:t>
      </w:r>
      <w:r w:rsidR="0050067B" w:rsidRPr="00B87CC5">
        <w:t>more specific policy proposals</w:t>
      </w:r>
      <w:r w:rsidR="000D08C7" w:rsidRPr="00B87CC5">
        <w:t xml:space="preserve">, </w:t>
      </w:r>
      <w:r w:rsidR="00EA27A0" w:rsidRPr="00B87CC5">
        <w:t>as well as undertaking a range of sensitivity analyses.</w:t>
      </w:r>
      <w:r w:rsidR="000F0E2C" w:rsidRPr="00B87CC5">
        <w:t xml:space="preserve"> </w:t>
      </w:r>
      <w:r w:rsidR="004A7BBA" w:rsidRPr="00B87CC5">
        <w:t xml:space="preserve">Because the modelling took place early in the development of </w:t>
      </w:r>
      <w:r w:rsidR="00985161" w:rsidRPr="00B87CC5">
        <w:t>ERP2</w:t>
      </w:r>
      <w:r w:rsidR="000971AE" w:rsidRPr="00B87CC5">
        <w:t>,</w:t>
      </w:r>
      <w:r w:rsidR="00985161" w:rsidRPr="00B87CC5">
        <w:t xml:space="preserve"> it </w:t>
      </w:r>
      <w:r w:rsidR="000E5BCE" w:rsidRPr="00B87CC5">
        <w:t>helped inform early policy development</w:t>
      </w:r>
      <w:r w:rsidR="00BF6D0C" w:rsidRPr="00B87CC5">
        <w:t xml:space="preserve"> but is less up to date than the analysis undertaken </w:t>
      </w:r>
      <w:r w:rsidR="008263AD" w:rsidRPr="00B87CC5">
        <w:t>using</w:t>
      </w:r>
      <w:r w:rsidR="00BF6D0C" w:rsidRPr="00B87CC5">
        <w:t xml:space="preserve"> </w:t>
      </w:r>
      <w:r w:rsidR="00C853E7" w:rsidRPr="00B87CC5">
        <w:t xml:space="preserve">the </w:t>
      </w:r>
      <w:r w:rsidR="00BF6D0C" w:rsidRPr="00B87CC5">
        <w:t>ENZ</w:t>
      </w:r>
      <w:r w:rsidR="00C853E7" w:rsidRPr="00B87CC5">
        <w:t xml:space="preserve"> model</w:t>
      </w:r>
      <w:r w:rsidR="00BF6D0C" w:rsidRPr="00B87CC5">
        <w:t>.</w:t>
      </w:r>
      <w:r w:rsidR="006A0DDC" w:rsidRPr="00B87CC5">
        <w:t xml:space="preserve"> </w:t>
      </w:r>
    </w:p>
    <w:p w14:paraId="61059206" w14:textId="4852D5C6" w:rsidR="00D216E8" w:rsidRPr="00B87CC5" w:rsidRDefault="00D216E8" w:rsidP="00351FC4">
      <w:pPr>
        <w:pStyle w:val="BodyText"/>
        <w:spacing w:before="100" w:after="100"/>
      </w:pPr>
      <w:r w:rsidRPr="00B87CC5">
        <w:t>Wherever practical, the CGE modelling uses</w:t>
      </w:r>
      <w:r w:rsidR="000971AE" w:rsidRPr="00B87CC5">
        <w:t xml:space="preserve"> assumptions that are</w:t>
      </w:r>
      <w:r w:rsidRPr="00B87CC5">
        <w:t xml:space="preserve"> the same </w:t>
      </w:r>
      <w:r w:rsidR="000971AE" w:rsidRPr="00B87CC5">
        <w:t xml:space="preserve">as </w:t>
      </w:r>
      <w:r w:rsidRPr="00B87CC5">
        <w:t xml:space="preserve">or </w:t>
      </w:r>
      <w:proofErr w:type="gramStart"/>
      <w:r w:rsidRPr="00B87CC5">
        <w:t>similar to</w:t>
      </w:r>
      <w:proofErr w:type="gramEnd"/>
      <w:r w:rsidRPr="00B87CC5">
        <w:t xml:space="preserve"> the </w:t>
      </w:r>
      <w:r w:rsidRPr="00B87CC5">
        <w:rPr>
          <w:spacing w:val="-2"/>
        </w:rPr>
        <w:t>ENZ modelling</w:t>
      </w:r>
      <w:r w:rsidR="001B4481" w:rsidRPr="00B87CC5">
        <w:rPr>
          <w:spacing w:val="-2"/>
        </w:rPr>
        <w:t xml:space="preserve"> assumptions</w:t>
      </w:r>
      <w:r w:rsidRPr="00B87CC5">
        <w:rPr>
          <w:spacing w:val="-2"/>
        </w:rPr>
        <w:t>.</w:t>
      </w:r>
      <w:r w:rsidR="00D94E71" w:rsidRPr="00B87CC5">
        <w:rPr>
          <w:spacing w:val="-2"/>
        </w:rPr>
        <w:t xml:space="preserve"> The different nature </w:t>
      </w:r>
      <w:r w:rsidR="00D94E71" w:rsidRPr="00B87CC5" w:rsidDel="000971AE">
        <w:rPr>
          <w:spacing w:val="-2"/>
        </w:rPr>
        <w:t>of</w:t>
      </w:r>
      <w:r w:rsidR="00D94E71" w:rsidRPr="00B87CC5">
        <w:rPr>
          <w:spacing w:val="-2"/>
        </w:rPr>
        <w:t xml:space="preserve"> the two models means that different inputs</w:t>
      </w:r>
      <w:r w:rsidR="00D94E71" w:rsidRPr="00B87CC5">
        <w:t xml:space="preserve"> are sometimes needed</w:t>
      </w:r>
      <w:r w:rsidR="009E24B3" w:rsidRPr="00B87CC5">
        <w:t xml:space="preserve"> to represent </w:t>
      </w:r>
      <w:r w:rsidR="007437FB" w:rsidRPr="00B87CC5">
        <w:t>a given policy intervention</w:t>
      </w:r>
      <w:r w:rsidR="00D94E71" w:rsidRPr="00B87CC5">
        <w:t xml:space="preserve">. In other cases, </w:t>
      </w:r>
      <w:r w:rsidR="00EF7272" w:rsidRPr="00B87CC5">
        <w:t>the timing of modelling mean</w:t>
      </w:r>
      <w:r w:rsidR="001520C0" w:rsidRPr="00B87CC5">
        <w:t>s</w:t>
      </w:r>
      <w:r w:rsidR="00EF7272" w:rsidRPr="00B87CC5">
        <w:t xml:space="preserve"> that CGE assumptions need to</w:t>
      </w:r>
      <w:r w:rsidR="00280EED" w:rsidRPr="00B87CC5">
        <w:t xml:space="preserve"> be agreed </w:t>
      </w:r>
      <w:r w:rsidR="00E26402" w:rsidRPr="00B87CC5">
        <w:t>earlier than ENZ</w:t>
      </w:r>
      <w:r w:rsidR="0070719D" w:rsidRPr="00B87CC5">
        <w:t xml:space="preserve"> modelling, </w:t>
      </w:r>
      <w:r w:rsidR="001520C0" w:rsidRPr="00B87CC5">
        <w:t xml:space="preserve">because </w:t>
      </w:r>
      <w:r w:rsidR="0070719D" w:rsidRPr="00B87CC5">
        <w:t>the la</w:t>
      </w:r>
      <w:r w:rsidR="00EC24DB" w:rsidRPr="00B87CC5">
        <w:t>t</w:t>
      </w:r>
      <w:r w:rsidR="0070719D" w:rsidRPr="00B87CC5">
        <w:t xml:space="preserve">ter </w:t>
      </w:r>
      <w:r w:rsidR="00555344" w:rsidRPr="00B87CC5">
        <w:t>can</w:t>
      </w:r>
      <w:r w:rsidR="0070719D" w:rsidRPr="00B87CC5">
        <w:t xml:space="preserve"> more </w:t>
      </w:r>
      <w:r w:rsidR="00555344" w:rsidRPr="00B87CC5">
        <w:t xml:space="preserve">readily incorporate </w:t>
      </w:r>
      <w:r w:rsidR="0070719D" w:rsidRPr="00B87CC5">
        <w:t>recent information.</w:t>
      </w:r>
      <w:r w:rsidR="00D22EC3" w:rsidRPr="00B87CC5">
        <w:t xml:space="preserve"> For the avoidance of doubt, where there are differences in policy impacts, the ENZ results</w:t>
      </w:r>
      <w:r w:rsidR="00CC5923" w:rsidRPr="00B87CC5">
        <w:t xml:space="preserve"> should be considered the more definitive (within the realms </w:t>
      </w:r>
      <w:r w:rsidR="00A50682" w:rsidRPr="00B87CC5">
        <w:t>of uncertainty inherent in any modelling exercise).</w:t>
      </w:r>
    </w:p>
    <w:p w14:paraId="060711F3" w14:textId="74EF77A1" w:rsidR="00575CB7" w:rsidRPr="00B87CC5" w:rsidRDefault="00EA543D" w:rsidP="00351FC4">
      <w:pPr>
        <w:pStyle w:val="BodyText"/>
        <w:spacing w:before="100" w:after="100"/>
        <w:rPr>
          <w:highlight w:val="yellow"/>
        </w:rPr>
      </w:pPr>
      <w:r w:rsidRPr="00B87CC5">
        <w:t>The full modelling results</w:t>
      </w:r>
      <w:r w:rsidR="00A11702" w:rsidRPr="00B87CC5">
        <w:t xml:space="preserve"> together with </w:t>
      </w:r>
      <w:r w:rsidR="00C846B0" w:rsidRPr="00B87CC5">
        <w:t xml:space="preserve">detailed information on the CGE framework and </w:t>
      </w:r>
      <w:r w:rsidR="00A11702" w:rsidRPr="00B87CC5">
        <w:t>methodolo</w:t>
      </w:r>
      <w:r w:rsidR="00733836" w:rsidRPr="00B87CC5">
        <w:t>gy</w:t>
      </w:r>
      <w:r w:rsidR="00DA23A9" w:rsidRPr="00B87CC5">
        <w:t xml:space="preserve"> are available in the accompanying report from</w:t>
      </w:r>
      <w:r w:rsidR="00FE0781" w:rsidRPr="00B87CC5">
        <w:t xml:space="preserve"> Principal Economics in collaboration with the Centre of Policy Studies</w:t>
      </w:r>
      <w:r w:rsidR="00DB0B05" w:rsidRPr="00B87CC5">
        <w:t xml:space="preserve"> (</w:t>
      </w:r>
      <w:r w:rsidR="00A759B1" w:rsidRPr="00B87CC5">
        <w:t>Victoria University</w:t>
      </w:r>
      <w:r w:rsidR="000971AE" w:rsidRPr="00B87CC5">
        <w:t xml:space="preserve"> of</w:t>
      </w:r>
      <w:r w:rsidR="00A759B1" w:rsidRPr="00B87CC5">
        <w:t xml:space="preserve"> Melbourne</w:t>
      </w:r>
      <w:r w:rsidR="00DB0B05" w:rsidRPr="00B87CC5">
        <w:t>)</w:t>
      </w:r>
      <w:r w:rsidR="00FE0781" w:rsidRPr="00B87CC5">
        <w:t xml:space="preserve"> and </w:t>
      </w:r>
      <w:proofErr w:type="spellStart"/>
      <w:r w:rsidR="00FE0781" w:rsidRPr="00B87CC5">
        <w:t>Infometrics</w:t>
      </w:r>
      <w:proofErr w:type="spellEnd"/>
      <w:r w:rsidR="00FE0781" w:rsidRPr="00B87CC5">
        <w:t>.</w:t>
      </w:r>
      <w:r w:rsidR="00015041" w:rsidRPr="00B87CC5">
        <w:rPr>
          <w:rStyle w:val="FootnoteReference"/>
        </w:rPr>
        <w:footnoteReference w:id="12"/>
      </w:r>
      <w:r w:rsidR="00396E18" w:rsidRPr="00B87CC5">
        <w:t xml:space="preserve"> The CGE modelling </w:t>
      </w:r>
      <w:r w:rsidR="00C15108" w:rsidRPr="00B87CC5">
        <w:t xml:space="preserve">will be updated </w:t>
      </w:r>
      <w:r w:rsidR="00396E18" w:rsidRPr="00B87CC5">
        <w:t>for the final ERP2 package, inc</w:t>
      </w:r>
      <w:r w:rsidR="001F7AED" w:rsidRPr="00B87CC5">
        <w:t xml:space="preserve">luding </w:t>
      </w:r>
      <w:r w:rsidR="000971AE" w:rsidRPr="00B87CC5">
        <w:t xml:space="preserve">by </w:t>
      </w:r>
      <w:r w:rsidR="001F7AED" w:rsidRPr="00B87CC5">
        <w:t>incorporating any relevant feedback from consultation.</w:t>
      </w:r>
    </w:p>
    <w:p w14:paraId="65AE5D47" w14:textId="52AE7AD0" w:rsidR="004914EB" w:rsidRPr="00B87CC5" w:rsidRDefault="00C16C0A" w:rsidP="0069513D">
      <w:pPr>
        <w:pStyle w:val="Heading1"/>
      </w:pPr>
      <w:bookmarkStart w:id="10" w:name="_Toc171609743"/>
      <w:r w:rsidRPr="00B87CC5">
        <w:lastRenderedPageBreak/>
        <w:t xml:space="preserve">ENZ </w:t>
      </w:r>
      <w:r w:rsidR="00746DF5" w:rsidRPr="00B87CC5">
        <w:t>m</w:t>
      </w:r>
      <w:r w:rsidR="000761BD" w:rsidRPr="00B87CC5">
        <w:t xml:space="preserve">odel </w:t>
      </w:r>
      <w:r w:rsidR="00746DF5" w:rsidRPr="00B87CC5">
        <w:t>r</w:t>
      </w:r>
      <w:r w:rsidRPr="00B87CC5">
        <w:t>esults</w:t>
      </w:r>
      <w:bookmarkEnd w:id="10"/>
      <w:r w:rsidR="004914EB" w:rsidRPr="00B87CC5">
        <w:t xml:space="preserve"> </w:t>
      </w:r>
    </w:p>
    <w:p w14:paraId="2B49AFEB" w14:textId="42BB4FD7" w:rsidR="000761BD" w:rsidRPr="00B87CC5" w:rsidRDefault="00B24DD3" w:rsidP="00A46454">
      <w:pPr>
        <w:pStyle w:val="Heading2"/>
        <w:spacing w:before="240"/>
        <w:rPr>
          <w:lang w:eastAsia="en-US"/>
        </w:rPr>
      </w:pPr>
      <w:bookmarkStart w:id="11" w:name="_Toc171609744"/>
      <w:r w:rsidRPr="00B87CC5">
        <w:rPr>
          <w:lang w:eastAsia="en-US"/>
        </w:rPr>
        <w:t>Previously</w:t>
      </w:r>
      <w:r w:rsidR="00957E0E" w:rsidRPr="00B87CC5">
        <w:rPr>
          <w:lang w:eastAsia="en-US"/>
        </w:rPr>
        <w:t xml:space="preserve"> </w:t>
      </w:r>
      <w:r w:rsidRPr="00B87CC5">
        <w:rPr>
          <w:lang w:eastAsia="en-US"/>
        </w:rPr>
        <w:t xml:space="preserve">assumed </w:t>
      </w:r>
      <w:r w:rsidR="00957E0E" w:rsidRPr="00B87CC5">
        <w:rPr>
          <w:lang w:eastAsia="en-US"/>
        </w:rPr>
        <w:t>b</w:t>
      </w:r>
      <w:r w:rsidRPr="00B87CC5">
        <w:rPr>
          <w:lang w:eastAsia="en-US"/>
        </w:rPr>
        <w:t>aseline</w:t>
      </w:r>
      <w:r w:rsidR="000761BD" w:rsidRPr="00B87CC5">
        <w:rPr>
          <w:lang w:eastAsia="en-US"/>
        </w:rPr>
        <w:t xml:space="preserve"> – the 2023 </w:t>
      </w:r>
      <w:r w:rsidR="00957E0E" w:rsidRPr="00B87CC5">
        <w:rPr>
          <w:lang w:eastAsia="en-US"/>
        </w:rPr>
        <w:t>o</w:t>
      </w:r>
      <w:r w:rsidR="00CB48B2" w:rsidRPr="00B87CC5">
        <w:rPr>
          <w:lang w:eastAsia="en-US"/>
        </w:rPr>
        <w:t xml:space="preserve">fficial </w:t>
      </w:r>
      <w:r w:rsidR="004F5E27" w:rsidRPr="00B87CC5">
        <w:rPr>
          <w:lang w:eastAsia="en-US"/>
        </w:rPr>
        <w:t>g</w:t>
      </w:r>
      <w:r w:rsidR="003337B0" w:rsidRPr="00B87CC5">
        <w:rPr>
          <w:lang w:eastAsia="en-US"/>
        </w:rPr>
        <w:t xml:space="preserve">reenhouse </w:t>
      </w:r>
      <w:r w:rsidR="004F5E27" w:rsidRPr="00B87CC5">
        <w:rPr>
          <w:lang w:eastAsia="en-US"/>
        </w:rPr>
        <w:t>g</w:t>
      </w:r>
      <w:r w:rsidR="003337B0" w:rsidRPr="00B87CC5">
        <w:rPr>
          <w:lang w:eastAsia="en-US"/>
        </w:rPr>
        <w:t xml:space="preserve">as </w:t>
      </w:r>
      <w:r w:rsidR="004F5E27" w:rsidRPr="00B87CC5">
        <w:rPr>
          <w:lang w:eastAsia="en-US"/>
        </w:rPr>
        <w:t>e</w:t>
      </w:r>
      <w:r w:rsidR="000761BD" w:rsidRPr="00B87CC5">
        <w:rPr>
          <w:lang w:eastAsia="en-US"/>
        </w:rPr>
        <w:t>mission</w:t>
      </w:r>
      <w:r w:rsidR="004327D0" w:rsidRPr="00B87CC5">
        <w:rPr>
          <w:lang w:eastAsia="en-US"/>
        </w:rPr>
        <w:t>s</w:t>
      </w:r>
      <w:r w:rsidR="000761BD" w:rsidRPr="00B87CC5">
        <w:rPr>
          <w:lang w:eastAsia="en-US"/>
        </w:rPr>
        <w:t xml:space="preserve"> </w:t>
      </w:r>
      <w:r w:rsidR="004F5E27" w:rsidRPr="00B87CC5">
        <w:rPr>
          <w:lang w:eastAsia="en-US"/>
        </w:rPr>
        <w:t>p</w:t>
      </w:r>
      <w:r w:rsidR="000761BD" w:rsidRPr="00B87CC5">
        <w:rPr>
          <w:lang w:eastAsia="en-US"/>
        </w:rPr>
        <w:t>rojections</w:t>
      </w:r>
      <w:bookmarkEnd w:id="11"/>
    </w:p>
    <w:p w14:paraId="26D4296C" w14:textId="58F8BD38" w:rsidR="000761BD" w:rsidRPr="00B87CC5" w:rsidRDefault="000761BD" w:rsidP="00A46454">
      <w:pPr>
        <w:pStyle w:val="Heading3"/>
        <w:spacing w:before="240"/>
      </w:pPr>
      <w:r w:rsidRPr="00B87CC5">
        <w:t>Assumptions</w:t>
      </w:r>
    </w:p>
    <w:p w14:paraId="1A256FA3" w14:textId="151F57AB" w:rsidR="000761BD" w:rsidRPr="00B87CC5" w:rsidRDefault="002B07C5" w:rsidP="00A46454">
      <w:pPr>
        <w:pStyle w:val="BodyText"/>
        <w:rPr>
          <w:lang w:eastAsia="en-US"/>
        </w:rPr>
      </w:pPr>
      <w:r w:rsidRPr="00B87CC5">
        <w:rPr>
          <w:lang w:eastAsia="en-US"/>
        </w:rPr>
        <w:t xml:space="preserve">The 2023 </w:t>
      </w:r>
      <w:r w:rsidR="00327CB5" w:rsidRPr="00B87CC5">
        <w:rPr>
          <w:lang w:eastAsia="en-US"/>
        </w:rPr>
        <w:t xml:space="preserve">WEM </w:t>
      </w:r>
      <w:r w:rsidR="002963BC" w:rsidRPr="00B87CC5">
        <w:rPr>
          <w:lang w:eastAsia="en-US"/>
        </w:rPr>
        <w:t xml:space="preserve">projections were produced by agencies </w:t>
      </w:r>
      <w:r w:rsidR="00EA7D5E" w:rsidRPr="00B87CC5">
        <w:rPr>
          <w:lang w:eastAsia="en-US"/>
        </w:rPr>
        <w:t xml:space="preserve">using the models as </w:t>
      </w:r>
      <w:r w:rsidR="00113607" w:rsidRPr="00B87CC5">
        <w:rPr>
          <w:lang w:eastAsia="en-US"/>
        </w:rPr>
        <w:t>shown in</w:t>
      </w:r>
      <w:r w:rsidR="00A32798" w:rsidRPr="00B87CC5">
        <w:rPr>
          <w:lang w:eastAsia="en-US"/>
        </w:rPr>
        <w:t xml:space="preserve"> </w:t>
      </w:r>
      <w:r w:rsidR="00920E55" w:rsidRPr="00B87CC5">
        <w:t>f</w:t>
      </w:r>
      <w:r w:rsidR="001B6E3F" w:rsidRPr="00B87CC5">
        <w:t>igure 1</w:t>
      </w:r>
      <w:r w:rsidR="00920E55" w:rsidRPr="00B87CC5">
        <w:rPr>
          <w:lang w:eastAsia="en-US"/>
        </w:rPr>
        <w:t>.</w:t>
      </w:r>
      <w:r w:rsidR="00473110" w:rsidRPr="00B87CC5" w:rsidDel="00920E55">
        <w:rPr>
          <w:lang w:eastAsia="en-US"/>
        </w:rPr>
        <w:t xml:space="preserve"> </w:t>
      </w:r>
      <w:r w:rsidR="00920E55" w:rsidRPr="00B87CC5">
        <w:rPr>
          <w:lang w:eastAsia="en-US"/>
        </w:rPr>
        <w:t xml:space="preserve">The </w:t>
      </w:r>
      <w:r w:rsidR="00473110" w:rsidRPr="00B87CC5">
        <w:rPr>
          <w:lang w:eastAsia="en-US"/>
        </w:rPr>
        <w:t xml:space="preserve">set of </w:t>
      </w:r>
      <w:r w:rsidR="00473110" w:rsidRPr="00B87CC5">
        <w:t>assumptions</w:t>
      </w:r>
      <w:r w:rsidR="00473110" w:rsidRPr="00B87CC5">
        <w:rPr>
          <w:lang w:eastAsia="en-US"/>
        </w:rPr>
        <w:t xml:space="preserve"> </w:t>
      </w:r>
      <w:r w:rsidR="00920E55" w:rsidRPr="00B87CC5">
        <w:rPr>
          <w:lang w:eastAsia="en-US"/>
        </w:rPr>
        <w:t>(see</w:t>
      </w:r>
      <w:r w:rsidR="00A138C3" w:rsidRPr="00B87CC5" w:rsidDel="00920E55">
        <w:rPr>
          <w:lang w:eastAsia="en-US"/>
        </w:rPr>
        <w:t xml:space="preserve"> </w:t>
      </w:r>
      <w:r w:rsidR="00920E55" w:rsidRPr="00B87CC5">
        <w:rPr>
          <w:lang w:eastAsia="en-US"/>
        </w:rPr>
        <w:t>a</w:t>
      </w:r>
      <w:r w:rsidR="00C55478" w:rsidRPr="00B87CC5">
        <w:rPr>
          <w:lang w:eastAsia="en-US"/>
        </w:rPr>
        <w:t>ppendix</w:t>
      </w:r>
      <w:r w:rsidR="003778A2" w:rsidRPr="00B87CC5">
        <w:rPr>
          <w:lang w:eastAsia="en-US"/>
        </w:rPr>
        <w:t xml:space="preserve"> 1</w:t>
      </w:r>
      <w:r w:rsidR="00920E55" w:rsidRPr="00B87CC5">
        <w:rPr>
          <w:lang w:eastAsia="en-US"/>
        </w:rPr>
        <w:t xml:space="preserve"> for detail)</w:t>
      </w:r>
      <w:r w:rsidR="00E04C1E" w:rsidRPr="00B87CC5">
        <w:rPr>
          <w:lang w:eastAsia="en-US"/>
        </w:rPr>
        <w:t xml:space="preserve"> include</w:t>
      </w:r>
      <w:r w:rsidR="00327CB5" w:rsidRPr="00B87CC5">
        <w:rPr>
          <w:lang w:eastAsia="en-US"/>
        </w:rPr>
        <w:t>:</w:t>
      </w:r>
    </w:p>
    <w:p w14:paraId="63FB5F22" w14:textId="77F7430F" w:rsidR="00DE7B50" w:rsidRPr="00B87CC5" w:rsidRDefault="00920E55" w:rsidP="00B84DAE">
      <w:pPr>
        <w:pStyle w:val="Bullet"/>
        <w:rPr>
          <w:lang w:eastAsia="en-US"/>
        </w:rPr>
      </w:pPr>
      <w:r w:rsidRPr="00B87CC5">
        <w:rPr>
          <w:lang w:eastAsia="en-US"/>
        </w:rPr>
        <w:t>p</w:t>
      </w:r>
      <w:r w:rsidR="00825434" w:rsidRPr="00B87CC5">
        <w:rPr>
          <w:lang w:eastAsia="en-US"/>
        </w:rPr>
        <w:t>olicy settings as at</w:t>
      </w:r>
      <w:r w:rsidR="00DB5D8D" w:rsidRPr="00B87CC5">
        <w:rPr>
          <w:lang w:eastAsia="en-US"/>
        </w:rPr>
        <w:t xml:space="preserve"> </w:t>
      </w:r>
      <w:r w:rsidR="00DE7B50" w:rsidRPr="00B87CC5">
        <w:rPr>
          <w:lang w:eastAsia="en-US"/>
        </w:rPr>
        <w:t xml:space="preserve">mid-2023, including the </w:t>
      </w:r>
      <w:r w:rsidR="00CD502B" w:rsidRPr="00B87CC5">
        <w:rPr>
          <w:lang w:eastAsia="en-US"/>
        </w:rPr>
        <w:t>CCD</w:t>
      </w:r>
      <w:r w:rsidR="00DE7B50" w:rsidRPr="00B87CC5">
        <w:rPr>
          <w:lang w:eastAsia="en-US"/>
        </w:rPr>
        <w:t xml:space="preserve">, </w:t>
      </w:r>
      <w:r w:rsidR="00BB10FE" w:rsidRPr="00B87CC5">
        <w:rPr>
          <w:lang w:eastAsia="en-US"/>
        </w:rPr>
        <w:t xml:space="preserve">the </w:t>
      </w:r>
      <w:r w:rsidR="00F2156E" w:rsidRPr="00B87CC5">
        <w:rPr>
          <w:lang w:eastAsia="en-US"/>
        </w:rPr>
        <w:t xml:space="preserve">continued roll-out of </w:t>
      </w:r>
      <w:r w:rsidR="009D6DF2" w:rsidRPr="00B87CC5">
        <w:rPr>
          <w:lang w:eastAsia="en-US"/>
        </w:rPr>
        <w:t xml:space="preserve">the </w:t>
      </w:r>
      <w:r w:rsidR="002430DE" w:rsidRPr="00B87CC5">
        <w:rPr>
          <w:lang w:eastAsia="en-US"/>
        </w:rPr>
        <w:t xml:space="preserve">GIDI fund and </w:t>
      </w:r>
      <w:r w:rsidR="00DE7B50" w:rsidRPr="00B87CC5">
        <w:rPr>
          <w:lang w:eastAsia="en-US"/>
        </w:rPr>
        <w:t>agriculture pricing from 2025</w:t>
      </w:r>
    </w:p>
    <w:p w14:paraId="208DBFAA" w14:textId="2559E1C0" w:rsidR="00F947C8" w:rsidRPr="00B87CC5" w:rsidRDefault="00920E55" w:rsidP="00B84DAE">
      <w:pPr>
        <w:pStyle w:val="Bullet"/>
        <w:rPr>
          <w:lang w:eastAsia="en-US"/>
        </w:rPr>
      </w:pPr>
      <w:r w:rsidRPr="00B87CC5">
        <w:rPr>
          <w:lang w:eastAsia="en-US"/>
        </w:rPr>
        <w:t>a</w:t>
      </w:r>
      <w:r w:rsidR="00F947C8" w:rsidRPr="00B87CC5">
        <w:rPr>
          <w:lang w:eastAsia="en-US"/>
        </w:rPr>
        <w:t xml:space="preserve">n assumed </w:t>
      </w:r>
      <w:r w:rsidR="004347B5" w:rsidRPr="00B87CC5">
        <w:rPr>
          <w:lang w:eastAsia="en-US"/>
        </w:rPr>
        <w:t xml:space="preserve">NZU price path increasing to $230 (in </w:t>
      </w:r>
      <w:proofErr w:type="gramStart"/>
      <w:r w:rsidR="002366FE" w:rsidRPr="00B87CC5">
        <w:rPr>
          <w:lang w:eastAsia="en-US"/>
        </w:rPr>
        <w:t>2023</w:t>
      </w:r>
      <w:r w:rsidR="00F71751" w:rsidRPr="00B87CC5">
        <w:rPr>
          <w:lang w:eastAsia="en-US"/>
        </w:rPr>
        <w:t xml:space="preserve"> </w:t>
      </w:r>
      <w:r w:rsidR="002366FE" w:rsidRPr="00B87CC5">
        <w:rPr>
          <w:lang w:eastAsia="en-US"/>
        </w:rPr>
        <w:t>dollar</w:t>
      </w:r>
      <w:proofErr w:type="gramEnd"/>
      <w:r w:rsidR="004347B5" w:rsidRPr="00B87CC5">
        <w:rPr>
          <w:lang w:eastAsia="en-US"/>
        </w:rPr>
        <w:t xml:space="preserve"> </w:t>
      </w:r>
      <w:r w:rsidR="00F71751" w:rsidRPr="00B87CC5">
        <w:rPr>
          <w:lang w:eastAsia="en-US"/>
        </w:rPr>
        <w:t>values</w:t>
      </w:r>
      <w:r w:rsidR="004347B5" w:rsidRPr="00B87CC5">
        <w:rPr>
          <w:lang w:eastAsia="en-US"/>
        </w:rPr>
        <w:t xml:space="preserve">) </w:t>
      </w:r>
      <w:r w:rsidR="002332B5" w:rsidRPr="00B87CC5">
        <w:rPr>
          <w:lang w:eastAsia="en-US"/>
        </w:rPr>
        <w:t>by 2050</w:t>
      </w:r>
      <w:r w:rsidR="000B1059" w:rsidRPr="00B87CC5">
        <w:rPr>
          <w:lang w:eastAsia="en-US"/>
        </w:rPr>
        <w:t xml:space="preserve"> for projecting energy emissions</w:t>
      </w:r>
      <w:r w:rsidR="000B1059" w:rsidRPr="00B87CC5">
        <w:rPr>
          <w:rStyle w:val="FootnoteReference"/>
          <w:lang w:eastAsia="en-US"/>
        </w:rPr>
        <w:footnoteReference w:id="13"/>
      </w:r>
    </w:p>
    <w:p w14:paraId="5710EBFC" w14:textId="32EA1148" w:rsidR="003A4CF1" w:rsidRPr="00B87CC5" w:rsidRDefault="00920E55" w:rsidP="00B84DAE">
      <w:pPr>
        <w:pStyle w:val="Bullet"/>
        <w:rPr>
          <w:lang w:eastAsia="en-US"/>
        </w:rPr>
      </w:pPr>
      <w:r w:rsidRPr="00B87CC5">
        <w:rPr>
          <w:lang w:eastAsia="en-US"/>
        </w:rPr>
        <w:t>c</w:t>
      </w:r>
      <w:r w:rsidR="0033703E" w:rsidRPr="00B87CC5">
        <w:rPr>
          <w:lang w:eastAsia="en-US"/>
        </w:rPr>
        <w:t>losure of the Tiwai Point aluminium smelter</w:t>
      </w:r>
      <w:r w:rsidR="009401F0" w:rsidRPr="00B87CC5">
        <w:rPr>
          <w:lang w:eastAsia="en-US"/>
        </w:rPr>
        <w:t xml:space="preserve"> at the end of 2024</w:t>
      </w:r>
    </w:p>
    <w:p w14:paraId="58807FF4" w14:textId="58A5C049" w:rsidR="009401F0" w:rsidRPr="00B87CC5" w:rsidRDefault="00920E55" w:rsidP="00B84DAE">
      <w:pPr>
        <w:pStyle w:val="Bullet"/>
        <w:rPr>
          <w:lang w:eastAsia="en-US"/>
        </w:rPr>
      </w:pPr>
      <w:r w:rsidRPr="00B87CC5">
        <w:rPr>
          <w:lang w:eastAsia="en-US"/>
        </w:rPr>
        <w:t>t</w:t>
      </w:r>
      <w:r w:rsidR="00EE5E92" w:rsidRPr="00B87CC5">
        <w:rPr>
          <w:lang w:eastAsia="en-US"/>
        </w:rPr>
        <w:t>he 2023 Greenhouse Gas Inventory data</w:t>
      </w:r>
      <w:r w:rsidR="000254B2" w:rsidRPr="00B87CC5">
        <w:rPr>
          <w:lang w:eastAsia="en-US"/>
        </w:rPr>
        <w:t>.</w:t>
      </w:r>
    </w:p>
    <w:p w14:paraId="78D75B25" w14:textId="3CA11A2E" w:rsidR="000761BD" w:rsidRPr="00B87CC5" w:rsidRDefault="007A0CA3" w:rsidP="0082470E">
      <w:pPr>
        <w:pStyle w:val="Heading3"/>
      </w:pPr>
      <w:r w:rsidRPr="00B87CC5">
        <w:t xml:space="preserve">Official </w:t>
      </w:r>
      <w:r w:rsidR="004F5E27" w:rsidRPr="00B87CC5">
        <w:t>p</w:t>
      </w:r>
      <w:r w:rsidR="000761BD" w:rsidRPr="00B87CC5">
        <w:t>rojections</w:t>
      </w:r>
    </w:p>
    <w:p w14:paraId="00E697FC" w14:textId="677A2E18" w:rsidR="000761BD" w:rsidRPr="00B87CC5" w:rsidRDefault="00000BD0" w:rsidP="000761BD">
      <w:pPr>
        <w:pStyle w:val="BodyText"/>
        <w:rPr>
          <w:lang w:eastAsia="en-US"/>
        </w:rPr>
      </w:pPr>
      <w:r w:rsidRPr="00B87CC5">
        <w:rPr>
          <w:lang w:eastAsia="en-US"/>
        </w:rPr>
        <w:t xml:space="preserve">The 2023 </w:t>
      </w:r>
      <w:r w:rsidR="007A0CA3" w:rsidRPr="00B87CC5">
        <w:rPr>
          <w:lang w:eastAsia="en-US"/>
        </w:rPr>
        <w:t>official</w:t>
      </w:r>
      <w:r w:rsidRPr="00B87CC5">
        <w:rPr>
          <w:lang w:eastAsia="en-US"/>
        </w:rPr>
        <w:t xml:space="preserve"> projections </w:t>
      </w:r>
      <w:r w:rsidR="00A34A3C" w:rsidRPr="00B87CC5">
        <w:rPr>
          <w:lang w:eastAsia="en-US"/>
        </w:rPr>
        <w:t xml:space="preserve">were published by </w:t>
      </w:r>
      <w:r w:rsidR="00920E55" w:rsidRPr="00B87CC5">
        <w:rPr>
          <w:lang w:eastAsia="en-US"/>
        </w:rPr>
        <w:t xml:space="preserve">the Ministry for the Environment </w:t>
      </w:r>
      <w:r w:rsidR="00A34A3C" w:rsidRPr="00B87CC5">
        <w:rPr>
          <w:lang w:eastAsia="en-US"/>
        </w:rPr>
        <w:t>in late 2023</w:t>
      </w:r>
      <w:r w:rsidR="003A528F" w:rsidRPr="00B87CC5">
        <w:rPr>
          <w:lang w:eastAsia="en-US"/>
        </w:rPr>
        <w:t>.</w:t>
      </w:r>
      <w:r w:rsidR="000124D3" w:rsidRPr="00B87CC5">
        <w:rPr>
          <w:rStyle w:val="FootnoteReference"/>
          <w:lang w:eastAsia="en-US"/>
        </w:rPr>
        <w:footnoteReference w:id="14"/>
      </w:r>
      <w:r w:rsidR="003A528F" w:rsidRPr="00B87CC5">
        <w:rPr>
          <w:lang w:eastAsia="en-US"/>
        </w:rPr>
        <w:t xml:space="preserve"> The</w:t>
      </w:r>
      <w:r w:rsidR="00197AD9" w:rsidRPr="00B87CC5">
        <w:rPr>
          <w:lang w:eastAsia="en-US"/>
        </w:rPr>
        <w:t xml:space="preserve"> central projection </w:t>
      </w:r>
      <w:r w:rsidR="003A528F" w:rsidRPr="00B87CC5">
        <w:rPr>
          <w:lang w:eastAsia="en-US"/>
        </w:rPr>
        <w:t>suggest</w:t>
      </w:r>
      <w:r w:rsidR="00313FA5" w:rsidRPr="00B87CC5">
        <w:rPr>
          <w:lang w:eastAsia="en-US"/>
        </w:rPr>
        <w:t>ed</w:t>
      </w:r>
      <w:r w:rsidR="003A528F" w:rsidRPr="00B87CC5">
        <w:rPr>
          <w:lang w:eastAsia="en-US"/>
        </w:rPr>
        <w:t xml:space="preserve"> that </w:t>
      </w:r>
      <w:r w:rsidR="002B4F0A" w:rsidRPr="00B87CC5">
        <w:rPr>
          <w:lang w:eastAsia="en-US"/>
        </w:rPr>
        <w:t xml:space="preserve">net emissions were </w:t>
      </w:r>
      <w:r w:rsidR="00B0292E" w:rsidRPr="00B87CC5">
        <w:rPr>
          <w:lang w:eastAsia="en-US"/>
        </w:rPr>
        <w:t>expected to land within</w:t>
      </w:r>
      <w:r w:rsidR="002B4F0A" w:rsidRPr="00B87CC5">
        <w:rPr>
          <w:lang w:eastAsia="en-US"/>
        </w:rPr>
        <w:t xml:space="preserve"> </w:t>
      </w:r>
      <w:r w:rsidR="00920E55" w:rsidRPr="00B87CC5">
        <w:rPr>
          <w:lang w:eastAsia="en-US"/>
        </w:rPr>
        <w:t>the</w:t>
      </w:r>
      <w:r w:rsidR="00A46454" w:rsidRPr="00B87CC5">
        <w:rPr>
          <w:lang w:eastAsia="en-US"/>
        </w:rPr>
        <w:t> </w:t>
      </w:r>
      <w:r w:rsidR="00920E55" w:rsidRPr="00B87CC5">
        <w:rPr>
          <w:lang w:eastAsia="en-US"/>
        </w:rPr>
        <w:t xml:space="preserve">first, second and third </w:t>
      </w:r>
      <w:r w:rsidR="00262B53" w:rsidRPr="00B87CC5">
        <w:rPr>
          <w:lang w:eastAsia="en-US"/>
        </w:rPr>
        <w:t>emission</w:t>
      </w:r>
      <w:r w:rsidR="00920E55" w:rsidRPr="00B87CC5">
        <w:rPr>
          <w:lang w:eastAsia="en-US"/>
        </w:rPr>
        <w:t>s</w:t>
      </w:r>
      <w:r w:rsidR="00262B53" w:rsidRPr="00B87CC5">
        <w:rPr>
          <w:lang w:eastAsia="en-US"/>
        </w:rPr>
        <w:t xml:space="preserve"> budgets. </w:t>
      </w:r>
      <w:r w:rsidR="00B24DD3" w:rsidRPr="00B87CC5">
        <w:rPr>
          <w:lang w:eastAsia="en-US"/>
        </w:rPr>
        <w:t xml:space="preserve">Updated </w:t>
      </w:r>
      <w:r w:rsidR="007A0CA3" w:rsidRPr="00B87CC5">
        <w:rPr>
          <w:lang w:eastAsia="en-US"/>
        </w:rPr>
        <w:t>official</w:t>
      </w:r>
      <w:r w:rsidR="00B24DD3" w:rsidRPr="00B87CC5">
        <w:rPr>
          <w:lang w:eastAsia="en-US"/>
        </w:rPr>
        <w:t xml:space="preserve"> projections will be published later </w:t>
      </w:r>
      <w:r w:rsidR="00BD08EE" w:rsidRPr="00B87CC5">
        <w:rPr>
          <w:lang w:eastAsia="en-US"/>
        </w:rPr>
        <w:t xml:space="preserve">in 2024 using the same </w:t>
      </w:r>
      <w:r w:rsidR="00E3103A" w:rsidRPr="00B87CC5">
        <w:rPr>
          <w:lang w:eastAsia="en-US"/>
        </w:rPr>
        <w:t xml:space="preserve">general </w:t>
      </w:r>
      <w:r w:rsidR="00BD08EE" w:rsidRPr="00B87CC5">
        <w:rPr>
          <w:lang w:eastAsia="en-US"/>
        </w:rPr>
        <w:t xml:space="preserve">approach and models as in 2023, but with updated data </w:t>
      </w:r>
      <w:r w:rsidR="00D802E2" w:rsidRPr="00B87CC5">
        <w:rPr>
          <w:lang w:eastAsia="en-US"/>
        </w:rPr>
        <w:t>and assumptions</w:t>
      </w:r>
      <w:r w:rsidR="00B24DD3" w:rsidRPr="00B87CC5">
        <w:rPr>
          <w:lang w:eastAsia="en-US"/>
        </w:rPr>
        <w:t>.</w:t>
      </w:r>
    </w:p>
    <w:p w14:paraId="48F7CA30" w14:textId="3DCDBDC8" w:rsidR="000761BD" w:rsidRPr="00B87CC5" w:rsidRDefault="000761BD" w:rsidP="000761BD">
      <w:pPr>
        <w:pStyle w:val="Heading2"/>
        <w:rPr>
          <w:lang w:eastAsia="en-US"/>
        </w:rPr>
      </w:pPr>
      <w:bookmarkStart w:id="12" w:name="_Toc171609745"/>
      <w:r w:rsidRPr="00B87CC5">
        <w:rPr>
          <w:lang w:eastAsia="en-US"/>
        </w:rPr>
        <w:t xml:space="preserve">ERP2 </w:t>
      </w:r>
      <w:r w:rsidR="00746DF5" w:rsidRPr="00B87CC5">
        <w:rPr>
          <w:lang w:eastAsia="en-US"/>
        </w:rPr>
        <w:t>c</w:t>
      </w:r>
      <w:r w:rsidR="002366FE" w:rsidRPr="00B87CC5">
        <w:rPr>
          <w:lang w:eastAsia="en-US"/>
        </w:rPr>
        <w:t>onsultation (</w:t>
      </w:r>
      <w:r w:rsidR="00746DF5" w:rsidRPr="00B87CC5">
        <w:rPr>
          <w:lang w:eastAsia="en-US"/>
        </w:rPr>
        <w:t>i</w:t>
      </w:r>
      <w:r w:rsidR="002366FE" w:rsidRPr="00B87CC5">
        <w:rPr>
          <w:lang w:eastAsia="en-US"/>
        </w:rPr>
        <w:t xml:space="preserve">nterim) </w:t>
      </w:r>
      <w:r w:rsidR="00746DF5" w:rsidRPr="00B87CC5">
        <w:rPr>
          <w:lang w:eastAsia="en-US"/>
        </w:rPr>
        <w:t>b</w:t>
      </w:r>
      <w:r w:rsidR="002366FE" w:rsidRPr="00B87CC5">
        <w:rPr>
          <w:lang w:eastAsia="en-US"/>
        </w:rPr>
        <w:t>aseli</w:t>
      </w:r>
      <w:r w:rsidRPr="00B87CC5">
        <w:rPr>
          <w:lang w:eastAsia="en-US"/>
        </w:rPr>
        <w:t>ne</w:t>
      </w:r>
      <w:bookmarkEnd w:id="12"/>
    </w:p>
    <w:p w14:paraId="68DF0E9B" w14:textId="4AD6339F" w:rsidR="000761BD" w:rsidRPr="00B87CC5" w:rsidRDefault="000761BD" w:rsidP="00A46454">
      <w:pPr>
        <w:pStyle w:val="Heading3"/>
        <w:spacing w:before="240"/>
      </w:pPr>
      <w:r w:rsidRPr="00B87CC5">
        <w:t>Assumptions</w:t>
      </w:r>
    </w:p>
    <w:p w14:paraId="59A104A5" w14:textId="06EDE00C" w:rsidR="000761BD" w:rsidRPr="00B87CC5" w:rsidRDefault="00B24DD3" w:rsidP="00A46454">
      <w:pPr>
        <w:pStyle w:val="BodyText"/>
        <w:rPr>
          <w:lang w:eastAsia="en-US"/>
        </w:rPr>
      </w:pPr>
      <w:r w:rsidRPr="00B87CC5">
        <w:rPr>
          <w:lang w:eastAsia="en-US"/>
        </w:rPr>
        <w:t>As noted above, t</w:t>
      </w:r>
      <w:r w:rsidR="00FB755A" w:rsidRPr="00B87CC5">
        <w:rPr>
          <w:lang w:eastAsia="en-US"/>
        </w:rPr>
        <w:t xml:space="preserve">he ERP2 </w:t>
      </w:r>
      <w:r w:rsidR="003F3864" w:rsidRPr="00B87CC5">
        <w:rPr>
          <w:lang w:eastAsia="en-US"/>
        </w:rPr>
        <w:t xml:space="preserve">interim </w:t>
      </w:r>
      <w:r w:rsidR="00FB755A" w:rsidRPr="00B87CC5">
        <w:rPr>
          <w:lang w:eastAsia="en-US"/>
        </w:rPr>
        <w:t xml:space="preserve">baseline projections have </w:t>
      </w:r>
      <w:r w:rsidR="007F49CA" w:rsidRPr="00B87CC5">
        <w:rPr>
          <w:lang w:eastAsia="en-US"/>
        </w:rPr>
        <w:t xml:space="preserve">used </w:t>
      </w:r>
      <w:r w:rsidR="002B79D0" w:rsidRPr="00B87CC5">
        <w:rPr>
          <w:lang w:eastAsia="en-US"/>
        </w:rPr>
        <w:t>the</w:t>
      </w:r>
      <w:r w:rsidR="007F49CA" w:rsidRPr="00B87CC5">
        <w:rPr>
          <w:lang w:eastAsia="en-US"/>
        </w:rPr>
        <w:t xml:space="preserve"> </w:t>
      </w:r>
      <w:r w:rsidR="00EA7D5E" w:rsidRPr="00B87CC5">
        <w:rPr>
          <w:lang w:eastAsia="en-US"/>
        </w:rPr>
        <w:t xml:space="preserve">ENZ </w:t>
      </w:r>
      <w:r w:rsidR="002B79D0" w:rsidRPr="00B87CC5">
        <w:rPr>
          <w:lang w:eastAsia="en-US"/>
        </w:rPr>
        <w:t>model</w:t>
      </w:r>
      <w:r w:rsidR="00EA7D5E" w:rsidRPr="00B87CC5">
        <w:rPr>
          <w:lang w:eastAsia="en-US"/>
        </w:rPr>
        <w:t xml:space="preserve"> </w:t>
      </w:r>
      <w:r w:rsidR="00F710A1" w:rsidRPr="00B87CC5">
        <w:rPr>
          <w:lang w:eastAsia="en-US"/>
        </w:rPr>
        <w:t xml:space="preserve">rather than </w:t>
      </w:r>
      <w:r w:rsidR="00F710A1" w:rsidRPr="00B87CC5">
        <w:t>agency</w:t>
      </w:r>
      <w:r w:rsidR="00F710A1" w:rsidRPr="00B87CC5">
        <w:rPr>
          <w:lang w:eastAsia="en-US"/>
        </w:rPr>
        <w:t xml:space="preserve"> models</w:t>
      </w:r>
      <w:r w:rsidR="002B79D0" w:rsidRPr="00B87CC5">
        <w:rPr>
          <w:lang w:eastAsia="en-US"/>
        </w:rPr>
        <w:t>. A</w:t>
      </w:r>
      <w:r w:rsidR="00F710A1" w:rsidRPr="00B87CC5">
        <w:rPr>
          <w:lang w:eastAsia="en-US"/>
        </w:rPr>
        <w:t xml:space="preserve">ssumptions </w:t>
      </w:r>
      <w:r w:rsidR="009F1D82" w:rsidRPr="00B87CC5">
        <w:rPr>
          <w:lang w:eastAsia="en-US"/>
        </w:rPr>
        <w:t xml:space="preserve">and inputs </w:t>
      </w:r>
      <w:r w:rsidR="005F78A8" w:rsidRPr="00B87CC5">
        <w:rPr>
          <w:lang w:eastAsia="en-US"/>
        </w:rPr>
        <w:t>include:</w:t>
      </w:r>
    </w:p>
    <w:p w14:paraId="45FD97F7" w14:textId="6FE23CB6" w:rsidR="005F78A8" w:rsidRPr="00B87CC5" w:rsidRDefault="0018005A" w:rsidP="00B84DAE">
      <w:pPr>
        <w:pStyle w:val="Bullet"/>
        <w:rPr>
          <w:lang w:eastAsia="en-US"/>
        </w:rPr>
      </w:pPr>
      <w:r w:rsidRPr="00B87CC5">
        <w:rPr>
          <w:lang w:eastAsia="en-US"/>
        </w:rPr>
        <w:t xml:space="preserve">the </w:t>
      </w:r>
      <w:r w:rsidR="002B79D0" w:rsidRPr="00B87CC5">
        <w:rPr>
          <w:lang w:eastAsia="en-US"/>
        </w:rPr>
        <w:t xml:space="preserve">2024 </w:t>
      </w:r>
      <w:r w:rsidR="00920E55" w:rsidRPr="00B87CC5">
        <w:rPr>
          <w:lang w:eastAsia="en-US"/>
        </w:rPr>
        <w:t xml:space="preserve">Greenhouse Gas </w:t>
      </w:r>
      <w:r w:rsidR="002B79D0" w:rsidRPr="00B87CC5">
        <w:rPr>
          <w:lang w:eastAsia="en-US"/>
        </w:rPr>
        <w:t>Inventory data</w:t>
      </w:r>
      <w:r w:rsidRPr="00B87CC5">
        <w:rPr>
          <w:lang w:eastAsia="en-US"/>
        </w:rPr>
        <w:t>, incorporating methodology updates</w:t>
      </w:r>
      <w:r w:rsidR="009211CB" w:rsidRPr="00B87CC5">
        <w:rPr>
          <w:rStyle w:val="FootnoteReference"/>
          <w:lang w:eastAsia="en-US"/>
        </w:rPr>
        <w:footnoteReference w:id="15"/>
      </w:r>
      <w:r w:rsidR="0082656B" w:rsidRPr="00B87CC5">
        <w:rPr>
          <w:lang w:eastAsia="en-US"/>
        </w:rPr>
        <w:t xml:space="preserve"> in addition to updated activity data</w:t>
      </w:r>
      <w:r w:rsidR="00F31698" w:rsidRPr="00B87CC5">
        <w:rPr>
          <w:lang w:eastAsia="en-US"/>
        </w:rPr>
        <w:t xml:space="preserve"> and </w:t>
      </w:r>
      <w:r w:rsidR="00C306E9" w:rsidRPr="00B87CC5">
        <w:rPr>
          <w:lang w:eastAsia="en-US"/>
        </w:rPr>
        <w:t xml:space="preserve">revised </w:t>
      </w:r>
      <w:r w:rsidR="002A4284" w:rsidRPr="00B87CC5">
        <w:rPr>
          <w:lang w:eastAsia="en-US"/>
        </w:rPr>
        <w:t xml:space="preserve">forestry </w:t>
      </w:r>
      <w:r w:rsidR="00414F3E" w:rsidRPr="00B87CC5">
        <w:rPr>
          <w:lang w:eastAsia="en-US"/>
        </w:rPr>
        <w:t>expectations</w:t>
      </w:r>
    </w:p>
    <w:p w14:paraId="449E7796" w14:textId="11431CA2" w:rsidR="00866A4A" w:rsidRPr="00B87CC5" w:rsidRDefault="00920E55" w:rsidP="00B84DAE">
      <w:pPr>
        <w:pStyle w:val="Bullet"/>
        <w:rPr>
          <w:lang w:eastAsia="en-US"/>
        </w:rPr>
      </w:pPr>
      <w:r w:rsidRPr="00B87CC5">
        <w:rPr>
          <w:lang w:eastAsia="en-US"/>
        </w:rPr>
        <w:t>a</w:t>
      </w:r>
      <w:r w:rsidR="00A423BA" w:rsidRPr="00B87CC5">
        <w:rPr>
          <w:lang w:eastAsia="en-US"/>
        </w:rPr>
        <w:t xml:space="preserve">n updated </w:t>
      </w:r>
      <w:r w:rsidR="002206F0" w:rsidRPr="00B87CC5">
        <w:rPr>
          <w:lang w:eastAsia="en-US"/>
        </w:rPr>
        <w:t xml:space="preserve">assumption that </w:t>
      </w:r>
      <w:r w:rsidR="00E0553C" w:rsidRPr="00B87CC5">
        <w:rPr>
          <w:lang w:eastAsia="en-US"/>
        </w:rPr>
        <w:t xml:space="preserve">the aluminium smelter continues to </w:t>
      </w:r>
      <w:r w:rsidR="00674940" w:rsidRPr="00B87CC5">
        <w:rPr>
          <w:lang w:eastAsia="en-US"/>
        </w:rPr>
        <w:t>operate</w:t>
      </w:r>
    </w:p>
    <w:p w14:paraId="7D8FC6D7" w14:textId="5E1339BE" w:rsidR="49FF82B9" w:rsidRPr="00B87CC5" w:rsidRDefault="00920E55" w:rsidP="00B84DAE">
      <w:pPr>
        <w:pStyle w:val="Bullet"/>
        <w:rPr>
          <w:lang w:eastAsia="en-US"/>
        </w:rPr>
      </w:pPr>
      <w:r w:rsidRPr="00B87CC5">
        <w:rPr>
          <w:lang w:eastAsia="en-US"/>
        </w:rPr>
        <w:t>t</w:t>
      </w:r>
      <w:r w:rsidR="49FF82B9" w:rsidRPr="00B87CC5">
        <w:rPr>
          <w:lang w:eastAsia="en-US"/>
        </w:rPr>
        <w:t>he removal of policies including</w:t>
      </w:r>
      <w:r w:rsidR="00253D6D" w:rsidRPr="00B87CC5">
        <w:rPr>
          <w:lang w:eastAsia="en-US"/>
        </w:rPr>
        <w:t xml:space="preserve"> GIDI</w:t>
      </w:r>
      <w:r w:rsidR="00E51D35" w:rsidRPr="00B87CC5">
        <w:rPr>
          <w:lang w:eastAsia="en-US"/>
        </w:rPr>
        <w:t xml:space="preserve"> fund</w:t>
      </w:r>
      <w:r w:rsidR="00253D6D" w:rsidRPr="00B87CC5">
        <w:rPr>
          <w:lang w:eastAsia="en-US"/>
        </w:rPr>
        <w:t>,</w:t>
      </w:r>
      <w:r w:rsidR="49FF82B9" w:rsidRPr="00B87CC5">
        <w:rPr>
          <w:lang w:eastAsia="en-US"/>
        </w:rPr>
        <w:t xml:space="preserve"> the CCD and agriculture emissions pricing</w:t>
      </w:r>
      <w:r w:rsidR="008525EF" w:rsidRPr="00B87CC5">
        <w:rPr>
          <w:lang w:eastAsia="en-US"/>
        </w:rPr>
        <w:t xml:space="preserve"> </w:t>
      </w:r>
      <w:r w:rsidR="0082656B" w:rsidRPr="00B87CC5">
        <w:rPr>
          <w:lang w:eastAsia="en-US"/>
        </w:rPr>
        <w:t>from</w:t>
      </w:r>
      <w:r w:rsidR="00A46454" w:rsidRPr="00B87CC5">
        <w:rPr>
          <w:lang w:eastAsia="en-US"/>
        </w:rPr>
        <w:t> </w:t>
      </w:r>
      <w:r w:rsidR="00D11889" w:rsidRPr="00B87CC5">
        <w:rPr>
          <w:lang w:eastAsia="en-US"/>
        </w:rPr>
        <w:t>2025</w:t>
      </w:r>
    </w:p>
    <w:p w14:paraId="38DF6A09" w14:textId="44262EAA" w:rsidR="0018005A" w:rsidRPr="00B87CC5" w:rsidRDefault="00920E55" w:rsidP="00B84DAE">
      <w:pPr>
        <w:pStyle w:val="Bullet"/>
        <w:rPr>
          <w:lang w:eastAsia="en-US"/>
        </w:rPr>
      </w:pPr>
      <w:r w:rsidRPr="00B87CC5">
        <w:rPr>
          <w:lang w:eastAsia="en-US"/>
        </w:rPr>
        <w:lastRenderedPageBreak/>
        <w:t>a</w:t>
      </w:r>
      <w:r w:rsidR="0018005A" w:rsidRPr="00B87CC5">
        <w:rPr>
          <w:lang w:eastAsia="en-US"/>
        </w:rPr>
        <w:t xml:space="preserve"> revised </w:t>
      </w:r>
      <w:r w:rsidR="00510E22" w:rsidRPr="00B87CC5">
        <w:rPr>
          <w:lang w:eastAsia="en-US"/>
        </w:rPr>
        <w:t>emissions</w:t>
      </w:r>
      <w:r w:rsidR="00E3103A" w:rsidRPr="00B87CC5">
        <w:rPr>
          <w:lang w:eastAsia="en-US"/>
        </w:rPr>
        <w:t xml:space="preserve"> </w:t>
      </w:r>
      <w:r w:rsidR="009C79C9" w:rsidRPr="00B87CC5">
        <w:rPr>
          <w:lang w:eastAsia="en-US"/>
        </w:rPr>
        <w:t>price path</w:t>
      </w:r>
      <w:r w:rsidR="000933F1" w:rsidRPr="00B87CC5">
        <w:rPr>
          <w:lang w:eastAsia="en-US"/>
        </w:rPr>
        <w:t xml:space="preserve"> in which </w:t>
      </w:r>
      <w:r w:rsidR="001520C0" w:rsidRPr="00B87CC5">
        <w:rPr>
          <w:lang w:eastAsia="en-US"/>
        </w:rPr>
        <w:t xml:space="preserve">NZU </w:t>
      </w:r>
      <w:r w:rsidR="000933F1" w:rsidRPr="00B87CC5">
        <w:rPr>
          <w:lang w:eastAsia="en-US"/>
        </w:rPr>
        <w:t xml:space="preserve">prices continue to rise </w:t>
      </w:r>
      <w:r w:rsidR="00D95A52" w:rsidRPr="00B87CC5">
        <w:rPr>
          <w:lang w:eastAsia="en-US"/>
        </w:rPr>
        <w:t xml:space="preserve">to $75 in </w:t>
      </w:r>
      <w:r w:rsidR="000933F1" w:rsidRPr="00B87CC5">
        <w:rPr>
          <w:lang w:eastAsia="en-US"/>
        </w:rPr>
        <w:t>2028 but then fall to a long-run price of $50</w:t>
      </w:r>
      <w:r w:rsidR="00E84703" w:rsidRPr="00B87CC5">
        <w:rPr>
          <w:lang w:eastAsia="en-US"/>
        </w:rPr>
        <w:t xml:space="preserve"> </w:t>
      </w:r>
      <w:r w:rsidR="0032014E" w:rsidRPr="00B87CC5">
        <w:rPr>
          <w:lang w:eastAsia="en-US"/>
        </w:rPr>
        <w:t xml:space="preserve">(in </w:t>
      </w:r>
      <w:proofErr w:type="gramStart"/>
      <w:r w:rsidR="0032014E" w:rsidRPr="00B87CC5">
        <w:rPr>
          <w:lang w:eastAsia="en-US"/>
        </w:rPr>
        <w:t>2023 dollar</w:t>
      </w:r>
      <w:proofErr w:type="gramEnd"/>
      <w:r w:rsidR="0032014E" w:rsidRPr="00B87CC5">
        <w:rPr>
          <w:lang w:eastAsia="en-US"/>
        </w:rPr>
        <w:t xml:space="preserve"> values) from 2035</w:t>
      </w:r>
      <w:r w:rsidR="00D569F7" w:rsidRPr="00B87CC5">
        <w:rPr>
          <w:lang w:eastAsia="en-US"/>
        </w:rPr>
        <w:t xml:space="preserve">, due to the role forestry is expected to play in the </w:t>
      </w:r>
      <w:r w:rsidR="00F71751" w:rsidRPr="00B87CC5">
        <w:rPr>
          <w:lang w:eastAsia="en-US"/>
        </w:rPr>
        <w:t xml:space="preserve">NZ </w:t>
      </w:r>
      <w:r w:rsidR="00D569F7" w:rsidRPr="00B87CC5">
        <w:rPr>
          <w:lang w:eastAsia="en-US"/>
        </w:rPr>
        <w:t>ETS over the medium to long term</w:t>
      </w:r>
      <w:r w:rsidR="00832AF1" w:rsidRPr="00B87CC5">
        <w:rPr>
          <w:lang w:eastAsia="en-US"/>
        </w:rPr>
        <w:t>.</w:t>
      </w:r>
      <w:r w:rsidR="00CB1EE3" w:rsidRPr="00B87CC5">
        <w:rPr>
          <w:rStyle w:val="FootnoteReference"/>
          <w:lang w:eastAsia="en-US"/>
        </w:rPr>
        <w:footnoteReference w:id="16"/>
      </w:r>
    </w:p>
    <w:p w14:paraId="55296876" w14:textId="50314A98" w:rsidR="00210ED3" w:rsidRPr="00B87CC5" w:rsidRDefault="4A1B6339" w:rsidP="00A46454">
      <w:pPr>
        <w:pStyle w:val="BodyText"/>
      </w:pPr>
      <w:r w:rsidRPr="00B87CC5">
        <w:rPr>
          <w:lang w:eastAsia="en-US"/>
        </w:rPr>
        <w:t xml:space="preserve">The </w:t>
      </w:r>
      <w:r w:rsidR="00510E22" w:rsidRPr="00B87CC5">
        <w:rPr>
          <w:lang w:eastAsia="en-US"/>
        </w:rPr>
        <w:t xml:space="preserve">emissions </w:t>
      </w:r>
      <w:r w:rsidRPr="00B87CC5">
        <w:rPr>
          <w:lang w:eastAsia="en-US"/>
        </w:rPr>
        <w:t xml:space="preserve">price path is an assumption based on </w:t>
      </w:r>
      <w:r w:rsidR="00F71751" w:rsidRPr="00B87CC5">
        <w:rPr>
          <w:lang w:eastAsia="en-US"/>
        </w:rPr>
        <w:t xml:space="preserve">NZ </w:t>
      </w:r>
      <w:r w:rsidRPr="00B87CC5">
        <w:rPr>
          <w:lang w:eastAsia="en-US"/>
        </w:rPr>
        <w:t>ETS design and settings</w:t>
      </w:r>
      <w:r w:rsidR="002155DF" w:rsidRPr="00B87CC5">
        <w:rPr>
          <w:lang w:eastAsia="en-US"/>
        </w:rPr>
        <w:t xml:space="preserve"> as </w:t>
      </w:r>
      <w:proofErr w:type="gramStart"/>
      <w:r w:rsidR="002155DF" w:rsidRPr="00B87CC5">
        <w:rPr>
          <w:lang w:eastAsia="en-US"/>
        </w:rPr>
        <w:t>at</w:t>
      </w:r>
      <w:proofErr w:type="gramEnd"/>
      <w:r w:rsidR="002155DF" w:rsidRPr="00B87CC5">
        <w:rPr>
          <w:lang w:eastAsia="en-US"/>
        </w:rPr>
        <w:t xml:space="preserve"> June 2024</w:t>
      </w:r>
      <w:r w:rsidRPr="00B87CC5">
        <w:rPr>
          <w:lang w:eastAsia="en-US"/>
        </w:rPr>
        <w:t xml:space="preserve">, which does not </w:t>
      </w:r>
      <w:r w:rsidRPr="00B87CC5">
        <w:t xml:space="preserve">take into account the potential impact </w:t>
      </w:r>
      <w:r w:rsidR="00F71751" w:rsidRPr="00B87CC5">
        <w:t xml:space="preserve">of </w:t>
      </w:r>
      <w:r w:rsidRPr="00B87CC5">
        <w:t xml:space="preserve">either this year’s </w:t>
      </w:r>
      <w:r w:rsidR="00F71751" w:rsidRPr="00B87CC5">
        <w:t xml:space="preserve">NZ </w:t>
      </w:r>
      <w:r w:rsidRPr="00B87CC5">
        <w:t>ETS settings decision</w:t>
      </w:r>
      <w:r w:rsidR="58BB9112" w:rsidRPr="00B87CC5">
        <w:t>s or proposed policies such as restricting whole</w:t>
      </w:r>
      <w:r w:rsidR="004327D0" w:rsidRPr="00B87CC5">
        <w:t>-</w:t>
      </w:r>
      <w:r w:rsidR="58BB9112" w:rsidRPr="00B87CC5">
        <w:t xml:space="preserve">farm conversions to forestry registering in the </w:t>
      </w:r>
      <w:r w:rsidR="00F71751" w:rsidRPr="00B87CC5">
        <w:t xml:space="preserve">NZ </w:t>
      </w:r>
      <w:r w:rsidR="58BB9112" w:rsidRPr="00B87CC5">
        <w:t xml:space="preserve">ETS. These </w:t>
      </w:r>
      <w:r w:rsidR="00F71751" w:rsidRPr="00B87CC5">
        <w:t xml:space="preserve">changes </w:t>
      </w:r>
      <w:r w:rsidR="58BB9112" w:rsidRPr="00B87CC5">
        <w:t xml:space="preserve">may have a material impact on future </w:t>
      </w:r>
      <w:r w:rsidR="00F71751" w:rsidRPr="00B87CC5">
        <w:t xml:space="preserve">NZ </w:t>
      </w:r>
      <w:r w:rsidR="58BB9112" w:rsidRPr="00B87CC5">
        <w:t>ETS prices.</w:t>
      </w:r>
      <w:r w:rsidR="005D211A" w:rsidRPr="00B87CC5">
        <w:t xml:space="preserve"> </w:t>
      </w:r>
      <w:r w:rsidR="009F1D82" w:rsidRPr="00B87CC5">
        <w:t xml:space="preserve">The full set of assumptions is included in </w:t>
      </w:r>
      <w:r w:rsidR="00F71751" w:rsidRPr="00B87CC5">
        <w:t>a</w:t>
      </w:r>
      <w:r w:rsidR="00A179EE" w:rsidRPr="00B87CC5">
        <w:t>ppend</w:t>
      </w:r>
      <w:r w:rsidR="00690453" w:rsidRPr="00B87CC5">
        <w:t>ix</w:t>
      </w:r>
      <w:r w:rsidR="00F71751" w:rsidRPr="00B87CC5">
        <w:t xml:space="preserve"> 1</w:t>
      </w:r>
      <w:r w:rsidR="007B3DE7" w:rsidRPr="00B87CC5">
        <w:t>.</w:t>
      </w:r>
    </w:p>
    <w:p w14:paraId="3A4301E8" w14:textId="5B8C2139" w:rsidR="00B670CA" w:rsidRPr="00B87CC5" w:rsidRDefault="00A179EE" w:rsidP="00A46454">
      <w:pPr>
        <w:pStyle w:val="BodyText"/>
        <w:rPr>
          <w:lang w:eastAsia="en-US"/>
        </w:rPr>
      </w:pPr>
      <w:r w:rsidRPr="00B87CC5">
        <w:t>The resulting emission</w:t>
      </w:r>
      <w:r w:rsidR="004327D0" w:rsidRPr="00B87CC5">
        <w:t>s</w:t>
      </w:r>
      <w:r w:rsidRPr="00B87CC5">
        <w:t xml:space="preserve"> projecti</w:t>
      </w:r>
      <w:r w:rsidRPr="00B87CC5">
        <w:rPr>
          <w:lang w:eastAsia="en-US"/>
        </w:rPr>
        <w:t>on using</w:t>
      </w:r>
      <w:r w:rsidR="00A85768" w:rsidRPr="00B87CC5">
        <w:rPr>
          <w:lang w:eastAsia="en-US"/>
        </w:rPr>
        <w:t xml:space="preserve"> the</w:t>
      </w:r>
      <w:r w:rsidRPr="00B87CC5">
        <w:rPr>
          <w:lang w:eastAsia="en-US"/>
        </w:rPr>
        <w:t xml:space="preserve"> ENZ </w:t>
      </w:r>
      <w:r w:rsidR="00A85768" w:rsidRPr="00B87CC5">
        <w:rPr>
          <w:lang w:eastAsia="en-US"/>
        </w:rPr>
        <w:t xml:space="preserve">model </w:t>
      </w:r>
      <w:r w:rsidRPr="00B87CC5">
        <w:rPr>
          <w:lang w:eastAsia="en-US"/>
        </w:rPr>
        <w:t xml:space="preserve">and the revised set of assumptions is </w:t>
      </w:r>
      <w:r w:rsidR="00762746" w:rsidRPr="00B87CC5">
        <w:rPr>
          <w:lang w:eastAsia="en-US"/>
        </w:rPr>
        <w:t xml:space="preserve">summarised </w:t>
      </w:r>
      <w:r w:rsidR="00A85768" w:rsidRPr="00B87CC5">
        <w:rPr>
          <w:lang w:eastAsia="en-US"/>
        </w:rPr>
        <w:t xml:space="preserve">for each </w:t>
      </w:r>
      <w:r w:rsidRPr="00B87CC5">
        <w:rPr>
          <w:lang w:eastAsia="en-US"/>
        </w:rPr>
        <w:t>budget period in</w:t>
      </w:r>
      <w:r w:rsidR="00E26A3A" w:rsidRPr="00B87CC5">
        <w:rPr>
          <w:lang w:eastAsia="en-US"/>
        </w:rPr>
        <w:t xml:space="preserve"> </w:t>
      </w:r>
      <w:r w:rsidR="00A85768" w:rsidRPr="00B87CC5">
        <w:t>t</w:t>
      </w:r>
      <w:r w:rsidR="001B6E3F" w:rsidRPr="00B87CC5">
        <w:t xml:space="preserve">able </w:t>
      </w:r>
      <w:r w:rsidR="009F3512" w:rsidRPr="00B87CC5" w:rsidDel="001B6E3F">
        <w:t>1</w:t>
      </w:r>
      <w:r w:rsidR="00A86630" w:rsidRPr="00B87CC5">
        <w:rPr>
          <w:lang w:eastAsia="en-US"/>
        </w:rPr>
        <w:t xml:space="preserve">; more detailed results </w:t>
      </w:r>
      <w:r w:rsidR="00A85768" w:rsidRPr="00B87CC5">
        <w:rPr>
          <w:lang w:eastAsia="en-US"/>
        </w:rPr>
        <w:t xml:space="preserve">by sector </w:t>
      </w:r>
      <w:r w:rsidR="00A86630" w:rsidRPr="00B87CC5">
        <w:rPr>
          <w:lang w:eastAsia="en-US"/>
        </w:rPr>
        <w:t>are discussed further below</w:t>
      </w:r>
      <w:r w:rsidRPr="00B87CC5">
        <w:rPr>
          <w:lang w:eastAsia="en-US"/>
        </w:rPr>
        <w:t xml:space="preserve">. </w:t>
      </w:r>
      <w:r w:rsidR="002910E2" w:rsidRPr="00B87CC5">
        <w:rPr>
          <w:lang w:eastAsia="en-US"/>
        </w:rPr>
        <w:t>Th</w:t>
      </w:r>
      <w:r w:rsidR="007811E8" w:rsidRPr="00B87CC5">
        <w:rPr>
          <w:lang w:eastAsia="en-US"/>
        </w:rPr>
        <w:t xml:space="preserve">e summary </w:t>
      </w:r>
      <w:r w:rsidR="002910E2" w:rsidRPr="00B87CC5">
        <w:rPr>
          <w:lang w:eastAsia="en-US"/>
        </w:rPr>
        <w:t xml:space="preserve">suggests </w:t>
      </w:r>
      <w:r w:rsidR="002F5A8C" w:rsidRPr="00B87CC5">
        <w:rPr>
          <w:lang w:eastAsia="en-US"/>
        </w:rPr>
        <w:t>net emissions are expected to be</w:t>
      </w:r>
      <w:r w:rsidR="00B670CA" w:rsidRPr="00B87CC5">
        <w:rPr>
          <w:lang w:eastAsia="en-US"/>
        </w:rPr>
        <w:t>:</w:t>
      </w:r>
    </w:p>
    <w:p w14:paraId="0C7EE2C8" w14:textId="29AF2F9E" w:rsidR="002F5A8C" w:rsidRPr="00B87CC5" w:rsidRDefault="00B670CA" w:rsidP="00A46454">
      <w:pPr>
        <w:pStyle w:val="Bullet"/>
      </w:pPr>
      <w:r w:rsidRPr="00B87CC5">
        <w:t xml:space="preserve">below budget for </w:t>
      </w:r>
      <w:r w:rsidR="0083554F" w:rsidRPr="00B87CC5">
        <w:t>the first emissions budget</w:t>
      </w:r>
      <w:r w:rsidR="002F5A8C" w:rsidRPr="00B87CC5">
        <w:t>, even at the high end of the uncertainty range</w:t>
      </w:r>
    </w:p>
    <w:p w14:paraId="5969D21C" w14:textId="03F48FBA" w:rsidR="00D6641D" w:rsidRPr="00B87CC5" w:rsidRDefault="001507E3" w:rsidP="00A46454">
      <w:pPr>
        <w:pStyle w:val="Bullet"/>
      </w:pPr>
      <w:r w:rsidRPr="00B87CC5">
        <w:t xml:space="preserve">above </w:t>
      </w:r>
      <w:r w:rsidR="00D6641D" w:rsidRPr="00B87CC5">
        <w:t xml:space="preserve">budget for </w:t>
      </w:r>
      <w:r w:rsidR="0083554F" w:rsidRPr="00B87CC5">
        <w:t>the second emissions budget</w:t>
      </w:r>
      <w:r w:rsidR="005D211A" w:rsidRPr="00B87CC5">
        <w:t>, although</w:t>
      </w:r>
      <w:r w:rsidR="007C6019" w:rsidRPr="00B87CC5">
        <w:t xml:space="preserve"> achieving the budget is within </w:t>
      </w:r>
      <w:r w:rsidR="00A44845" w:rsidRPr="00B87CC5">
        <w:t>the</w:t>
      </w:r>
      <w:r w:rsidR="005D211A" w:rsidRPr="00B87CC5">
        <w:t xml:space="preserve"> wide range of uncertainty</w:t>
      </w:r>
    </w:p>
    <w:p w14:paraId="29631D6D" w14:textId="583A7470" w:rsidR="001A4C49" w:rsidRPr="00B87CC5" w:rsidRDefault="00686515" w:rsidP="00A46454">
      <w:pPr>
        <w:pStyle w:val="Bullet"/>
        <w:rPr>
          <w:lang w:eastAsia="en-US"/>
        </w:rPr>
      </w:pPr>
      <w:r w:rsidRPr="00B87CC5">
        <w:t>a</w:t>
      </w:r>
      <w:r w:rsidR="00D6641D" w:rsidRPr="00B87CC5">
        <w:t>bo</w:t>
      </w:r>
      <w:r w:rsidR="00D6641D" w:rsidRPr="00B87CC5">
        <w:rPr>
          <w:lang w:eastAsia="en-US"/>
        </w:rPr>
        <w:t xml:space="preserve">ve budget for </w:t>
      </w:r>
      <w:r w:rsidR="0083554F" w:rsidRPr="00B87CC5">
        <w:rPr>
          <w:lang w:eastAsia="en-US"/>
        </w:rPr>
        <w:t>the third emis</w:t>
      </w:r>
      <w:r w:rsidR="002772E2" w:rsidRPr="00B87CC5">
        <w:rPr>
          <w:lang w:eastAsia="en-US"/>
        </w:rPr>
        <w:t>s</w:t>
      </w:r>
      <w:r w:rsidR="0083554F" w:rsidRPr="00B87CC5">
        <w:rPr>
          <w:lang w:eastAsia="en-US"/>
        </w:rPr>
        <w:t>ions budget</w:t>
      </w:r>
      <w:r w:rsidR="00306597" w:rsidRPr="00B87CC5">
        <w:rPr>
          <w:lang w:eastAsia="en-US"/>
        </w:rPr>
        <w:t>, although</w:t>
      </w:r>
      <w:r w:rsidR="00BE0A3A" w:rsidRPr="00B87CC5">
        <w:rPr>
          <w:lang w:eastAsia="en-US"/>
        </w:rPr>
        <w:t xml:space="preserve"> </w:t>
      </w:r>
      <w:r w:rsidR="00C03615" w:rsidRPr="00B87CC5">
        <w:rPr>
          <w:lang w:eastAsia="en-US"/>
        </w:rPr>
        <w:t>ach</w:t>
      </w:r>
      <w:r w:rsidR="007D351A" w:rsidRPr="00B87CC5">
        <w:rPr>
          <w:lang w:eastAsia="en-US"/>
        </w:rPr>
        <w:t>ieving</w:t>
      </w:r>
      <w:r w:rsidR="00BE0A3A" w:rsidRPr="00B87CC5">
        <w:rPr>
          <w:lang w:eastAsia="en-US"/>
        </w:rPr>
        <w:t xml:space="preserve"> the budget </w:t>
      </w:r>
      <w:r w:rsidR="00936B61" w:rsidRPr="00B87CC5">
        <w:rPr>
          <w:lang w:eastAsia="en-US"/>
        </w:rPr>
        <w:t>remains</w:t>
      </w:r>
      <w:r w:rsidR="00F732FC" w:rsidRPr="00B87CC5">
        <w:rPr>
          <w:lang w:eastAsia="en-US"/>
        </w:rPr>
        <w:t xml:space="preserve"> </w:t>
      </w:r>
      <w:r w:rsidR="00306597" w:rsidRPr="00B87CC5">
        <w:rPr>
          <w:lang w:eastAsia="en-US"/>
        </w:rPr>
        <w:t xml:space="preserve">(just) </w:t>
      </w:r>
      <w:r w:rsidR="00F732FC" w:rsidRPr="00B87CC5">
        <w:rPr>
          <w:lang w:eastAsia="en-US"/>
        </w:rPr>
        <w:t xml:space="preserve">within the </w:t>
      </w:r>
      <w:r w:rsidR="00A1569B" w:rsidRPr="00B87CC5">
        <w:rPr>
          <w:lang w:eastAsia="en-US"/>
        </w:rPr>
        <w:t xml:space="preserve">range of uncertainty. </w:t>
      </w:r>
    </w:p>
    <w:p w14:paraId="62FBC8FD" w14:textId="4CE19A2F" w:rsidR="00460635" w:rsidRPr="00B87CC5" w:rsidRDefault="00B90350" w:rsidP="0042353A">
      <w:pPr>
        <w:pStyle w:val="Tableheading"/>
      </w:pPr>
      <w:bookmarkStart w:id="13" w:name="_Ref166659158"/>
      <w:bookmarkStart w:id="14" w:name="_Toc171609760"/>
      <w:r w:rsidRPr="00B87CC5">
        <w:t xml:space="preserve">Table </w:t>
      </w:r>
      <w:r w:rsidR="00385111">
        <w:fldChar w:fldCharType="begin"/>
      </w:r>
      <w:r w:rsidR="00385111">
        <w:instrText xml:space="preserve"> SEQ Table \* ARABIC </w:instrText>
      </w:r>
      <w:r w:rsidR="00385111">
        <w:fldChar w:fldCharType="separate"/>
      </w:r>
      <w:r w:rsidR="001B6E3F" w:rsidRPr="00B87CC5">
        <w:t>1</w:t>
      </w:r>
      <w:r w:rsidR="00385111">
        <w:fldChar w:fldCharType="end"/>
      </w:r>
      <w:bookmarkEnd w:id="13"/>
      <w:r w:rsidR="005E1D91" w:rsidRPr="00B87CC5">
        <w:t>:</w:t>
      </w:r>
      <w:r w:rsidR="005E1D91" w:rsidRPr="00B87CC5">
        <w:tab/>
      </w:r>
      <w:r w:rsidRPr="00B87CC5">
        <w:t xml:space="preserve">Interim </w:t>
      </w:r>
      <w:r w:rsidR="00C97757" w:rsidRPr="00B87CC5">
        <w:t>consultation</w:t>
      </w:r>
      <w:r w:rsidRPr="00B87CC5">
        <w:t xml:space="preserve"> baseline</w:t>
      </w:r>
      <w:r w:rsidR="00E13549" w:rsidRPr="00B87CC5">
        <w:t>,</w:t>
      </w:r>
      <w:r w:rsidRPr="00B87CC5">
        <w:t xml:space="preserve"> </w:t>
      </w:r>
      <w:r w:rsidR="00E13549" w:rsidRPr="00B87CC5">
        <w:t>excluding new policies,</w:t>
      </w:r>
      <w:r w:rsidRPr="00B87CC5">
        <w:t xml:space="preserve"> compared with 2023 projections per budget period</w:t>
      </w:r>
      <w:r w:rsidR="00F83E6A" w:rsidRPr="00B87CC5">
        <w:t xml:space="preserve"> (</w:t>
      </w:r>
      <w:r w:rsidR="002772E2" w:rsidRPr="00B87CC5">
        <w:t>Mt</w:t>
      </w:r>
      <w:r w:rsidR="00C23AE4" w:rsidRPr="00B87CC5">
        <w:t xml:space="preserve"> CO</w:t>
      </w:r>
      <w:r w:rsidR="00C23AE4" w:rsidRPr="00B87CC5">
        <w:rPr>
          <w:vertAlign w:val="subscript"/>
        </w:rPr>
        <w:t>2</w:t>
      </w:r>
      <w:r w:rsidR="00C23AE4" w:rsidRPr="00B87CC5">
        <w:t>-e)</w:t>
      </w:r>
      <w:bookmarkEnd w:id="14"/>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294"/>
        <w:gridCol w:w="1682"/>
        <w:gridCol w:w="1135"/>
        <w:gridCol w:w="2276"/>
        <w:gridCol w:w="2118"/>
      </w:tblGrid>
      <w:tr w:rsidR="00D441CC" w:rsidRPr="00B87CC5" w14:paraId="17202B3C" w14:textId="0342F8A4" w:rsidTr="002926A7">
        <w:trPr>
          <w:trHeight w:val="284"/>
          <w:tblHeader/>
        </w:trPr>
        <w:tc>
          <w:tcPr>
            <w:tcW w:w="761" w:type="pct"/>
            <w:shd w:val="clear" w:color="auto" w:fill="1B556B"/>
            <w:vAlign w:val="bottom"/>
          </w:tcPr>
          <w:p w14:paraId="705A9063" w14:textId="60B66EAF" w:rsidR="00D441CC" w:rsidRPr="00B87CC5" w:rsidRDefault="00D441CC" w:rsidP="00A46454">
            <w:pPr>
              <w:pStyle w:val="TableTextbold"/>
              <w:spacing w:before="40" w:after="40"/>
              <w:rPr>
                <w:color w:val="FFFFFF" w:themeColor="background1"/>
              </w:rPr>
            </w:pPr>
            <w:r w:rsidRPr="00B87CC5">
              <w:rPr>
                <w:color w:val="FFFFFF" w:themeColor="background1"/>
              </w:rPr>
              <w:t xml:space="preserve">Budget period </w:t>
            </w:r>
          </w:p>
        </w:tc>
        <w:tc>
          <w:tcPr>
            <w:tcW w:w="989" w:type="pct"/>
            <w:shd w:val="clear" w:color="auto" w:fill="1B556B"/>
            <w:vAlign w:val="bottom"/>
          </w:tcPr>
          <w:p w14:paraId="5D62172E" w14:textId="1C2EAAD6" w:rsidR="00D441CC" w:rsidRPr="00B87CC5" w:rsidRDefault="00D441CC" w:rsidP="00A46454">
            <w:pPr>
              <w:pStyle w:val="TableTextbold"/>
              <w:spacing w:before="40" w:after="40"/>
              <w:rPr>
                <w:color w:val="FFFFFF" w:themeColor="background1"/>
              </w:rPr>
            </w:pPr>
            <w:r w:rsidRPr="00B87CC5">
              <w:rPr>
                <w:color w:val="FFFFFF" w:themeColor="background1"/>
              </w:rPr>
              <w:t>Category</w:t>
            </w:r>
          </w:p>
        </w:tc>
        <w:tc>
          <w:tcPr>
            <w:tcW w:w="667" w:type="pct"/>
            <w:shd w:val="clear" w:color="auto" w:fill="1B556B"/>
            <w:vAlign w:val="bottom"/>
          </w:tcPr>
          <w:p w14:paraId="5C32BE44" w14:textId="709334D0" w:rsidR="00D441CC" w:rsidRPr="00B87CC5" w:rsidRDefault="00D441CC" w:rsidP="00A46454">
            <w:pPr>
              <w:pStyle w:val="TableTextbold"/>
              <w:spacing w:before="40" w:after="40"/>
              <w:rPr>
                <w:color w:val="FFFFFF" w:themeColor="background1"/>
              </w:rPr>
            </w:pPr>
            <w:r w:rsidRPr="00B87CC5">
              <w:rPr>
                <w:color w:val="FFFFFF" w:themeColor="background1"/>
              </w:rPr>
              <w:t>Budget</w:t>
            </w:r>
          </w:p>
        </w:tc>
        <w:tc>
          <w:tcPr>
            <w:tcW w:w="1338" w:type="pct"/>
            <w:shd w:val="clear" w:color="auto" w:fill="1B556B"/>
            <w:vAlign w:val="bottom"/>
          </w:tcPr>
          <w:p w14:paraId="14B67961" w14:textId="52A6566A" w:rsidR="00D441CC" w:rsidRPr="00B87CC5" w:rsidRDefault="00D441CC" w:rsidP="00A46454">
            <w:pPr>
              <w:pStyle w:val="TableTextbold"/>
              <w:spacing w:before="40" w:after="40"/>
              <w:jc w:val="center"/>
              <w:rPr>
                <w:color w:val="FFFFFF" w:themeColor="background1"/>
              </w:rPr>
            </w:pPr>
            <w:r w:rsidRPr="00B87CC5">
              <w:rPr>
                <w:color w:val="FFFFFF" w:themeColor="background1"/>
              </w:rPr>
              <w:t xml:space="preserve">2023 WEM </w:t>
            </w:r>
            <w:r w:rsidR="009D1A6F" w:rsidRPr="00B87CC5">
              <w:rPr>
                <w:color w:val="FFFFFF" w:themeColor="background1"/>
              </w:rPr>
              <w:t>p</w:t>
            </w:r>
            <w:r w:rsidRPr="00B87CC5">
              <w:rPr>
                <w:color w:val="FFFFFF" w:themeColor="background1"/>
              </w:rPr>
              <w:t>rojections</w:t>
            </w:r>
          </w:p>
        </w:tc>
        <w:tc>
          <w:tcPr>
            <w:tcW w:w="1245" w:type="pct"/>
            <w:shd w:val="clear" w:color="auto" w:fill="1B556B"/>
            <w:vAlign w:val="bottom"/>
          </w:tcPr>
          <w:p w14:paraId="375B2919" w14:textId="4C077DAD" w:rsidR="00D441CC" w:rsidRPr="00B87CC5" w:rsidRDefault="00D441CC" w:rsidP="00A46454">
            <w:pPr>
              <w:pStyle w:val="TableTextbold"/>
              <w:spacing w:before="40" w:after="40"/>
              <w:jc w:val="center"/>
              <w:rPr>
                <w:color w:val="FFFFFF" w:themeColor="background1"/>
              </w:rPr>
            </w:pPr>
            <w:r w:rsidRPr="00B87CC5">
              <w:rPr>
                <w:color w:val="FFFFFF" w:themeColor="background1"/>
              </w:rPr>
              <w:t>ERP2 interim baseline</w:t>
            </w:r>
          </w:p>
        </w:tc>
      </w:tr>
      <w:tr w:rsidR="009D1A6F" w:rsidRPr="00B87CC5" w14:paraId="1354D336" w14:textId="2C0A9F2F" w:rsidTr="002926A7">
        <w:trPr>
          <w:trHeight w:val="284"/>
        </w:trPr>
        <w:tc>
          <w:tcPr>
            <w:tcW w:w="761" w:type="pct"/>
            <w:vMerge w:val="restart"/>
            <w:shd w:val="clear" w:color="auto" w:fill="auto"/>
          </w:tcPr>
          <w:p w14:paraId="48276960" w14:textId="524E122C" w:rsidR="009D1A6F" w:rsidRPr="00B87CC5" w:rsidRDefault="009D1A6F" w:rsidP="00A46454">
            <w:pPr>
              <w:pStyle w:val="TableText"/>
              <w:spacing w:before="40" w:after="40"/>
              <w:rPr>
                <w:b/>
                <w:bCs/>
              </w:rPr>
            </w:pPr>
            <w:r w:rsidRPr="00B87CC5">
              <w:rPr>
                <w:b/>
                <w:bCs/>
              </w:rPr>
              <w:t>First</w:t>
            </w:r>
          </w:p>
        </w:tc>
        <w:tc>
          <w:tcPr>
            <w:tcW w:w="989" w:type="pct"/>
            <w:shd w:val="clear" w:color="auto" w:fill="auto"/>
            <w:vAlign w:val="center"/>
          </w:tcPr>
          <w:p w14:paraId="2B0253C7" w14:textId="06E11FBC" w:rsidR="009D1A6F" w:rsidRPr="00B87CC5" w:rsidRDefault="009D1A6F" w:rsidP="00A46454">
            <w:pPr>
              <w:pStyle w:val="TableText"/>
              <w:spacing w:before="40" w:after="40"/>
              <w:rPr>
                <w:b/>
                <w:bCs/>
              </w:rPr>
            </w:pPr>
            <w:r w:rsidRPr="00B87CC5">
              <w:rPr>
                <w:b/>
                <w:bCs/>
              </w:rPr>
              <w:t>Net emissions</w:t>
            </w:r>
          </w:p>
        </w:tc>
        <w:tc>
          <w:tcPr>
            <w:tcW w:w="667" w:type="pct"/>
            <w:vAlign w:val="center"/>
          </w:tcPr>
          <w:p w14:paraId="580D4BA9" w14:textId="79E6F8C6" w:rsidR="009D1A6F" w:rsidRPr="00B87CC5" w:rsidRDefault="009D1A6F" w:rsidP="00A46454">
            <w:pPr>
              <w:pStyle w:val="TableText"/>
              <w:spacing w:before="40" w:after="40"/>
              <w:rPr>
                <w:b/>
                <w:bCs/>
              </w:rPr>
            </w:pPr>
            <w:r w:rsidRPr="00B87CC5">
              <w:rPr>
                <w:b/>
                <w:bCs/>
              </w:rPr>
              <w:t>290</w:t>
            </w:r>
          </w:p>
        </w:tc>
        <w:tc>
          <w:tcPr>
            <w:tcW w:w="1338" w:type="pct"/>
            <w:vAlign w:val="center"/>
          </w:tcPr>
          <w:p w14:paraId="42E7C6AA" w14:textId="2D41EC5E" w:rsidR="009D1A6F" w:rsidRPr="00B87CC5" w:rsidRDefault="009D1A6F" w:rsidP="00A46454">
            <w:pPr>
              <w:pStyle w:val="TableText"/>
              <w:spacing w:before="40" w:after="40"/>
              <w:jc w:val="center"/>
              <w:rPr>
                <w:b/>
                <w:bCs/>
              </w:rPr>
            </w:pPr>
            <w:r w:rsidRPr="00B87CC5">
              <w:rPr>
                <w:b/>
                <w:bCs/>
              </w:rPr>
              <w:t>277</w:t>
            </w:r>
          </w:p>
        </w:tc>
        <w:tc>
          <w:tcPr>
            <w:tcW w:w="1245" w:type="pct"/>
            <w:vAlign w:val="center"/>
          </w:tcPr>
          <w:p w14:paraId="50BD512E" w14:textId="7A3DD659" w:rsidR="009D1A6F" w:rsidRPr="00B87CC5" w:rsidRDefault="009D1A6F" w:rsidP="00A46454">
            <w:pPr>
              <w:pStyle w:val="TableText"/>
              <w:spacing w:before="40" w:after="40"/>
              <w:jc w:val="center"/>
              <w:rPr>
                <w:b/>
                <w:bCs/>
              </w:rPr>
            </w:pPr>
            <w:r w:rsidRPr="00B87CC5">
              <w:rPr>
                <w:b/>
                <w:bCs/>
              </w:rPr>
              <w:t>284.0 ±</w:t>
            </w:r>
            <w:r w:rsidR="00E316AC" w:rsidRPr="00B87CC5">
              <w:rPr>
                <w:b/>
                <w:bCs/>
              </w:rPr>
              <w:t xml:space="preserve"> </w:t>
            </w:r>
            <w:r w:rsidRPr="00B87CC5">
              <w:rPr>
                <w:b/>
                <w:bCs/>
              </w:rPr>
              <w:t>4</w:t>
            </w:r>
          </w:p>
        </w:tc>
      </w:tr>
      <w:tr w:rsidR="009D1A6F" w:rsidRPr="00B87CC5" w14:paraId="1C1A3B78" w14:textId="035815EB" w:rsidTr="002926A7">
        <w:trPr>
          <w:trHeight w:val="284"/>
        </w:trPr>
        <w:tc>
          <w:tcPr>
            <w:tcW w:w="761" w:type="pct"/>
            <w:vMerge/>
            <w:shd w:val="clear" w:color="auto" w:fill="auto"/>
          </w:tcPr>
          <w:p w14:paraId="383770E5" w14:textId="77777777" w:rsidR="009D1A6F" w:rsidRPr="00B87CC5" w:rsidRDefault="009D1A6F" w:rsidP="00A46454">
            <w:pPr>
              <w:pStyle w:val="TableText"/>
              <w:spacing w:before="40" w:after="40"/>
            </w:pPr>
          </w:p>
        </w:tc>
        <w:tc>
          <w:tcPr>
            <w:tcW w:w="989" w:type="pct"/>
            <w:shd w:val="clear" w:color="auto" w:fill="auto"/>
            <w:vAlign w:val="center"/>
          </w:tcPr>
          <w:p w14:paraId="41F2D676" w14:textId="61441961" w:rsidR="009D1A6F" w:rsidRPr="00B87CC5" w:rsidRDefault="009D1A6F" w:rsidP="00A46454">
            <w:pPr>
              <w:pStyle w:val="TableText"/>
              <w:spacing w:before="40" w:after="40"/>
            </w:pPr>
            <w:r w:rsidRPr="00B87CC5">
              <w:t>Gross emissions</w:t>
            </w:r>
          </w:p>
        </w:tc>
        <w:tc>
          <w:tcPr>
            <w:tcW w:w="667" w:type="pct"/>
            <w:vAlign w:val="center"/>
          </w:tcPr>
          <w:p w14:paraId="3B532562" w14:textId="77777777" w:rsidR="009D1A6F" w:rsidRPr="00B87CC5" w:rsidRDefault="009D1A6F" w:rsidP="00A46454">
            <w:pPr>
              <w:pStyle w:val="TableText"/>
              <w:spacing w:before="40" w:after="40"/>
            </w:pPr>
          </w:p>
        </w:tc>
        <w:tc>
          <w:tcPr>
            <w:tcW w:w="1338" w:type="pct"/>
            <w:vAlign w:val="center"/>
          </w:tcPr>
          <w:p w14:paraId="6A8A685B" w14:textId="390CB642" w:rsidR="009D1A6F" w:rsidRPr="00B87CC5" w:rsidRDefault="009D1A6F" w:rsidP="00A46454">
            <w:pPr>
              <w:pStyle w:val="TableText"/>
              <w:spacing w:before="40" w:after="40"/>
              <w:jc w:val="center"/>
            </w:pPr>
            <w:r w:rsidRPr="00B87CC5">
              <w:t>301</w:t>
            </w:r>
          </w:p>
        </w:tc>
        <w:tc>
          <w:tcPr>
            <w:tcW w:w="1245" w:type="pct"/>
            <w:vAlign w:val="center"/>
          </w:tcPr>
          <w:p w14:paraId="5AD26830" w14:textId="76562333" w:rsidR="009D1A6F" w:rsidRPr="00B87CC5" w:rsidRDefault="009D1A6F" w:rsidP="00A46454">
            <w:pPr>
              <w:pStyle w:val="TableText"/>
              <w:spacing w:before="40" w:after="40"/>
              <w:jc w:val="center"/>
            </w:pPr>
            <w:r w:rsidRPr="00B87CC5">
              <w:t>307</w:t>
            </w:r>
          </w:p>
        </w:tc>
      </w:tr>
      <w:tr w:rsidR="009D1A6F" w:rsidRPr="00B87CC5" w14:paraId="3E6606B9" w14:textId="48DD0BEF" w:rsidTr="002926A7">
        <w:trPr>
          <w:trHeight w:val="284"/>
        </w:trPr>
        <w:tc>
          <w:tcPr>
            <w:tcW w:w="761" w:type="pct"/>
            <w:vMerge/>
          </w:tcPr>
          <w:p w14:paraId="356832D3" w14:textId="77777777" w:rsidR="009D1A6F" w:rsidRPr="00B87CC5" w:rsidRDefault="009D1A6F" w:rsidP="00A46454">
            <w:pPr>
              <w:pStyle w:val="TableText"/>
              <w:spacing w:before="40" w:after="40"/>
            </w:pPr>
          </w:p>
        </w:tc>
        <w:tc>
          <w:tcPr>
            <w:tcW w:w="989" w:type="pct"/>
            <w:vAlign w:val="center"/>
          </w:tcPr>
          <w:p w14:paraId="7972A662" w14:textId="112EA78B" w:rsidR="009D1A6F" w:rsidRPr="00B87CC5" w:rsidRDefault="009D1A6F" w:rsidP="00A46454">
            <w:pPr>
              <w:pStyle w:val="TableText"/>
              <w:spacing w:before="40" w:after="40"/>
            </w:pPr>
            <w:r w:rsidRPr="00B87CC5">
              <w:t>Removals</w:t>
            </w:r>
          </w:p>
        </w:tc>
        <w:tc>
          <w:tcPr>
            <w:tcW w:w="667" w:type="pct"/>
            <w:vAlign w:val="center"/>
          </w:tcPr>
          <w:p w14:paraId="4229ED27" w14:textId="77777777" w:rsidR="009D1A6F" w:rsidRPr="00B87CC5" w:rsidRDefault="009D1A6F" w:rsidP="00A46454">
            <w:pPr>
              <w:pStyle w:val="TableText"/>
              <w:spacing w:before="40" w:after="40"/>
            </w:pPr>
          </w:p>
        </w:tc>
        <w:tc>
          <w:tcPr>
            <w:tcW w:w="1338" w:type="pct"/>
            <w:vAlign w:val="center"/>
          </w:tcPr>
          <w:p w14:paraId="31635745" w14:textId="181C10E2" w:rsidR="009D1A6F" w:rsidRPr="00B87CC5" w:rsidRDefault="009D1A6F" w:rsidP="00A46454">
            <w:pPr>
              <w:pStyle w:val="TableText"/>
              <w:spacing w:before="40" w:after="40"/>
              <w:jc w:val="center"/>
            </w:pPr>
            <w:r w:rsidRPr="00B87CC5">
              <w:t>–24</w:t>
            </w:r>
          </w:p>
        </w:tc>
        <w:tc>
          <w:tcPr>
            <w:tcW w:w="1245" w:type="pct"/>
            <w:vAlign w:val="center"/>
          </w:tcPr>
          <w:p w14:paraId="4B17BEDE" w14:textId="07C05AFD" w:rsidR="009D1A6F" w:rsidRPr="00B87CC5" w:rsidRDefault="009D1A6F" w:rsidP="00A46454">
            <w:pPr>
              <w:pStyle w:val="TableText"/>
              <w:spacing w:before="40" w:after="40"/>
              <w:jc w:val="center"/>
            </w:pPr>
            <w:r w:rsidRPr="00B87CC5">
              <w:t>–23</w:t>
            </w:r>
          </w:p>
        </w:tc>
      </w:tr>
      <w:tr w:rsidR="009D1A6F" w:rsidRPr="00B87CC5" w14:paraId="36AD6697" w14:textId="1CFECDD6" w:rsidTr="002926A7">
        <w:trPr>
          <w:trHeight w:val="284"/>
        </w:trPr>
        <w:tc>
          <w:tcPr>
            <w:tcW w:w="761" w:type="pct"/>
            <w:vMerge w:val="restart"/>
          </w:tcPr>
          <w:p w14:paraId="4882F4E8" w14:textId="796F47D1" w:rsidR="009D1A6F" w:rsidRPr="00B87CC5" w:rsidRDefault="009D1A6F" w:rsidP="00A46454">
            <w:pPr>
              <w:pStyle w:val="TableText"/>
              <w:spacing w:before="40" w:after="40"/>
              <w:rPr>
                <w:b/>
                <w:bCs/>
              </w:rPr>
            </w:pPr>
            <w:r w:rsidRPr="00B87CC5">
              <w:rPr>
                <w:b/>
                <w:bCs/>
              </w:rPr>
              <w:t>Second</w:t>
            </w:r>
          </w:p>
        </w:tc>
        <w:tc>
          <w:tcPr>
            <w:tcW w:w="989" w:type="pct"/>
            <w:vAlign w:val="center"/>
          </w:tcPr>
          <w:p w14:paraId="62FA481D" w14:textId="440F9195" w:rsidR="009D1A6F" w:rsidRPr="00B87CC5" w:rsidRDefault="009D1A6F" w:rsidP="00A46454">
            <w:pPr>
              <w:pStyle w:val="TableText"/>
              <w:spacing w:before="40" w:after="40"/>
              <w:rPr>
                <w:b/>
                <w:bCs/>
              </w:rPr>
            </w:pPr>
            <w:r w:rsidRPr="00B87CC5">
              <w:rPr>
                <w:b/>
                <w:bCs/>
              </w:rPr>
              <w:t>Net emissions</w:t>
            </w:r>
          </w:p>
        </w:tc>
        <w:tc>
          <w:tcPr>
            <w:tcW w:w="667" w:type="pct"/>
            <w:vAlign w:val="center"/>
          </w:tcPr>
          <w:p w14:paraId="56C893B5" w14:textId="60500569" w:rsidR="009D1A6F" w:rsidRPr="00B87CC5" w:rsidRDefault="009D1A6F" w:rsidP="00A46454">
            <w:pPr>
              <w:pStyle w:val="TableText"/>
              <w:spacing w:before="40" w:after="40"/>
              <w:rPr>
                <w:b/>
                <w:bCs/>
              </w:rPr>
            </w:pPr>
            <w:r w:rsidRPr="00B87CC5">
              <w:rPr>
                <w:b/>
                <w:bCs/>
              </w:rPr>
              <w:t>305</w:t>
            </w:r>
          </w:p>
        </w:tc>
        <w:tc>
          <w:tcPr>
            <w:tcW w:w="1338" w:type="pct"/>
            <w:vAlign w:val="center"/>
          </w:tcPr>
          <w:p w14:paraId="3179BCE6" w14:textId="2A340C40" w:rsidR="009D1A6F" w:rsidRPr="00B87CC5" w:rsidRDefault="009D1A6F" w:rsidP="00A46454">
            <w:pPr>
              <w:pStyle w:val="TableText"/>
              <w:spacing w:before="40" w:after="40"/>
              <w:jc w:val="center"/>
              <w:rPr>
                <w:b/>
                <w:bCs/>
              </w:rPr>
            </w:pPr>
            <w:r w:rsidRPr="00B87CC5">
              <w:rPr>
                <w:b/>
                <w:bCs/>
              </w:rPr>
              <w:t>281</w:t>
            </w:r>
          </w:p>
        </w:tc>
        <w:tc>
          <w:tcPr>
            <w:tcW w:w="1245" w:type="pct"/>
            <w:vAlign w:val="center"/>
          </w:tcPr>
          <w:p w14:paraId="2650A111" w14:textId="089ECC7E" w:rsidR="009D1A6F" w:rsidRPr="00B87CC5" w:rsidRDefault="009D1A6F" w:rsidP="00A46454">
            <w:pPr>
              <w:pStyle w:val="TableText"/>
              <w:spacing w:before="40" w:after="40"/>
              <w:jc w:val="center"/>
              <w:rPr>
                <w:b/>
                <w:bCs/>
              </w:rPr>
            </w:pPr>
            <w:r w:rsidRPr="00B87CC5">
              <w:rPr>
                <w:b/>
                <w:bCs/>
              </w:rPr>
              <w:t>307.1 ±</w:t>
            </w:r>
            <w:r w:rsidR="00E316AC" w:rsidRPr="00B87CC5">
              <w:rPr>
                <w:b/>
                <w:bCs/>
              </w:rPr>
              <w:t xml:space="preserve"> </w:t>
            </w:r>
            <w:r w:rsidRPr="00B87CC5">
              <w:rPr>
                <w:b/>
                <w:bCs/>
              </w:rPr>
              <w:t>18</w:t>
            </w:r>
          </w:p>
        </w:tc>
      </w:tr>
      <w:tr w:rsidR="009D1A6F" w:rsidRPr="00B87CC5" w14:paraId="6CE21086" w14:textId="2401F347" w:rsidTr="002926A7">
        <w:trPr>
          <w:trHeight w:val="284"/>
        </w:trPr>
        <w:tc>
          <w:tcPr>
            <w:tcW w:w="761" w:type="pct"/>
            <w:vMerge/>
          </w:tcPr>
          <w:p w14:paraId="35457178" w14:textId="77777777" w:rsidR="009D1A6F" w:rsidRPr="00B87CC5" w:rsidRDefault="009D1A6F" w:rsidP="00A46454">
            <w:pPr>
              <w:pStyle w:val="TableText"/>
              <w:spacing w:before="40" w:after="40"/>
            </w:pPr>
          </w:p>
        </w:tc>
        <w:tc>
          <w:tcPr>
            <w:tcW w:w="989" w:type="pct"/>
            <w:vAlign w:val="center"/>
          </w:tcPr>
          <w:p w14:paraId="441ECE6D" w14:textId="2450DFD7" w:rsidR="009D1A6F" w:rsidRPr="00B87CC5" w:rsidRDefault="009D1A6F" w:rsidP="00A46454">
            <w:pPr>
              <w:pStyle w:val="TableText"/>
              <w:spacing w:before="40" w:after="40"/>
            </w:pPr>
            <w:r w:rsidRPr="00B87CC5">
              <w:t>Gross emissions</w:t>
            </w:r>
          </w:p>
        </w:tc>
        <w:tc>
          <w:tcPr>
            <w:tcW w:w="667" w:type="pct"/>
            <w:vAlign w:val="center"/>
          </w:tcPr>
          <w:p w14:paraId="5FD64DA1" w14:textId="77777777" w:rsidR="009D1A6F" w:rsidRPr="00B87CC5" w:rsidRDefault="009D1A6F" w:rsidP="00A46454">
            <w:pPr>
              <w:pStyle w:val="TableText"/>
              <w:spacing w:before="40" w:after="40"/>
            </w:pPr>
          </w:p>
        </w:tc>
        <w:tc>
          <w:tcPr>
            <w:tcW w:w="1338" w:type="pct"/>
            <w:vAlign w:val="center"/>
          </w:tcPr>
          <w:p w14:paraId="73676A0D" w14:textId="492FCE9E" w:rsidR="009D1A6F" w:rsidRPr="00B87CC5" w:rsidRDefault="009D1A6F" w:rsidP="00A46454">
            <w:pPr>
              <w:pStyle w:val="TableText"/>
              <w:spacing w:before="40" w:after="40"/>
              <w:jc w:val="center"/>
            </w:pPr>
            <w:r w:rsidRPr="00B87CC5">
              <w:t>342</w:t>
            </w:r>
          </w:p>
        </w:tc>
        <w:tc>
          <w:tcPr>
            <w:tcW w:w="1245" w:type="pct"/>
            <w:vAlign w:val="center"/>
          </w:tcPr>
          <w:p w14:paraId="615C5993" w14:textId="166CD34D" w:rsidR="009D1A6F" w:rsidRPr="00B87CC5" w:rsidRDefault="009D1A6F" w:rsidP="00A46454">
            <w:pPr>
              <w:pStyle w:val="TableText"/>
              <w:spacing w:before="40" w:after="40"/>
              <w:jc w:val="center"/>
            </w:pPr>
            <w:r w:rsidRPr="00B87CC5">
              <w:t>368</w:t>
            </w:r>
          </w:p>
        </w:tc>
      </w:tr>
      <w:tr w:rsidR="009D1A6F" w:rsidRPr="00B87CC5" w14:paraId="2E4AF48A" w14:textId="53C4AE35" w:rsidTr="002926A7">
        <w:trPr>
          <w:trHeight w:val="284"/>
        </w:trPr>
        <w:tc>
          <w:tcPr>
            <w:tcW w:w="761" w:type="pct"/>
            <w:vMerge/>
          </w:tcPr>
          <w:p w14:paraId="37A0D838" w14:textId="77777777" w:rsidR="009D1A6F" w:rsidRPr="00B87CC5" w:rsidRDefault="009D1A6F" w:rsidP="00A46454">
            <w:pPr>
              <w:pStyle w:val="TableText"/>
              <w:spacing w:before="40" w:after="40"/>
            </w:pPr>
          </w:p>
        </w:tc>
        <w:tc>
          <w:tcPr>
            <w:tcW w:w="989" w:type="pct"/>
            <w:vAlign w:val="center"/>
          </w:tcPr>
          <w:p w14:paraId="3093B9C8" w14:textId="4DA8055C" w:rsidR="009D1A6F" w:rsidRPr="00B87CC5" w:rsidRDefault="009D1A6F" w:rsidP="00A46454">
            <w:pPr>
              <w:pStyle w:val="TableText"/>
              <w:spacing w:before="40" w:after="40"/>
            </w:pPr>
            <w:r w:rsidRPr="00B87CC5">
              <w:t>Removals</w:t>
            </w:r>
          </w:p>
        </w:tc>
        <w:tc>
          <w:tcPr>
            <w:tcW w:w="667" w:type="pct"/>
            <w:vAlign w:val="center"/>
          </w:tcPr>
          <w:p w14:paraId="297514F6" w14:textId="77777777" w:rsidR="009D1A6F" w:rsidRPr="00B87CC5" w:rsidRDefault="009D1A6F" w:rsidP="00A46454">
            <w:pPr>
              <w:pStyle w:val="TableText"/>
              <w:spacing w:before="40" w:after="40"/>
            </w:pPr>
          </w:p>
        </w:tc>
        <w:tc>
          <w:tcPr>
            <w:tcW w:w="1338" w:type="pct"/>
            <w:vAlign w:val="center"/>
          </w:tcPr>
          <w:p w14:paraId="2F40ADE9" w14:textId="3D2307B3" w:rsidR="009D1A6F" w:rsidRPr="00B87CC5" w:rsidRDefault="009D1A6F" w:rsidP="00A46454">
            <w:pPr>
              <w:pStyle w:val="TableText"/>
              <w:spacing w:before="40" w:after="40"/>
              <w:jc w:val="center"/>
            </w:pPr>
            <w:r w:rsidRPr="00B87CC5">
              <w:t>–61</w:t>
            </w:r>
          </w:p>
        </w:tc>
        <w:tc>
          <w:tcPr>
            <w:tcW w:w="1245" w:type="pct"/>
            <w:vAlign w:val="center"/>
          </w:tcPr>
          <w:p w14:paraId="5F5C8A4D" w14:textId="03EB31BA" w:rsidR="009D1A6F" w:rsidRPr="00B87CC5" w:rsidRDefault="009D1A6F" w:rsidP="00A46454">
            <w:pPr>
              <w:pStyle w:val="TableText"/>
              <w:spacing w:before="40" w:after="40"/>
              <w:jc w:val="center"/>
            </w:pPr>
            <w:r w:rsidRPr="00B87CC5">
              <w:t>–61</w:t>
            </w:r>
          </w:p>
        </w:tc>
      </w:tr>
      <w:tr w:rsidR="009D1A6F" w:rsidRPr="00B87CC5" w14:paraId="6A69F647" w14:textId="4630978E" w:rsidTr="002926A7">
        <w:trPr>
          <w:trHeight w:val="284"/>
        </w:trPr>
        <w:tc>
          <w:tcPr>
            <w:tcW w:w="761" w:type="pct"/>
            <w:vMerge w:val="restart"/>
          </w:tcPr>
          <w:p w14:paraId="58F76920" w14:textId="70DF5BEC" w:rsidR="009D1A6F" w:rsidRPr="00B87CC5" w:rsidRDefault="009D1A6F" w:rsidP="00A46454">
            <w:pPr>
              <w:pStyle w:val="TableText"/>
              <w:spacing w:before="40" w:after="40"/>
              <w:rPr>
                <w:b/>
                <w:bCs/>
              </w:rPr>
            </w:pPr>
            <w:r w:rsidRPr="00B87CC5">
              <w:rPr>
                <w:b/>
                <w:bCs/>
              </w:rPr>
              <w:t>Third</w:t>
            </w:r>
          </w:p>
        </w:tc>
        <w:tc>
          <w:tcPr>
            <w:tcW w:w="989" w:type="pct"/>
            <w:vAlign w:val="center"/>
          </w:tcPr>
          <w:p w14:paraId="2688D541" w14:textId="1E289E48" w:rsidR="009D1A6F" w:rsidRPr="00B87CC5" w:rsidRDefault="009D1A6F" w:rsidP="00A46454">
            <w:pPr>
              <w:pStyle w:val="TableText"/>
              <w:spacing w:before="40" w:after="40"/>
              <w:rPr>
                <w:b/>
                <w:bCs/>
              </w:rPr>
            </w:pPr>
            <w:r w:rsidRPr="00B87CC5">
              <w:rPr>
                <w:b/>
                <w:bCs/>
              </w:rPr>
              <w:t>Net emissions</w:t>
            </w:r>
          </w:p>
        </w:tc>
        <w:tc>
          <w:tcPr>
            <w:tcW w:w="667" w:type="pct"/>
            <w:vAlign w:val="center"/>
          </w:tcPr>
          <w:p w14:paraId="1EB36323" w14:textId="070217B6" w:rsidR="009D1A6F" w:rsidRPr="00B87CC5" w:rsidRDefault="009D1A6F" w:rsidP="00A46454">
            <w:pPr>
              <w:pStyle w:val="TableText"/>
              <w:spacing w:before="40" w:after="40"/>
              <w:rPr>
                <w:b/>
                <w:bCs/>
              </w:rPr>
            </w:pPr>
            <w:r w:rsidRPr="00B87CC5">
              <w:rPr>
                <w:b/>
                <w:bCs/>
              </w:rPr>
              <w:t>240</w:t>
            </w:r>
          </w:p>
        </w:tc>
        <w:tc>
          <w:tcPr>
            <w:tcW w:w="1338" w:type="pct"/>
            <w:vAlign w:val="center"/>
          </w:tcPr>
          <w:p w14:paraId="587520AC" w14:textId="4F532C05" w:rsidR="009D1A6F" w:rsidRPr="00B87CC5" w:rsidRDefault="009D1A6F" w:rsidP="00A46454">
            <w:pPr>
              <w:pStyle w:val="TableText"/>
              <w:spacing w:before="40" w:after="40"/>
              <w:jc w:val="center"/>
              <w:rPr>
                <w:b/>
                <w:bCs/>
              </w:rPr>
            </w:pPr>
            <w:r w:rsidRPr="00B87CC5">
              <w:rPr>
                <w:b/>
                <w:bCs/>
              </w:rPr>
              <w:t>233</w:t>
            </w:r>
          </w:p>
        </w:tc>
        <w:tc>
          <w:tcPr>
            <w:tcW w:w="1245" w:type="pct"/>
            <w:vAlign w:val="center"/>
          </w:tcPr>
          <w:p w14:paraId="2073420D" w14:textId="55484D99" w:rsidR="009D1A6F" w:rsidRPr="00B87CC5" w:rsidRDefault="009D1A6F" w:rsidP="00A46454">
            <w:pPr>
              <w:pStyle w:val="TableText"/>
              <w:spacing w:before="40" w:after="40"/>
              <w:jc w:val="center"/>
              <w:rPr>
                <w:b/>
                <w:bCs/>
              </w:rPr>
            </w:pPr>
            <w:r w:rsidRPr="00B87CC5">
              <w:rPr>
                <w:b/>
                <w:bCs/>
              </w:rPr>
              <w:t>270.1 ±</w:t>
            </w:r>
            <w:r w:rsidR="00E316AC" w:rsidRPr="00B87CC5">
              <w:rPr>
                <w:b/>
                <w:bCs/>
              </w:rPr>
              <w:t xml:space="preserve"> </w:t>
            </w:r>
            <w:r w:rsidRPr="00B87CC5">
              <w:rPr>
                <w:b/>
                <w:bCs/>
              </w:rPr>
              <w:t>29</w:t>
            </w:r>
          </w:p>
        </w:tc>
      </w:tr>
      <w:tr w:rsidR="009D1A6F" w:rsidRPr="00B87CC5" w14:paraId="0C509FFD" w14:textId="6DE30886" w:rsidTr="002926A7">
        <w:trPr>
          <w:trHeight w:val="284"/>
        </w:trPr>
        <w:tc>
          <w:tcPr>
            <w:tcW w:w="761" w:type="pct"/>
            <w:vMerge/>
          </w:tcPr>
          <w:p w14:paraId="7E19EF8F" w14:textId="77777777" w:rsidR="009D1A6F" w:rsidRPr="00B87CC5" w:rsidRDefault="009D1A6F" w:rsidP="00A46454">
            <w:pPr>
              <w:pStyle w:val="TableText"/>
              <w:spacing w:before="40" w:after="40"/>
            </w:pPr>
          </w:p>
        </w:tc>
        <w:tc>
          <w:tcPr>
            <w:tcW w:w="989" w:type="pct"/>
            <w:vAlign w:val="center"/>
          </w:tcPr>
          <w:p w14:paraId="4408451F" w14:textId="174CFB03" w:rsidR="009D1A6F" w:rsidRPr="00B87CC5" w:rsidRDefault="009D1A6F" w:rsidP="00A46454">
            <w:pPr>
              <w:pStyle w:val="TableText"/>
              <w:spacing w:before="40" w:after="40"/>
            </w:pPr>
            <w:r w:rsidRPr="00B87CC5">
              <w:t>Gross emissions</w:t>
            </w:r>
          </w:p>
        </w:tc>
        <w:tc>
          <w:tcPr>
            <w:tcW w:w="667" w:type="pct"/>
            <w:vAlign w:val="center"/>
          </w:tcPr>
          <w:p w14:paraId="27A75CEF" w14:textId="77777777" w:rsidR="009D1A6F" w:rsidRPr="00B87CC5" w:rsidRDefault="009D1A6F" w:rsidP="00A46454">
            <w:pPr>
              <w:pStyle w:val="TableText"/>
              <w:spacing w:before="40" w:after="40"/>
            </w:pPr>
          </w:p>
        </w:tc>
        <w:tc>
          <w:tcPr>
            <w:tcW w:w="1338" w:type="pct"/>
            <w:vAlign w:val="center"/>
          </w:tcPr>
          <w:p w14:paraId="11A09C90" w14:textId="7AB53BBF" w:rsidR="009D1A6F" w:rsidRPr="00B87CC5" w:rsidRDefault="009D1A6F" w:rsidP="00A46454">
            <w:pPr>
              <w:pStyle w:val="TableText"/>
              <w:spacing w:before="40" w:after="40"/>
              <w:jc w:val="center"/>
            </w:pPr>
            <w:r w:rsidRPr="00B87CC5">
              <w:t>326</w:t>
            </w:r>
          </w:p>
        </w:tc>
        <w:tc>
          <w:tcPr>
            <w:tcW w:w="1245" w:type="pct"/>
            <w:vAlign w:val="center"/>
          </w:tcPr>
          <w:p w14:paraId="59A304A5" w14:textId="2DFB2589" w:rsidR="009D1A6F" w:rsidRPr="00B87CC5" w:rsidRDefault="009D1A6F" w:rsidP="00A46454">
            <w:pPr>
              <w:pStyle w:val="TableText"/>
              <w:spacing w:before="40" w:after="40"/>
              <w:jc w:val="center"/>
            </w:pPr>
            <w:r w:rsidRPr="00B87CC5">
              <w:t>352</w:t>
            </w:r>
          </w:p>
        </w:tc>
      </w:tr>
      <w:tr w:rsidR="009D1A6F" w:rsidRPr="00B87CC5" w14:paraId="3CF4C718" w14:textId="27518649" w:rsidTr="002926A7">
        <w:trPr>
          <w:trHeight w:val="284"/>
        </w:trPr>
        <w:tc>
          <w:tcPr>
            <w:tcW w:w="761" w:type="pct"/>
            <w:vMerge/>
          </w:tcPr>
          <w:p w14:paraId="0C166BB4" w14:textId="77777777" w:rsidR="009D1A6F" w:rsidRPr="00B87CC5" w:rsidRDefault="009D1A6F" w:rsidP="00A46454">
            <w:pPr>
              <w:pStyle w:val="TableText"/>
              <w:spacing w:before="40" w:after="40"/>
            </w:pPr>
          </w:p>
        </w:tc>
        <w:tc>
          <w:tcPr>
            <w:tcW w:w="989" w:type="pct"/>
            <w:vAlign w:val="center"/>
          </w:tcPr>
          <w:p w14:paraId="532E941C" w14:textId="7F46672C" w:rsidR="009D1A6F" w:rsidRPr="00B87CC5" w:rsidRDefault="009D1A6F" w:rsidP="00A46454">
            <w:pPr>
              <w:pStyle w:val="TableText"/>
              <w:spacing w:before="40" w:after="40"/>
            </w:pPr>
            <w:r w:rsidRPr="00B87CC5">
              <w:t>Removals</w:t>
            </w:r>
          </w:p>
        </w:tc>
        <w:tc>
          <w:tcPr>
            <w:tcW w:w="667" w:type="pct"/>
            <w:vAlign w:val="center"/>
          </w:tcPr>
          <w:p w14:paraId="3B8FEE3F" w14:textId="77777777" w:rsidR="009D1A6F" w:rsidRPr="00B87CC5" w:rsidRDefault="009D1A6F" w:rsidP="00A46454">
            <w:pPr>
              <w:pStyle w:val="TableText"/>
              <w:spacing w:before="40" w:after="40"/>
            </w:pPr>
          </w:p>
        </w:tc>
        <w:tc>
          <w:tcPr>
            <w:tcW w:w="1338" w:type="pct"/>
            <w:vAlign w:val="center"/>
          </w:tcPr>
          <w:p w14:paraId="0010E6A4" w14:textId="43D66525" w:rsidR="009D1A6F" w:rsidRPr="00B87CC5" w:rsidRDefault="009D1A6F" w:rsidP="00A46454">
            <w:pPr>
              <w:pStyle w:val="TableText"/>
              <w:spacing w:before="40" w:after="40"/>
              <w:jc w:val="center"/>
            </w:pPr>
            <w:r w:rsidRPr="00B87CC5">
              <w:t>–92</w:t>
            </w:r>
          </w:p>
        </w:tc>
        <w:tc>
          <w:tcPr>
            <w:tcW w:w="1245" w:type="pct"/>
            <w:vAlign w:val="center"/>
          </w:tcPr>
          <w:p w14:paraId="236CCCF7" w14:textId="12F31263" w:rsidR="009D1A6F" w:rsidRPr="00B87CC5" w:rsidRDefault="009D1A6F" w:rsidP="00A46454">
            <w:pPr>
              <w:pStyle w:val="TableText"/>
              <w:spacing w:before="40" w:after="40"/>
              <w:jc w:val="center"/>
            </w:pPr>
            <w:r w:rsidRPr="00B87CC5">
              <w:t>–82</w:t>
            </w:r>
          </w:p>
        </w:tc>
      </w:tr>
    </w:tbl>
    <w:p w14:paraId="707F766C" w14:textId="105942E2" w:rsidR="0083554F" w:rsidRPr="00B87CC5" w:rsidRDefault="0083554F" w:rsidP="00A7322F">
      <w:pPr>
        <w:pStyle w:val="Note"/>
      </w:pPr>
      <w:r w:rsidRPr="00B87CC5">
        <w:t xml:space="preserve">Note: </w:t>
      </w:r>
      <w:r w:rsidR="009D1A6F" w:rsidRPr="00B87CC5">
        <w:t>WEM = with existing measures.</w:t>
      </w:r>
    </w:p>
    <w:p w14:paraId="1261D46F" w14:textId="3EAC3BD0" w:rsidR="000761BD" w:rsidRPr="00B87CC5" w:rsidRDefault="000761BD" w:rsidP="0082470E">
      <w:pPr>
        <w:pStyle w:val="Heading3"/>
      </w:pPr>
      <w:r w:rsidRPr="00B87CC5">
        <w:lastRenderedPageBreak/>
        <w:t>Differences</w:t>
      </w:r>
      <w:r w:rsidR="00110844" w:rsidRPr="00B87CC5">
        <w:t xml:space="preserve"> between official and interim projections </w:t>
      </w:r>
    </w:p>
    <w:p w14:paraId="7C394B75" w14:textId="6909CE7C" w:rsidR="003D263A" w:rsidRPr="00B87CC5" w:rsidRDefault="00D236BA" w:rsidP="003D263A">
      <w:pPr>
        <w:pStyle w:val="BodyText"/>
        <w:spacing w:before="240"/>
        <w:rPr>
          <w:lang w:eastAsia="en-US"/>
        </w:rPr>
      </w:pPr>
      <w:r w:rsidRPr="00B87CC5">
        <w:rPr>
          <w:lang w:eastAsia="en-US"/>
        </w:rPr>
        <w:t xml:space="preserve">The </w:t>
      </w:r>
      <w:r w:rsidR="00F15A61" w:rsidRPr="00B87CC5">
        <w:rPr>
          <w:lang w:eastAsia="en-US"/>
        </w:rPr>
        <w:t>interim</w:t>
      </w:r>
      <w:r w:rsidR="004C19E7" w:rsidRPr="00B87CC5">
        <w:rPr>
          <w:lang w:eastAsia="en-US"/>
        </w:rPr>
        <w:t xml:space="preserve"> projections </w:t>
      </w:r>
      <w:r w:rsidR="00A7369A" w:rsidRPr="00B87CC5">
        <w:rPr>
          <w:lang w:eastAsia="en-US"/>
        </w:rPr>
        <w:t xml:space="preserve">have a central estimate of </w:t>
      </w:r>
      <w:r w:rsidR="00BC15B1" w:rsidRPr="00B87CC5">
        <w:rPr>
          <w:lang w:eastAsia="en-US"/>
        </w:rPr>
        <w:t>3</w:t>
      </w:r>
      <w:r w:rsidR="00730CF0" w:rsidRPr="00B87CC5">
        <w:rPr>
          <w:lang w:eastAsia="en-US"/>
        </w:rPr>
        <w:t>0</w:t>
      </w:r>
      <w:r w:rsidR="005B5FC0" w:rsidRPr="00B87CC5">
        <w:rPr>
          <w:lang w:eastAsia="en-US"/>
        </w:rPr>
        <w:t>7</w:t>
      </w:r>
      <w:r w:rsidR="00BC15B1" w:rsidRPr="00B87CC5">
        <w:rPr>
          <w:lang w:eastAsia="en-US"/>
        </w:rPr>
        <w:t xml:space="preserve"> </w:t>
      </w:r>
      <w:r w:rsidR="00BC15B1" w:rsidRPr="00B87CC5" w:rsidDel="009D1A6F">
        <w:rPr>
          <w:lang w:eastAsia="en-US"/>
        </w:rPr>
        <w:t xml:space="preserve">million </w:t>
      </w:r>
      <w:r w:rsidR="00B62EB1" w:rsidRPr="00B87CC5">
        <w:rPr>
          <w:lang w:eastAsia="en-US"/>
        </w:rPr>
        <w:t>tonnes</w:t>
      </w:r>
      <w:r w:rsidR="009D1A6F" w:rsidRPr="00B87CC5">
        <w:rPr>
          <w:lang w:eastAsia="en-US"/>
        </w:rPr>
        <w:t xml:space="preserve"> (Mt)</w:t>
      </w:r>
      <w:r w:rsidR="003153C5" w:rsidRPr="00B87CC5">
        <w:rPr>
          <w:lang w:eastAsia="en-US"/>
        </w:rPr>
        <w:t xml:space="preserve"> CO</w:t>
      </w:r>
      <w:r w:rsidR="003153C5" w:rsidRPr="00B87CC5">
        <w:rPr>
          <w:vertAlign w:val="subscript"/>
          <w:lang w:eastAsia="en-US"/>
        </w:rPr>
        <w:t>2</w:t>
      </w:r>
      <w:r w:rsidR="003153C5" w:rsidRPr="00B87CC5">
        <w:t>-e</w:t>
      </w:r>
      <w:r w:rsidR="00A7369A" w:rsidRPr="00B87CC5">
        <w:rPr>
          <w:lang w:eastAsia="en-US"/>
        </w:rPr>
        <w:t xml:space="preserve"> for </w:t>
      </w:r>
      <w:r w:rsidR="009D1A6F" w:rsidRPr="00B87CC5">
        <w:rPr>
          <w:lang w:eastAsia="en-US"/>
        </w:rPr>
        <w:t xml:space="preserve">the second </w:t>
      </w:r>
      <w:r w:rsidR="00A7369A" w:rsidRPr="00B87CC5">
        <w:rPr>
          <w:lang w:eastAsia="en-US"/>
        </w:rPr>
        <w:t>emissions budget (2026</w:t>
      </w:r>
      <w:r w:rsidR="009D1A6F" w:rsidRPr="00B87CC5">
        <w:rPr>
          <w:lang w:eastAsia="en-US"/>
        </w:rPr>
        <w:t>–</w:t>
      </w:r>
      <w:r w:rsidR="00A7369A" w:rsidRPr="00B87CC5">
        <w:rPr>
          <w:lang w:eastAsia="en-US"/>
        </w:rPr>
        <w:t>30)</w:t>
      </w:r>
      <w:r w:rsidR="00BC15B1" w:rsidRPr="00B87CC5">
        <w:rPr>
          <w:lang w:eastAsia="en-US"/>
        </w:rPr>
        <w:t>.</w:t>
      </w:r>
      <w:r w:rsidR="00A7369A" w:rsidRPr="00B87CC5">
        <w:rPr>
          <w:lang w:eastAsia="en-US"/>
        </w:rPr>
        <w:t xml:space="preserve"> This is higher than was estimated in the 2023 projections (281 Mt</w:t>
      </w:r>
      <w:r w:rsidR="003153C5" w:rsidRPr="00B87CC5">
        <w:rPr>
          <w:lang w:eastAsia="en-US"/>
        </w:rPr>
        <w:t xml:space="preserve"> CO</w:t>
      </w:r>
      <w:r w:rsidR="003153C5" w:rsidRPr="00B87CC5">
        <w:rPr>
          <w:vertAlign w:val="subscript"/>
          <w:lang w:eastAsia="en-US"/>
        </w:rPr>
        <w:t>2</w:t>
      </w:r>
      <w:r w:rsidR="003153C5" w:rsidRPr="00B87CC5">
        <w:t>-e</w:t>
      </w:r>
      <w:r w:rsidR="00A7369A" w:rsidRPr="00B87CC5">
        <w:rPr>
          <w:lang w:eastAsia="en-US"/>
        </w:rPr>
        <w:t>)</w:t>
      </w:r>
      <w:r w:rsidR="009D1A6F" w:rsidRPr="00B87CC5">
        <w:rPr>
          <w:lang w:eastAsia="en-US"/>
        </w:rPr>
        <w:t>.</w:t>
      </w:r>
      <w:r w:rsidR="003D263A" w:rsidRPr="00B87CC5">
        <w:rPr>
          <w:lang w:eastAsia="en-US"/>
        </w:rPr>
        <w:t xml:space="preserve"> The main sources of the differences are </w:t>
      </w:r>
      <w:r w:rsidR="004D13D6" w:rsidRPr="00B87CC5">
        <w:rPr>
          <w:lang w:eastAsia="en-US"/>
        </w:rPr>
        <w:t>outlined below</w:t>
      </w:r>
      <w:r w:rsidR="003D263A" w:rsidRPr="00B87CC5">
        <w:rPr>
          <w:lang w:eastAsia="en-US"/>
        </w:rPr>
        <w:t>.</w:t>
      </w:r>
    </w:p>
    <w:p w14:paraId="21B0FE35" w14:textId="709D6A9B" w:rsidR="006D155D" w:rsidRPr="00B87CC5" w:rsidRDefault="006D155D" w:rsidP="00AD1543">
      <w:pPr>
        <w:pStyle w:val="Bullet"/>
        <w:rPr>
          <w:lang w:eastAsia="en-US"/>
        </w:rPr>
      </w:pPr>
      <w:r w:rsidRPr="00B87CC5">
        <w:rPr>
          <w:b/>
          <w:lang w:eastAsia="en-US"/>
        </w:rPr>
        <w:t>Policy treatment</w:t>
      </w:r>
      <w:r w:rsidR="009D1A6F" w:rsidRPr="00B87CC5">
        <w:rPr>
          <w:b/>
          <w:bCs/>
          <w:lang w:eastAsia="en-US"/>
        </w:rPr>
        <w:t>.</w:t>
      </w:r>
      <w:r w:rsidR="004D13D6" w:rsidRPr="00B87CC5">
        <w:rPr>
          <w:lang w:eastAsia="en-US"/>
        </w:rPr>
        <w:t xml:space="preserve"> </w:t>
      </w:r>
      <w:r w:rsidR="00193CC1" w:rsidRPr="00B87CC5">
        <w:rPr>
          <w:lang w:eastAsia="en-US"/>
        </w:rPr>
        <w:t xml:space="preserve">Updates </w:t>
      </w:r>
      <w:r w:rsidR="009D1A6F" w:rsidRPr="00B87CC5">
        <w:rPr>
          <w:lang w:eastAsia="en-US"/>
        </w:rPr>
        <w:t xml:space="preserve">have been made </w:t>
      </w:r>
      <w:r w:rsidRPr="00B87CC5">
        <w:rPr>
          <w:lang w:eastAsia="en-US"/>
        </w:rPr>
        <w:t xml:space="preserve">to </w:t>
      </w:r>
      <w:r w:rsidR="009804B8" w:rsidRPr="00B87CC5">
        <w:rPr>
          <w:lang w:eastAsia="en-US"/>
        </w:rPr>
        <w:t xml:space="preserve">estimates of policy effects </w:t>
      </w:r>
      <w:r w:rsidR="00DE02D6" w:rsidRPr="00B87CC5">
        <w:rPr>
          <w:lang w:eastAsia="en-US"/>
        </w:rPr>
        <w:t xml:space="preserve">on </w:t>
      </w:r>
      <w:r w:rsidRPr="00B87CC5">
        <w:rPr>
          <w:lang w:eastAsia="en-US"/>
        </w:rPr>
        <w:t>emission</w:t>
      </w:r>
      <w:r w:rsidR="00DE02D6" w:rsidRPr="00B87CC5">
        <w:rPr>
          <w:lang w:eastAsia="en-US"/>
        </w:rPr>
        <w:t>s</w:t>
      </w:r>
      <w:r w:rsidR="009617BA" w:rsidRPr="00B87CC5">
        <w:rPr>
          <w:lang w:eastAsia="en-US"/>
        </w:rPr>
        <w:t xml:space="preserve">, </w:t>
      </w:r>
      <w:r w:rsidR="007F08B3" w:rsidRPr="00B87CC5">
        <w:rPr>
          <w:lang w:eastAsia="en-US"/>
        </w:rPr>
        <w:t xml:space="preserve">policy interplay </w:t>
      </w:r>
      <w:r w:rsidR="00DE02D6" w:rsidRPr="00B87CC5">
        <w:rPr>
          <w:lang w:eastAsia="en-US"/>
        </w:rPr>
        <w:t xml:space="preserve">and the overlap with the </w:t>
      </w:r>
      <w:r w:rsidR="002B2459" w:rsidRPr="00B87CC5">
        <w:rPr>
          <w:lang w:eastAsia="en-US"/>
        </w:rPr>
        <w:t xml:space="preserve">NZ </w:t>
      </w:r>
      <w:r w:rsidRPr="00B87CC5">
        <w:rPr>
          <w:lang w:eastAsia="en-US"/>
        </w:rPr>
        <w:t>ETS. Note that these differences are separate to actual changes in policy that have been enacted since the 2023</w:t>
      </w:r>
      <w:r w:rsidR="00880D81" w:rsidRPr="00B87CC5">
        <w:rPr>
          <w:lang w:eastAsia="en-US"/>
        </w:rPr>
        <w:t xml:space="preserve"> </w:t>
      </w:r>
      <w:r w:rsidR="002B2459" w:rsidRPr="00B87CC5">
        <w:rPr>
          <w:lang w:eastAsia="en-US"/>
        </w:rPr>
        <w:t xml:space="preserve">policy settings </w:t>
      </w:r>
      <w:r w:rsidR="00934ED1" w:rsidRPr="00B87CC5">
        <w:rPr>
          <w:lang w:eastAsia="en-US"/>
        </w:rPr>
        <w:t>of mid</w:t>
      </w:r>
      <w:r w:rsidR="00E804AA" w:rsidRPr="00B87CC5">
        <w:rPr>
          <w:lang w:eastAsia="en-US"/>
        </w:rPr>
        <w:noBreakHyphen/>
      </w:r>
      <w:r w:rsidR="00934ED1" w:rsidRPr="00B87CC5">
        <w:rPr>
          <w:lang w:eastAsia="en-US"/>
        </w:rPr>
        <w:t>2023</w:t>
      </w:r>
      <w:r w:rsidRPr="00B87CC5">
        <w:rPr>
          <w:lang w:eastAsia="en-US"/>
        </w:rPr>
        <w:t xml:space="preserve">. </w:t>
      </w:r>
    </w:p>
    <w:p w14:paraId="3AEF35B1" w14:textId="0F30313E" w:rsidR="003D263A" w:rsidRPr="00B87CC5" w:rsidRDefault="006D155D" w:rsidP="00AD1543">
      <w:pPr>
        <w:pStyle w:val="Bullet"/>
        <w:rPr>
          <w:lang w:eastAsia="en-US"/>
        </w:rPr>
      </w:pPr>
      <w:r w:rsidRPr="00B87CC5">
        <w:rPr>
          <w:b/>
          <w:lang w:eastAsia="en-US"/>
        </w:rPr>
        <w:t>Model differences</w:t>
      </w:r>
      <w:r w:rsidR="009D1A6F" w:rsidRPr="00B87CC5">
        <w:rPr>
          <w:b/>
          <w:bCs/>
          <w:lang w:eastAsia="en-US"/>
        </w:rPr>
        <w:t>.</w:t>
      </w:r>
      <w:r w:rsidR="00934ED1" w:rsidRPr="00B87CC5">
        <w:rPr>
          <w:lang w:eastAsia="en-US"/>
        </w:rPr>
        <w:t xml:space="preserve"> The </w:t>
      </w:r>
      <w:r w:rsidRPr="00B87CC5">
        <w:rPr>
          <w:lang w:eastAsia="en-US"/>
        </w:rPr>
        <w:t xml:space="preserve">ENZ </w:t>
      </w:r>
      <w:r w:rsidR="00A7169B" w:rsidRPr="00B87CC5">
        <w:rPr>
          <w:lang w:eastAsia="en-US"/>
        </w:rPr>
        <w:t>model</w:t>
      </w:r>
      <w:r w:rsidRPr="00B87CC5">
        <w:rPr>
          <w:lang w:eastAsia="en-US"/>
        </w:rPr>
        <w:t xml:space="preserve"> uses different input assumptions and methods </w:t>
      </w:r>
      <w:r w:rsidR="009D1A6F" w:rsidRPr="00B87CC5">
        <w:rPr>
          <w:lang w:eastAsia="en-US"/>
        </w:rPr>
        <w:t>from</w:t>
      </w:r>
      <w:r w:rsidRPr="00B87CC5">
        <w:rPr>
          <w:lang w:eastAsia="en-US"/>
        </w:rPr>
        <w:t xml:space="preserve"> those used by agencies. For example, MBIE runs a more detailed optimisation model to simulate electricity generation </w:t>
      </w:r>
      <w:r w:rsidR="00A85F1C" w:rsidRPr="00B87CC5">
        <w:rPr>
          <w:lang w:eastAsia="en-US"/>
        </w:rPr>
        <w:t>under different hydrological profiles. In contrast</w:t>
      </w:r>
      <w:r w:rsidR="00C804C7" w:rsidRPr="00B87CC5">
        <w:rPr>
          <w:lang w:eastAsia="en-US"/>
        </w:rPr>
        <w:t>, the</w:t>
      </w:r>
      <w:r w:rsidR="00A85F1C" w:rsidRPr="00B87CC5">
        <w:rPr>
          <w:lang w:eastAsia="en-US"/>
        </w:rPr>
        <w:t xml:space="preserve"> </w:t>
      </w:r>
      <w:r w:rsidRPr="00B87CC5">
        <w:rPr>
          <w:lang w:eastAsia="en-US"/>
        </w:rPr>
        <w:t xml:space="preserve">ENZ </w:t>
      </w:r>
      <w:r w:rsidR="00C804C7" w:rsidRPr="00B87CC5">
        <w:rPr>
          <w:lang w:eastAsia="en-US"/>
        </w:rPr>
        <w:t xml:space="preserve">model </w:t>
      </w:r>
      <w:r w:rsidRPr="00B87CC5">
        <w:rPr>
          <w:lang w:eastAsia="en-US"/>
        </w:rPr>
        <w:t xml:space="preserve">is </w:t>
      </w:r>
      <w:r w:rsidR="00A85F1C" w:rsidRPr="00B87CC5">
        <w:rPr>
          <w:lang w:eastAsia="en-US"/>
        </w:rPr>
        <w:t xml:space="preserve">simpler, using average inputs. </w:t>
      </w:r>
      <w:r w:rsidR="00C804C7" w:rsidRPr="00B87CC5">
        <w:rPr>
          <w:lang w:eastAsia="en-US"/>
        </w:rPr>
        <w:t xml:space="preserve">It </w:t>
      </w:r>
      <w:r w:rsidRPr="00B87CC5">
        <w:rPr>
          <w:lang w:eastAsia="en-US"/>
        </w:rPr>
        <w:t>predicts lower requirements for coal</w:t>
      </w:r>
      <w:r w:rsidR="001E322D" w:rsidRPr="00B87CC5">
        <w:rPr>
          <w:lang w:eastAsia="en-US"/>
        </w:rPr>
        <w:t>-</w:t>
      </w:r>
      <w:r w:rsidRPr="00B87CC5">
        <w:rPr>
          <w:lang w:eastAsia="en-US"/>
        </w:rPr>
        <w:t xml:space="preserve"> and gas</w:t>
      </w:r>
      <w:r w:rsidR="00E804AA" w:rsidRPr="00B87CC5">
        <w:rPr>
          <w:lang w:eastAsia="en-US"/>
        </w:rPr>
        <w:noBreakHyphen/>
      </w:r>
      <w:r w:rsidRPr="00B87CC5">
        <w:rPr>
          <w:lang w:eastAsia="en-US"/>
        </w:rPr>
        <w:t>fired generation, but higher natural gas demand for process heat.</w:t>
      </w:r>
    </w:p>
    <w:p w14:paraId="05EB9ADA" w14:textId="65E89242" w:rsidR="003D263A" w:rsidRPr="00B87CC5" w:rsidRDefault="003D263A" w:rsidP="00AD1543">
      <w:pPr>
        <w:pStyle w:val="Bullet"/>
        <w:rPr>
          <w:lang w:eastAsia="en-US"/>
        </w:rPr>
      </w:pPr>
      <w:r w:rsidRPr="00B87CC5">
        <w:rPr>
          <w:b/>
          <w:lang w:eastAsia="en-US"/>
        </w:rPr>
        <w:t>Inventory changes</w:t>
      </w:r>
      <w:r w:rsidR="001E6DB3" w:rsidRPr="00B87CC5">
        <w:rPr>
          <w:b/>
          <w:bCs/>
          <w:lang w:eastAsia="en-US"/>
        </w:rPr>
        <w:t>.</w:t>
      </w:r>
      <w:r w:rsidR="009F14FD" w:rsidRPr="00B87CC5">
        <w:rPr>
          <w:lang w:eastAsia="en-US"/>
        </w:rPr>
        <w:t xml:space="preserve"> </w:t>
      </w:r>
      <w:r w:rsidR="001E6DB3" w:rsidRPr="00B87CC5">
        <w:rPr>
          <w:lang w:eastAsia="en-US"/>
        </w:rPr>
        <w:t xml:space="preserve">The 2024 Greenhouse Gas Inventory </w:t>
      </w:r>
      <w:r w:rsidRPr="00B87CC5">
        <w:rPr>
          <w:lang w:eastAsia="en-US"/>
        </w:rPr>
        <w:t>includ</w:t>
      </w:r>
      <w:r w:rsidR="001E6DB3" w:rsidRPr="00B87CC5">
        <w:rPr>
          <w:lang w:eastAsia="en-US"/>
        </w:rPr>
        <w:t>ed</w:t>
      </w:r>
      <w:r w:rsidRPr="00B87CC5">
        <w:rPr>
          <w:lang w:eastAsia="en-US"/>
        </w:rPr>
        <w:t xml:space="preserve"> changes to emission calculation methodologies and assumptions</w:t>
      </w:r>
      <w:r w:rsidR="00CF22FA" w:rsidRPr="00B87CC5">
        <w:rPr>
          <w:lang w:eastAsia="en-US"/>
        </w:rPr>
        <w:t>, in addition to recent changes to activity data</w:t>
      </w:r>
      <w:r w:rsidR="00433063" w:rsidRPr="00B87CC5">
        <w:rPr>
          <w:lang w:eastAsia="en-US"/>
        </w:rPr>
        <w:t xml:space="preserve"> (industrial production and animal numbers)</w:t>
      </w:r>
      <w:r w:rsidRPr="00B87CC5">
        <w:rPr>
          <w:lang w:eastAsia="en-US"/>
        </w:rPr>
        <w:t>.</w:t>
      </w:r>
    </w:p>
    <w:p w14:paraId="3AA03E9D" w14:textId="6DB5222D" w:rsidR="003D263A" w:rsidRPr="00B87CC5" w:rsidRDefault="003D263A" w:rsidP="00AD1543">
      <w:pPr>
        <w:pStyle w:val="Bullet"/>
        <w:rPr>
          <w:lang w:eastAsia="en-US"/>
        </w:rPr>
      </w:pPr>
      <w:r w:rsidRPr="00B87CC5">
        <w:rPr>
          <w:b/>
          <w:lang w:eastAsia="en-US"/>
        </w:rPr>
        <w:t xml:space="preserve">Changes to </w:t>
      </w:r>
      <w:r w:rsidR="008915A9" w:rsidRPr="00B87CC5">
        <w:rPr>
          <w:b/>
          <w:lang w:eastAsia="en-US"/>
        </w:rPr>
        <w:t>input assumptions</w:t>
      </w:r>
      <w:r w:rsidR="001E6DB3" w:rsidRPr="00B87CC5">
        <w:rPr>
          <w:lang w:eastAsia="en-US"/>
        </w:rPr>
        <w:t>.</w:t>
      </w:r>
      <w:r w:rsidR="00C47087" w:rsidRPr="00B87CC5">
        <w:rPr>
          <w:lang w:eastAsia="en-US"/>
        </w:rPr>
        <w:t xml:space="preserve"> </w:t>
      </w:r>
      <w:r w:rsidR="001E6DB3" w:rsidRPr="00B87CC5">
        <w:rPr>
          <w:lang w:eastAsia="en-US"/>
        </w:rPr>
        <w:t xml:space="preserve">Among the assumptions that changed were that </w:t>
      </w:r>
      <w:r w:rsidR="00986800" w:rsidRPr="00B87CC5">
        <w:rPr>
          <w:lang w:eastAsia="en-US"/>
        </w:rPr>
        <w:t xml:space="preserve">the </w:t>
      </w:r>
      <w:r w:rsidR="00A41670" w:rsidRPr="00B87CC5">
        <w:rPr>
          <w:lang w:eastAsia="en-US"/>
        </w:rPr>
        <w:t xml:space="preserve">Tiwai Point aluminium smelter </w:t>
      </w:r>
      <w:r w:rsidR="001E6DB3" w:rsidRPr="00B87CC5">
        <w:rPr>
          <w:lang w:eastAsia="en-US"/>
        </w:rPr>
        <w:t xml:space="preserve">will </w:t>
      </w:r>
      <w:r w:rsidR="00A41670" w:rsidRPr="00B87CC5">
        <w:rPr>
          <w:lang w:eastAsia="en-US"/>
        </w:rPr>
        <w:t>continu</w:t>
      </w:r>
      <w:r w:rsidR="001E6DB3" w:rsidRPr="00B87CC5">
        <w:rPr>
          <w:lang w:eastAsia="en-US"/>
        </w:rPr>
        <w:t>e</w:t>
      </w:r>
      <w:r w:rsidR="00A41670" w:rsidRPr="00B87CC5">
        <w:rPr>
          <w:lang w:eastAsia="en-US"/>
        </w:rPr>
        <w:t xml:space="preserve"> to </w:t>
      </w:r>
      <w:r w:rsidR="00183E56" w:rsidRPr="00B87CC5">
        <w:rPr>
          <w:lang w:eastAsia="en-US"/>
        </w:rPr>
        <w:t xml:space="preserve">operate, agriculture emissions pricing </w:t>
      </w:r>
      <w:r w:rsidR="001E6DB3" w:rsidRPr="00B87CC5">
        <w:rPr>
          <w:lang w:eastAsia="en-US"/>
        </w:rPr>
        <w:t xml:space="preserve">will be </w:t>
      </w:r>
      <w:r w:rsidR="00D8215D" w:rsidRPr="00B87CC5">
        <w:rPr>
          <w:lang w:eastAsia="en-US"/>
        </w:rPr>
        <w:t>delayed</w:t>
      </w:r>
      <w:r w:rsidR="008F2583" w:rsidRPr="00B87CC5">
        <w:rPr>
          <w:lang w:eastAsia="en-US"/>
        </w:rPr>
        <w:t>,</w:t>
      </w:r>
      <w:r w:rsidR="00124B06" w:rsidRPr="00B87CC5">
        <w:rPr>
          <w:lang w:eastAsia="en-US"/>
        </w:rPr>
        <w:t xml:space="preserve"> and </w:t>
      </w:r>
      <w:r w:rsidR="00124B06" w:rsidRPr="00B87CC5" w:rsidDel="001E6DB3">
        <w:rPr>
          <w:lang w:eastAsia="en-US"/>
        </w:rPr>
        <w:t xml:space="preserve">the </w:t>
      </w:r>
      <w:r w:rsidR="00CB6756" w:rsidRPr="00B87CC5">
        <w:rPr>
          <w:lang w:eastAsia="en-US"/>
        </w:rPr>
        <w:t>CCD</w:t>
      </w:r>
      <w:r w:rsidR="002136DF" w:rsidRPr="00B87CC5">
        <w:rPr>
          <w:lang w:eastAsia="en-US"/>
        </w:rPr>
        <w:t xml:space="preserve"> and GIDI </w:t>
      </w:r>
      <w:r w:rsidR="00E51D35" w:rsidRPr="00B87CC5">
        <w:rPr>
          <w:lang w:eastAsia="en-US"/>
        </w:rPr>
        <w:t xml:space="preserve">fund </w:t>
      </w:r>
      <w:r w:rsidR="002136DF" w:rsidRPr="00B87CC5">
        <w:rPr>
          <w:lang w:eastAsia="en-US"/>
        </w:rPr>
        <w:t>expansion</w:t>
      </w:r>
      <w:r w:rsidR="001E6DB3" w:rsidRPr="00B87CC5">
        <w:rPr>
          <w:lang w:eastAsia="en-US"/>
        </w:rPr>
        <w:t xml:space="preserve"> have been removed</w:t>
      </w:r>
      <w:r w:rsidR="00CB6756" w:rsidRPr="00B87CC5">
        <w:rPr>
          <w:lang w:eastAsia="en-US"/>
        </w:rPr>
        <w:t>.</w:t>
      </w:r>
    </w:p>
    <w:p w14:paraId="04C7EE36" w14:textId="6FF45B21" w:rsidR="00CB6756" w:rsidRPr="00B87CC5" w:rsidRDefault="001E6DB3" w:rsidP="00AD1543">
      <w:pPr>
        <w:pStyle w:val="Bullet"/>
        <w:rPr>
          <w:lang w:eastAsia="en-US"/>
        </w:rPr>
      </w:pPr>
      <w:r w:rsidRPr="00B87CC5">
        <w:rPr>
          <w:b/>
          <w:bCs/>
          <w:lang w:eastAsia="en-US"/>
        </w:rPr>
        <w:t>E</w:t>
      </w:r>
      <w:r w:rsidRPr="00B87CC5">
        <w:rPr>
          <w:b/>
          <w:lang w:eastAsia="en-US"/>
        </w:rPr>
        <w:t>missions price path</w:t>
      </w:r>
      <w:r w:rsidRPr="00B87CC5">
        <w:rPr>
          <w:b/>
          <w:bCs/>
          <w:lang w:eastAsia="en-US"/>
        </w:rPr>
        <w:t>.</w:t>
      </w:r>
      <w:r w:rsidRPr="00B87CC5">
        <w:rPr>
          <w:b/>
          <w:lang w:eastAsia="en-US"/>
        </w:rPr>
        <w:t xml:space="preserve"> </w:t>
      </w:r>
      <w:r w:rsidRPr="00B87CC5">
        <w:rPr>
          <w:lang w:eastAsia="en-US"/>
        </w:rPr>
        <w:t xml:space="preserve">In </w:t>
      </w:r>
      <w:r w:rsidR="00EF2719" w:rsidRPr="00B87CC5">
        <w:rPr>
          <w:lang w:eastAsia="en-US"/>
        </w:rPr>
        <w:t>a</w:t>
      </w:r>
      <w:r w:rsidR="006767BF" w:rsidRPr="00B87CC5">
        <w:rPr>
          <w:lang w:eastAsia="en-US"/>
        </w:rPr>
        <w:t xml:space="preserve"> revised </w:t>
      </w:r>
      <w:r w:rsidR="00A7369A" w:rsidRPr="00B87CC5">
        <w:rPr>
          <w:lang w:eastAsia="en-US"/>
        </w:rPr>
        <w:t xml:space="preserve">emissions </w:t>
      </w:r>
      <w:r w:rsidR="006767BF" w:rsidRPr="00B87CC5">
        <w:rPr>
          <w:lang w:eastAsia="en-US"/>
        </w:rPr>
        <w:t>price path</w:t>
      </w:r>
      <w:r w:rsidRPr="00B87CC5">
        <w:rPr>
          <w:lang w:eastAsia="en-US"/>
        </w:rPr>
        <w:t>,</w:t>
      </w:r>
      <w:r w:rsidR="006767BF" w:rsidRPr="00B87CC5">
        <w:rPr>
          <w:lang w:eastAsia="en-US"/>
        </w:rPr>
        <w:t xml:space="preserve"> </w:t>
      </w:r>
      <w:r w:rsidR="001520C0" w:rsidRPr="00B87CC5">
        <w:rPr>
          <w:lang w:eastAsia="en-US"/>
        </w:rPr>
        <w:t xml:space="preserve">NZU </w:t>
      </w:r>
      <w:r w:rsidR="006767BF" w:rsidRPr="00B87CC5">
        <w:rPr>
          <w:lang w:eastAsia="en-US"/>
        </w:rPr>
        <w:t xml:space="preserve">prices </w:t>
      </w:r>
      <w:r w:rsidRPr="00B87CC5">
        <w:rPr>
          <w:lang w:eastAsia="en-US"/>
        </w:rPr>
        <w:t xml:space="preserve">will </w:t>
      </w:r>
      <w:r w:rsidR="00EF2719" w:rsidRPr="00B87CC5">
        <w:rPr>
          <w:lang w:eastAsia="en-US"/>
        </w:rPr>
        <w:t xml:space="preserve">rise to $75 in 2028 and </w:t>
      </w:r>
      <w:r w:rsidR="006767BF" w:rsidRPr="00B87CC5">
        <w:rPr>
          <w:lang w:eastAsia="en-US"/>
        </w:rPr>
        <w:t xml:space="preserve">fall </w:t>
      </w:r>
      <w:r w:rsidR="00EF2719" w:rsidRPr="00B87CC5">
        <w:rPr>
          <w:lang w:eastAsia="en-US"/>
        </w:rPr>
        <w:t xml:space="preserve">to </w:t>
      </w:r>
      <w:r w:rsidR="00692930" w:rsidRPr="00B87CC5">
        <w:rPr>
          <w:lang w:eastAsia="en-US"/>
        </w:rPr>
        <w:t xml:space="preserve">a </w:t>
      </w:r>
      <w:r w:rsidR="006767BF" w:rsidRPr="00B87CC5">
        <w:rPr>
          <w:lang w:eastAsia="en-US"/>
        </w:rPr>
        <w:t>long</w:t>
      </w:r>
      <w:r w:rsidRPr="00B87CC5">
        <w:rPr>
          <w:lang w:eastAsia="en-US"/>
        </w:rPr>
        <w:t>-</w:t>
      </w:r>
      <w:r w:rsidR="006767BF" w:rsidRPr="00B87CC5">
        <w:rPr>
          <w:lang w:eastAsia="en-US"/>
        </w:rPr>
        <w:t xml:space="preserve">run </w:t>
      </w:r>
      <w:r w:rsidR="00692930" w:rsidRPr="00B87CC5">
        <w:rPr>
          <w:lang w:eastAsia="en-US"/>
        </w:rPr>
        <w:t xml:space="preserve">price of </w:t>
      </w:r>
      <w:r w:rsidR="006767BF" w:rsidRPr="00B87CC5">
        <w:rPr>
          <w:lang w:eastAsia="en-US"/>
        </w:rPr>
        <w:t>$50</w:t>
      </w:r>
      <w:r w:rsidR="00E84703" w:rsidRPr="00B87CC5">
        <w:rPr>
          <w:lang w:eastAsia="en-US"/>
        </w:rPr>
        <w:t xml:space="preserve"> per tonne</w:t>
      </w:r>
      <w:r w:rsidR="00692930" w:rsidRPr="00B87CC5">
        <w:rPr>
          <w:lang w:eastAsia="en-US"/>
        </w:rPr>
        <w:t xml:space="preserve"> by 2035 (all in </w:t>
      </w:r>
      <w:proofErr w:type="gramStart"/>
      <w:r w:rsidR="00692930" w:rsidRPr="00B87CC5">
        <w:rPr>
          <w:lang w:eastAsia="en-US"/>
        </w:rPr>
        <w:t xml:space="preserve">2023 </w:t>
      </w:r>
      <w:r w:rsidRPr="00B87CC5">
        <w:rPr>
          <w:lang w:eastAsia="en-US"/>
        </w:rPr>
        <w:t>dollar</w:t>
      </w:r>
      <w:proofErr w:type="gramEnd"/>
      <w:r w:rsidRPr="00B87CC5">
        <w:rPr>
          <w:lang w:eastAsia="en-US"/>
        </w:rPr>
        <w:t xml:space="preserve"> value</w:t>
      </w:r>
      <w:r w:rsidR="00692930" w:rsidRPr="00B87CC5">
        <w:rPr>
          <w:lang w:eastAsia="en-US"/>
        </w:rPr>
        <w:t>s)</w:t>
      </w:r>
      <w:r w:rsidR="006767BF" w:rsidRPr="00B87CC5">
        <w:rPr>
          <w:lang w:eastAsia="en-US"/>
        </w:rPr>
        <w:t>.</w:t>
      </w:r>
    </w:p>
    <w:p w14:paraId="30FEDC13" w14:textId="77777777" w:rsidR="00C3705F" w:rsidRDefault="006767BF" w:rsidP="00C3705F">
      <w:pPr>
        <w:pStyle w:val="BodyText"/>
        <w:rPr>
          <w:lang w:eastAsia="en-US"/>
        </w:rPr>
      </w:pPr>
      <w:r w:rsidRPr="00B87CC5">
        <w:rPr>
          <w:lang w:eastAsia="en-US"/>
        </w:rPr>
        <w:t xml:space="preserve">The contributions of the different factors to </w:t>
      </w:r>
      <w:r w:rsidR="004632C5" w:rsidRPr="00B87CC5">
        <w:rPr>
          <w:lang w:eastAsia="en-US"/>
        </w:rPr>
        <w:t xml:space="preserve">the </w:t>
      </w:r>
      <w:r w:rsidR="00845661" w:rsidRPr="00B87CC5">
        <w:rPr>
          <w:lang w:eastAsia="en-US"/>
        </w:rPr>
        <w:t xml:space="preserve">differences </w:t>
      </w:r>
      <w:r w:rsidR="004632C5" w:rsidRPr="00B87CC5">
        <w:rPr>
          <w:lang w:eastAsia="en-US"/>
        </w:rPr>
        <w:t xml:space="preserve">in </w:t>
      </w:r>
      <w:r w:rsidR="00FC51F2" w:rsidRPr="00B87CC5">
        <w:rPr>
          <w:lang w:eastAsia="en-US"/>
        </w:rPr>
        <w:t>emission</w:t>
      </w:r>
      <w:r w:rsidR="00CF1C2A" w:rsidRPr="00B87CC5">
        <w:rPr>
          <w:lang w:eastAsia="en-US"/>
        </w:rPr>
        <w:t>s</w:t>
      </w:r>
      <w:r w:rsidR="00FC51F2" w:rsidRPr="00B87CC5">
        <w:rPr>
          <w:lang w:eastAsia="en-US"/>
        </w:rPr>
        <w:t xml:space="preserve"> projections for </w:t>
      </w:r>
      <w:r w:rsidR="001E6DB3" w:rsidRPr="00B87CC5">
        <w:rPr>
          <w:lang w:eastAsia="en-US"/>
        </w:rPr>
        <w:t xml:space="preserve">the second emissions budget </w:t>
      </w:r>
      <w:r w:rsidR="00AA2316" w:rsidRPr="00B87CC5">
        <w:rPr>
          <w:lang w:eastAsia="en-US"/>
        </w:rPr>
        <w:t xml:space="preserve">are shown in </w:t>
      </w:r>
      <w:r w:rsidR="001E6DB3" w:rsidRPr="00B87CC5">
        <w:t>t</w:t>
      </w:r>
      <w:r w:rsidR="001B6E3F" w:rsidRPr="00B87CC5">
        <w:t>able 2</w:t>
      </w:r>
      <w:r w:rsidR="00AA2316" w:rsidRPr="00B87CC5">
        <w:rPr>
          <w:lang w:eastAsia="en-US"/>
        </w:rPr>
        <w:t xml:space="preserve">. </w:t>
      </w:r>
    </w:p>
    <w:p w14:paraId="3F73FCE4" w14:textId="4A9E2BB0" w:rsidR="00C3705F" w:rsidRPr="00B87CC5" w:rsidRDefault="00C3705F" w:rsidP="00C3705F">
      <w:pPr>
        <w:pStyle w:val="BodyText"/>
        <w:rPr>
          <w:lang w:eastAsia="en-US"/>
        </w:rPr>
      </w:pPr>
      <w:r w:rsidRPr="00B87CC5">
        <w:rPr>
          <w:lang w:eastAsia="en-US"/>
        </w:rPr>
        <w:t xml:space="preserve">The major differences in emissions projections arise from more sophisticated modelling of the interaction between policies, changes to policies and policy settings, and continuation of the Tiwai Point smelter. Recent changes to the inventory methodology resulted in significant increases in reported agriculture emissions but these are largely offset by recent reductions in animal numbers. </w:t>
      </w:r>
    </w:p>
    <w:p w14:paraId="7FBA929E" w14:textId="5FB98C3F" w:rsidR="005B075F" w:rsidRPr="00B87CC5" w:rsidRDefault="005B075F" w:rsidP="00D236BA">
      <w:pPr>
        <w:pStyle w:val="BodyText"/>
        <w:rPr>
          <w:lang w:eastAsia="en-US"/>
        </w:rPr>
      </w:pPr>
    </w:p>
    <w:p w14:paraId="3ECAD42A" w14:textId="0C682517" w:rsidR="00D236BA" w:rsidRPr="00B87CC5" w:rsidRDefault="00D236BA" w:rsidP="00E804AA">
      <w:pPr>
        <w:pStyle w:val="Tableheading"/>
      </w:pPr>
      <w:bookmarkStart w:id="15" w:name="_Ref166663641"/>
      <w:bookmarkStart w:id="16" w:name="_Toc171609761"/>
      <w:r w:rsidRPr="00B87CC5">
        <w:lastRenderedPageBreak/>
        <w:t xml:space="preserve">Table </w:t>
      </w:r>
      <w:r w:rsidR="00385111">
        <w:fldChar w:fldCharType="begin"/>
      </w:r>
      <w:r w:rsidR="00385111">
        <w:instrText xml:space="preserve"> SEQ Table \* ARABIC </w:instrText>
      </w:r>
      <w:r w:rsidR="00385111">
        <w:fldChar w:fldCharType="separate"/>
      </w:r>
      <w:r w:rsidR="001B6E3F" w:rsidRPr="00B87CC5">
        <w:t>2</w:t>
      </w:r>
      <w:r w:rsidR="00385111">
        <w:fldChar w:fldCharType="end"/>
      </w:r>
      <w:bookmarkEnd w:id="15"/>
      <w:r w:rsidR="005E1D91" w:rsidRPr="00B87CC5">
        <w:t>:</w:t>
      </w:r>
      <w:r w:rsidR="005E1D91" w:rsidRPr="00B87CC5">
        <w:tab/>
      </w:r>
      <w:r w:rsidRPr="00B87CC5">
        <w:t xml:space="preserve">Sources of differences between the 2023 </w:t>
      </w:r>
      <w:r w:rsidR="004327D0" w:rsidRPr="00B87CC5">
        <w:t xml:space="preserve">emissions </w:t>
      </w:r>
      <w:r w:rsidRPr="00B87CC5">
        <w:t xml:space="preserve">projections and the ERP2 </w:t>
      </w:r>
      <w:r w:rsidR="003F3864" w:rsidRPr="00B87CC5">
        <w:t xml:space="preserve">interim </w:t>
      </w:r>
      <w:r w:rsidRPr="00B87CC5">
        <w:t>baseline</w:t>
      </w:r>
      <w:r w:rsidR="00531841" w:rsidRPr="00B87CC5">
        <w:t xml:space="preserve"> </w:t>
      </w:r>
      <w:r w:rsidR="00E316AC" w:rsidRPr="00B87CC5">
        <w:t>(Mt CO</w:t>
      </w:r>
      <w:r w:rsidR="00E316AC" w:rsidRPr="00B87CC5">
        <w:rPr>
          <w:vertAlign w:val="subscript"/>
        </w:rPr>
        <w:t>2</w:t>
      </w:r>
      <w:r w:rsidR="00E316AC" w:rsidRPr="00B87CC5">
        <w:t>-e)</w:t>
      </w:r>
      <w:bookmarkEnd w:id="16"/>
    </w:p>
    <w:tbl>
      <w:tblPr>
        <w:tblStyle w:val="LightList-Accent11"/>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left w:w="85" w:type="dxa"/>
          <w:right w:w="85" w:type="dxa"/>
        </w:tblCellMar>
        <w:tblLook w:val="04A0" w:firstRow="1" w:lastRow="0" w:firstColumn="1" w:lastColumn="0" w:noHBand="0" w:noVBand="1"/>
      </w:tblPr>
      <w:tblGrid>
        <w:gridCol w:w="3402"/>
        <w:gridCol w:w="640"/>
        <w:gridCol w:w="636"/>
        <w:gridCol w:w="638"/>
        <w:gridCol w:w="636"/>
        <w:gridCol w:w="636"/>
        <w:gridCol w:w="638"/>
        <w:gridCol w:w="614"/>
        <w:gridCol w:w="22"/>
        <w:gridCol w:w="643"/>
      </w:tblGrid>
      <w:tr w:rsidR="00D71411" w:rsidRPr="00B87CC5" w14:paraId="7AE3CE63" w14:textId="77777777" w:rsidTr="008E681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pct"/>
            <w:vMerge w:val="restart"/>
            <w:vAlign w:val="bottom"/>
          </w:tcPr>
          <w:p w14:paraId="30C727D3" w14:textId="15880F5D" w:rsidR="00E316AC" w:rsidRPr="00B87CC5" w:rsidRDefault="00E316AC" w:rsidP="008859A6">
            <w:pPr>
              <w:pStyle w:val="TableTextbold"/>
              <w:keepNext/>
              <w:rPr>
                <w:rFonts w:cs="Times New Roman"/>
                <w:b/>
                <w:bCs w:val="0"/>
                <w:szCs w:val="20"/>
              </w:rPr>
            </w:pPr>
            <w:r w:rsidRPr="00B87CC5">
              <w:rPr>
                <w:rFonts w:cs="Times New Roman"/>
                <w:b/>
                <w:bCs w:val="0"/>
                <w:szCs w:val="20"/>
              </w:rPr>
              <w:t>Source of difference</w:t>
            </w:r>
          </w:p>
        </w:tc>
        <w:tc>
          <w:tcPr>
            <w:tcW w:w="2609" w:type="pct"/>
            <w:gridSpan w:val="7"/>
            <w:vAlign w:val="bottom"/>
          </w:tcPr>
          <w:p w14:paraId="482D671B" w14:textId="6C4647ED" w:rsidR="00E316AC" w:rsidRPr="00B87CC5" w:rsidRDefault="00E316AC" w:rsidP="008859A6">
            <w:pPr>
              <w:pStyle w:val="TableTextbold"/>
              <w:keepNext/>
              <w:spacing w:after="0"/>
              <w:jc w:val="center"/>
              <w:cnfStyle w:val="100000000000" w:firstRow="1" w:lastRow="0" w:firstColumn="0" w:lastColumn="0" w:oddVBand="0" w:evenVBand="0" w:oddHBand="0" w:evenHBand="0" w:firstRowFirstColumn="0" w:firstRowLastColumn="0" w:lastRowFirstColumn="0" w:lastRowLastColumn="0"/>
              <w:rPr>
                <w:rFonts w:cs="Times New Roman"/>
                <w:b/>
                <w:bCs w:val="0"/>
                <w:szCs w:val="20"/>
              </w:rPr>
            </w:pPr>
            <w:r w:rsidRPr="00B87CC5">
              <w:rPr>
                <w:b/>
                <w:bCs w:val="0"/>
              </w:rPr>
              <w:t>Sector</w:t>
            </w:r>
            <w:r w:rsidRPr="00B87CC5">
              <w:rPr>
                <w:rFonts w:cs="Times New Roman"/>
                <w:b/>
                <w:bCs w:val="0"/>
                <w:szCs w:val="20"/>
              </w:rPr>
              <w:t xml:space="preserve"> (Mt CO</w:t>
            </w:r>
            <w:r w:rsidRPr="00B87CC5">
              <w:rPr>
                <w:rFonts w:cs="Times New Roman"/>
                <w:b/>
                <w:bCs w:val="0"/>
                <w:szCs w:val="20"/>
                <w:vertAlign w:val="subscript"/>
              </w:rPr>
              <w:t>2</w:t>
            </w:r>
            <w:r w:rsidRPr="00B87CC5">
              <w:rPr>
                <w:rFonts w:cs="Times New Roman"/>
                <w:b/>
                <w:bCs w:val="0"/>
                <w:szCs w:val="20"/>
              </w:rPr>
              <w:t>-e)</w:t>
            </w:r>
          </w:p>
        </w:tc>
        <w:tc>
          <w:tcPr>
            <w:tcW w:w="391" w:type="pct"/>
            <w:gridSpan w:val="2"/>
            <w:vAlign w:val="bottom"/>
          </w:tcPr>
          <w:p w14:paraId="10D94975" w14:textId="77777777" w:rsidR="00E316AC" w:rsidRPr="00B87CC5" w:rsidRDefault="00E316AC" w:rsidP="008859A6">
            <w:pPr>
              <w:pStyle w:val="TableTextbold"/>
              <w:keepNext/>
              <w:jc w:val="right"/>
              <w:cnfStyle w:val="100000000000" w:firstRow="1" w:lastRow="0" w:firstColumn="0" w:lastColumn="0" w:oddVBand="0" w:evenVBand="0" w:oddHBand="0" w:evenHBand="0" w:firstRowFirstColumn="0" w:firstRowLastColumn="0" w:lastRowFirstColumn="0" w:lastRowLastColumn="0"/>
              <w:rPr>
                <w:rFonts w:cs="Times New Roman"/>
                <w:b/>
                <w:bCs w:val="0"/>
                <w:szCs w:val="20"/>
              </w:rPr>
            </w:pPr>
          </w:p>
        </w:tc>
      </w:tr>
      <w:tr w:rsidR="008E6812" w:rsidRPr="00B87CC5" w14:paraId="63D34B4F" w14:textId="457ACD27" w:rsidTr="7859E9AE">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000" w:type="pct"/>
            <w:vMerge/>
            <w:vAlign w:val="bottom"/>
            <w:hideMark/>
          </w:tcPr>
          <w:p w14:paraId="384BFB88" w14:textId="70766D28" w:rsidR="00E316AC" w:rsidRPr="00B87CC5" w:rsidRDefault="00E316AC" w:rsidP="007A30C5">
            <w:pPr>
              <w:pStyle w:val="TableTextbold"/>
              <w:keepNext/>
              <w:rPr>
                <w:rFonts w:cs="Times New Roman"/>
                <w:b/>
                <w:szCs w:val="20"/>
              </w:rPr>
            </w:pPr>
          </w:p>
        </w:tc>
        <w:tc>
          <w:tcPr>
            <w:tcW w:w="376" w:type="pct"/>
            <w:shd w:val="clear" w:color="auto" w:fill="1C556C" w:themeFill="accent1"/>
            <w:textDirection w:val="btLr"/>
            <w:vAlign w:val="bottom"/>
            <w:hideMark/>
          </w:tcPr>
          <w:p w14:paraId="55FD6EF7" w14:textId="4A692048" w:rsidR="00E316AC" w:rsidRPr="00B87CC5" w:rsidRDefault="00E316AC" w:rsidP="007A30C5">
            <w:pPr>
              <w:pStyle w:val="TableTextbold"/>
              <w:keepNext/>
              <w:ind w:left="57"/>
              <w:cnfStyle w:val="000000100000" w:firstRow="0" w:lastRow="0" w:firstColumn="0" w:lastColumn="0" w:oddVBand="0" w:evenVBand="0" w:oddHBand="1" w:evenHBand="0" w:firstRowFirstColumn="0" w:firstRowLastColumn="0" w:lastRowFirstColumn="0" w:lastRowLastColumn="0"/>
              <w:rPr>
                <w:rFonts w:cs="Times New Roman"/>
                <w:b w:val="0"/>
                <w:bCs/>
                <w:color w:val="FFFFFF" w:themeColor="background1"/>
                <w:szCs w:val="20"/>
              </w:rPr>
            </w:pPr>
            <w:r w:rsidRPr="00B87CC5">
              <w:rPr>
                <w:rFonts w:cs="Times New Roman"/>
                <w:color w:val="FFFFFF" w:themeColor="background1"/>
                <w:szCs w:val="20"/>
              </w:rPr>
              <w:t>Energy</w:t>
            </w:r>
          </w:p>
        </w:tc>
        <w:tc>
          <w:tcPr>
            <w:tcW w:w="374" w:type="pct"/>
            <w:shd w:val="clear" w:color="auto" w:fill="1C556C" w:themeFill="accent1"/>
            <w:textDirection w:val="btLr"/>
            <w:vAlign w:val="bottom"/>
            <w:hideMark/>
          </w:tcPr>
          <w:p w14:paraId="7696DC68" w14:textId="3091DB16" w:rsidR="00E316AC" w:rsidRPr="00B87CC5" w:rsidRDefault="00E316AC" w:rsidP="007A30C5">
            <w:pPr>
              <w:pStyle w:val="TableTextbold"/>
              <w:keepNext/>
              <w:ind w:left="57"/>
              <w:cnfStyle w:val="000000100000" w:firstRow="0" w:lastRow="0" w:firstColumn="0" w:lastColumn="0" w:oddVBand="0" w:evenVBand="0" w:oddHBand="1" w:evenHBand="0" w:firstRowFirstColumn="0" w:firstRowLastColumn="0" w:lastRowFirstColumn="0" w:lastRowLastColumn="0"/>
              <w:rPr>
                <w:rFonts w:cs="Times New Roman"/>
                <w:b w:val="0"/>
                <w:bCs/>
                <w:color w:val="FFFFFF" w:themeColor="background1"/>
                <w:szCs w:val="20"/>
              </w:rPr>
            </w:pPr>
            <w:r w:rsidRPr="00B87CC5">
              <w:rPr>
                <w:rFonts w:cs="Times New Roman"/>
                <w:color w:val="FFFFFF" w:themeColor="background1"/>
                <w:szCs w:val="20"/>
              </w:rPr>
              <w:t>Transport</w:t>
            </w:r>
          </w:p>
        </w:tc>
        <w:tc>
          <w:tcPr>
            <w:tcW w:w="375" w:type="pct"/>
            <w:shd w:val="clear" w:color="auto" w:fill="1C556C" w:themeFill="accent1"/>
            <w:textDirection w:val="btLr"/>
            <w:vAlign w:val="bottom"/>
            <w:hideMark/>
          </w:tcPr>
          <w:p w14:paraId="14928A74" w14:textId="262AA9A1" w:rsidR="00E316AC" w:rsidRPr="00B87CC5" w:rsidRDefault="00E316AC" w:rsidP="007A30C5">
            <w:pPr>
              <w:pStyle w:val="TableTextbold"/>
              <w:keepNext/>
              <w:ind w:left="57"/>
              <w:cnfStyle w:val="000000100000" w:firstRow="0" w:lastRow="0" w:firstColumn="0" w:lastColumn="0" w:oddVBand="0" w:evenVBand="0" w:oddHBand="1" w:evenHBand="0" w:firstRowFirstColumn="0" w:firstRowLastColumn="0" w:lastRowFirstColumn="0" w:lastRowLastColumn="0"/>
              <w:rPr>
                <w:rFonts w:cs="Times New Roman"/>
                <w:b w:val="0"/>
                <w:bCs/>
                <w:color w:val="FFFFFF" w:themeColor="background1"/>
                <w:szCs w:val="20"/>
              </w:rPr>
            </w:pPr>
            <w:r w:rsidRPr="00B87CC5">
              <w:rPr>
                <w:rFonts w:cs="Times New Roman"/>
                <w:color w:val="FFFFFF" w:themeColor="background1"/>
                <w:szCs w:val="20"/>
              </w:rPr>
              <w:t>IPPU</w:t>
            </w:r>
          </w:p>
        </w:tc>
        <w:tc>
          <w:tcPr>
            <w:tcW w:w="374" w:type="pct"/>
            <w:shd w:val="clear" w:color="auto" w:fill="1C556C" w:themeFill="accent1"/>
            <w:textDirection w:val="btLr"/>
            <w:vAlign w:val="bottom"/>
            <w:hideMark/>
          </w:tcPr>
          <w:p w14:paraId="54D6439B" w14:textId="1B9D7CF3" w:rsidR="00E316AC" w:rsidRPr="00B87CC5" w:rsidRDefault="00E316AC" w:rsidP="007A30C5">
            <w:pPr>
              <w:pStyle w:val="TableTextbold"/>
              <w:keepNext/>
              <w:ind w:left="57"/>
              <w:cnfStyle w:val="000000100000" w:firstRow="0" w:lastRow="0" w:firstColumn="0" w:lastColumn="0" w:oddVBand="0" w:evenVBand="0" w:oddHBand="1" w:evenHBand="0" w:firstRowFirstColumn="0" w:firstRowLastColumn="0" w:lastRowFirstColumn="0" w:lastRowLastColumn="0"/>
              <w:rPr>
                <w:rFonts w:cs="Times New Roman"/>
                <w:b w:val="0"/>
                <w:bCs/>
                <w:color w:val="FFFFFF" w:themeColor="background1"/>
                <w:szCs w:val="20"/>
              </w:rPr>
            </w:pPr>
            <w:r w:rsidRPr="00B87CC5">
              <w:rPr>
                <w:rFonts w:cs="Times New Roman"/>
                <w:color w:val="FFFFFF" w:themeColor="background1"/>
                <w:szCs w:val="20"/>
              </w:rPr>
              <w:t>Agriculture</w:t>
            </w:r>
          </w:p>
        </w:tc>
        <w:tc>
          <w:tcPr>
            <w:tcW w:w="374" w:type="pct"/>
            <w:shd w:val="clear" w:color="auto" w:fill="1C556C" w:themeFill="accent1"/>
            <w:textDirection w:val="btLr"/>
            <w:vAlign w:val="bottom"/>
            <w:hideMark/>
          </w:tcPr>
          <w:p w14:paraId="3AEC6561" w14:textId="6C8C90A1" w:rsidR="00E316AC" w:rsidRPr="00B87CC5" w:rsidRDefault="00E316AC" w:rsidP="007A30C5">
            <w:pPr>
              <w:pStyle w:val="TableTextbold"/>
              <w:keepNext/>
              <w:ind w:left="57"/>
              <w:cnfStyle w:val="000000100000" w:firstRow="0" w:lastRow="0" w:firstColumn="0" w:lastColumn="0" w:oddVBand="0" w:evenVBand="0" w:oddHBand="1" w:evenHBand="0" w:firstRowFirstColumn="0" w:firstRowLastColumn="0" w:lastRowFirstColumn="0" w:lastRowLastColumn="0"/>
              <w:rPr>
                <w:rFonts w:cs="Times New Roman"/>
                <w:b w:val="0"/>
                <w:bCs/>
                <w:color w:val="FFFFFF" w:themeColor="background1"/>
                <w:szCs w:val="20"/>
              </w:rPr>
            </w:pPr>
            <w:r w:rsidRPr="00B87CC5">
              <w:rPr>
                <w:rFonts w:cs="Times New Roman"/>
                <w:color w:val="FFFFFF" w:themeColor="background1"/>
                <w:szCs w:val="20"/>
              </w:rPr>
              <w:t>Waste</w:t>
            </w:r>
          </w:p>
        </w:tc>
        <w:tc>
          <w:tcPr>
            <w:tcW w:w="375" w:type="pct"/>
            <w:shd w:val="clear" w:color="auto" w:fill="1C556C" w:themeFill="accent1"/>
            <w:textDirection w:val="btLr"/>
            <w:vAlign w:val="bottom"/>
            <w:hideMark/>
          </w:tcPr>
          <w:p w14:paraId="19FA0C70" w14:textId="66B2DA6E" w:rsidR="00E316AC" w:rsidRPr="00B87CC5" w:rsidRDefault="00E316AC" w:rsidP="007A30C5">
            <w:pPr>
              <w:pStyle w:val="TableTextbold"/>
              <w:keepNext/>
              <w:ind w:left="57"/>
              <w:cnfStyle w:val="000000100000" w:firstRow="0" w:lastRow="0" w:firstColumn="0" w:lastColumn="0" w:oddVBand="0" w:evenVBand="0" w:oddHBand="1" w:evenHBand="0" w:firstRowFirstColumn="0" w:firstRowLastColumn="0" w:lastRowFirstColumn="0" w:lastRowLastColumn="0"/>
              <w:rPr>
                <w:rFonts w:cs="Times New Roman"/>
                <w:b w:val="0"/>
                <w:bCs/>
                <w:color w:val="FFFFFF" w:themeColor="background1"/>
                <w:szCs w:val="20"/>
              </w:rPr>
            </w:pPr>
            <w:r w:rsidRPr="00B87CC5">
              <w:rPr>
                <w:rFonts w:cs="Times New Roman"/>
                <w:color w:val="FFFFFF" w:themeColor="background1"/>
                <w:szCs w:val="20"/>
              </w:rPr>
              <w:t>Forestry</w:t>
            </w:r>
          </w:p>
        </w:tc>
        <w:tc>
          <w:tcPr>
            <w:tcW w:w="374" w:type="pct"/>
            <w:gridSpan w:val="2"/>
            <w:shd w:val="clear" w:color="auto" w:fill="1C556C" w:themeFill="accent1"/>
            <w:textDirection w:val="btLr"/>
            <w:vAlign w:val="bottom"/>
            <w:hideMark/>
          </w:tcPr>
          <w:p w14:paraId="28BBE221" w14:textId="239CABF7" w:rsidR="00E316AC" w:rsidRPr="00B87CC5" w:rsidRDefault="00E316AC" w:rsidP="007A30C5">
            <w:pPr>
              <w:pStyle w:val="TableTextbold"/>
              <w:keepNext/>
              <w:ind w:left="57"/>
              <w:cnfStyle w:val="000000100000" w:firstRow="0" w:lastRow="0" w:firstColumn="0" w:lastColumn="0" w:oddVBand="0" w:evenVBand="0" w:oddHBand="1" w:evenHBand="0" w:firstRowFirstColumn="0" w:firstRowLastColumn="0" w:lastRowFirstColumn="0" w:lastRowLastColumn="0"/>
              <w:rPr>
                <w:rFonts w:cs="Times New Roman"/>
                <w:b w:val="0"/>
                <w:bCs/>
                <w:color w:val="FFFFFF" w:themeColor="background1"/>
                <w:szCs w:val="20"/>
              </w:rPr>
            </w:pPr>
            <w:r w:rsidRPr="00B87CC5">
              <w:rPr>
                <w:rFonts w:cs="Times New Roman"/>
                <w:color w:val="FFFFFF" w:themeColor="background1"/>
                <w:szCs w:val="20"/>
              </w:rPr>
              <w:t>Gross</w:t>
            </w:r>
          </w:p>
        </w:tc>
        <w:tc>
          <w:tcPr>
            <w:tcW w:w="378" w:type="pct"/>
            <w:tcBorders>
              <w:right w:val="nil"/>
            </w:tcBorders>
            <w:shd w:val="clear" w:color="auto" w:fill="1C556C" w:themeFill="accent1"/>
            <w:textDirection w:val="btLr"/>
            <w:vAlign w:val="bottom"/>
            <w:hideMark/>
          </w:tcPr>
          <w:p w14:paraId="4ADEE3BB" w14:textId="14A628E0" w:rsidR="00E316AC" w:rsidRPr="00B87CC5" w:rsidRDefault="00E316AC" w:rsidP="007A30C5">
            <w:pPr>
              <w:pStyle w:val="TableTextbold"/>
              <w:keepNext/>
              <w:ind w:left="57"/>
              <w:cnfStyle w:val="000000100000" w:firstRow="0" w:lastRow="0" w:firstColumn="0" w:lastColumn="0" w:oddVBand="0" w:evenVBand="0" w:oddHBand="1" w:evenHBand="0" w:firstRowFirstColumn="0" w:firstRowLastColumn="0" w:lastRowFirstColumn="0" w:lastRowLastColumn="0"/>
              <w:rPr>
                <w:rFonts w:cs="Times New Roman"/>
                <w:b w:val="0"/>
                <w:bCs/>
                <w:color w:val="FFFFFF" w:themeColor="background1"/>
                <w:szCs w:val="20"/>
              </w:rPr>
            </w:pPr>
            <w:r w:rsidRPr="00B87CC5">
              <w:rPr>
                <w:rFonts w:cs="Times New Roman"/>
                <w:color w:val="FFFFFF" w:themeColor="background1"/>
                <w:szCs w:val="20"/>
              </w:rPr>
              <w:t>Net</w:t>
            </w:r>
          </w:p>
        </w:tc>
      </w:tr>
      <w:tr w:rsidR="00D71411" w:rsidRPr="00B87CC5" w14:paraId="17327835" w14:textId="6AA7E67A" w:rsidTr="008E6812">
        <w:trPr>
          <w:trHeight w:val="290"/>
        </w:trPr>
        <w:tc>
          <w:tcPr>
            <w:cnfStyle w:val="001000000000" w:firstRow="0" w:lastRow="0" w:firstColumn="1" w:lastColumn="0" w:oddVBand="0" w:evenVBand="0" w:oddHBand="0" w:evenHBand="0" w:firstRowFirstColumn="0" w:firstRowLastColumn="0" w:lastRowFirstColumn="0" w:lastRowLastColumn="0"/>
            <w:tcW w:w="2000" w:type="pct"/>
            <w:vAlign w:val="center"/>
            <w:hideMark/>
          </w:tcPr>
          <w:p w14:paraId="3BFCEF64" w14:textId="5E3BFD99" w:rsidR="00F001DE" w:rsidRPr="00B87CC5" w:rsidRDefault="003042DA" w:rsidP="008859A6">
            <w:pPr>
              <w:pStyle w:val="TableTextbold"/>
              <w:keepNext/>
              <w:spacing w:before="40" w:after="40"/>
              <w:rPr>
                <w:rFonts w:cs="Times New Roman"/>
                <w:szCs w:val="20"/>
              </w:rPr>
            </w:pPr>
            <w:r w:rsidRPr="00B87CC5">
              <w:rPr>
                <w:rFonts w:cs="Calibri"/>
                <w:color w:val="000000"/>
                <w:szCs w:val="18"/>
              </w:rPr>
              <w:t>(1) 2023 WEM</w:t>
            </w:r>
          </w:p>
        </w:tc>
        <w:tc>
          <w:tcPr>
            <w:tcW w:w="376" w:type="pct"/>
            <w:noWrap/>
            <w:vAlign w:val="center"/>
            <w:hideMark/>
          </w:tcPr>
          <w:p w14:paraId="71789310" w14:textId="54C4A026" w:rsidR="00F001DE" w:rsidRPr="00B87CC5" w:rsidRDefault="003042DA" w:rsidP="008859A6">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51.1</w:t>
            </w:r>
          </w:p>
        </w:tc>
        <w:tc>
          <w:tcPr>
            <w:tcW w:w="374" w:type="pct"/>
            <w:noWrap/>
            <w:vAlign w:val="center"/>
            <w:hideMark/>
          </w:tcPr>
          <w:p w14:paraId="39AEAE72" w14:textId="4CD72A27" w:rsidR="00F001DE" w:rsidRPr="00B87CC5" w:rsidRDefault="003042DA" w:rsidP="008859A6">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69.3</w:t>
            </w:r>
          </w:p>
        </w:tc>
        <w:tc>
          <w:tcPr>
            <w:tcW w:w="375" w:type="pct"/>
            <w:noWrap/>
            <w:vAlign w:val="center"/>
            <w:hideMark/>
          </w:tcPr>
          <w:p w14:paraId="7D6718F6" w14:textId="3C5B20B8" w:rsidR="00F001DE" w:rsidRPr="00B87CC5" w:rsidRDefault="003042DA" w:rsidP="008859A6">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17.6</w:t>
            </w:r>
          </w:p>
        </w:tc>
        <w:tc>
          <w:tcPr>
            <w:tcW w:w="374" w:type="pct"/>
            <w:noWrap/>
            <w:vAlign w:val="center"/>
            <w:hideMark/>
          </w:tcPr>
          <w:p w14:paraId="7735957E" w14:textId="00B48226" w:rsidR="00F001DE" w:rsidRPr="00B87CC5" w:rsidRDefault="003042DA" w:rsidP="008859A6">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188.1</w:t>
            </w:r>
          </w:p>
        </w:tc>
        <w:tc>
          <w:tcPr>
            <w:tcW w:w="374" w:type="pct"/>
            <w:noWrap/>
            <w:vAlign w:val="center"/>
            <w:hideMark/>
          </w:tcPr>
          <w:p w14:paraId="5DB4F3FD" w14:textId="7D6108D7" w:rsidR="00F001DE" w:rsidRPr="00B87CC5" w:rsidRDefault="003042DA" w:rsidP="008859A6">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16.1</w:t>
            </w:r>
          </w:p>
        </w:tc>
        <w:tc>
          <w:tcPr>
            <w:tcW w:w="375" w:type="pct"/>
            <w:noWrap/>
            <w:vAlign w:val="center"/>
            <w:hideMark/>
          </w:tcPr>
          <w:p w14:paraId="02011C70" w14:textId="1FC226D3" w:rsidR="00F001DE" w:rsidRPr="00B87CC5" w:rsidRDefault="009765C6" w:rsidP="008859A6">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w:t>
            </w:r>
            <w:r w:rsidR="003042DA" w:rsidRPr="00B87CC5">
              <w:rPr>
                <w:rFonts w:cs="Calibri"/>
                <w:b w:val="0"/>
                <w:bCs/>
                <w:color w:val="000000"/>
                <w:szCs w:val="18"/>
              </w:rPr>
              <w:t>60.9</w:t>
            </w:r>
          </w:p>
        </w:tc>
        <w:tc>
          <w:tcPr>
            <w:tcW w:w="374" w:type="pct"/>
            <w:gridSpan w:val="2"/>
            <w:noWrap/>
            <w:vAlign w:val="center"/>
            <w:hideMark/>
          </w:tcPr>
          <w:p w14:paraId="7FAC9AE6" w14:textId="2D5E5BBE" w:rsidR="00F001DE" w:rsidRPr="00B87CC5" w:rsidRDefault="003042DA" w:rsidP="008859A6">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val="0"/>
              </w:rPr>
            </w:pPr>
            <w:r w:rsidRPr="7859E9AE">
              <w:rPr>
                <w:rFonts w:cs="Calibri"/>
                <w:b w:val="0"/>
                <w:color w:val="000000" w:themeColor="text1"/>
              </w:rPr>
              <w:t>342.2</w:t>
            </w:r>
          </w:p>
        </w:tc>
        <w:tc>
          <w:tcPr>
            <w:tcW w:w="378" w:type="pct"/>
            <w:noWrap/>
            <w:vAlign w:val="center"/>
            <w:hideMark/>
          </w:tcPr>
          <w:p w14:paraId="1BBF5BD3" w14:textId="2894AC6F" w:rsidR="00F001DE" w:rsidRPr="00B87CC5" w:rsidRDefault="003042DA" w:rsidP="008859A6">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281.3</w:t>
            </w:r>
          </w:p>
        </w:tc>
      </w:tr>
      <w:tr w:rsidR="00D71411" w:rsidRPr="00B87CC5" w14:paraId="1EE16A23" w14:textId="168D0165" w:rsidTr="008E68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pct"/>
            <w:tcBorders>
              <w:top w:val="none" w:sz="0" w:space="0" w:color="auto"/>
              <w:left w:val="none" w:sz="0" w:space="0" w:color="auto"/>
              <w:bottom w:val="none" w:sz="0" w:space="0" w:color="auto"/>
            </w:tcBorders>
            <w:vAlign w:val="center"/>
            <w:hideMark/>
          </w:tcPr>
          <w:p w14:paraId="063A58D5" w14:textId="2D6DE851" w:rsidR="00F001DE" w:rsidRPr="00B87CC5" w:rsidRDefault="003042DA" w:rsidP="008859A6">
            <w:pPr>
              <w:pStyle w:val="TableTextbold"/>
              <w:keepNext/>
              <w:spacing w:before="40" w:after="40"/>
              <w:rPr>
                <w:rFonts w:cs="Times New Roman"/>
                <w:szCs w:val="20"/>
              </w:rPr>
            </w:pPr>
            <w:r w:rsidRPr="00B87CC5">
              <w:rPr>
                <w:rFonts w:cs="Calibri"/>
                <w:color w:val="000000"/>
                <w:szCs w:val="18"/>
              </w:rPr>
              <w:t xml:space="preserve">(2) 2023 ENZ WEM </w:t>
            </w:r>
            <w:r w:rsidR="001E6DB3" w:rsidRPr="00B87CC5">
              <w:rPr>
                <w:rFonts w:cs="Calibri"/>
                <w:color w:val="000000"/>
                <w:szCs w:val="18"/>
              </w:rPr>
              <w:t xml:space="preserve">– </w:t>
            </w:r>
            <w:r w:rsidRPr="00B87CC5">
              <w:rPr>
                <w:rFonts w:cs="Calibri"/>
                <w:color w:val="000000"/>
                <w:szCs w:val="18"/>
              </w:rPr>
              <w:t xml:space="preserve">model effect </w:t>
            </w:r>
            <w:r w:rsidR="001E6DB3" w:rsidRPr="00B87CC5">
              <w:rPr>
                <w:rFonts w:cs="Calibri"/>
                <w:color w:val="000000"/>
                <w:szCs w:val="18"/>
              </w:rPr>
              <w:t xml:space="preserve">and </w:t>
            </w:r>
            <w:r w:rsidRPr="00B87CC5">
              <w:rPr>
                <w:rFonts w:cs="Calibri"/>
                <w:color w:val="000000"/>
                <w:szCs w:val="18"/>
              </w:rPr>
              <w:t>policy treatment</w:t>
            </w:r>
          </w:p>
        </w:tc>
        <w:tc>
          <w:tcPr>
            <w:tcW w:w="376" w:type="pct"/>
            <w:tcBorders>
              <w:top w:val="none" w:sz="0" w:space="0" w:color="auto"/>
              <w:bottom w:val="none" w:sz="0" w:space="0" w:color="auto"/>
            </w:tcBorders>
            <w:noWrap/>
            <w:vAlign w:val="center"/>
            <w:hideMark/>
          </w:tcPr>
          <w:p w14:paraId="076E931D" w14:textId="5DE33F19" w:rsidR="00F001DE" w:rsidRPr="00B87CC5" w:rsidRDefault="005C28F7" w:rsidP="008859A6">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13.7</w:t>
            </w:r>
          </w:p>
        </w:tc>
        <w:tc>
          <w:tcPr>
            <w:tcW w:w="374" w:type="pct"/>
            <w:tcBorders>
              <w:top w:val="none" w:sz="0" w:space="0" w:color="auto"/>
              <w:bottom w:val="none" w:sz="0" w:space="0" w:color="auto"/>
            </w:tcBorders>
            <w:noWrap/>
            <w:vAlign w:val="center"/>
            <w:hideMark/>
          </w:tcPr>
          <w:p w14:paraId="380E67B3" w14:textId="6C763FDE" w:rsidR="00F001DE" w:rsidRPr="00B87CC5" w:rsidRDefault="009765C6" w:rsidP="008859A6">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w:t>
            </w:r>
            <w:r w:rsidR="003042DA" w:rsidRPr="00B87CC5">
              <w:rPr>
                <w:rFonts w:cs="Calibri"/>
                <w:b w:val="0"/>
                <w:bCs/>
                <w:color w:val="000000"/>
                <w:szCs w:val="18"/>
              </w:rPr>
              <w:t>0.9</w:t>
            </w:r>
          </w:p>
        </w:tc>
        <w:tc>
          <w:tcPr>
            <w:tcW w:w="375" w:type="pct"/>
            <w:tcBorders>
              <w:top w:val="none" w:sz="0" w:space="0" w:color="auto"/>
              <w:bottom w:val="none" w:sz="0" w:space="0" w:color="auto"/>
            </w:tcBorders>
            <w:noWrap/>
            <w:vAlign w:val="center"/>
            <w:hideMark/>
          </w:tcPr>
          <w:p w14:paraId="1BACFF4B" w14:textId="0F7D1CB1" w:rsidR="00F001DE" w:rsidRPr="00B87CC5" w:rsidRDefault="009765C6" w:rsidP="008859A6">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w:t>
            </w:r>
            <w:r w:rsidR="003042DA" w:rsidRPr="00B87CC5">
              <w:rPr>
                <w:rFonts w:cs="Calibri"/>
                <w:b w:val="0"/>
                <w:bCs/>
                <w:color w:val="000000"/>
                <w:szCs w:val="18"/>
              </w:rPr>
              <w:t>2.9</w:t>
            </w:r>
          </w:p>
        </w:tc>
        <w:tc>
          <w:tcPr>
            <w:tcW w:w="374" w:type="pct"/>
            <w:tcBorders>
              <w:top w:val="none" w:sz="0" w:space="0" w:color="auto"/>
              <w:bottom w:val="none" w:sz="0" w:space="0" w:color="auto"/>
            </w:tcBorders>
            <w:noWrap/>
            <w:vAlign w:val="center"/>
            <w:hideMark/>
          </w:tcPr>
          <w:p w14:paraId="56CA9BBD" w14:textId="4DC25B49" w:rsidR="00F001DE" w:rsidRPr="00B87CC5" w:rsidRDefault="009765C6" w:rsidP="008859A6">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w:t>
            </w:r>
            <w:r w:rsidR="003042DA" w:rsidRPr="00B87CC5">
              <w:rPr>
                <w:rFonts w:cs="Calibri"/>
                <w:b w:val="0"/>
                <w:bCs/>
                <w:color w:val="000000"/>
                <w:szCs w:val="18"/>
              </w:rPr>
              <w:t>0.6</w:t>
            </w:r>
          </w:p>
        </w:tc>
        <w:tc>
          <w:tcPr>
            <w:tcW w:w="374" w:type="pct"/>
            <w:tcBorders>
              <w:top w:val="none" w:sz="0" w:space="0" w:color="auto"/>
              <w:bottom w:val="none" w:sz="0" w:space="0" w:color="auto"/>
            </w:tcBorders>
            <w:noWrap/>
            <w:vAlign w:val="center"/>
            <w:hideMark/>
          </w:tcPr>
          <w:p w14:paraId="35C5840B" w14:textId="1A3220B6" w:rsidR="00F001DE" w:rsidRPr="00B87CC5" w:rsidRDefault="003042DA" w:rsidP="008859A6">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0.6</w:t>
            </w:r>
          </w:p>
        </w:tc>
        <w:tc>
          <w:tcPr>
            <w:tcW w:w="375" w:type="pct"/>
            <w:tcBorders>
              <w:top w:val="none" w:sz="0" w:space="0" w:color="auto"/>
              <w:bottom w:val="none" w:sz="0" w:space="0" w:color="auto"/>
            </w:tcBorders>
            <w:noWrap/>
            <w:vAlign w:val="center"/>
            <w:hideMark/>
          </w:tcPr>
          <w:p w14:paraId="7567606D" w14:textId="3434E712" w:rsidR="00F001DE" w:rsidRPr="00B87CC5" w:rsidRDefault="009765C6" w:rsidP="008859A6">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w:t>
            </w:r>
            <w:r w:rsidR="003042DA" w:rsidRPr="00B87CC5">
              <w:rPr>
                <w:rFonts w:cs="Calibri"/>
                <w:b w:val="0"/>
                <w:bCs/>
                <w:color w:val="000000"/>
                <w:szCs w:val="18"/>
              </w:rPr>
              <w:t>0.5</w:t>
            </w:r>
          </w:p>
        </w:tc>
        <w:tc>
          <w:tcPr>
            <w:tcW w:w="374" w:type="pct"/>
            <w:gridSpan w:val="2"/>
            <w:tcBorders>
              <w:top w:val="none" w:sz="0" w:space="0" w:color="auto"/>
              <w:bottom w:val="none" w:sz="0" w:space="0" w:color="auto"/>
            </w:tcBorders>
            <w:noWrap/>
            <w:vAlign w:val="center"/>
            <w:hideMark/>
          </w:tcPr>
          <w:p w14:paraId="19EB2BE9" w14:textId="71F87F5D" w:rsidR="00F001DE" w:rsidRPr="00B87CC5" w:rsidRDefault="00811B8B" w:rsidP="008859A6">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10.0</w:t>
            </w:r>
          </w:p>
        </w:tc>
        <w:tc>
          <w:tcPr>
            <w:tcW w:w="378" w:type="pct"/>
            <w:tcBorders>
              <w:top w:val="none" w:sz="0" w:space="0" w:color="auto"/>
              <w:bottom w:val="none" w:sz="0" w:space="0" w:color="auto"/>
              <w:right w:val="none" w:sz="0" w:space="0" w:color="auto"/>
            </w:tcBorders>
            <w:noWrap/>
            <w:vAlign w:val="center"/>
            <w:hideMark/>
          </w:tcPr>
          <w:p w14:paraId="6E005C4A" w14:textId="653B1875" w:rsidR="00F001DE" w:rsidRPr="00B87CC5" w:rsidRDefault="004276E8" w:rsidP="008859A6">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9.5</w:t>
            </w:r>
          </w:p>
        </w:tc>
      </w:tr>
      <w:tr w:rsidR="00D71411" w:rsidRPr="00B87CC5" w14:paraId="0FF15E4C" w14:textId="77777777" w:rsidTr="008E6812">
        <w:trPr>
          <w:trHeight w:val="290"/>
        </w:trPr>
        <w:tc>
          <w:tcPr>
            <w:cnfStyle w:val="001000000000" w:firstRow="0" w:lastRow="0" w:firstColumn="1" w:lastColumn="0" w:oddVBand="0" w:evenVBand="0" w:oddHBand="0" w:evenHBand="0" w:firstRowFirstColumn="0" w:firstRowLastColumn="0" w:lastRowFirstColumn="0" w:lastRowLastColumn="0"/>
            <w:tcW w:w="2000" w:type="pct"/>
          </w:tcPr>
          <w:p w14:paraId="406A3807" w14:textId="7B46CEFD" w:rsidR="005B075F" w:rsidRPr="00B87CC5" w:rsidRDefault="005B075F" w:rsidP="008859A6">
            <w:pPr>
              <w:pStyle w:val="TableTextbold"/>
              <w:keepNext/>
              <w:spacing w:before="40" w:after="0" w:line="240" w:lineRule="auto"/>
              <w:rPr>
                <w:rFonts w:cs="Calibri"/>
                <w:b/>
                <w:color w:val="000000"/>
                <w:szCs w:val="18"/>
              </w:rPr>
            </w:pPr>
            <w:r w:rsidRPr="00B87CC5">
              <w:rPr>
                <w:rFonts w:cs="Calibri"/>
                <w:color w:val="000000"/>
                <w:szCs w:val="18"/>
              </w:rPr>
              <w:t>Energy changes</w:t>
            </w:r>
            <w:r w:rsidR="00E4003E" w:rsidRPr="00B87CC5">
              <w:rPr>
                <w:rFonts w:cs="Calibri"/>
                <w:color w:val="000000"/>
                <w:szCs w:val="18"/>
              </w:rPr>
              <w:t xml:space="preserve"> </w:t>
            </w:r>
          </w:p>
          <w:p w14:paraId="093FF0F2" w14:textId="23C5D41A" w:rsidR="004C00A4" w:rsidRPr="00B87CC5" w:rsidRDefault="00B15B5E" w:rsidP="008859A6">
            <w:pPr>
              <w:pStyle w:val="TableTextbold"/>
              <w:keepNext/>
              <w:spacing w:before="40" w:after="0" w:line="240" w:lineRule="auto"/>
              <w:rPr>
                <w:rFonts w:cs="Calibri"/>
                <w:b/>
                <w:color w:val="000000"/>
                <w:szCs w:val="18"/>
              </w:rPr>
            </w:pPr>
            <w:r w:rsidRPr="00B87CC5">
              <w:rPr>
                <w:rFonts w:cs="Calibri"/>
                <w:color w:val="000000"/>
                <w:szCs w:val="18"/>
              </w:rPr>
              <w:t xml:space="preserve">(2a) </w:t>
            </w:r>
            <w:r w:rsidR="007B2BEF" w:rsidRPr="00B87CC5">
              <w:rPr>
                <w:rFonts w:cs="Calibri"/>
                <w:color w:val="000000"/>
                <w:szCs w:val="18"/>
              </w:rPr>
              <w:t>Separating</w:t>
            </w:r>
            <w:r w:rsidR="001E6DB3" w:rsidRPr="00B87CC5">
              <w:rPr>
                <w:rFonts w:cs="Calibri"/>
                <w:color w:val="000000"/>
                <w:szCs w:val="18"/>
              </w:rPr>
              <w:t xml:space="preserve"> NZ</w:t>
            </w:r>
            <w:r w:rsidR="007B2BEF" w:rsidRPr="00B87CC5">
              <w:rPr>
                <w:rFonts w:cs="Calibri"/>
                <w:color w:val="000000"/>
                <w:szCs w:val="18"/>
              </w:rPr>
              <w:t xml:space="preserve"> ETS </w:t>
            </w:r>
            <w:r w:rsidR="001E6DB3" w:rsidRPr="00B87CC5">
              <w:rPr>
                <w:rFonts w:cs="Calibri"/>
                <w:color w:val="000000"/>
                <w:szCs w:val="18"/>
              </w:rPr>
              <w:t xml:space="preserve">and </w:t>
            </w:r>
            <w:r w:rsidR="007B2BEF" w:rsidRPr="00B87CC5">
              <w:rPr>
                <w:rFonts w:cs="Calibri"/>
                <w:color w:val="000000"/>
                <w:szCs w:val="18"/>
              </w:rPr>
              <w:t>policy impact</w:t>
            </w:r>
            <w:r w:rsidR="00FE0528" w:rsidRPr="00B87CC5">
              <w:rPr>
                <w:rFonts w:cs="Calibri"/>
                <w:color w:val="000000"/>
                <w:szCs w:val="18"/>
              </w:rPr>
              <w:t>*</w:t>
            </w:r>
          </w:p>
          <w:p w14:paraId="0834BA2E" w14:textId="3967BB56" w:rsidR="007B2BEF" w:rsidRPr="00B87CC5" w:rsidRDefault="007B2BEF" w:rsidP="008859A6">
            <w:pPr>
              <w:pStyle w:val="TableTextbold"/>
              <w:keepNext/>
              <w:spacing w:before="40" w:after="0" w:line="240" w:lineRule="auto"/>
              <w:rPr>
                <w:rFonts w:cs="Calibri"/>
                <w:b/>
                <w:color w:val="000000"/>
                <w:szCs w:val="18"/>
                <w:vertAlign w:val="superscript"/>
              </w:rPr>
            </w:pPr>
            <w:r w:rsidRPr="00B87CC5">
              <w:rPr>
                <w:rFonts w:cs="Calibri"/>
                <w:color w:val="000000"/>
                <w:szCs w:val="18"/>
              </w:rPr>
              <w:t xml:space="preserve">(2b) </w:t>
            </w:r>
            <w:r w:rsidR="001E6DB3" w:rsidRPr="00B87CC5">
              <w:rPr>
                <w:rFonts w:cs="Calibri"/>
                <w:color w:val="000000"/>
                <w:szCs w:val="18"/>
              </w:rPr>
              <w:t>U</w:t>
            </w:r>
            <w:r w:rsidR="005C28F7" w:rsidRPr="00B87CC5">
              <w:rPr>
                <w:rFonts w:cs="Calibri"/>
                <w:color w:val="000000"/>
                <w:szCs w:val="18"/>
              </w:rPr>
              <w:t>pdated modelling platform</w:t>
            </w:r>
            <w:r w:rsidR="00FE0528" w:rsidRPr="00B87CC5">
              <w:rPr>
                <w:rFonts w:cs="Calibri"/>
                <w:color w:val="000000"/>
                <w:szCs w:val="18"/>
                <w:vertAlign w:val="superscript"/>
              </w:rPr>
              <w:t>**</w:t>
            </w:r>
          </w:p>
          <w:p w14:paraId="3E8DF669" w14:textId="5B8A9334" w:rsidR="005B075F" w:rsidRPr="00B87CC5" w:rsidRDefault="005B075F" w:rsidP="008859A6">
            <w:pPr>
              <w:pStyle w:val="TableTextbold"/>
              <w:keepNext/>
              <w:spacing w:before="40" w:after="40" w:line="240" w:lineRule="auto"/>
              <w:rPr>
                <w:rFonts w:cs="Calibri"/>
                <w:color w:val="000000"/>
                <w:szCs w:val="18"/>
              </w:rPr>
            </w:pPr>
            <w:r w:rsidRPr="00B87CC5">
              <w:rPr>
                <w:rFonts w:cs="Calibri"/>
                <w:color w:val="000000"/>
                <w:szCs w:val="18"/>
              </w:rPr>
              <w:t>Energy total</w:t>
            </w:r>
          </w:p>
        </w:tc>
        <w:tc>
          <w:tcPr>
            <w:tcW w:w="376" w:type="pct"/>
            <w:noWrap/>
          </w:tcPr>
          <w:p w14:paraId="2B773813" w14:textId="77777777" w:rsidR="00D604FC" w:rsidRPr="00B87CC5" w:rsidRDefault="00D604FC" w:rsidP="008859A6">
            <w:pPr>
              <w:pStyle w:val="TableTextbold"/>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b w:val="0"/>
                <w:bCs/>
                <w:color w:val="000000"/>
                <w:szCs w:val="18"/>
              </w:rPr>
            </w:pPr>
          </w:p>
          <w:p w14:paraId="7AB775CD" w14:textId="391BAF13" w:rsidR="00CA75BC" w:rsidRPr="00B87CC5" w:rsidRDefault="00553415" w:rsidP="008859A6">
            <w:pPr>
              <w:pStyle w:val="TableTextbold"/>
              <w:keepNext/>
              <w:spacing w:before="40" w:after="0" w:line="240" w:lineRule="auto"/>
              <w:jc w:val="right"/>
              <w:cnfStyle w:val="000000000000" w:firstRow="0" w:lastRow="0" w:firstColumn="0" w:lastColumn="0" w:oddVBand="0" w:evenVBand="0" w:oddHBand="0" w:evenHBand="0" w:firstRowFirstColumn="0" w:firstRowLastColumn="0" w:lastRowFirstColumn="0" w:lastRowLastColumn="0"/>
              <w:rPr>
                <w:rFonts w:cs="Calibri"/>
                <w:b w:val="0"/>
                <w:bCs/>
                <w:color w:val="000000"/>
                <w:szCs w:val="18"/>
              </w:rPr>
            </w:pPr>
            <w:r w:rsidRPr="00B87CC5">
              <w:rPr>
                <w:rFonts w:cs="Calibri"/>
                <w:b w:val="0"/>
                <w:bCs/>
                <w:color w:val="000000"/>
                <w:szCs w:val="18"/>
              </w:rPr>
              <w:t>9.1</w:t>
            </w:r>
          </w:p>
          <w:p w14:paraId="69A438D5" w14:textId="4FBA561B" w:rsidR="00553415" w:rsidRPr="00B87CC5" w:rsidRDefault="00E4003E" w:rsidP="008859A6">
            <w:pPr>
              <w:pStyle w:val="TableTextbold"/>
              <w:keepNext/>
              <w:spacing w:before="40" w:after="0" w:line="240" w:lineRule="auto"/>
              <w:jc w:val="right"/>
              <w:cnfStyle w:val="000000000000" w:firstRow="0" w:lastRow="0" w:firstColumn="0" w:lastColumn="0" w:oddVBand="0" w:evenVBand="0" w:oddHBand="0" w:evenHBand="0" w:firstRowFirstColumn="0" w:firstRowLastColumn="0" w:lastRowFirstColumn="0" w:lastRowLastColumn="0"/>
              <w:rPr>
                <w:rFonts w:cs="Calibri"/>
                <w:b w:val="0"/>
                <w:bCs/>
                <w:color w:val="000000"/>
                <w:szCs w:val="18"/>
                <w:u w:val="single"/>
              </w:rPr>
            </w:pPr>
            <w:r w:rsidRPr="00B87CC5">
              <w:rPr>
                <w:rFonts w:cs="Calibri"/>
                <w:b w:val="0"/>
                <w:bCs/>
                <w:color w:val="000000"/>
                <w:szCs w:val="18"/>
                <w:u w:val="single"/>
              </w:rPr>
              <w:t xml:space="preserve"> </w:t>
            </w:r>
            <w:r w:rsidR="00481209" w:rsidRPr="00B87CC5">
              <w:rPr>
                <w:rFonts w:cs="Calibri"/>
                <w:b w:val="0"/>
                <w:bCs/>
                <w:color w:val="000000"/>
                <w:szCs w:val="18"/>
                <w:u w:val="single"/>
              </w:rPr>
              <w:t>4.6</w:t>
            </w:r>
          </w:p>
          <w:p w14:paraId="6732DFD3" w14:textId="2ED5AE7C" w:rsidR="005B075F" w:rsidRPr="00B87CC5" w:rsidRDefault="005B075F" w:rsidP="008859A6">
            <w:pPr>
              <w:pStyle w:val="TableTextbold"/>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b w:val="0"/>
                <w:bCs/>
                <w:color w:val="000000"/>
                <w:szCs w:val="18"/>
              </w:rPr>
            </w:pPr>
            <w:r w:rsidRPr="00B87CC5">
              <w:rPr>
                <w:rFonts w:cs="Calibri"/>
                <w:b w:val="0"/>
                <w:bCs/>
                <w:color w:val="000000"/>
                <w:szCs w:val="18"/>
              </w:rPr>
              <w:t>13.7</w:t>
            </w:r>
          </w:p>
        </w:tc>
        <w:tc>
          <w:tcPr>
            <w:tcW w:w="374" w:type="pct"/>
            <w:noWrap/>
          </w:tcPr>
          <w:p w14:paraId="25C19F02" w14:textId="77777777" w:rsidR="00CA75BC" w:rsidRPr="00B87CC5" w:rsidRDefault="00CA75BC" w:rsidP="008859A6">
            <w:pPr>
              <w:pStyle w:val="TableTextbold"/>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b w:val="0"/>
                <w:bCs/>
                <w:color w:val="000000"/>
                <w:szCs w:val="18"/>
              </w:rPr>
            </w:pPr>
          </w:p>
        </w:tc>
        <w:tc>
          <w:tcPr>
            <w:tcW w:w="375" w:type="pct"/>
            <w:noWrap/>
          </w:tcPr>
          <w:p w14:paraId="0FFDE526" w14:textId="77777777" w:rsidR="00CA75BC" w:rsidRPr="00B87CC5" w:rsidRDefault="00CA75BC" w:rsidP="008859A6">
            <w:pPr>
              <w:pStyle w:val="TableTextbold"/>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b w:val="0"/>
                <w:bCs/>
                <w:color w:val="000000"/>
                <w:szCs w:val="18"/>
              </w:rPr>
            </w:pPr>
          </w:p>
        </w:tc>
        <w:tc>
          <w:tcPr>
            <w:tcW w:w="374" w:type="pct"/>
            <w:noWrap/>
          </w:tcPr>
          <w:p w14:paraId="1A4C98FB" w14:textId="77777777" w:rsidR="00CA75BC" w:rsidRPr="00B87CC5" w:rsidRDefault="00CA75BC" w:rsidP="008859A6">
            <w:pPr>
              <w:pStyle w:val="TableTextbold"/>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b w:val="0"/>
                <w:bCs/>
                <w:color w:val="000000"/>
                <w:szCs w:val="18"/>
              </w:rPr>
            </w:pPr>
          </w:p>
        </w:tc>
        <w:tc>
          <w:tcPr>
            <w:tcW w:w="374" w:type="pct"/>
            <w:noWrap/>
          </w:tcPr>
          <w:p w14:paraId="0795952D" w14:textId="77777777" w:rsidR="00CA75BC" w:rsidRPr="00B87CC5" w:rsidRDefault="00CA75BC" w:rsidP="008859A6">
            <w:pPr>
              <w:pStyle w:val="TableTextbold"/>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b w:val="0"/>
                <w:bCs/>
                <w:color w:val="000000"/>
                <w:szCs w:val="18"/>
              </w:rPr>
            </w:pPr>
          </w:p>
        </w:tc>
        <w:tc>
          <w:tcPr>
            <w:tcW w:w="375" w:type="pct"/>
            <w:noWrap/>
          </w:tcPr>
          <w:p w14:paraId="10889779" w14:textId="77777777" w:rsidR="00CA75BC" w:rsidRPr="00B87CC5" w:rsidRDefault="00CA75BC" w:rsidP="008859A6">
            <w:pPr>
              <w:pStyle w:val="TableTextbold"/>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b w:val="0"/>
                <w:bCs/>
                <w:color w:val="000000"/>
                <w:szCs w:val="18"/>
              </w:rPr>
            </w:pPr>
          </w:p>
        </w:tc>
        <w:tc>
          <w:tcPr>
            <w:tcW w:w="374" w:type="pct"/>
            <w:gridSpan w:val="2"/>
            <w:noWrap/>
          </w:tcPr>
          <w:p w14:paraId="6327B24E" w14:textId="77777777" w:rsidR="00CA75BC" w:rsidRPr="00B87CC5" w:rsidRDefault="00CA75BC" w:rsidP="008859A6">
            <w:pPr>
              <w:pStyle w:val="TableTextbold"/>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b w:val="0"/>
                <w:bCs/>
                <w:color w:val="000000"/>
                <w:szCs w:val="18"/>
              </w:rPr>
            </w:pPr>
          </w:p>
        </w:tc>
        <w:tc>
          <w:tcPr>
            <w:tcW w:w="378" w:type="pct"/>
            <w:noWrap/>
          </w:tcPr>
          <w:p w14:paraId="04F040C4" w14:textId="77777777" w:rsidR="00CA75BC" w:rsidRPr="00B87CC5" w:rsidRDefault="00CA75BC" w:rsidP="008859A6">
            <w:pPr>
              <w:pStyle w:val="TableTextbold"/>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cs="Calibri"/>
                <w:b w:val="0"/>
                <w:bCs/>
                <w:color w:val="000000"/>
                <w:szCs w:val="18"/>
              </w:rPr>
            </w:pPr>
          </w:p>
        </w:tc>
      </w:tr>
      <w:tr w:rsidR="00D71411" w:rsidRPr="00B87CC5" w14:paraId="762D9A22" w14:textId="0A3D0560" w:rsidTr="008E68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pct"/>
            <w:tcBorders>
              <w:top w:val="none" w:sz="0" w:space="0" w:color="auto"/>
              <w:left w:val="none" w:sz="0" w:space="0" w:color="auto"/>
              <w:bottom w:val="none" w:sz="0" w:space="0" w:color="auto"/>
            </w:tcBorders>
            <w:vAlign w:val="center"/>
            <w:hideMark/>
          </w:tcPr>
          <w:p w14:paraId="48B17FE1" w14:textId="3AD5E846" w:rsidR="00F001DE" w:rsidRPr="00B87CC5" w:rsidRDefault="003042DA" w:rsidP="002926A7">
            <w:pPr>
              <w:pStyle w:val="TableTextbold"/>
              <w:spacing w:before="40" w:after="40"/>
              <w:rPr>
                <w:rFonts w:cs="Times New Roman"/>
                <w:szCs w:val="20"/>
              </w:rPr>
            </w:pPr>
            <w:r w:rsidRPr="00B87CC5">
              <w:rPr>
                <w:rFonts w:cs="Calibri"/>
                <w:color w:val="000000"/>
                <w:szCs w:val="18"/>
              </w:rPr>
              <w:t>(3) Inventory/methodology changes</w:t>
            </w:r>
          </w:p>
        </w:tc>
        <w:tc>
          <w:tcPr>
            <w:tcW w:w="376" w:type="pct"/>
            <w:tcBorders>
              <w:top w:val="none" w:sz="0" w:space="0" w:color="auto"/>
              <w:bottom w:val="none" w:sz="0" w:space="0" w:color="auto"/>
            </w:tcBorders>
            <w:noWrap/>
            <w:vAlign w:val="center"/>
            <w:hideMark/>
          </w:tcPr>
          <w:p w14:paraId="5C83B94C" w14:textId="1D586707"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 xml:space="preserve">1.2 </w:t>
            </w:r>
          </w:p>
        </w:tc>
        <w:tc>
          <w:tcPr>
            <w:tcW w:w="374" w:type="pct"/>
            <w:tcBorders>
              <w:top w:val="none" w:sz="0" w:space="0" w:color="auto"/>
              <w:bottom w:val="none" w:sz="0" w:space="0" w:color="auto"/>
            </w:tcBorders>
            <w:noWrap/>
            <w:vAlign w:val="center"/>
            <w:hideMark/>
          </w:tcPr>
          <w:p w14:paraId="44687B4A" w14:textId="6E3E1E3C" w:rsidR="00F001DE" w:rsidRPr="00B87CC5" w:rsidRDefault="009765C6"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Cs w:val="18"/>
              </w:rPr>
            </w:pPr>
            <w:r w:rsidRPr="00B87CC5">
              <w:rPr>
                <w:rFonts w:cs="Calibri"/>
                <w:b w:val="0"/>
                <w:bCs/>
                <w:color w:val="000000" w:themeColor="text1"/>
                <w:szCs w:val="18"/>
              </w:rPr>
              <w:t>–</w:t>
            </w:r>
            <w:r w:rsidR="003042DA" w:rsidRPr="00B87CC5">
              <w:rPr>
                <w:rFonts w:cs="Calibri"/>
                <w:b w:val="0"/>
                <w:bCs/>
                <w:color w:val="000000" w:themeColor="text1"/>
                <w:szCs w:val="18"/>
              </w:rPr>
              <w:t xml:space="preserve">1.0 </w:t>
            </w:r>
          </w:p>
        </w:tc>
        <w:tc>
          <w:tcPr>
            <w:tcW w:w="375" w:type="pct"/>
            <w:tcBorders>
              <w:top w:val="none" w:sz="0" w:space="0" w:color="auto"/>
              <w:bottom w:val="none" w:sz="0" w:space="0" w:color="auto"/>
            </w:tcBorders>
            <w:noWrap/>
            <w:vAlign w:val="center"/>
            <w:hideMark/>
          </w:tcPr>
          <w:p w14:paraId="774EA830" w14:textId="530EEEA0"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Cs w:val="18"/>
              </w:rPr>
            </w:pPr>
            <w:r w:rsidRPr="00B87CC5">
              <w:rPr>
                <w:rFonts w:cs="Calibri"/>
                <w:b w:val="0"/>
                <w:bCs/>
                <w:color w:val="000000" w:themeColor="text1"/>
                <w:szCs w:val="18"/>
              </w:rPr>
              <w:t xml:space="preserve">0.2 </w:t>
            </w:r>
          </w:p>
        </w:tc>
        <w:tc>
          <w:tcPr>
            <w:tcW w:w="374" w:type="pct"/>
            <w:tcBorders>
              <w:top w:val="none" w:sz="0" w:space="0" w:color="auto"/>
              <w:bottom w:val="none" w:sz="0" w:space="0" w:color="auto"/>
            </w:tcBorders>
            <w:noWrap/>
            <w:vAlign w:val="center"/>
            <w:hideMark/>
          </w:tcPr>
          <w:p w14:paraId="1F971F44" w14:textId="3CA6E22A"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Cs w:val="18"/>
              </w:rPr>
            </w:pPr>
            <w:r w:rsidRPr="00B87CC5">
              <w:rPr>
                <w:rFonts w:cs="Calibri"/>
                <w:b w:val="0"/>
                <w:bCs/>
                <w:color w:val="000000" w:themeColor="text1"/>
                <w:szCs w:val="18"/>
              </w:rPr>
              <w:t xml:space="preserve">2.7 </w:t>
            </w:r>
          </w:p>
        </w:tc>
        <w:tc>
          <w:tcPr>
            <w:tcW w:w="374" w:type="pct"/>
            <w:tcBorders>
              <w:top w:val="none" w:sz="0" w:space="0" w:color="auto"/>
              <w:bottom w:val="none" w:sz="0" w:space="0" w:color="auto"/>
            </w:tcBorders>
            <w:noWrap/>
            <w:vAlign w:val="center"/>
            <w:hideMark/>
          </w:tcPr>
          <w:p w14:paraId="039747DA" w14:textId="601AD6A9" w:rsidR="00F001DE" w:rsidRPr="00B87CC5" w:rsidRDefault="009765C6"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000000" w:themeColor="text1"/>
                <w:szCs w:val="18"/>
              </w:rPr>
            </w:pPr>
            <w:r w:rsidRPr="00B87CC5">
              <w:rPr>
                <w:rFonts w:cs="Calibri"/>
                <w:b w:val="0"/>
                <w:bCs/>
                <w:color w:val="000000" w:themeColor="text1"/>
                <w:szCs w:val="18"/>
              </w:rPr>
              <w:t>–</w:t>
            </w:r>
            <w:r w:rsidR="003042DA" w:rsidRPr="00B87CC5">
              <w:rPr>
                <w:rFonts w:cs="Calibri"/>
                <w:b w:val="0"/>
                <w:bCs/>
                <w:color w:val="000000" w:themeColor="text1"/>
                <w:szCs w:val="18"/>
              </w:rPr>
              <w:t xml:space="preserve">0.1 </w:t>
            </w:r>
          </w:p>
        </w:tc>
        <w:tc>
          <w:tcPr>
            <w:tcW w:w="375" w:type="pct"/>
            <w:tcBorders>
              <w:top w:val="none" w:sz="0" w:space="0" w:color="auto"/>
              <w:bottom w:val="none" w:sz="0" w:space="0" w:color="auto"/>
            </w:tcBorders>
            <w:noWrap/>
            <w:vAlign w:val="center"/>
            <w:hideMark/>
          </w:tcPr>
          <w:p w14:paraId="5DAC28FF" w14:textId="4575C4B1"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 xml:space="preserve">0.2 </w:t>
            </w:r>
          </w:p>
        </w:tc>
        <w:tc>
          <w:tcPr>
            <w:tcW w:w="374" w:type="pct"/>
            <w:gridSpan w:val="2"/>
            <w:tcBorders>
              <w:top w:val="none" w:sz="0" w:space="0" w:color="auto"/>
              <w:bottom w:val="none" w:sz="0" w:space="0" w:color="auto"/>
            </w:tcBorders>
            <w:noWrap/>
            <w:vAlign w:val="center"/>
            <w:hideMark/>
          </w:tcPr>
          <w:p w14:paraId="30AD9E52" w14:textId="08327619"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 xml:space="preserve">3.0 </w:t>
            </w:r>
          </w:p>
        </w:tc>
        <w:tc>
          <w:tcPr>
            <w:tcW w:w="378" w:type="pct"/>
            <w:tcBorders>
              <w:top w:val="none" w:sz="0" w:space="0" w:color="auto"/>
              <w:bottom w:val="none" w:sz="0" w:space="0" w:color="auto"/>
              <w:right w:val="none" w:sz="0" w:space="0" w:color="auto"/>
            </w:tcBorders>
            <w:noWrap/>
            <w:vAlign w:val="center"/>
            <w:hideMark/>
          </w:tcPr>
          <w:p w14:paraId="0F9F87E8" w14:textId="1C76879B"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 xml:space="preserve">3.2 </w:t>
            </w:r>
          </w:p>
        </w:tc>
      </w:tr>
      <w:tr w:rsidR="00D71411" w:rsidRPr="00B87CC5" w14:paraId="4713D83A" w14:textId="6D541617" w:rsidTr="008E6812">
        <w:trPr>
          <w:trHeight w:val="290"/>
        </w:trPr>
        <w:tc>
          <w:tcPr>
            <w:cnfStyle w:val="001000000000" w:firstRow="0" w:lastRow="0" w:firstColumn="1" w:lastColumn="0" w:oddVBand="0" w:evenVBand="0" w:oddHBand="0" w:evenHBand="0" w:firstRowFirstColumn="0" w:firstRowLastColumn="0" w:lastRowFirstColumn="0" w:lastRowLastColumn="0"/>
            <w:tcW w:w="2000" w:type="pct"/>
            <w:vAlign w:val="center"/>
            <w:hideMark/>
          </w:tcPr>
          <w:p w14:paraId="4E7EF5CC" w14:textId="4C8CC552" w:rsidR="00F001DE" w:rsidRPr="00B87CC5" w:rsidRDefault="003042DA" w:rsidP="002926A7">
            <w:pPr>
              <w:pStyle w:val="TableTextbold"/>
              <w:spacing w:before="40" w:after="40"/>
              <w:rPr>
                <w:rFonts w:cs="Times New Roman"/>
                <w:szCs w:val="20"/>
              </w:rPr>
            </w:pPr>
            <w:r w:rsidRPr="00B87CC5">
              <w:rPr>
                <w:rFonts w:cs="Calibri"/>
                <w:color w:val="000000"/>
                <w:szCs w:val="18"/>
              </w:rPr>
              <w:t>(4) Tiwai Point continuing</w:t>
            </w:r>
          </w:p>
        </w:tc>
        <w:tc>
          <w:tcPr>
            <w:tcW w:w="376" w:type="pct"/>
            <w:noWrap/>
            <w:vAlign w:val="center"/>
            <w:hideMark/>
          </w:tcPr>
          <w:p w14:paraId="77A87F3A" w14:textId="33619FCA"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1.8</w:t>
            </w:r>
          </w:p>
        </w:tc>
        <w:tc>
          <w:tcPr>
            <w:tcW w:w="374" w:type="pct"/>
            <w:noWrap/>
            <w:vAlign w:val="center"/>
            <w:hideMark/>
          </w:tcPr>
          <w:p w14:paraId="1625D866" w14:textId="67F5BDD2"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5" w:type="pct"/>
            <w:noWrap/>
            <w:vAlign w:val="center"/>
            <w:hideMark/>
          </w:tcPr>
          <w:p w14:paraId="44EB6C23" w14:textId="2224A0DF"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3.1</w:t>
            </w:r>
          </w:p>
        </w:tc>
        <w:tc>
          <w:tcPr>
            <w:tcW w:w="374" w:type="pct"/>
            <w:noWrap/>
            <w:vAlign w:val="center"/>
            <w:hideMark/>
          </w:tcPr>
          <w:p w14:paraId="16A06591" w14:textId="0FD68950"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4" w:type="pct"/>
            <w:noWrap/>
            <w:vAlign w:val="center"/>
            <w:hideMark/>
          </w:tcPr>
          <w:p w14:paraId="22651FE7" w14:textId="287F2D68"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5" w:type="pct"/>
            <w:noWrap/>
            <w:vAlign w:val="center"/>
            <w:hideMark/>
          </w:tcPr>
          <w:p w14:paraId="1C85AB8D" w14:textId="6F4E55B5"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4" w:type="pct"/>
            <w:gridSpan w:val="2"/>
            <w:noWrap/>
            <w:vAlign w:val="center"/>
            <w:hideMark/>
          </w:tcPr>
          <w:p w14:paraId="4F12F067" w14:textId="10D751CF"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4.8</w:t>
            </w:r>
          </w:p>
        </w:tc>
        <w:tc>
          <w:tcPr>
            <w:tcW w:w="378" w:type="pct"/>
            <w:noWrap/>
            <w:vAlign w:val="center"/>
            <w:hideMark/>
          </w:tcPr>
          <w:p w14:paraId="249D7164" w14:textId="146B2416"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4.8</w:t>
            </w:r>
          </w:p>
        </w:tc>
      </w:tr>
      <w:tr w:rsidR="00D71411" w:rsidRPr="00B87CC5" w14:paraId="27AF6573" w14:textId="64529DED" w:rsidTr="008E68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pct"/>
            <w:tcBorders>
              <w:top w:val="none" w:sz="0" w:space="0" w:color="auto"/>
              <w:left w:val="none" w:sz="0" w:space="0" w:color="auto"/>
              <w:bottom w:val="none" w:sz="0" w:space="0" w:color="auto"/>
            </w:tcBorders>
            <w:vAlign w:val="center"/>
            <w:hideMark/>
          </w:tcPr>
          <w:p w14:paraId="5F5B0D2C" w14:textId="5A9C8306" w:rsidR="00F001DE" w:rsidRPr="00B87CC5" w:rsidRDefault="003042DA" w:rsidP="002926A7">
            <w:pPr>
              <w:pStyle w:val="TableTextbold"/>
              <w:spacing w:before="40" w:after="40"/>
              <w:rPr>
                <w:rFonts w:cs="Times New Roman"/>
                <w:szCs w:val="20"/>
              </w:rPr>
            </w:pPr>
            <w:r w:rsidRPr="00B87CC5">
              <w:rPr>
                <w:rFonts w:cs="Calibri"/>
                <w:color w:val="000000"/>
                <w:szCs w:val="18"/>
              </w:rPr>
              <w:t>(5) Ag</w:t>
            </w:r>
            <w:r w:rsidR="001E6DB3" w:rsidRPr="00B87CC5">
              <w:rPr>
                <w:rFonts w:cs="Calibri"/>
                <w:color w:val="000000"/>
                <w:szCs w:val="18"/>
              </w:rPr>
              <w:t>riculture</w:t>
            </w:r>
            <w:r w:rsidRPr="00B87CC5">
              <w:rPr>
                <w:rFonts w:cs="Calibri"/>
                <w:color w:val="000000"/>
                <w:szCs w:val="18"/>
              </w:rPr>
              <w:t xml:space="preserve"> pricing delay</w:t>
            </w:r>
          </w:p>
        </w:tc>
        <w:tc>
          <w:tcPr>
            <w:tcW w:w="376" w:type="pct"/>
            <w:tcBorders>
              <w:top w:val="none" w:sz="0" w:space="0" w:color="auto"/>
              <w:bottom w:val="none" w:sz="0" w:space="0" w:color="auto"/>
            </w:tcBorders>
            <w:noWrap/>
            <w:vAlign w:val="center"/>
            <w:hideMark/>
          </w:tcPr>
          <w:p w14:paraId="43154499" w14:textId="77115778"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4" w:type="pct"/>
            <w:tcBorders>
              <w:top w:val="none" w:sz="0" w:space="0" w:color="auto"/>
              <w:bottom w:val="none" w:sz="0" w:space="0" w:color="auto"/>
            </w:tcBorders>
            <w:noWrap/>
            <w:vAlign w:val="center"/>
            <w:hideMark/>
          </w:tcPr>
          <w:p w14:paraId="21F585D7" w14:textId="40A98BE4"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5" w:type="pct"/>
            <w:tcBorders>
              <w:top w:val="none" w:sz="0" w:space="0" w:color="auto"/>
              <w:bottom w:val="none" w:sz="0" w:space="0" w:color="auto"/>
            </w:tcBorders>
            <w:noWrap/>
            <w:vAlign w:val="center"/>
            <w:hideMark/>
          </w:tcPr>
          <w:p w14:paraId="631C3DEE" w14:textId="196821A0"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4" w:type="pct"/>
            <w:tcBorders>
              <w:top w:val="none" w:sz="0" w:space="0" w:color="auto"/>
              <w:bottom w:val="none" w:sz="0" w:space="0" w:color="auto"/>
            </w:tcBorders>
            <w:noWrap/>
            <w:vAlign w:val="center"/>
            <w:hideMark/>
          </w:tcPr>
          <w:p w14:paraId="4D80AF79" w14:textId="5ECA3F02"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1.9</w:t>
            </w:r>
          </w:p>
        </w:tc>
        <w:tc>
          <w:tcPr>
            <w:tcW w:w="374" w:type="pct"/>
            <w:tcBorders>
              <w:top w:val="none" w:sz="0" w:space="0" w:color="auto"/>
              <w:bottom w:val="none" w:sz="0" w:space="0" w:color="auto"/>
            </w:tcBorders>
            <w:noWrap/>
            <w:vAlign w:val="center"/>
            <w:hideMark/>
          </w:tcPr>
          <w:p w14:paraId="5CD890E5" w14:textId="22574047"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5" w:type="pct"/>
            <w:tcBorders>
              <w:top w:val="none" w:sz="0" w:space="0" w:color="auto"/>
              <w:bottom w:val="none" w:sz="0" w:space="0" w:color="auto"/>
            </w:tcBorders>
            <w:noWrap/>
            <w:vAlign w:val="center"/>
            <w:hideMark/>
          </w:tcPr>
          <w:p w14:paraId="7B3B7628" w14:textId="0EE30E33"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4" w:type="pct"/>
            <w:gridSpan w:val="2"/>
            <w:tcBorders>
              <w:top w:val="none" w:sz="0" w:space="0" w:color="auto"/>
              <w:bottom w:val="none" w:sz="0" w:space="0" w:color="auto"/>
            </w:tcBorders>
            <w:noWrap/>
            <w:vAlign w:val="center"/>
            <w:hideMark/>
          </w:tcPr>
          <w:p w14:paraId="3330DBFC" w14:textId="3D13CBE5"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1.9</w:t>
            </w:r>
          </w:p>
        </w:tc>
        <w:tc>
          <w:tcPr>
            <w:tcW w:w="378" w:type="pct"/>
            <w:tcBorders>
              <w:top w:val="none" w:sz="0" w:space="0" w:color="auto"/>
              <w:bottom w:val="none" w:sz="0" w:space="0" w:color="auto"/>
              <w:right w:val="none" w:sz="0" w:space="0" w:color="auto"/>
            </w:tcBorders>
            <w:noWrap/>
            <w:vAlign w:val="center"/>
            <w:hideMark/>
          </w:tcPr>
          <w:p w14:paraId="74742B56" w14:textId="7FD9DF25"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1.9</w:t>
            </w:r>
          </w:p>
        </w:tc>
      </w:tr>
      <w:tr w:rsidR="00D71411" w:rsidRPr="00B87CC5" w14:paraId="6B827437" w14:textId="476DAAB8" w:rsidTr="008E6812">
        <w:trPr>
          <w:trHeight w:val="290"/>
        </w:trPr>
        <w:tc>
          <w:tcPr>
            <w:cnfStyle w:val="001000000000" w:firstRow="0" w:lastRow="0" w:firstColumn="1" w:lastColumn="0" w:oddVBand="0" w:evenVBand="0" w:oddHBand="0" w:evenHBand="0" w:firstRowFirstColumn="0" w:firstRowLastColumn="0" w:lastRowFirstColumn="0" w:lastRowLastColumn="0"/>
            <w:tcW w:w="2000" w:type="pct"/>
            <w:vAlign w:val="center"/>
            <w:hideMark/>
          </w:tcPr>
          <w:p w14:paraId="0ED3B323" w14:textId="27261C25" w:rsidR="00F001DE" w:rsidRPr="00B87CC5" w:rsidRDefault="003042DA" w:rsidP="002926A7">
            <w:pPr>
              <w:pStyle w:val="TableTextbold"/>
              <w:spacing w:before="40" w:after="40"/>
              <w:rPr>
                <w:rFonts w:cs="Times New Roman"/>
                <w:szCs w:val="20"/>
              </w:rPr>
            </w:pPr>
            <w:r w:rsidRPr="00B87CC5">
              <w:rPr>
                <w:rFonts w:cs="Calibri"/>
                <w:color w:val="000000"/>
                <w:szCs w:val="18"/>
              </w:rPr>
              <w:t xml:space="preserve">(6) </w:t>
            </w:r>
            <w:r w:rsidR="00510E22" w:rsidRPr="00B87CC5">
              <w:rPr>
                <w:rFonts w:cs="Calibri"/>
                <w:color w:val="000000"/>
                <w:szCs w:val="18"/>
              </w:rPr>
              <w:t xml:space="preserve">Updated </w:t>
            </w:r>
            <w:r w:rsidRPr="00B87CC5">
              <w:rPr>
                <w:rFonts w:cs="Calibri"/>
                <w:color w:val="000000"/>
                <w:szCs w:val="18"/>
              </w:rPr>
              <w:t>price path</w:t>
            </w:r>
          </w:p>
        </w:tc>
        <w:tc>
          <w:tcPr>
            <w:tcW w:w="376" w:type="pct"/>
            <w:noWrap/>
            <w:vAlign w:val="center"/>
            <w:hideMark/>
          </w:tcPr>
          <w:p w14:paraId="6A8C0EB1" w14:textId="29B715E2"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0.7</w:t>
            </w:r>
          </w:p>
        </w:tc>
        <w:tc>
          <w:tcPr>
            <w:tcW w:w="374" w:type="pct"/>
            <w:noWrap/>
            <w:vAlign w:val="center"/>
            <w:hideMark/>
          </w:tcPr>
          <w:p w14:paraId="1A1C995C" w14:textId="007168C7"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5" w:type="pct"/>
            <w:noWrap/>
            <w:vAlign w:val="center"/>
            <w:hideMark/>
          </w:tcPr>
          <w:p w14:paraId="563417F7" w14:textId="75CB3D9D"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4" w:type="pct"/>
            <w:noWrap/>
            <w:vAlign w:val="center"/>
            <w:hideMark/>
          </w:tcPr>
          <w:p w14:paraId="27884BC1" w14:textId="6DF701E8"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4" w:type="pct"/>
            <w:noWrap/>
            <w:vAlign w:val="center"/>
            <w:hideMark/>
          </w:tcPr>
          <w:p w14:paraId="32CEE99B" w14:textId="7FA0F8DE"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5" w:type="pct"/>
            <w:noWrap/>
            <w:vAlign w:val="center"/>
            <w:hideMark/>
          </w:tcPr>
          <w:p w14:paraId="46E4A584" w14:textId="6E5AFFD5"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4" w:type="pct"/>
            <w:gridSpan w:val="2"/>
            <w:noWrap/>
            <w:vAlign w:val="center"/>
            <w:hideMark/>
          </w:tcPr>
          <w:p w14:paraId="4CAE9A5C" w14:textId="38766E30"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0.7</w:t>
            </w:r>
          </w:p>
        </w:tc>
        <w:tc>
          <w:tcPr>
            <w:tcW w:w="378" w:type="pct"/>
            <w:noWrap/>
            <w:vAlign w:val="center"/>
            <w:hideMark/>
          </w:tcPr>
          <w:p w14:paraId="61649A5B" w14:textId="3E5113B4"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0.7</w:t>
            </w:r>
          </w:p>
        </w:tc>
      </w:tr>
      <w:tr w:rsidR="00D71411" w:rsidRPr="00B87CC5" w14:paraId="46F7F150" w14:textId="4BC07949" w:rsidTr="008E68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pct"/>
            <w:tcBorders>
              <w:top w:val="none" w:sz="0" w:space="0" w:color="auto"/>
              <w:left w:val="none" w:sz="0" w:space="0" w:color="auto"/>
              <w:bottom w:val="none" w:sz="0" w:space="0" w:color="auto"/>
            </w:tcBorders>
            <w:vAlign w:val="center"/>
            <w:hideMark/>
          </w:tcPr>
          <w:p w14:paraId="06B1560C" w14:textId="00A9FCC5" w:rsidR="00F001DE" w:rsidRPr="00B87CC5" w:rsidRDefault="003042DA" w:rsidP="002926A7">
            <w:pPr>
              <w:pStyle w:val="TableTextbold"/>
              <w:spacing w:before="40" w:after="40"/>
              <w:rPr>
                <w:rFonts w:cs="Times New Roman"/>
                <w:szCs w:val="20"/>
              </w:rPr>
            </w:pPr>
            <w:r w:rsidRPr="00B87CC5">
              <w:rPr>
                <w:rFonts w:cs="Calibri"/>
                <w:color w:val="000000"/>
                <w:szCs w:val="18"/>
              </w:rPr>
              <w:t>(7) Removal of CCD</w:t>
            </w:r>
            <w:r w:rsidR="0060361C" w:rsidRPr="00B87CC5">
              <w:rPr>
                <w:rFonts w:cs="Calibri"/>
                <w:color w:val="000000"/>
                <w:szCs w:val="18"/>
              </w:rPr>
              <w:t xml:space="preserve"> </w:t>
            </w:r>
            <w:r w:rsidR="001E6DB3" w:rsidRPr="00B87CC5">
              <w:rPr>
                <w:rFonts w:cs="Calibri"/>
                <w:color w:val="000000"/>
                <w:szCs w:val="18"/>
              </w:rPr>
              <w:t xml:space="preserve">and </w:t>
            </w:r>
            <w:r w:rsidR="0060361C" w:rsidRPr="00B87CC5">
              <w:rPr>
                <w:rFonts w:cs="Calibri"/>
                <w:color w:val="000000"/>
                <w:szCs w:val="18"/>
              </w:rPr>
              <w:t>GIDI</w:t>
            </w:r>
            <w:r w:rsidR="00E51D35" w:rsidRPr="00B87CC5">
              <w:rPr>
                <w:rFonts w:cs="Calibri"/>
                <w:color w:val="000000"/>
                <w:szCs w:val="18"/>
              </w:rPr>
              <w:t xml:space="preserve"> fund</w:t>
            </w:r>
            <w:r w:rsidR="00FE0528" w:rsidRPr="00B87CC5">
              <w:rPr>
                <w:rFonts w:cs="Calibri"/>
                <w:color w:val="000000"/>
                <w:szCs w:val="18"/>
                <w:vertAlign w:val="superscript"/>
              </w:rPr>
              <w:t>***</w:t>
            </w:r>
          </w:p>
        </w:tc>
        <w:tc>
          <w:tcPr>
            <w:tcW w:w="376" w:type="pct"/>
            <w:tcBorders>
              <w:top w:val="none" w:sz="0" w:space="0" w:color="auto"/>
              <w:bottom w:val="none" w:sz="0" w:space="0" w:color="auto"/>
            </w:tcBorders>
            <w:noWrap/>
            <w:vAlign w:val="center"/>
            <w:hideMark/>
          </w:tcPr>
          <w:p w14:paraId="5C3ECBC5" w14:textId="7C127089" w:rsidR="00F001DE" w:rsidRPr="00B87CC5" w:rsidRDefault="00A120AF"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4</w:t>
            </w:r>
            <w:r w:rsidR="003042DA" w:rsidRPr="00B87CC5">
              <w:rPr>
                <w:rFonts w:cs="Calibri"/>
                <w:b w:val="0"/>
                <w:bCs/>
                <w:color w:val="000000"/>
                <w:szCs w:val="18"/>
              </w:rPr>
              <w:t>.3</w:t>
            </w:r>
          </w:p>
        </w:tc>
        <w:tc>
          <w:tcPr>
            <w:tcW w:w="374" w:type="pct"/>
            <w:tcBorders>
              <w:top w:val="none" w:sz="0" w:space="0" w:color="auto"/>
              <w:bottom w:val="none" w:sz="0" w:space="0" w:color="auto"/>
            </w:tcBorders>
            <w:noWrap/>
            <w:vAlign w:val="center"/>
            <w:hideMark/>
          </w:tcPr>
          <w:p w14:paraId="701C345B" w14:textId="0BB9C80A"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1.4</w:t>
            </w:r>
          </w:p>
        </w:tc>
        <w:tc>
          <w:tcPr>
            <w:tcW w:w="375" w:type="pct"/>
            <w:tcBorders>
              <w:top w:val="none" w:sz="0" w:space="0" w:color="auto"/>
              <w:bottom w:val="none" w:sz="0" w:space="0" w:color="auto"/>
            </w:tcBorders>
            <w:noWrap/>
            <w:vAlign w:val="center"/>
            <w:hideMark/>
          </w:tcPr>
          <w:p w14:paraId="05118791" w14:textId="1F93DB62"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4" w:type="pct"/>
            <w:tcBorders>
              <w:top w:val="none" w:sz="0" w:space="0" w:color="auto"/>
              <w:bottom w:val="none" w:sz="0" w:space="0" w:color="auto"/>
            </w:tcBorders>
            <w:noWrap/>
            <w:vAlign w:val="center"/>
            <w:hideMark/>
          </w:tcPr>
          <w:p w14:paraId="0C8A6693" w14:textId="5DEDB5C3"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4" w:type="pct"/>
            <w:tcBorders>
              <w:top w:val="none" w:sz="0" w:space="0" w:color="auto"/>
              <w:bottom w:val="none" w:sz="0" w:space="0" w:color="auto"/>
            </w:tcBorders>
            <w:noWrap/>
            <w:vAlign w:val="center"/>
            <w:hideMark/>
          </w:tcPr>
          <w:p w14:paraId="348DBEEA" w14:textId="05591E1B"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5" w:type="pct"/>
            <w:tcBorders>
              <w:top w:val="none" w:sz="0" w:space="0" w:color="auto"/>
              <w:bottom w:val="none" w:sz="0" w:space="0" w:color="auto"/>
            </w:tcBorders>
            <w:noWrap/>
            <w:vAlign w:val="center"/>
            <w:hideMark/>
          </w:tcPr>
          <w:p w14:paraId="3CE1E29C" w14:textId="4C6C35C7"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w:t>
            </w:r>
          </w:p>
        </w:tc>
        <w:tc>
          <w:tcPr>
            <w:tcW w:w="374" w:type="pct"/>
            <w:gridSpan w:val="2"/>
            <w:tcBorders>
              <w:top w:val="none" w:sz="0" w:space="0" w:color="auto"/>
              <w:bottom w:val="none" w:sz="0" w:space="0" w:color="auto"/>
            </w:tcBorders>
            <w:noWrap/>
            <w:vAlign w:val="center"/>
            <w:hideMark/>
          </w:tcPr>
          <w:p w14:paraId="40BF5F13" w14:textId="6A742157" w:rsidR="00F001DE" w:rsidRPr="00B87CC5" w:rsidRDefault="002166FB"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5.7</w:t>
            </w:r>
          </w:p>
        </w:tc>
        <w:tc>
          <w:tcPr>
            <w:tcW w:w="378" w:type="pct"/>
            <w:tcBorders>
              <w:top w:val="none" w:sz="0" w:space="0" w:color="auto"/>
              <w:bottom w:val="none" w:sz="0" w:space="0" w:color="auto"/>
              <w:right w:val="none" w:sz="0" w:space="0" w:color="auto"/>
            </w:tcBorders>
            <w:noWrap/>
            <w:vAlign w:val="center"/>
            <w:hideMark/>
          </w:tcPr>
          <w:p w14:paraId="08AF4508" w14:textId="04300444" w:rsidR="00F001DE" w:rsidRPr="00B87CC5" w:rsidRDefault="002166FB"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5.7</w:t>
            </w:r>
          </w:p>
        </w:tc>
      </w:tr>
      <w:tr w:rsidR="00D71411" w:rsidRPr="00B87CC5" w14:paraId="611A9E9C" w14:textId="2420143F" w:rsidTr="008E6812">
        <w:trPr>
          <w:trHeight w:val="290"/>
        </w:trPr>
        <w:tc>
          <w:tcPr>
            <w:cnfStyle w:val="001000000000" w:firstRow="0" w:lastRow="0" w:firstColumn="1" w:lastColumn="0" w:oddVBand="0" w:evenVBand="0" w:oddHBand="0" w:evenHBand="0" w:firstRowFirstColumn="0" w:firstRowLastColumn="0" w:lastRowFirstColumn="0" w:lastRowLastColumn="0"/>
            <w:tcW w:w="2000" w:type="pct"/>
            <w:vAlign w:val="center"/>
            <w:hideMark/>
          </w:tcPr>
          <w:p w14:paraId="30F166C0" w14:textId="556B5B60" w:rsidR="00F001DE" w:rsidRPr="00B87CC5" w:rsidRDefault="003042DA" w:rsidP="002926A7">
            <w:pPr>
              <w:pStyle w:val="TableTextbold"/>
              <w:spacing w:before="40" w:after="40"/>
              <w:rPr>
                <w:rFonts w:cs="Times New Roman"/>
                <w:szCs w:val="20"/>
              </w:rPr>
            </w:pPr>
            <w:r w:rsidRPr="00B87CC5">
              <w:rPr>
                <w:rFonts w:cs="Calibri"/>
                <w:color w:val="000000"/>
                <w:szCs w:val="18"/>
              </w:rPr>
              <w:t>(8) Total change</w:t>
            </w:r>
          </w:p>
        </w:tc>
        <w:tc>
          <w:tcPr>
            <w:tcW w:w="376" w:type="pct"/>
            <w:noWrap/>
            <w:vAlign w:val="center"/>
            <w:hideMark/>
          </w:tcPr>
          <w:p w14:paraId="37FFA1AD" w14:textId="3BA46CA8"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21.7</w:t>
            </w:r>
          </w:p>
        </w:tc>
        <w:tc>
          <w:tcPr>
            <w:tcW w:w="374" w:type="pct"/>
            <w:noWrap/>
            <w:vAlign w:val="center"/>
            <w:hideMark/>
          </w:tcPr>
          <w:p w14:paraId="64EA4017" w14:textId="1452D036" w:rsidR="00F001DE" w:rsidRPr="00B87CC5" w:rsidRDefault="009765C6"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w:t>
            </w:r>
            <w:r w:rsidR="003042DA" w:rsidRPr="00B87CC5">
              <w:rPr>
                <w:rFonts w:cs="Calibri"/>
                <w:b w:val="0"/>
                <w:bCs/>
                <w:color w:val="000000"/>
                <w:szCs w:val="18"/>
              </w:rPr>
              <w:t>0.5</w:t>
            </w:r>
          </w:p>
        </w:tc>
        <w:tc>
          <w:tcPr>
            <w:tcW w:w="375" w:type="pct"/>
            <w:noWrap/>
            <w:vAlign w:val="center"/>
            <w:hideMark/>
          </w:tcPr>
          <w:p w14:paraId="09A98ED2" w14:textId="17C37357"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0.4</w:t>
            </w:r>
          </w:p>
        </w:tc>
        <w:tc>
          <w:tcPr>
            <w:tcW w:w="374" w:type="pct"/>
            <w:noWrap/>
            <w:vAlign w:val="center"/>
            <w:hideMark/>
          </w:tcPr>
          <w:p w14:paraId="48D8C74F" w14:textId="09AB2A96"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4.0</w:t>
            </w:r>
          </w:p>
        </w:tc>
        <w:tc>
          <w:tcPr>
            <w:tcW w:w="374" w:type="pct"/>
            <w:noWrap/>
            <w:vAlign w:val="center"/>
            <w:hideMark/>
          </w:tcPr>
          <w:p w14:paraId="3F63044E" w14:textId="79F67B4F"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0.5</w:t>
            </w:r>
          </w:p>
        </w:tc>
        <w:tc>
          <w:tcPr>
            <w:tcW w:w="375" w:type="pct"/>
            <w:noWrap/>
            <w:vAlign w:val="center"/>
            <w:hideMark/>
          </w:tcPr>
          <w:p w14:paraId="54A8FFAC" w14:textId="480A5566" w:rsidR="00F001DE" w:rsidRPr="00B87CC5" w:rsidRDefault="009765C6"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w:t>
            </w:r>
            <w:r w:rsidR="003042DA" w:rsidRPr="00B87CC5">
              <w:rPr>
                <w:rFonts w:cs="Calibri"/>
                <w:b w:val="0"/>
                <w:bCs/>
                <w:color w:val="000000"/>
                <w:szCs w:val="18"/>
              </w:rPr>
              <w:t>0.3</w:t>
            </w:r>
          </w:p>
        </w:tc>
        <w:tc>
          <w:tcPr>
            <w:tcW w:w="374" w:type="pct"/>
            <w:gridSpan w:val="2"/>
            <w:noWrap/>
            <w:vAlign w:val="center"/>
            <w:hideMark/>
          </w:tcPr>
          <w:p w14:paraId="7265536E" w14:textId="705A438B"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26.1</w:t>
            </w:r>
          </w:p>
        </w:tc>
        <w:tc>
          <w:tcPr>
            <w:tcW w:w="378" w:type="pct"/>
            <w:noWrap/>
            <w:vAlign w:val="center"/>
            <w:hideMark/>
          </w:tcPr>
          <w:p w14:paraId="343E9D05" w14:textId="4F73AF7C" w:rsidR="00F001DE" w:rsidRPr="00B87CC5" w:rsidRDefault="003042DA" w:rsidP="002926A7">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cs="Calibri"/>
                <w:b w:val="0"/>
                <w:bCs/>
                <w:color w:val="000000"/>
                <w:szCs w:val="18"/>
              </w:rPr>
              <w:t>25.8</w:t>
            </w:r>
          </w:p>
        </w:tc>
      </w:tr>
      <w:tr w:rsidR="00D71411" w:rsidRPr="00B87CC5" w14:paraId="5FE39348" w14:textId="21A1C515" w:rsidTr="008E681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000" w:type="pct"/>
            <w:tcBorders>
              <w:top w:val="none" w:sz="0" w:space="0" w:color="auto"/>
              <w:left w:val="none" w:sz="0" w:space="0" w:color="auto"/>
              <w:bottom w:val="none" w:sz="0" w:space="0" w:color="auto"/>
            </w:tcBorders>
            <w:vAlign w:val="center"/>
            <w:hideMark/>
          </w:tcPr>
          <w:p w14:paraId="55439FB0" w14:textId="4F7B0EB8" w:rsidR="00F001DE" w:rsidRPr="00B87CC5" w:rsidRDefault="003042DA" w:rsidP="002926A7">
            <w:pPr>
              <w:pStyle w:val="TableTextbold"/>
              <w:spacing w:before="40" w:after="40"/>
              <w:rPr>
                <w:rFonts w:cs="Times New Roman"/>
                <w:b/>
                <w:szCs w:val="20"/>
              </w:rPr>
            </w:pPr>
            <w:r w:rsidRPr="00B87CC5">
              <w:rPr>
                <w:rFonts w:cs="Calibri"/>
                <w:b/>
                <w:color w:val="000000"/>
                <w:szCs w:val="18"/>
              </w:rPr>
              <w:t xml:space="preserve">(9) Interim ERP2 </w:t>
            </w:r>
            <w:r w:rsidR="001E6DB3" w:rsidRPr="00B87CC5">
              <w:rPr>
                <w:rFonts w:cs="Calibri"/>
                <w:b/>
                <w:color w:val="000000"/>
                <w:szCs w:val="18"/>
              </w:rPr>
              <w:t>b</w:t>
            </w:r>
            <w:r w:rsidRPr="00B87CC5">
              <w:rPr>
                <w:rFonts w:cs="Calibri"/>
                <w:b/>
                <w:color w:val="000000"/>
                <w:szCs w:val="18"/>
              </w:rPr>
              <w:t>aseline</w:t>
            </w:r>
          </w:p>
        </w:tc>
        <w:tc>
          <w:tcPr>
            <w:tcW w:w="376" w:type="pct"/>
            <w:tcBorders>
              <w:top w:val="none" w:sz="0" w:space="0" w:color="auto"/>
              <w:bottom w:val="none" w:sz="0" w:space="0" w:color="auto"/>
            </w:tcBorders>
            <w:noWrap/>
            <w:vAlign w:val="center"/>
            <w:hideMark/>
          </w:tcPr>
          <w:p w14:paraId="1E51F4B0" w14:textId="4D0C0B2B"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87CC5">
              <w:rPr>
                <w:rFonts w:cs="Calibri"/>
                <w:color w:val="000000"/>
                <w:szCs w:val="18"/>
              </w:rPr>
              <w:t>72.8</w:t>
            </w:r>
          </w:p>
        </w:tc>
        <w:tc>
          <w:tcPr>
            <w:tcW w:w="374" w:type="pct"/>
            <w:tcBorders>
              <w:top w:val="none" w:sz="0" w:space="0" w:color="auto"/>
              <w:bottom w:val="none" w:sz="0" w:space="0" w:color="auto"/>
            </w:tcBorders>
            <w:noWrap/>
            <w:vAlign w:val="center"/>
            <w:hideMark/>
          </w:tcPr>
          <w:p w14:paraId="4924BDEF" w14:textId="64DF2DA9"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87CC5">
              <w:rPr>
                <w:rFonts w:cs="Calibri"/>
                <w:color w:val="000000"/>
                <w:szCs w:val="18"/>
              </w:rPr>
              <w:t>68.8</w:t>
            </w:r>
          </w:p>
        </w:tc>
        <w:tc>
          <w:tcPr>
            <w:tcW w:w="375" w:type="pct"/>
            <w:tcBorders>
              <w:top w:val="none" w:sz="0" w:space="0" w:color="auto"/>
              <w:bottom w:val="none" w:sz="0" w:space="0" w:color="auto"/>
            </w:tcBorders>
            <w:noWrap/>
            <w:vAlign w:val="center"/>
            <w:hideMark/>
          </w:tcPr>
          <w:p w14:paraId="219743EE" w14:textId="2E62EE78"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87CC5">
              <w:rPr>
                <w:rFonts w:cs="Calibri"/>
                <w:color w:val="000000"/>
                <w:szCs w:val="18"/>
              </w:rPr>
              <w:t>18.0</w:t>
            </w:r>
          </w:p>
        </w:tc>
        <w:tc>
          <w:tcPr>
            <w:tcW w:w="374" w:type="pct"/>
            <w:tcBorders>
              <w:top w:val="none" w:sz="0" w:space="0" w:color="auto"/>
              <w:bottom w:val="none" w:sz="0" w:space="0" w:color="auto"/>
            </w:tcBorders>
            <w:noWrap/>
            <w:vAlign w:val="center"/>
            <w:hideMark/>
          </w:tcPr>
          <w:p w14:paraId="4315CD97" w14:textId="0D9A124C"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87CC5">
              <w:rPr>
                <w:rFonts w:cs="Calibri"/>
                <w:color w:val="000000"/>
                <w:szCs w:val="18"/>
              </w:rPr>
              <w:t>192.1</w:t>
            </w:r>
          </w:p>
        </w:tc>
        <w:tc>
          <w:tcPr>
            <w:tcW w:w="374" w:type="pct"/>
            <w:tcBorders>
              <w:top w:val="none" w:sz="0" w:space="0" w:color="auto"/>
              <w:bottom w:val="none" w:sz="0" w:space="0" w:color="auto"/>
            </w:tcBorders>
            <w:noWrap/>
            <w:vAlign w:val="center"/>
            <w:hideMark/>
          </w:tcPr>
          <w:p w14:paraId="367CE250" w14:textId="61659BB2"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87CC5">
              <w:rPr>
                <w:rFonts w:cs="Calibri"/>
                <w:color w:val="000000"/>
                <w:szCs w:val="18"/>
              </w:rPr>
              <w:t>16.6</w:t>
            </w:r>
          </w:p>
        </w:tc>
        <w:tc>
          <w:tcPr>
            <w:tcW w:w="375" w:type="pct"/>
            <w:tcBorders>
              <w:top w:val="none" w:sz="0" w:space="0" w:color="auto"/>
              <w:bottom w:val="none" w:sz="0" w:space="0" w:color="auto"/>
            </w:tcBorders>
            <w:noWrap/>
            <w:vAlign w:val="center"/>
            <w:hideMark/>
          </w:tcPr>
          <w:p w14:paraId="7002E356" w14:textId="3EF09723" w:rsidR="00F001DE" w:rsidRPr="00B87CC5" w:rsidRDefault="009765C6"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87CC5">
              <w:rPr>
                <w:rFonts w:cs="Calibri"/>
                <w:color w:val="000000"/>
                <w:szCs w:val="18"/>
              </w:rPr>
              <w:t>–</w:t>
            </w:r>
            <w:r w:rsidR="003042DA" w:rsidRPr="00B87CC5">
              <w:rPr>
                <w:rFonts w:cs="Calibri"/>
                <w:color w:val="000000"/>
                <w:szCs w:val="18"/>
              </w:rPr>
              <w:t>61.2</w:t>
            </w:r>
          </w:p>
        </w:tc>
        <w:tc>
          <w:tcPr>
            <w:tcW w:w="374" w:type="pct"/>
            <w:gridSpan w:val="2"/>
            <w:tcBorders>
              <w:top w:val="none" w:sz="0" w:space="0" w:color="auto"/>
              <w:bottom w:val="none" w:sz="0" w:space="0" w:color="auto"/>
            </w:tcBorders>
            <w:noWrap/>
            <w:vAlign w:val="center"/>
            <w:hideMark/>
          </w:tcPr>
          <w:p w14:paraId="39D85700" w14:textId="040B2733"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87CC5">
              <w:rPr>
                <w:rFonts w:cs="Calibri"/>
                <w:color w:val="000000"/>
                <w:szCs w:val="18"/>
              </w:rPr>
              <w:t>368.3</w:t>
            </w:r>
          </w:p>
        </w:tc>
        <w:tc>
          <w:tcPr>
            <w:tcW w:w="378" w:type="pct"/>
            <w:tcBorders>
              <w:top w:val="none" w:sz="0" w:space="0" w:color="auto"/>
              <w:bottom w:val="none" w:sz="0" w:space="0" w:color="auto"/>
              <w:right w:val="none" w:sz="0" w:space="0" w:color="auto"/>
            </w:tcBorders>
            <w:noWrap/>
            <w:vAlign w:val="center"/>
            <w:hideMark/>
          </w:tcPr>
          <w:p w14:paraId="3B8E5F1C" w14:textId="77E830B7" w:rsidR="00F001DE" w:rsidRPr="00B87CC5" w:rsidRDefault="003042DA" w:rsidP="002926A7">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87CC5">
              <w:rPr>
                <w:rFonts w:cs="Calibri"/>
                <w:color w:val="000000"/>
                <w:szCs w:val="18"/>
              </w:rPr>
              <w:t>307.1</w:t>
            </w:r>
          </w:p>
        </w:tc>
      </w:tr>
    </w:tbl>
    <w:p w14:paraId="6E8391B7" w14:textId="6D66F9FF" w:rsidR="001E6DB3" w:rsidRPr="00B87CC5" w:rsidRDefault="001E6DB3" w:rsidP="00B62EB1">
      <w:pPr>
        <w:pStyle w:val="Note"/>
        <w:rPr>
          <w:lang w:eastAsia="en-US"/>
        </w:rPr>
      </w:pPr>
      <w:r w:rsidRPr="00B87CC5">
        <w:rPr>
          <w:lang w:eastAsia="en-US"/>
        </w:rPr>
        <w:t xml:space="preserve">Note: CCD = clean car discount; GIDI = </w:t>
      </w:r>
      <w:r w:rsidRPr="00B87CC5">
        <w:rPr>
          <w:rFonts w:asciiTheme="minorHAnsi" w:hAnsiTheme="minorHAnsi" w:cstheme="minorHAnsi"/>
        </w:rPr>
        <w:t>Government Investment in Decarbonising Industry;</w:t>
      </w:r>
      <w:r w:rsidRPr="00B87CC5">
        <w:rPr>
          <w:lang w:eastAsia="en-US"/>
        </w:rPr>
        <w:t xml:space="preserve"> IPPU = industrial processes and product use; NZ ETS = New Zealand Emissions Trading Scheme; WEM = with existing measures.</w:t>
      </w:r>
    </w:p>
    <w:p w14:paraId="318387A9" w14:textId="5C399BFB" w:rsidR="00FE0528" w:rsidRPr="00B87CC5" w:rsidRDefault="00FE0528" w:rsidP="008E6812">
      <w:pPr>
        <w:pStyle w:val="Note"/>
        <w:spacing w:before="0" w:after="80"/>
        <w:rPr>
          <w:lang w:eastAsia="en-US"/>
        </w:rPr>
      </w:pPr>
      <w:r w:rsidRPr="00B87CC5">
        <w:rPr>
          <w:lang w:eastAsia="en-US"/>
        </w:rPr>
        <w:t>*</w:t>
      </w:r>
      <w:r w:rsidR="001E6DB3" w:rsidRPr="00B87CC5">
        <w:rPr>
          <w:lang w:eastAsia="en-US"/>
        </w:rPr>
        <w:t xml:space="preserve"> </w:t>
      </w:r>
      <w:r w:rsidRPr="00B87CC5">
        <w:rPr>
          <w:lang w:eastAsia="en-US"/>
        </w:rPr>
        <w:t>This is an estimate of the difference in modelled energy emissions resulting from changes in the modelling of the interaction between policies and the</w:t>
      </w:r>
      <w:r w:rsidR="009765C6" w:rsidRPr="00B87CC5">
        <w:rPr>
          <w:lang w:eastAsia="en-US"/>
        </w:rPr>
        <w:t xml:space="preserve"> NZ</w:t>
      </w:r>
      <w:r w:rsidRPr="00B87CC5">
        <w:rPr>
          <w:lang w:eastAsia="en-US"/>
        </w:rPr>
        <w:t xml:space="preserve"> ETS. The 2023 emission</w:t>
      </w:r>
      <w:r w:rsidR="009765C6" w:rsidRPr="00B87CC5">
        <w:rPr>
          <w:lang w:eastAsia="en-US"/>
        </w:rPr>
        <w:t>s</w:t>
      </w:r>
      <w:r w:rsidRPr="00B87CC5">
        <w:rPr>
          <w:lang w:eastAsia="en-US"/>
        </w:rPr>
        <w:t xml:space="preserve"> projections calculated energy emissions and then subtracted the additional effects of some GIDI projects. In the updated projections, the effects of </w:t>
      </w:r>
      <w:r w:rsidR="00E51D35" w:rsidRPr="00B87CC5">
        <w:rPr>
          <w:lang w:eastAsia="en-US"/>
        </w:rPr>
        <w:t xml:space="preserve">the </w:t>
      </w:r>
      <w:r w:rsidRPr="00B87CC5">
        <w:rPr>
          <w:lang w:eastAsia="en-US"/>
        </w:rPr>
        <w:t>GIDI</w:t>
      </w:r>
      <w:r w:rsidR="00E51D35" w:rsidRPr="00B87CC5">
        <w:rPr>
          <w:lang w:eastAsia="en-US"/>
        </w:rPr>
        <w:t xml:space="preserve"> fund</w:t>
      </w:r>
      <w:r w:rsidRPr="00B87CC5">
        <w:rPr>
          <w:lang w:eastAsia="en-US"/>
        </w:rPr>
        <w:t xml:space="preserve"> are limited to those included in the model (including the assumption of an electric arc furnace at NZ Steel and a shift away from coal use for industrial heat, consistent with the requirements of the </w:t>
      </w:r>
      <w:r w:rsidR="009765C6" w:rsidRPr="00B87CC5">
        <w:rPr>
          <w:i/>
          <w:lang w:eastAsia="en-US"/>
        </w:rPr>
        <w:t xml:space="preserve">National Policy Statement for Greenhouse Gas Emissions </w:t>
      </w:r>
      <w:r w:rsidR="009765C6" w:rsidRPr="00B87CC5">
        <w:rPr>
          <w:i/>
          <w:iCs/>
          <w:lang w:eastAsia="en-US"/>
        </w:rPr>
        <w:t>from</w:t>
      </w:r>
      <w:r w:rsidRPr="00B87CC5">
        <w:rPr>
          <w:i/>
          <w:lang w:eastAsia="en-US"/>
        </w:rPr>
        <w:t xml:space="preserve"> Industrial Process Heat</w:t>
      </w:r>
      <w:r w:rsidRPr="00B87CC5">
        <w:rPr>
          <w:lang w:eastAsia="en-US"/>
        </w:rPr>
        <w:t>.</w:t>
      </w:r>
      <w:r w:rsidR="00CF1C2A" w:rsidRPr="00B87CC5">
        <w:rPr>
          <w:rStyle w:val="FootnoteReference"/>
          <w:lang w:eastAsia="en-US"/>
        </w:rPr>
        <w:footnoteReference w:id="17"/>
      </w:r>
    </w:p>
    <w:p w14:paraId="6B3C96D9" w14:textId="2921CA98" w:rsidR="004017A4" w:rsidRPr="00B87CC5" w:rsidRDefault="00FE0528" w:rsidP="008E6812">
      <w:pPr>
        <w:pStyle w:val="Note"/>
        <w:spacing w:before="0" w:after="80"/>
        <w:rPr>
          <w:lang w:eastAsia="en-US"/>
        </w:rPr>
      </w:pPr>
      <w:r w:rsidRPr="00B87CC5">
        <w:rPr>
          <w:lang w:eastAsia="en-US"/>
        </w:rPr>
        <w:t>**</w:t>
      </w:r>
      <w:r w:rsidR="009765C6" w:rsidRPr="00B87CC5">
        <w:rPr>
          <w:lang w:eastAsia="en-US"/>
        </w:rPr>
        <w:t xml:space="preserve"> </w:t>
      </w:r>
      <w:r w:rsidRPr="00B87CC5">
        <w:rPr>
          <w:lang w:eastAsia="en-US"/>
        </w:rPr>
        <w:t>This is an estimate of the difference in modelled energy emissions due to the use of a different modelling platform (ENZ). For example, MBIE’s projections are based on a more detailed optimisation model to simulate electricity generation under different hydrological profiles. In contrast</w:t>
      </w:r>
      <w:r w:rsidR="00CF1C2A" w:rsidRPr="00B87CC5">
        <w:rPr>
          <w:lang w:eastAsia="en-US"/>
        </w:rPr>
        <w:t>,</w:t>
      </w:r>
      <w:r w:rsidRPr="00B87CC5">
        <w:rPr>
          <w:lang w:eastAsia="en-US"/>
        </w:rPr>
        <w:t xml:space="preserve"> </w:t>
      </w:r>
      <w:r w:rsidR="00CF1C2A" w:rsidRPr="00B87CC5">
        <w:rPr>
          <w:lang w:eastAsia="en-US"/>
        </w:rPr>
        <w:t xml:space="preserve">the </w:t>
      </w:r>
      <w:r w:rsidRPr="00B87CC5">
        <w:rPr>
          <w:lang w:eastAsia="en-US"/>
        </w:rPr>
        <w:t xml:space="preserve">ENZ </w:t>
      </w:r>
      <w:r w:rsidR="00CF1C2A" w:rsidRPr="00B87CC5">
        <w:rPr>
          <w:lang w:eastAsia="en-US"/>
        </w:rPr>
        <w:t xml:space="preserve">model </w:t>
      </w:r>
      <w:r w:rsidRPr="00B87CC5">
        <w:rPr>
          <w:lang w:eastAsia="en-US"/>
        </w:rPr>
        <w:t xml:space="preserve">uses average inputs. </w:t>
      </w:r>
      <w:r w:rsidR="00CF1C2A" w:rsidRPr="00B87CC5">
        <w:rPr>
          <w:lang w:eastAsia="en-US"/>
        </w:rPr>
        <w:t xml:space="preserve">It </w:t>
      </w:r>
      <w:r w:rsidRPr="00B87CC5">
        <w:rPr>
          <w:lang w:eastAsia="en-US"/>
        </w:rPr>
        <w:t>predicts lower requirements for coal</w:t>
      </w:r>
      <w:r w:rsidR="001E322D" w:rsidRPr="00B87CC5">
        <w:rPr>
          <w:lang w:eastAsia="en-US"/>
        </w:rPr>
        <w:t>-</w:t>
      </w:r>
      <w:r w:rsidRPr="00B87CC5">
        <w:rPr>
          <w:lang w:eastAsia="en-US"/>
        </w:rPr>
        <w:t xml:space="preserve"> and gas-fired generation, but higher natural gas demand for process heat.</w:t>
      </w:r>
    </w:p>
    <w:p w14:paraId="2A7EBA2C" w14:textId="1065FDF7" w:rsidR="004017A4" w:rsidRPr="00B87CC5" w:rsidRDefault="004017A4" w:rsidP="008E6812">
      <w:pPr>
        <w:pStyle w:val="Note"/>
        <w:spacing w:before="0"/>
        <w:rPr>
          <w:lang w:eastAsia="en-US"/>
        </w:rPr>
      </w:pPr>
      <w:r w:rsidRPr="00B87CC5">
        <w:rPr>
          <w:lang w:eastAsia="en-US"/>
        </w:rPr>
        <w:t>***</w:t>
      </w:r>
      <w:r w:rsidR="009765C6" w:rsidRPr="00B87CC5">
        <w:rPr>
          <w:lang w:eastAsia="en-US"/>
        </w:rPr>
        <w:t xml:space="preserve"> </w:t>
      </w:r>
      <w:r w:rsidRPr="00B87CC5">
        <w:rPr>
          <w:lang w:eastAsia="en-US"/>
        </w:rPr>
        <w:t>This is based on an updated estimate of emissions abatement from GIDI projects</w:t>
      </w:r>
      <w:r w:rsidR="00CF1C2A" w:rsidRPr="00B87CC5">
        <w:rPr>
          <w:lang w:eastAsia="en-US"/>
        </w:rPr>
        <w:t>, considering</w:t>
      </w:r>
      <w:r w:rsidRPr="00B87CC5">
        <w:rPr>
          <w:lang w:eastAsia="en-US"/>
        </w:rPr>
        <w:t xml:space="preserve"> updated information on project timelines for the delivery of funded GIDI projects, updated </w:t>
      </w:r>
      <w:r w:rsidR="00CF1C2A" w:rsidRPr="00B87CC5">
        <w:rPr>
          <w:lang w:eastAsia="en-US"/>
        </w:rPr>
        <w:t xml:space="preserve">NZ </w:t>
      </w:r>
      <w:r w:rsidRPr="00B87CC5">
        <w:rPr>
          <w:lang w:eastAsia="en-US"/>
        </w:rPr>
        <w:t>ETS price path assumptions, and the policy to discontinue further GIDI funding</w:t>
      </w:r>
      <w:r w:rsidR="00E51D35" w:rsidRPr="00B87CC5">
        <w:rPr>
          <w:lang w:eastAsia="en-US"/>
        </w:rPr>
        <w:t>.</w:t>
      </w:r>
    </w:p>
    <w:p w14:paraId="0F50DE0E" w14:textId="77777777" w:rsidR="003E4CAC" w:rsidRPr="00B87CC5" w:rsidRDefault="003E4CAC" w:rsidP="003E4CAC">
      <w:pPr>
        <w:pStyle w:val="Heading3"/>
      </w:pPr>
      <w:r w:rsidRPr="00B87CC5">
        <w:t>Uncertainty</w:t>
      </w:r>
    </w:p>
    <w:p w14:paraId="687AC5FC" w14:textId="6F6ED471" w:rsidR="00872B65" w:rsidRPr="00B87CC5" w:rsidRDefault="003E4CAC" w:rsidP="003E4CAC">
      <w:pPr>
        <w:pStyle w:val="BodyText"/>
        <w:rPr>
          <w:lang w:eastAsia="en-US"/>
        </w:rPr>
      </w:pPr>
      <w:r w:rsidRPr="00B87CC5">
        <w:rPr>
          <w:lang w:eastAsia="en-US"/>
        </w:rPr>
        <w:t>The results include a central projection and an uncertainty range around this. The range is based on a comparison of the difference between emission</w:t>
      </w:r>
      <w:r w:rsidR="00CF1C2A" w:rsidRPr="00B87CC5">
        <w:rPr>
          <w:lang w:eastAsia="en-US"/>
        </w:rPr>
        <w:t>s</w:t>
      </w:r>
      <w:r w:rsidRPr="00B87CC5">
        <w:rPr>
          <w:lang w:eastAsia="en-US"/>
        </w:rPr>
        <w:t xml:space="preserve"> projections previously estimated and the outturn emissions when measured for the updated inventory. Historical deviations were calculated as the absolute percentage difference between actual emissions inventory and</w:t>
      </w:r>
      <w:r w:rsidR="002926A7" w:rsidRPr="00B87CC5">
        <w:rPr>
          <w:lang w:eastAsia="en-US"/>
        </w:rPr>
        <w:t> </w:t>
      </w:r>
      <w:r w:rsidRPr="00B87CC5">
        <w:rPr>
          <w:lang w:eastAsia="en-US"/>
        </w:rPr>
        <w:t xml:space="preserve">historical projections by sector, defining this as the </w:t>
      </w:r>
      <w:r w:rsidR="00CF1C2A" w:rsidRPr="00B87CC5">
        <w:rPr>
          <w:lang w:eastAsia="en-US"/>
        </w:rPr>
        <w:t>a</w:t>
      </w:r>
      <w:r w:rsidRPr="00B87CC5">
        <w:rPr>
          <w:lang w:eastAsia="en-US"/>
        </w:rPr>
        <w:t xml:space="preserve">bsolute </w:t>
      </w:r>
      <w:r w:rsidR="00CF1C2A" w:rsidRPr="00B87CC5">
        <w:rPr>
          <w:lang w:eastAsia="en-US"/>
        </w:rPr>
        <w:t>d</w:t>
      </w:r>
      <w:r w:rsidRPr="00B87CC5">
        <w:rPr>
          <w:lang w:eastAsia="en-US"/>
        </w:rPr>
        <w:t xml:space="preserve">eviation </w:t>
      </w:r>
      <w:r w:rsidR="00CF1C2A" w:rsidRPr="00B87CC5">
        <w:rPr>
          <w:lang w:eastAsia="en-US"/>
        </w:rPr>
        <w:t>f</w:t>
      </w:r>
      <w:r w:rsidRPr="00B87CC5">
        <w:rPr>
          <w:lang w:eastAsia="en-US"/>
        </w:rPr>
        <w:t xml:space="preserve">actor (ADF). </w:t>
      </w:r>
    </w:p>
    <w:p w14:paraId="2C636E98" w14:textId="658325D3" w:rsidR="003E4CAC" w:rsidRPr="00B87CC5" w:rsidRDefault="003E4CAC" w:rsidP="003E4CAC">
      <w:pPr>
        <w:pStyle w:val="BodyText"/>
        <w:rPr>
          <w:lang w:eastAsia="en-US"/>
        </w:rPr>
      </w:pPr>
      <w:r w:rsidRPr="00B87CC5">
        <w:rPr>
          <w:lang w:eastAsia="en-US"/>
        </w:rPr>
        <w:lastRenderedPageBreak/>
        <w:t xml:space="preserve">We then fitted a regression model to the ADF, considering how far in advance each projection was published. This relationship was applied to the new interim projections: the high estimate was the central projection plus the fitted ADF, and the low estimate was the central projection </w:t>
      </w:r>
      <w:r w:rsidRPr="00B87CC5">
        <w:rPr>
          <w:spacing w:val="-2"/>
          <w:lang w:eastAsia="en-US"/>
        </w:rPr>
        <w:t>minus the fitted ADF. The advantage of this approach is that uncertainty estimates are informed</w:t>
      </w:r>
      <w:r w:rsidRPr="00B87CC5">
        <w:rPr>
          <w:lang w:eastAsia="en-US"/>
        </w:rPr>
        <w:t xml:space="preserve"> by past deviations. However, it is limited by the availability of historical data (projections began in 2015</w:t>
      </w:r>
      <w:proofErr w:type="gramStart"/>
      <w:r w:rsidRPr="00B87CC5">
        <w:rPr>
          <w:lang w:eastAsia="en-US"/>
        </w:rPr>
        <w:t>)</w:t>
      </w:r>
      <w:proofErr w:type="gramEnd"/>
      <w:r w:rsidRPr="00B87CC5">
        <w:rPr>
          <w:lang w:eastAsia="en-US"/>
        </w:rPr>
        <w:t xml:space="preserve"> and it does not necessarily account for all possible sources of deviation. </w:t>
      </w:r>
    </w:p>
    <w:p w14:paraId="7D9676D6" w14:textId="4E17DB14" w:rsidR="003E4CAC" w:rsidRPr="00B87CC5" w:rsidRDefault="003E4CAC" w:rsidP="003E4CAC">
      <w:pPr>
        <w:pStyle w:val="Heading3"/>
      </w:pPr>
      <w:r w:rsidRPr="00B87CC5">
        <w:t xml:space="preserve">Sensitivity </w:t>
      </w:r>
      <w:r w:rsidR="004F5E27" w:rsidRPr="00B87CC5">
        <w:t>a</w:t>
      </w:r>
      <w:r w:rsidRPr="00B87CC5">
        <w:t>nalysis</w:t>
      </w:r>
    </w:p>
    <w:p w14:paraId="1059E3BC" w14:textId="5C32B677" w:rsidR="003E4CAC" w:rsidRPr="00B87CC5" w:rsidRDefault="003E4CAC" w:rsidP="003E4CAC">
      <w:pPr>
        <w:pStyle w:val="BodyText"/>
        <w:rPr>
          <w:lang w:eastAsia="en-US"/>
        </w:rPr>
      </w:pPr>
      <w:r w:rsidRPr="00B87CC5">
        <w:rPr>
          <w:lang w:eastAsia="en-US"/>
        </w:rPr>
        <w:t xml:space="preserve">We also performed a sensitivity analysis of the interim ERP2 </w:t>
      </w:r>
      <w:r w:rsidR="0077481B" w:rsidRPr="00B87CC5">
        <w:rPr>
          <w:lang w:eastAsia="en-US"/>
        </w:rPr>
        <w:t>b</w:t>
      </w:r>
      <w:r w:rsidRPr="00B87CC5">
        <w:rPr>
          <w:lang w:eastAsia="en-US"/>
        </w:rPr>
        <w:t xml:space="preserve">aseline by varying key assumptions likely to be influenced by external factors rather than direct policy interventions. These parameters include population growth, GDP and prices, which are drivers of long-run emissions trends. </w:t>
      </w:r>
      <w:r w:rsidR="003D2D09" w:rsidRPr="00B87CC5">
        <w:rPr>
          <w:lang w:eastAsia="en-US"/>
        </w:rPr>
        <w:t>A</w:t>
      </w:r>
      <w:r w:rsidRPr="00B87CC5">
        <w:rPr>
          <w:lang w:eastAsia="en-US"/>
        </w:rPr>
        <w:t xml:space="preserve"> brief description of the differences is provided in </w:t>
      </w:r>
      <w:r w:rsidR="003D2D09" w:rsidRPr="00B87CC5">
        <w:t>t</w:t>
      </w:r>
      <w:r w:rsidR="001B6E3F" w:rsidRPr="00B87CC5">
        <w:t>able 3</w:t>
      </w:r>
      <w:r w:rsidR="003D2D09" w:rsidRPr="00B87CC5">
        <w:t>; see</w:t>
      </w:r>
      <w:r w:rsidR="003D2D09" w:rsidRPr="00B87CC5">
        <w:rPr>
          <w:lang w:eastAsia="en-US"/>
        </w:rPr>
        <w:t xml:space="preserve"> appendix 1 for the full list of assumptions</w:t>
      </w:r>
      <w:r w:rsidRPr="00B87CC5">
        <w:rPr>
          <w:lang w:eastAsia="en-US"/>
        </w:rPr>
        <w:t>.</w:t>
      </w:r>
    </w:p>
    <w:p w14:paraId="63825DAA" w14:textId="67F3AE10" w:rsidR="003E4CAC" w:rsidRPr="00B87CC5" w:rsidRDefault="003E4CAC" w:rsidP="003E4CAC">
      <w:pPr>
        <w:pStyle w:val="Tableheading"/>
      </w:pPr>
      <w:bookmarkStart w:id="17" w:name="_Ref166665250"/>
      <w:bookmarkStart w:id="18" w:name="_Toc171609762"/>
      <w:r w:rsidRPr="00B87CC5">
        <w:t xml:space="preserve">Table </w:t>
      </w:r>
      <w:r w:rsidR="00385111">
        <w:fldChar w:fldCharType="begin"/>
      </w:r>
      <w:r w:rsidR="00385111">
        <w:instrText xml:space="preserve"> SEQ Table \* ARABIC </w:instrText>
      </w:r>
      <w:r w:rsidR="00385111">
        <w:fldChar w:fldCharType="separate"/>
      </w:r>
      <w:r w:rsidR="001B6E3F" w:rsidRPr="00B87CC5">
        <w:t>3</w:t>
      </w:r>
      <w:r w:rsidR="00385111">
        <w:fldChar w:fldCharType="end"/>
      </w:r>
      <w:bookmarkEnd w:id="17"/>
      <w:r w:rsidR="005E1D91" w:rsidRPr="00B87CC5">
        <w:t>:</w:t>
      </w:r>
      <w:r w:rsidR="005E1D91" w:rsidRPr="00B87CC5">
        <w:tab/>
      </w:r>
      <w:r w:rsidRPr="00B87CC5">
        <w:t>Assumptions varied in sensitivity analysis</w:t>
      </w:r>
      <w:bookmarkEnd w:id="18"/>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2835"/>
        <w:gridCol w:w="2977"/>
        <w:gridCol w:w="2693"/>
      </w:tblGrid>
      <w:tr w:rsidR="003E4CAC" w:rsidRPr="00B87CC5" w14:paraId="7C34364A" w14:textId="77777777" w:rsidTr="002926A7">
        <w:trPr>
          <w:tblHeader/>
        </w:trPr>
        <w:tc>
          <w:tcPr>
            <w:tcW w:w="1667" w:type="pct"/>
            <w:shd w:val="clear" w:color="auto" w:fill="1B556B" w:themeFill="text2"/>
          </w:tcPr>
          <w:p w14:paraId="1B502FB5" w14:textId="77777777" w:rsidR="003E4CAC" w:rsidRPr="00B87CC5" w:rsidRDefault="003E4CAC" w:rsidP="002926A7">
            <w:pPr>
              <w:pStyle w:val="TableTextbold"/>
              <w:keepNext/>
              <w:spacing w:before="40" w:after="40"/>
              <w:rPr>
                <w:color w:val="FFFFFF" w:themeColor="background1"/>
              </w:rPr>
            </w:pPr>
            <w:r w:rsidRPr="00B87CC5">
              <w:rPr>
                <w:color w:val="FFFFFF" w:themeColor="background1"/>
              </w:rPr>
              <w:t xml:space="preserve">Factor </w:t>
            </w:r>
          </w:p>
        </w:tc>
        <w:tc>
          <w:tcPr>
            <w:tcW w:w="1750" w:type="pct"/>
            <w:shd w:val="clear" w:color="auto" w:fill="1B556B" w:themeFill="text2"/>
          </w:tcPr>
          <w:p w14:paraId="6E42EA46" w14:textId="77777777" w:rsidR="003E4CAC" w:rsidRPr="00B87CC5" w:rsidRDefault="003E4CAC" w:rsidP="002926A7">
            <w:pPr>
              <w:pStyle w:val="TableTextbold"/>
              <w:keepNext/>
              <w:spacing w:before="40" w:after="40"/>
              <w:rPr>
                <w:color w:val="FFFFFF" w:themeColor="background1"/>
              </w:rPr>
            </w:pPr>
            <w:r w:rsidRPr="00B87CC5">
              <w:rPr>
                <w:color w:val="FFFFFF" w:themeColor="background1"/>
              </w:rPr>
              <w:t>Low</w:t>
            </w:r>
          </w:p>
        </w:tc>
        <w:tc>
          <w:tcPr>
            <w:tcW w:w="1583" w:type="pct"/>
            <w:shd w:val="clear" w:color="auto" w:fill="1B556B" w:themeFill="text2"/>
          </w:tcPr>
          <w:p w14:paraId="18227020" w14:textId="77777777" w:rsidR="003E4CAC" w:rsidRPr="00B87CC5" w:rsidRDefault="003E4CAC" w:rsidP="002926A7">
            <w:pPr>
              <w:pStyle w:val="TableTextbold"/>
              <w:keepNext/>
              <w:spacing w:before="40" w:after="40"/>
              <w:rPr>
                <w:color w:val="FFFFFF" w:themeColor="background1"/>
              </w:rPr>
            </w:pPr>
            <w:r w:rsidRPr="00B87CC5">
              <w:rPr>
                <w:color w:val="FFFFFF" w:themeColor="background1"/>
              </w:rPr>
              <w:t>High</w:t>
            </w:r>
          </w:p>
        </w:tc>
      </w:tr>
      <w:tr w:rsidR="003E4CAC" w:rsidRPr="00B87CC5" w14:paraId="3F02B000" w14:textId="77777777" w:rsidTr="002926A7">
        <w:tc>
          <w:tcPr>
            <w:tcW w:w="1667" w:type="pct"/>
            <w:shd w:val="clear" w:color="auto" w:fill="auto"/>
          </w:tcPr>
          <w:p w14:paraId="7A13BDB3" w14:textId="0C4FA6CE" w:rsidR="003E4CAC" w:rsidRPr="00B87CC5" w:rsidRDefault="003E4CAC" w:rsidP="002926A7">
            <w:pPr>
              <w:pStyle w:val="TableText"/>
              <w:keepNext/>
              <w:spacing w:before="40" w:after="40"/>
            </w:pPr>
            <w:r w:rsidRPr="00B87CC5">
              <w:t xml:space="preserve">NZU </w:t>
            </w:r>
            <w:r w:rsidR="003D2D09" w:rsidRPr="00B87CC5">
              <w:t>p</w:t>
            </w:r>
            <w:r w:rsidRPr="00B87CC5">
              <w:t>rice</w:t>
            </w:r>
          </w:p>
        </w:tc>
        <w:tc>
          <w:tcPr>
            <w:tcW w:w="1750" w:type="pct"/>
            <w:shd w:val="clear" w:color="auto" w:fill="auto"/>
          </w:tcPr>
          <w:p w14:paraId="62616FF1" w14:textId="77777777" w:rsidR="003E4CAC" w:rsidRPr="00B87CC5" w:rsidRDefault="003E4CAC" w:rsidP="002926A7">
            <w:pPr>
              <w:pStyle w:val="TableText"/>
              <w:keepNext/>
              <w:spacing w:before="40" w:after="40"/>
            </w:pPr>
            <w:r w:rsidRPr="00B87CC5">
              <w:t>Rise to $70 and stay at that level</w:t>
            </w:r>
          </w:p>
        </w:tc>
        <w:tc>
          <w:tcPr>
            <w:tcW w:w="1583" w:type="pct"/>
          </w:tcPr>
          <w:p w14:paraId="4F104A64" w14:textId="77777777" w:rsidR="003E4CAC" w:rsidRPr="00B87CC5" w:rsidRDefault="003E4CAC" w:rsidP="002926A7">
            <w:pPr>
              <w:pStyle w:val="TableText"/>
              <w:keepNext/>
              <w:spacing w:before="40" w:after="40"/>
            </w:pPr>
            <w:r w:rsidRPr="00B87CC5">
              <w:t>Fall to $35 and stay at that level</w:t>
            </w:r>
          </w:p>
        </w:tc>
      </w:tr>
      <w:tr w:rsidR="003E4CAC" w:rsidRPr="00B87CC5" w14:paraId="7A0A4394" w14:textId="77777777" w:rsidTr="002926A7">
        <w:tc>
          <w:tcPr>
            <w:tcW w:w="1667" w:type="pct"/>
            <w:shd w:val="clear" w:color="auto" w:fill="auto"/>
          </w:tcPr>
          <w:p w14:paraId="6526C963" w14:textId="20981499" w:rsidR="003E4CAC" w:rsidRPr="00B87CC5" w:rsidRDefault="003E4CAC" w:rsidP="002926A7">
            <w:pPr>
              <w:pStyle w:val="TableText"/>
              <w:spacing w:before="40" w:after="40"/>
            </w:pPr>
            <w:r w:rsidRPr="00B87CC5">
              <w:t>Tiwai Point</w:t>
            </w:r>
            <w:r w:rsidR="00E821E9" w:rsidRPr="00B87CC5">
              <w:t xml:space="preserve"> (as proxy for large industry</w:t>
            </w:r>
            <w:r w:rsidR="006D3FF8" w:rsidRPr="00B87CC5">
              <w:t xml:space="preserve"> exit)</w:t>
            </w:r>
          </w:p>
        </w:tc>
        <w:tc>
          <w:tcPr>
            <w:tcW w:w="1750" w:type="pct"/>
            <w:shd w:val="clear" w:color="auto" w:fill="auto"/>
          </w:tcPr>
          <w:p w14:paraId="1C08CF8E" w14:textId="77777777" w:rsidR="003E4CAC" w:rsidRPr="00B87CC5" w:rsidRDefault="003E4CAC" w:rsidP="002926A7">
            <w:pPr>
              <w:pStyle w:val="TableText"/>
              <w:spacing w:before="40" w:after="40"/>
            </w:pPr>
            <w:r w:rsidRPr="00B87CC5">
              <w:t>Exit from 2025</w:t>
            </w:r>
          </w:p>
        </w:tc>
        <w:tc>
          <w:tcPr>
            <w:tcW w:w="1583" w:type="pct"/>
          </w:tcPr>
          <w:p w14:paraId="190F4657" w14:textId="77777777" w:rsidR="003E4CAC" w:rsidRPr="00B87CC5" w:rsidRDefault="003E4CAC" w:rsidP="002926A7">
            <w:pPr>
              <w:pStyle w:val="TableText"/>
              <w:spacing w:before="40" w:after="40"/>
            </w:pPr>
            <w:r w:rsidRPr="00B87CC5">
              <w:t>No exit</w:t>
            </w:r>
          </w:p>
        </w:tc>
      </w:tr>
      <w:tr w:rsidR="003E4CAC" w:rsidRPr="00B87CC5" w14:paraId="24D35144" w14:textId="77777777" w:rsidTr="002926A7">
        <w:tc>
          <w:tcPr>
            <w:tcW w:w="1667" w:type="pct"/>
          </w:tcPr>
          <w:p w14:paraId="76CF8C02" w14:textId="66BEF776" w:rsidR="003E4CAC" w:rsidRPr="00B87CC5" w:rsidRDefault="003E4CAC" w:rsidP="002926A7">
            <w:pPr>
              <w:pStyle w:val="TableText"/>
              <w:spacing w:before="40" w:after="40"/>
            </w:pPr>
            <w:r w:rsidRPr="00B87CC5">
              <w:t xml:space="preserve">Oil, coal </w:t>
            </w:r>
            <w:r w:rsidR="0077481B" w:rsidRPr="00B87CC5">
              <w:t xml:space="preserve">and </w:t>
            </w:r>
            <w:r w:rsidRPr="00B87CC5">
              <w:t>gas prices</w:t>
            </w:r>
          </w:p>
        </w:tc>
        <w:tc>
          <w:tcPr>
            <w:tcW w:w="1750" w:type="pct"/>
          </w:tcPr>
          <w:p w14:paraId="133B23B0" w14:textId="77777777" w:rsidR="003E4CAC" w:rsidRPr="00B87CC5" w:rsidRDefault="003E4CAC" w:rsidP="002926A7">
            <w:pPr>
              <w:pStyle w:val="TableText"/>
              <w:spacing w:before="40" w:after="40"/>
            </w:pPr>
            <w:r w:rsidRPr="00B87CC5">
              <w:t>High</w:t>
            </w:r>
          </w:p>
        </w:tc>
        <w:tc>
          <w:tcPr>
            <w:tcW w:w="1583" w:type="pct"/>
          </w:tcPr>
          <w:p w14:paraId="5ED4CD42" w14:textId="77777777" w:rsidR="003E4CAC" w:rsidRPr="00B87CC5" w:rsidRDefault="003E4CAC" w:rsidP="002926A7">
            <w:pPr>
              <w:pStyle w:val="TableText"/>
              <w:spacing w:before="40" w:after="40"/>
            </w:pPr>
            <w:r w:rsidRPr="00B87CC5">
              <w:t>Low</w:t>
            </w:r>
          </w:p>
        </w:tc>
      </w:tr>
      <w:tr w:rsidR="003E4CAC" w:rsidRPr="00B87CC5" w14:paraId="2A3B1F95" w14:textId="77777777" w:rsidTr="002926A7">
        <w:tc>
          <w:tcPr>
            <w:tcW w:w="1667" w:type="pct"/>
          </w:tcPr>
          <w:p w14:paraId="59E173F2" w14:textId="77777777" w:rsidR="003E4CAC" w:rsidRPr="00B87CC5" w:rsidRDefault="003E4CAC" w:rsidP="002926A7">
            <w:pPr>
              <w:pStyle w:val="TableText"/>
              <w:spacing w:before="40" w:after="40"/>
            </w:pPr>
            <w:r w:rsidRPr="00B87CC5">
              <w:t xml:space="preserve">Methanol production </w:t>
            </w:r>
          </w:p>
        </w:tc>
        <w:tc>
          <w:tcPr>
            <w:tcW w:w="1750" w:type="pct"/>
          </w:tcPr>
          <w:p w14:paraId="3929E760" w14:textId="77777777" w:rsidR="003E4CAC" w:rsidRPr="00B87CC5" w:rsidRDefault="003E4CAC" w:rsidP="002926A7">
            <w:pPr>
              <w:pStyle w:val="TableText"/>
              <w:spacing w:before="40" w:after="40"/>
            </w:pPr>
            <w:r w:rsidRPr="00B87CC5">
              <w:t>Earlier closure of trains</w:t>
            </w:r>
          </w:p>
        </w:tc>
        <w:tc>
          <w:tcPr>
            <w:tcW w:w="1583" w:type="pct"/>
          </w:tcPr>
          <w:p w14:paraId="179E2D43" w14:textId="472866C6" w:rsidR="003E4CAC" w:rsidRPr="00B87CC5" w:rsidRDefault="003E4CAC" w:rsidP="002926A7">
            <w:pPr>
              <w:pStyle w:val="TableText"/>
              <w:spacing w:before="40" w:after="40"/>
            </w:pPr>
            <w:r w:rsidRPr="00B87CC5">
              <w:t>No closures, reopen closed trains</w:t>
            </w:r>
          </w:p>
        </w:tc>
      </w:tr>
      <w:tr w:rsidR="003E4CAC" w:rsidRPr="00B87CC5" w14:paraId="42E27480" w14:textId="77777777" w:rsidTr="002926A7">
        <w:tc>
          <w:tcPr>
            <w:tcW w:w="1667" w:type="pct"/>
          </w:tcPr>
          <w:p w14:paraId="39377278" w14:textId="73FB8BE6" w:rsidR="003E4CAC" w:rsidRPr="00B87CC5" w:rsidRDefault="003E4CAC" w:rsidP="002926A7">
            <w:pPr>
              <w:pStyle w:val="TableText"/>
              <w:spacing w:before="40" w:after="40"/>
            </w:pPr>
            <w:r w:rsidRPr="00B87CC5">
              <w:t xml:space="preserve">Population </w:t>
            </w:r>
            <w:r w:rsidR="0077481B" w:rsidRPr="00B87CC5">
              <w:t>and</w:t>
            </w:r>
            <w:r w:rsidRPr="00B87CC5">
              <w:t xml:space="preserve"> GDP growth</w:t>
            </w:r>
          </w:p>
        </w:tc>
        <w:tc>
          <w:tcPr>
            <w:tcW w:w="1750" w:type="pct"/>
          </w:tcPr>
          <w:p w14:paraId="1F2F292E" w14:textId="77777777" w:rsidR="003E4CAC" w:rsidRPr="00B87CC5" w:rsidRDefault="003E4CAC" w:rsidP="002926A7">
            <w:pPr>
              <w:pStyle w:val="TableText"/>
              <w:spacing w:before="40" w:after="40"/>
            </w:pPr>
            <w:r w:rsidRPr="00B87CC5">
              <w:t>Low</w:t>
            </w:r>
          </w:p>
        </w:tc>
        <w:tc>
          <w:tcPr>
            <w:tcW w:w="1583" w:type="pct"/>
          </w:tcPr>
          <w:p w14:paraId="6F4B9D67" w14:textId="77777777" w:rsidR="003E4CAC" w:rsidRPr="00B87CC5" w:rsidRDefault="003E4CAC" w:rsidP="002926A7">
            <w:pPr>
              <w:pStyle w:val="TableText"/>
              <w:spacing w:before="40" w:after="40"/>
            </w:pPr>
            <w:r w:rsidRPr="00B87CC5">
              <w:t>High</w:t>
            </w:r>
          </w:p>
        </w:tc>
      </w:tr>
      <w:tr w:rsidR="003E4CAC" w:rsidRPr="00B87CC5" w14:paraId="38927C4A" w14:textId="77777777" w:rsidTr="002926A7">
        <w:tc>
          <w:tcPr>
            <w:tcW w:w="1667" w:type="pct"/>
          </w:tcPr>
          <w:p w14:paraId="049C248D" w14:textId="77777777" w:rsidR="003E4CAC" w:rsidRPr="00B87CC5" w:rsidRDefault="003E4CAC" w:rsidP="002926A7">
            <w:pPr>
              <w:pStyle w:val="TableText"/>
              <w:spacing w:before="40" w:after="40"/>
            </w:pPr>
            <w:r w:rsidRPr="00B87CC5">
              <w:t>Battery prices</w:t>
            </w:r>
          </w:p>
        </w:tc>
        <w:tc>
          <w:tcPr>
            <w:tcW w:w="1750" w:type="pct"/>
          </w:tcPr>
          <w:p w14:paraId="7532E4B9" w14:textId="77777777" w:rsidR="003E4CAC" w:rsidRPr="00B87CC5" w:rsidRDefault="003E4CAC" w:rsidP="002926A7">
            <w:pPr>
              <w:pStyle w:val="TableText"/>
              <w:spacing w:before="40" w:after="40"/>
            </w:pPr>
            <w:r w:rsidRPr="00B87CC5">
              <w:t>Larger cost reductions</w:t>
            </w:r>
          </w:p>
        </w:tc>
        <w:tc>
          <w:tcPr>
            <w:tcW w:w="1583" w:type="pct"/>
          </w:tcPr>
          <w:p w14:paraId="3C7D938E" w14:textId="77777777" w:rsidR="003E4CAC" w:rsidRPr="00B87CC5" w:rsidRDefault="003E4CAC" w:rsidP="002926A7">
            <w:pPr>
              <w:pStyle w:val="TableText"/>
              <w:spacing w:before="40" w:after="40"/>
            </w:pPr>
            <w:r w:rsidRPr="00B87CC5">
              <w:t>Smaller cost reductions</w:t>
            </w:r>
          </w:p>
        </w:tc>
      </w:tr>
      <w:tr w:rsidR="003E4CAC" w:rsidRPr="00B87CC5" w14:paraId="0F3140E9" w14:textId="77777777" w:rsidTr="002926A7">
        <w:tc>
          <w:tcPr>
            <w:tcW w:w="1667" w:type="pct"/>
          </w:tcPr>
          <w:p w14:paraId="66B6E438" w14:textId="77777777" w:rsidR="003E4CAC" w:rsidRPr="00B87CC5" w:rsidRDefault="003E4CAC" w:rsidP="002926A7">
            <w:pPr>
              <w:pStyle w:val="TableText"/>
              <w:spacing w:before="40" w:after="40"/>
            </w:pPr>
            <w:r w:rsidRPr="00B87CC5">
              <w:t>International EV prices</w:t>
            </w:r>
          </w:p>
        </w:tc>
        <w:tc>
          <w:tcPr>
            <w:tcW w:w="1750" w:type="pct"/>
          </w:tcPr>
          <w:p w14:paraId="115E212C" w14:textId="77777777" w:rsidR="003E4CAC" w:rsidRPr="00B87CC5" w:rsidRDefault="003E4CAC" w:rsidP="002926A7">
            <w:pPr>
              <w:pStyle w:val="TableText"/>
              <w:spacing w:before="40" w:after="40"/>
            </w:pPr>
            <w:r w:rsidRPr="00B87CC5">
              <w:t>Lower</w:t>
            </w:r>
          </w:p>
        </w:tc>
        <w:tc>
          <w:tcPr>
            <w:tcW w:w="1583" w:type="pct"/>
          </w:tcPr>
          <w:p w14:paraId="632B4CE1" w14:textId="77777777" w:rsidR="003E4CAC" w:rsidRPr="00B87CC5" w:rsidRDefault="003E4CAC" w:rsidP="002926A7">
            <w:pPr>
              <w:pStyle w:val="TableText"/>
              <w:spacing w:before="40" w:after="40"/>
            </w:pPr>
            <w:r w:rsidRPr="00B87CC5">
              <w:t>Higher</w:t>
            </w:r>
          </w:p>
        </w:tc>
      </w:tr>
      <w:tr w:rsidR="003E4CAC" w:rsidRPr="00B87CC5" w14:paraId="5B6CFD99" w14:textId="77777777" w:rsidTr="002926A7">
        <w:tc>
          <w:tcPr>
            <w:tcW w:w="1667" w:type="pct"/>
          </w:tcPr>
          <w:p w14:paraId="6F93F712" w14:textId="77777777" w:rsidR="003E4CAC" w:rsidRPr="00B87CC5" w:rsidRDefault="003E4CAC" w:rsidP="002926A7">
            <w:pPr>
              <w:pStyle w:val="TableText"/>
              <w:spacing w:before="40" w:after="40"/>
            </w:pPr>
            <w:r w:rsidRPr="00B87CC5">
              <w:t>Vehicle kilometres travelled</w:t>
            </w:r>
          </w:p>
        </w:tc>
        <w:tc>
          <w:tcPr>
            <w:tcW w:w="1750" w:type="pct"/>
          </w:tcPr>
          <w:p w14:paraId="1A7A51DF" w14:textId="77777777" w:rsidR="003E4CAC" w:rsidRPr="00B87CC5" w:rsidRDefault="003E4CAC" w:rsidP="002926A7">
            <w:pPr>
              <w:pStyle w:val="TableText"/>
              <w:spacing w:before="40" w:after="40"/>
            </w:pPr>
            <w:r w:rsidRPr="00B87CC5">
              <w:t>No increase</w:t>
            </w:r>
          </w:p>
        </w:tc>
        <w:tc>
          <w:tcPr>
            <w:tcW w:w="1583" w:type="pct"/>
          </w:tcPr>
          <w:p w14:paraId="61A393E1" w14:textId="77777777" w:rsidR="003E4CAC" w:rsidRPr="00B87CC5" w:rsidRDefault="003E4CAC" w:rsidP="002926A7">
            <w:pPr>
              <w:pStyle w:val="TableText"/>
              <w:spacing w:before="40" w:after="40"/>
            </w:pPr>
            <w:r w:rsidRPr="00B87CC5">
              <w:t>Increase</w:t>
            </w:r>
          </w:p>
        </w:tc>
      </w:tr>
      <w:tr w:rsidR="003E4CAC" w:rsidRPr="00B87CC5" w14:paraId="14E72940" w14:textId="77777777" w:rsidTr="002926A7">
        <w:tc>
          <w:tcPr>
            <w:tcW w:w="1667" w:type="pct"/>
          </w:tcPr>
          <w:p w14:paraId="7F49AEC5" w14:textId="77777777" w:rsidR="003E4CAC" w:rsidRPr="00B87CC5" w:rsidRDefault="003E4CAC" w:rsidP="002926A7">
            <w:pPr>
              <w:pStyle w:val="TableText"/>
              <w:spacing w:before="40" w:after="40"/>
            </w:pPr>
            <w:r w:rsidRPr="00B87CC5">
              <w:t>Afforestation/deforestation levels</w:t>
            </w:r>
          </w:p>
        </w:tc>
        <w:tc>
          <w:tcPr>
            <w:tcW w:w="1750" w:type="pct"/>
          </w:tcPr>
          <w:p w14:paraId="48C2B3C0" w14:textId="1432EBD2" w:rsidR="003E4CAC" w:rsidRPr="00B87CC5" w:rsidRDefault="003E4CAC" w:rsidP="002926A7">
            <w:pPr>
              <w:pStyle w:val="TableText"/>
              <w:spacing w:before="40" w:after="40"/>
            </w:pPr>
            <w:r w:rsidRPr="00B87CC5">
              <w:t>Higher/</w:t>
            </w:r>
            <w:r w:rsidR="003D2D09" w:rsidRPr="00B87CC5">
              <w:t>l</w:t>
            </w:r>
            <w:r w:rsidRPr="00B87CC5">
              <w:t>ower</w:t>
            </w:r>
          </w:p>
        </w:tc>
        <w:tc>
          <w:tcPr>
            <w:tcW w:w="1583" w:type="pct"/>
          </w:tcPr>
          <w:p w14:paraId="7076B413" w14:textId="008D951C" w:rsidR="003E4CAC" w:rsidRPr="00B87CC5" w:rsidRDefault="003E4CAC" w:rsidP="002926A7">
            <w:pPr>
              <w:pStyle w:val="TableText"/>
              <w:spacing w:before="40" w:after="40"/>
            </w:pPr>
            <w:r w:rsidRPr="00B87CC5">
              <w:t>Lower/</w:t>
            </w:r>
            <w:r w:rsidR="003D2D09" w:rsidRPr="00B87CC5">
              <w:t>h</w:t>
            </w:r>
            <w:r w:rsidRPr="00B87CC5">
              <w:t>igher</w:t>
            </w:r>
          </w:p>
        </w:tc>
      </w:tr>
      <w:tr w:rsidR="00653DD0" w:rsidRPr="00B87CC5" w14:paraId="112A86C9" w14:textId="77777777" w:rsidTr="002926A7">
        <w:tc>
          <w:tcPr>
            <w:tcW w:w="1667" w:type="pct"/>
          </w:tcPr>
          <w:p w14:paraId="37334E3D" w14:textId="386D37BD" w:rsidR="00653DD0" w:rsidRPr="00B87CC5" w:rsidRDefault="00653DD0" w:rsidP="002926A7">
            <w:pPr>
              <w:pStyle w:val="TableText"/>
              <w:spacing w:before="40" w:after="40"/>
            </w:pPr>
            <w:r w:rsidRPr="00B87CC5">
              <w:t>Waste</w:t>
            </w:r>
          </w:p>
        </w:tc>
        <w:tc>
          <w:tcPr>
            <w:tcW w:w="1750" w:type="pct"/>
          </w:tcPr>
          <w:p w14:paraId="464D38A6" w14:textId="49866E37" w:rsidR="00653DD0" w:rsidRPr="00B87CC5" w:rsidRDefault="00331D53" w:rsidP="002926A7">
            <w:pPr>
              <w:pStyle w:val="TableText"/>
              <w:spacing w:before="40" w:after="40"/>
            </w:pPr>
            <w:r w:rsidRPr="00B87CC5">
              <w:t xml:space="preserve">Lower </w:t>
            </w:r>
            <w:r w:rsidR="00BC0C17" w:rsidRPr="00B87CC5">
              <w:t>tonnage and more diversion</w:t>
            </w:r>
          </w:p>
        </w:tc>
        <w:tc>
          <w:tcPr>
            <w:tcW w:w="1583" w:type="pct"/>
          </w:tcPr>
          <w:p w14:paraId="1B8324E1" w14:textId="4280AE73" w:rsidR="00653DD0" w:rsidRPr="00B87CC5" w:rsidRDefault="00EC59C9" w:rsidP="002926A7">
            <w:pPr>
              <w:pStyle w:val="TableText"/>
              <w:spacing w:before="40" w:after="40"/>
            </w:pPr>
            <w:r w:rsidRPr="00B87CC5">
              <w:t>Higher tonnage and less diversion</w:t>
            </w:r>
          </w:p>
        </w:tc>
      </w:tr>
    </w:tbl>
    <w:p w14:paraId="72089F97" w14:textId="4B3DF0DD" w:rsidR="003D2D09" w:rsidRPr="00B87CC5" w:rsidRDefault="003D2D09" w:rsidP="00D9174E">
      <w:pPr>
        <w:pStyle w:val="Note"/>
        <w:rPr>
          <w:lang w:eastAsia="en-US"/>
        </w:rPr>
      </w:pPr>
      <w:r w:rsidRPr="00B87CC5">
        <w:rPr>
          <w:lang w:eastAsia="en-US"/>
        </w:rPr>
        <w:t>Note: EV = electric vehicle; GDP = gross domestic product; NZU = New Zealand Unit.</w:t>
      </w:r>
    </w:p>
    <w:p w14:paraId="032648E8" w14:textId="176D7020" w:rsidR="003E4CAC" w:rsidRPr="00B87CC5" w:rsidRDefault="003E4CAC" w:rsidP="003B319C">
      <w:pPr>
        <w:pStyle w:val="BodyText"/>
        <w:rPr>
          <w:lang w:eastAsia="en-US"/>
        </w:rPr>
      </w:pPr>
      <w:r w:rsidRPr="00B87CC5">
        <w:rPr>
          <w:lang w:eastAsia="en-US"/>
        </w:rPr>
        <w:t>The results of this sensitivity analysis provide a range that</w:t>
      </w:r>
      <w:r w:rsidR="009922A3" w:rsidRPr="00B87CC5">
        <w:rPr>
          <w:lang w:eastAsia="en-US"/>
        </w:rPr>
        <w:t>, up until appro</w:t>
      </w:r>
      <w:r w:rsidR="00FC1CD6" w:rsidRPr="00B87CC5">
        <w:rPr>
          <w:lang w:eastAsia="en-US"/>
        </w:rPr>
        <w:t>ximately 2035</w:t>
      </w:r>
      <w:r w:rsidR="003D2D09" w:rsidRPr="00B87CC5">
        <w:rPr>
          <w:lang w:eastAsia="en-US"/>
        </w:rPr>
        <w:t>,</w:t>
      </w:r>
      <w:r w:rsidR="00FC1CD6" w:rsidRPr="00B87CC5">
        <w:rPr>
          <w:lang w:eastAsia="en-US"/>
        </w:rPr>
        <w:t xml:space="preserve"> </w:t>
      </w:r>
      <w:r w:rsidRPr="00B87CC5">
        <w:rPr>
          <w:lang w:eastAsia="en-US"/>
        </w:rPr>
        <w:t xml:space="preserve">is </w:t>
      </w:r>
      <w:r w:rsidR="00560C02" w:rsidRPr="00B87CC5">
        <w:rPr>
          <w:lang w:eastAsia="en-US"/>
        </w:rPr>
        <w:t xml:space="preserve">very similar to that </w:t>
      </w:r>
      <w:r w:rsidR="003B319C" w:rsidRPr="00B87CC5">
        <w:rPr>
          <w:lang w:eastAsia="en-US"/>
        </w:rPr>
        <w:t xml:space="preserve">estimated </w:t>
      </w:r>
      <w:r w:rsidRPr="00B87CC5">
        <w:rPr>
          <w:lang w:eastAsia="en-US"/>
        </w:rPr>
        <w:t>using historical deviations of inventory and projections (the ADF approach described above)</w:t>
      </w:r>
      <w:r w:rsidR="003D2D09" w:rsidRPr="00B87CC5">
        <w:rPr>
          <w:lang w:eastAsia="en-US"/>
        </w:rPr>
        <w:t>. However, the difference</w:t>
      </w:r>
      <w:r w:rsidRPr="00B87CC5">
        <w:rPr>
          <w:lang w:eastAsia="en-US"/>
        </w:rPr>
        <w:t xml:space="preserve"> </w:t>
      </w:r>
      <w:r w:rsidR="00FC1CD6" w:rsidRPr="00B87CC5">
        <w:rPr>
          <w:lang w:eastAsia="en-US"/>
        </w:rPr>
        <w:t xml:space="preserve">widens </w:t>
      </w:r>
      <w:r w:rsidR="00B82DE4" w:rsidRPr="00B87CC5">
        <w:rPr>
          <w:lang w:eastAsia="en-US"/>
        </w:rPr>
        <w:t>in the longer run</w:t>
      </w:r>
      <w:r w:rsidR="0097642D" w:rsidRPr="00B87CC5">
        <w:rPr>
          <w:lang w:eastAsia="en-US"/>
        </w:rPr>
        <w:t xml:space="preserve">, particularly </w:t>
      </w:r>
      <w:r w:rsidR="005B3317" w:rsidRPr="00B87CC5">
        <w:rPr>
          <w:lang w:eastAsia="en-US"/>
        </w:rPr>
        <w:t>towards higher emissions</w:t>
      </w:r>
      <w:r w:rsidR="00F2473A" w:rsidRPr="00B87CC5">
        <w:rPr>
          <w:lang w:eastAsia="en-US"/>
        </w:rPr>
        <w:t xml:space="preserve">, reflecting higher energy </w:t>
      </w:r>
      <w:proofErr w:type="gramStart"/>
      <w:r w:rsidR="00F2473A" w:rsidRPr="00B87CC5">
        <w:rPr>
          <w:lang w:eastAsia="en-US"/>
        </w:rPr>
        <w:t>emissions in particular</w:t>
      </w:r>
      <w:proofErr w:type="gramEnd"/>
      <w:r w:rsidR="005B3317" w:rsidRPr="00B87CC5">
        <w:rPr>
          <w:lang w:eastAsia="en-US"/>
        </w:rPr>
        <w:t xml:space="preserve"> </w:t>
      </w:r>
      <w:r w:rsidRPr="00B87CC5">
        <w:rPr>
          <w:lang w:eastAsia="en-US"/>
        </w:rPr>
        <w:t>(</w:t>
      </w:r>
      <w:r w:rsidR="003D2D09" w:rsidRPr="00B87CC5">
        <w:rPr>
          <w:lang w:eastAsia="en-US"/>
        </w:rPr>
        <w:t>f</w:t>
      </w:r>
      <w:r w:rsidR="001B6E3F" w:rsidRPr="00B87CC5">
        <w:t xml:space="preserve">igure </w:t>
      </w:r>
      <w:r w:rsidR="009F3512" w:rsidRPr="00B87CC5" w:rsidDel="001B6E3F">
        <w:t>3</w:t>
      </w:r>
      <w:r w:rsidRPr="00B87CC5">
        <w:rPr>
          <w:lang w:eastAsia="en-US"/>
        </w:rPr>
        <w:t xml:space="preserve">). </w:t>
      </w:r>
    </w:p>
    <w:p w14:paraId="324DF0AF" w14:textId="2ED65409" w:rsidR="00354E52" w:rsidRDefault="00354E52" w:rsidP="00646AB0">
      <w:pPr>
        <w:pStyle w:val="Figureheading"/>
        <w:ind w:right="-426"/>
      </w:pPr>
      <w:bookmarkStart w:id="19" w:name="_Ref170312970"/>
      <w:bookmarkStart w:id="20" w:name="_Toc171609778"/>
      <w:r w:rsidRPr="00B87CC5">
        <w:lastRenderedPageBreak/>
        <w:t xml:space="preserve">Figure </w:t>
      </w:r>
      <w:r w:rsidR="00385111">
        <w:fldChar w:fldCharType="begin"/>
      </w:r>
      <w:r w:rsidR="00385111">
        <w:instrText xml:space="preserve"> SEQ Figure \* ARABIC </w:instrText>
      </w:r>
      <w:r w:rsidR="00385111">
        <w:fldChar w:fldCharType="separate"/>
      </w:r>
      <w:r w:rsidR="001B6E3F" w:rsidRPr="00B87CC5">
        <w:t>3</w:t>
      </w:r>
      <w:r w:rsidR="00385111">
        <w:fldChar w:fldCharType="end"/>
      </w:r>
      <w:bookmarkEnd w:id="19"/>
      <w:r w:rsidRPr="00B87CC5">
        <w:t>:</w:t>
      </w:r>
      <w:r w:rsidR="005E1D91" w:rsidRPr="00B87CC5">
        <w:tab/>
      </w:r>
      <w:r w:rsidRPr="00B87CC5">
        <w:t>Projections range from sensitivity analysis compared with a range based on historical deviation</w:t>
      </w:r>
      <w:r w:rsidR="003D2D09" w:rsidRPr="00B87CC5">
        <w:t>, 2022–50</w:t>
      </w:r>
      <w:bookmarkEnd w:id="20"/>
    </w:p>
    <w:p w14:paraId="42217A9D" w14:textId="1F8C3D08" w:rsidR="00484470" w:rsidRPr="00484470" w:rsidRDefault="00B67CC5" w:rsidP="00484470">
      <w:pPr>
        <w:pStyle w:val="BodyText"/>
      </w:pPr>
      <w:r>
        <w:rPr>
          <w:noProof/>
        </w:rPr>
        <w:drawing>
          <wp:inline distT="0" distB="0" distL="0" distR="0" wp14:anchorId="7A073869" wp14:editId="3A16E6F3">
            <wp:extent cx="5219363" cy="3589118"/>
            <wp:effectExtent l="0" t="0" r="635" b="0"/>
            <wp:docPr id="195000152" name="Picture 24" descr="A bar and line graph showing: &#10;• the annual emissions budget for each of the three budget periods&#10;• A line for the central estimate of interim projected emissions&#10;• A high and low line for alternative high and low scenarios&#10;• An uncertainty range around the central projection, based on historical devi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0152" name="Picture 24" descr="A bar and line graph showing: &#10;• the annual emissions budget for each of the three budget periods&#10;• A line for the central estimate of interim projected emissions&#10;• A high and low line for alternative high and low scenarios&#10;• An uncertainty range around the central projection, based on historical deviations.  "/>
                    <pic:cNvPicPr>
                      <a:picLocks noChangeAspect="1" noChangeArrowheads="1"/>
                    </pic:cNvPicPr>
                  </pic:nvPicPr>
                  <pic:blipFill rotWithShape="1">
                    <a:blip r:embed="rId24">
                      <a:extLst>
                        <a:ext uri="{28A0092B-C50C-407E-A947-70E740481C1C}">
                          <a14:useLocalDpi xmlns:a14="http://schemas.microsoft.com/office/drawing/2010/main" val="0"/>
                        </a:ext>
                      </a:extLst>
                    </a:blip>
                    <a:srcRect t="2078" b="2581"/>
                    <a:stretch/>
                  </pic:blipFill>
                  <pic:spPr bwMode="auto">
                    <a:xfrm>
                      <a:off x="0" y="0"/>
                      <a:ext cx="5236249" cy="3600730"/>
                    </a:xfrm>
                    <a:prstGeom prst="rect">
                      <a:avLst/>
                    </a:prstGeom>
                    <a:noFill/>
                    <a:ln>
                      <a:noFill/>
                    </a:ln>
                    <a:extLst>
                      <a:ext uri="{53640926-AAD7-44D8-BBD7-CCE9431645EC}">
                        <a14:shadowObscured xmlns:a14="http://schemas.microsoft.com/office/drawing/2010/main"/>
                      </a:ext>
                    </a:extLst>
                  </pic:spPr>
                </pic:pic>
              </a:graphicData>
            </a:graphic>
          </wp:inline>
        </w:drawing>
      </w:r>
    </w:p>
    <w:p w14:paraId="4E1678B8" w14:textId="2F919409" w:rsidR="00EA5A58" w:rsidRPr="00B87CC5" w:rsidRDefault="00EA5A58" w:rsidP="00EA5A58">
      <w:pPr>
        <w:pStyle w:val="Heading2"/>
        <w:rPr>
          <w:lang w:eastAsia="en-US"/>
        </w:rPr>
      </w:pPr>
      <w:bookmarkStart w:id="21" w:name="_Toc171609746"/>
      <w:r w:rsidRPr="00B87CC5">
        <w:rPr>
          <w:lang w:eastAsia="en-US"/>
        </w:rPr>
        <w:t xml:space="preserve">Progress </w:t>
      </w:r>
      <w:r w:rsidR="004F5E27" w:rsidRPr="00B87CC5">
        <w:rPr>
          <w:lang w:eastAsia="en-US"/>
        </w:rPr>
        <w:t>r</w:t>
      </w:r>
      <w:r w:rsidRPr="00B87CC5">
        <w:rPr>
          <w:lang w:eastAsia="en-US"/>
        </w:rPr>
        <w:t xml:space="preserve">elative to </w:t>
      </w:r>
      <w:r w:rsidR="004F5E27" w:rsidRPr="00B87CC5">
        <w:rPr>
          <w:lang w:eastAsia="en-US"/>
        </w:rPr>
        <w:t>t</w:t>
      </w:r>
      <w:r w:rsidRPr="00B87CC5">
        <w:rPr>
          <w:lang w:eastAsia="en-US"/>
        </w:rPr>
        <w:t>argets</w:t>
      </w:r>
      <w:bookmarkEnd w:id="21"/>
    </w:p>
    <w:p w14:paraId="4F221CF5" w14:textId="3D2BD00B" w:rsidR="00EA5A58" w:rsidRPr="00B87CC5" w:rsidRDefault="00EA5A58" w:rsidP="00EA5A58">
      <w:pPr>
        <w:pStyle w:val="BodyText"/>
        <w:rPr>
          <w:lang w:eastAsia="en-US"/>
        </w:rPr>
      </w:pPr>
      <w:r w:rsidRPr="00B87CC5">
        <w:rPr>
          <w:lang w:eastAsia="en-US"/>
        </w:rPr>
        <w:t xml:space="preserve">In addition to </w:t>
      </w:r>
      <w:r w:rsidR="003D2D09" w:rsidRPr="00B87CC5">
        <w:rPr>
          <w:lang w:eastAsia="en-US"/>
        </w:rPr>
        <w:t xml:space="preserve">measuring </w:t>
      </w:r>
      <w:r w:rsidRPr="00B87CC5">
        <w:rPr>
          <w:lang w:eastAsia="en-US"/>
        </w:rPr>
        <w:t>progress relative to emission budgets, the analysis has been used to compare projections with longer-term emission</w:t>
      </w:r>
      <w:r w:rsidR="003D2D09" w:rsidRPr="00B87CC5">
        <w:rPr>
          <w:lang w:eastAsia="en-US"/>
        </w:rPr>
        <w:t>s</w:t>
      </w:r>
      <w:r w:rsidRPr="00B87CC5">
        <w:rPr>
          <w:lang w:eastAsia="en-US"/>
        </w:rPr>
        <w:t xml:space="preserve"> targets. This includes the 2050 net</w:t>
      </w:r>
      <w:r w:rsidR="00C740C9" w:rsidRPr="00B87CC5">
        <w:rPr>
          <w:lang w:eastAsia="en-US"/>
        </w:rPr>
        <w:t xml:space="preserve"> </w:t>
      </w:r>
      <w:r w:rsidRPr="00B87CC5">
        <w:rPr>
          <w:lang w:eastAsia="en-US"/>
        </w:rPr>
        <w:t>zero target for long-lived gases and the current 2030 and 2050 targets for biogenic methane.</w:t>
      </w:r>
    </w:p>
    <w:p w14:paraId="6ABDD558" w14:textId="26EB447F" w:rsidR="00EA5A58" w:rsidRPr="00B87CC5" w:rsidRDefault="00EA5A58" w:rsidP="00EA5A58">
      <w:pPr>
        <w:pStyle w:val="Heading3"/>
      </w:pPr>
      <w:r w:rsidRPr="00B87CC5">
        <w:t>Long-</w:t>
      </w:r>
      <w:r w:rsidR="004F5E27" w:rsidRPr="00B87CC5">
        <w:t>l</w:t>
      </w:r>
      <w:r w:rsidRPr="00B87CC5">
        <w:t xml:space="preserve">ived </w:t>
      </w:r>
      <w:r w:rsidR="004F5E27" w:rsidRPr="00B87CC5">
        <w:t>g</w:t>
      </w:r>
      <w:r w:rsidRPr="00B87CC5">
        <w:t>ases</w:t>
      </w:r>
    </w:p>
    <w:p w14:paraId="0FAE71DB" w14:textId="2EA489A4" w:rsidR="00EA5A58" w:rsidRPr="00B87CC5" w:rsidRDefault="001B6E3F" w:rsidP="00EA5A58">
      <w:pPr>
        <w:pStyle w:val="BodyText"/>
        <w:rPr>
          <w:lang w:eastAsia="en-US"/>
        </w:rPr>
      </w:pPr>
      <w:r w:rsidRPr="00B87CC5">
        <w:t>Figure 4</w:t>
      </w:r>
      <w:r w:rsidR="00A32798" w:rsidRPr="00B87CC5">
        <w:rPr>
          <w:lang w:eastAsia="en-US"/>
        </w:rPr>
        <w:t xml:space="preserve"> </w:t>
      </w:r>
      <w:r w:rsidR="00EA5A58" w:rsidRPr="00B87CC5">
        <w:rPr>
          <w:lang w:eastAsia="en-US"/>
        </w:rPr>
        <w:t xml:space="preserve">shows the central </w:t>
      </w:r>
      <w:r w:rsidR="007811E8" w:rsidRPr="00B87CC5">
        <w:rPr>
          <w:lang w:eastAsia="en-US"/>
        </w:rPr>
        <w:t xml:space="preserve">interim </w:t>
      </w:r>
      <w:r w:rsidR="00EA5A58" w:rsidRPr="00B87CC5">
        <w:rPr>
          <w:lang w:eastAsia="en-US"/>
        </w:rPr>
        <w:t xml:space="preserve">projection of net emissions of long-lived gases, the range of outcomes using the ADF approach described above and the low and high estimates using the assumptions from the sensitivity analysis above. </w:t>
      </w:r>
      <w:r w:rsidR="00485B06" w:rsidRPr="00B87CC5">
        <w:rPr>
          <w:lang w:eastAsia="en-US"/>
        </w:rPr>
        <w:t>T</w:t>
      </w:r>
      <w:r w:rsidR="00EA5A58" w:rsidRPr="00B87CC5">
        <w:rPr>
          <w:lang w:eastAsia="en-US"/>
        </w:rPr>
        <w:t>he two approaches produce similar ranges of</w:t>
      </w:r>
      <w:r w:rsidR="005B5CFF" w:rsidRPr="00B87CC5">
        <w:rPr>
          <w:lang w:eastAsia="en-US"/>
        </w:rPr>
        <w:t> </w:t>
      </w:r>
      <w:r w:rsidR="00EA5A58" w:rsidRPr="00B87CC5">
        <w:rPr>
          <w:lang w:eastAsia="en-US"/>
        </w:rPr>
        <w:t>possible outcomes</w:t>
      </w:r>
      <w:r w:rsidR="00485B06" w:rsidRPr="00B87CC5">
        <w:rPr>
          <w:lang w:eastAsia="en-US"/>
        </w:rPr>
        <w:t xml:space="preserve"> through to </w:t>
      </w:r>
      <w:r w:rsidR="00E132AA" w:rsidRPr="00B87CC5">
        <w:rPr>
          <w:lang w:eastAsia="en-US"/>
        </w:rPr>
        <w:t xml:space="preserve">2040 but the range based on sensitivity analysis </w:t>
      </w:r>
      <w:r w:rsidR="00BB6D79" w:rsidRPr="00B87CC5">
        <w:rPr>
          <w:lang w:eastAsia="en-US"/>
        </w:rPr>
        <w:t xml:space="preserve">diverges towards </w:t>
      </w:r>
      <w:r w:rsidR="001279AC" w:rsidRPr="00B87CC5">
        <w:rPr>
          <w:lang w:eastAsia="en-US"/>
        </w:rPr>
        <w:t xml:space="preserve">higher emissions </w:t>
      </w:r>
      <w:r w:rsidR="00ED3748" w:rsidRPr="00B87CC5">
        <w:rPr>
          <w:lang w:eastAsia="en-US"/>
        </w:rPr>
        <w:t>in the longer run.</w:t>
      </w:r>
      <w:r w:rsidR="00EA5A58" w:rsidRPr="00B87CC5">
        <w:rPr>
          <w:lang w:eastAsia="en-US"/>
        </w:rPr>
        <w:t xml:space="preserve"> The projections suggest that</w:t>
      </w:r>
      <w:r w:rsidR="00EA5A58" w:rsidRPr="00B87CC5" w:rsidDel="003153C5">
        <w:rPr>
          <w:lang w:eastAsia="en-US"/>
        </w:rPr>
        <w:t xml:space="preserve"> </w:t>
      </w:r>
      <w:r w:rsidR="00EA5A58" w:rsidRPr="00B87CC5">
        <w:rPr>
          <w:lang w:eastAsia="en-US"/>
        </w:rPr>
        <w:t xml:space="preserve">net zero </w:t>
      </w:r>
      <w:r w:rsidR="00F959D5" w:rsidRPr="00B87CC5">
        <w:rPr>
          <w:lang w:eastAsia="en-US"/>
        </w:rPr>
        <w:t xml:space="preserve">could be achieved before </w:t>
      </w:r>
      <w:r w:rsidR="00EA5A58" w:rsidRPr="00B87CC5">
        <w:rPr>
          <w:lang w:eastAsia="en-US"/>
        </w:rPr>
        <w:t>2050</w:t>
      </w:r>
      <w:r w:rsidR="00F82411" w:rsidRPr="00B87CC5">
        <w:rPr>
          <w:lang w:eastAsia="en-US"/>
        </w:rPr>
        <w:t xml:space="preserve">, although the central </w:t>
      </w:r>
      <w:r w:rsidR="00793474" w:rsidRPr="00B87CC5">
        <w:rPr>
          <w:lang w:eastAsia="en-US"/>
        </w:rPr>
        <w:t xml:space="preserve">interim projection is </w:t>
      </w:r>
      <w:r w:rsidR="002F3C6F" w:rsidRPr="00B87CC5">
        <w:rPr>
          <w:lang w:eastAsia="en-US"/>
        </w:rPr>
        <w:t xml:space="preserve">above </w:t>
      </w:r>
      <w:r w:rsidR="00793474" w:rsidRPr="00B87CC5">
        <w:rPr>
          <w:lang w:eastAsia="en-US"/>
        </w:rPr>
        <w:t>the target level</w:t>
      </w:r>
      <w:r w:rsidR="004579B1" w:rsidRPr="00B87CC5">
        <w:rPr>
          <w:lang w:eastAsia="en-US"/>
        </w:rPr>
        <w:t xml:space="preserve"> </w:t>
      </w:r>
      <w:r w:rsidR="00D24ABC" w:rsidRPr="00B87CC5">
        <w:rPr>
          <w:lang w:eastAsia="en-US"/>
        </w:rPr>
        <w:t>at close to 5 Mt</w:t>
      </w:r>
      <w:r w:rsidR="003153C5" w:rsidRPr="00B87CC5">
        <w:rPr>
          <w:lang w:eastAsia="en-US"/>
        </w:rPr>
        <w:t xml:space="preserve"> CO</w:t>
      </w:r>
      <w:r w:rsidR="003153C5" w:rsidRPr="00B87CC5">
        <w:rPr>
          <w:vertAlign w:val="subscript"/>
          <w:lang w:eastAsia="en-US"/>
        </w:rPr>
        <w:t>2</w:t>
      </w:r>
      <w:r w:rsidR="003153C5" w:rsidRPr="00B87CC5">
        <w:t>-e</w:t>
      </w:r>
      <w:r w:rsidR="001328D3" w:rsidRPr="00B87CC5">
        <w:rPr>
          <w:lang w:eastAsia="en-US"/>
        </w:rPr>
        <w:t xml:space="preserve"> but within a very wide range</w:t>
      </w:r>
      <w:r w:rsidR="00793474" w:rsidRPr="00B87CC5">
        <w:rPr>
          <w:lang w:eastAsia="en-US"/>
        </w:rPr>
        <w:t>.</w:t>
      </w:r>
    </w:p>
    <w:p w14:paraId="659D2265" w14:textId="7AE0A73A" w:rsidR="00354E52" w:rsidRDefault="00354E52" w:rsidP="00354E52">
      <w:pPr>
        <w:pStyle w:val="Figureheading"/>
      </w:pPr>
      <w:bookmarkStart w:id="22" w:name="_Ref170312990"/>
      <w:bookmarkStart w:id="23" w:name="_Toc171609779"/>
      <w:r w:rsidRPr="00B87CC5">
        <w:lastRenderedPageBreak/>
        <w:t xml:space="preserve">Figure </w:t>
      </w:r>
      <w:r w:rsidR="00385111">
        <w:fldChar w:fldCharType="begin"/>
      </w:r>
      <w:r w:rsidR="00385111">
        <w:instrText xml:space="preserve"> SEQ Figure \* ARABIC </w:instrText>
      </w:r>
      <w:r w:rsidR="00385111">
        <w:fldChar w:fldCharType="separate"/>
      </w:r>
      <w:r w:rsidR="001B6E3F" w:rsidRPr="00B87CC5">
        <w:t>4</w:t>
      </w:r>
      <w:r w:rsidR="00385111">
        <w:fldChar w:fldCharType="end"/>
      </w:r>
      <w:bookmarkEnd w:id="22"/>
      <w:r w:rsidR="005E1D91" w:rsidRPr="00B87CC5">
        <w:t>:</w:t>
      </w:r>
      <w:r w:rsidR="005E1D91" w:rsidRPr="00B87CC5">
        <w:tab/>
      </w:r>
      <w:r w:rsidRPr="00B87CC5">
        <w:t>Long-lived gas net emissions in interim ERP2 baseline for consultation</w:t>
      </w:r>
      <w:r w:rsidR="003153C5" w:rsidRPr="00B87CC5">
        <w:t>, 2023–50</w:t>
      </w:r>
      <w:bookmarkEnd w:id="23"/>
    </w:p>
    <w:p w14:paraId="785DBEFC" w14:textId="5CD2CBBA" w:rsidR="008013FD" w:rsidRPr="008013FD" w:rsidRDefault="000519A6" w:rsidP="008013FD">
      <w:pPr>
        <w:pStyle w:val="BodyText"/>
        <w:spacing w:before="80" w:after="80"/>
      </w:pPr>
      <w:r>
        <w:rPr>
          <w:noProof/>
        </w:rPr>
        <w:drawing>
          <wp:inline distT="0" distB="0" distL="0" distR="0" wp14:anchorId="3C384D9A" wp14:editId="203D508E">
            <wp:extent cx="5486098" cy="3081959"/>
            <wp:effectExtent l="0" t="0" r="635" b="4445"/>
            <wp:docPr id="1180294587" name="Picture 2" descr="A line graph showing long-lived gas emissions with:&#10;• A line for the central estimate of interim projected emissions&#10;• A high and low line for alternative high and low scenarios&#10;• An uncertainty range around the central projection, based on historical devi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94587" name="Picture 2" descr="A line graph showing long-lived gas emissions with:&#10;• A line for the central estimate of interim projected emissions&#10;• A high and low line for alternative high and low scenarios&#10;• An uncertainty range around the central projection, based on historical deviation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1624" cy="3090681"/>
                    </a:xfrm>
                    <a:prstGeom prst="rect">
                      <a:avLst/>
                    </a:prstGeom>
                    <a:noFill/>
                  </pic:spPr>
                </pic:pic>
              </a:graphicData>
            </a:graphic>
          </wp:inline>
        </w:drawing>
      </w:r>
    </w:p>
    <w:p w14:paraId="136FCF72" w14:textId="49862937" w:rsidR="003153C5" w:rsidRPr="00B87CC5" w:rsidRDefault="003153C5" w:rsidP="002A6069">
      <w:pPr>
        <w:pStyle w:val="Note"/>
        <w:rPr>
          <w:lang w:eastAsia="en-US"/>
        </w:rPr>
      </w:pPr>
      <w:r w:rsidRPr="00B87CC5">
        <w:rPr>
          <w:lang w:eastAsia="en-US"/>
        </w:rPr>
        <w:t>Note: LLG = long-lived gas.</w:t>
      </w:r>
    </w:p>
    <w:p w14:paraId="1FEB2836" w14:textId="37DD2F3D" w:rsidR="00E47C03" w:rsidRPr="00B87CC5" w:rsidRDefault="009F3512" w:rsidP="002A6069">
      <w:pPr>
        <w:pStyle w:val="BodyText"/>
        <w:rPr>
          <w:b/>
          <w:bCs/>
        </w:rPr>
      </w:pPr>
      <w:r w:rsidRPr="00B87CC5" w:rsidDel="001B6E3F">
        <w:t>Table 4</w:t>
      </w:r>
      <w:r w:rsidR="00E47C03" w:rsidRPr="00B87CC5">
        <w:t xml:space="preserve"> summarises the results for </w:t>
      </w:r>
      <w:r w:rsidR="009F291B" w:rsidRPr="00B87CC5">
        <w:t>individual emission</w:t>
      </w:r>
      <w:r w:rsidR="007F44EC" w:rsidRPr="00B87CC5">
        <w:t>s</w:t>
      </w:r>
      <w:r w:rsidR="009F291B" w:rsidRPr="00B87CC5">
        <w:t xml:space="preserve"> budgets and the 2050 net zero target.</w:t>
      </w:r>
    </w:p>
    <w:p w14:paraId="3C6FB4E9" w14:textId="2DD9A1A3" w:rsidR="00222F47" w:rsidRPr="00B87CC5" w:rsidRDefault="00222F47" w:rsidP="00A85524">
      <w:pPr>
        <w:pStyle w:val="Tableheading"/>
      </w:pPr>
      <w:bookmarkStart w:id="24" w:name="_Ref167886364"/>
      <w:bookmarkStart w:id="25" w:name="_Toc171609763"/>
      <w:r w:rsidRPr="00B87CC5">
        <w:t xml:space="preserve">Table </w:t>
      </w:r>
      <w:r w:rsidR="00385111">
        <w:fldChar w:fldCharType="begin"/>
      </w:r>
      <w:r w:rsidR="00385111">
        <w:instrText xml:space="preserve"> SEQ Table \* ARABIC </w:instrText>
      </w:r>
      <w:r w:rsidR="00385111">
        <w:fldChar w:fldCharType="separate"/>
      </w:r>
      <w:r w:rsidR="001B6E3F" w:rsidRPr="00B87CC5">
        <w:t>4</w:t>
      </w:r>
      <w:r w:rsidR="00385111">
        <w:fldChar w:fldCharType="end"/>
      </w:r>
      <w:bookmarkEnd w:id="24"/>
      <w:r w:rsidR="005E1D91" w:rsidRPr="00B87CC5">
        <w:t>:</w:t>
      </w:r>
      <w:r w:rsidR="005E1D91" w:rsidRPr="00B87CC5">
        <w:tab/>
      </w:r>
      <w:r w:rsidRPr="00B87CC5">
        <w:t>Interim consultation baseline compared with 2023 projections per budget period</w:t>
      </w:r>
      <w:r w:rsidR="00ED0B4F" w:rsidRPr="00B87CC5">
        <w:t xml:space="preserve"> (long</w:t>
      </w:r>
      <w:r w:rsidR="009D3F50">
        <w:noBreakHyphen/>
      </w:r>
      <w:r w:rsidR="00ED0B4F" w:rsidRPr="00B87CC5">
        <w:t>lived gases)</w:t>
      </w:r>
      <w:bookmarkEnd w:id="25"/>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275"/>
        <w:gridCol w:w="1419"/>
        <w:gridCol w:w="1419"/>
        <w:gridCol w:w="1558"/>
        <w:gridCol w:w="1419"/>
        <w:gridCol w:w="1415"/>
      </w:tblGrid>
      <w:tr w:rsidR="002926A7" w:rsidRPr="00B87CC5" w14:paraId="02A19328" w14:textId="767452F2" w:rsidTr="002926A7">
        <w:trPr>
          <w:trHeight w:val="284"/>
          <w:tblHeader/>
        </w:trPr>
        <w:tc>
          <w:tcPr>
            <w:tcW w:w="750" w:type="pct"/>
            <w:shd w:val="clear" w:color="auto" w:fill="1B556B" w:themeFill="text2"/>
            <w:vAlign w:val="bottom"/>
          </w:tcPr>
          <w:p w14:paraId="20A61827" w14:textId="77777777" w:rsidR="008C37E5" w:rsidRPr="00B87CC5" w:rsidRDefault="008C37E5" w:rsidP="007C6373">
            <w:pPr>
              <w:pStyle w:val="TableTextbold"/>
              <w:spacing w:before="40" w:after="40"/>
              <w:rPr>
                <w:rFonts w:cs="Calibri"/>
                <w:color w:val="FFFFFF" w:themeColor="background1"/>
                <w:szCs w:val="18"/>
              </w:rPr>
            </w:pPr>
            <w:r w:rsidRPr="00B87CC5">
              <w:rPr>
                <w:rFonts w:cs="Calibri"/>
                <w:color w:val="FFFFFF" w:themeColor="background1"/>
                <w:szCs w:val="18"/>
              </w:rPr>
              <w:t xml:space="preserve">Budget period </w:t>
            </w:r>
          </w:p>
        </w:tc>
        <w:tc>
          <w:tcPr>
            <w:tcW w:w="834" w:type="pct"/>
            <w:shd w:val="clear" w:color="auto" w:fill="1B556B" w:themeFill="text2"/>
            <w:vAlign w:val="bottom"/>
          </w:tcPr>
          <w:p w14:paraId="1EF95986" w14:textId="77777777" w:rsidR="008C37E5" w:rsidRPr="00B87CC5" w:rsidRDefault="008C37E5" w:rsidP="007C6373">
            <w:pPr>
              <w:pStyle w:val="TableTextbold"/>
              <w:spacing w:before="40" w:after="40"/>
              <w:rPr>
                <w:rFonts w:cs="Calibri"/>
                <w:color w:val="FFFFFF" w:themeColor="background1"/>
                <w:szCs w:val="18"/>
              </w:rPr>
            </w:pPr>
            <w:r w:rsidRPr="00B87CC5">
              <w:rPr>
                <w:rFonts w:cs="Calibri"/>
                <w:color w:val="FFFFFF" w:themeColor="background1"/>
                <w:szCs w:val="18"/>
              </w:rPr>
              <w:t>Category</w:t>
            </w:r>
          </w:p>
        </w:tc>
        <w:tc>
          <w:tcPr>
            <w:tcW w:w="834" w:type="pct"/>
            <w:shd w:val="clear" w:color="auto" w:fill="1B556B" w:themeFill="text2"/>
            <w:vAlign w:val="bottom"/>
          </w:tcPr>
          <w:p w14:paraId="5EEC3CD9" w14:textId="60A9A4B8" w:rsidR="008C37E5" w:rsidRPr="00B87CC5" w:rsidRDefault="008C37E5" w:rsidP="007C6373">
            <w:pPr>
              <w:pStyle w:val="TableTextbold"/>
              <w:spacing w:before="40" w:after="40"/>
              <w:jc w:val="right"/>
              <w:rPr>
                <w:rFonts w:cs="Calibri"/>
                <w:color w:val="FFFFFF" w:themeColor="background1"/>
                <w:szCs w:val="18"/>
              </w:rPr>
            </w:pPr>
            <w:r w:rsidRPr="00B87CC5">
              <w:rPr>
                <w:rFonts w:cs="Calibri"/>
                <w:color w:val="FFFFFF" w:themeColor="background1"/>
                <w:szCs w:val="18"/>
              </w:rPr>
              <w:t xml:space="preserve">2023 </w:t>
            </w:r>
            <w:r w:rsidR="007F44EC" w:rsidRPr="00B87CC5">
              <w:rPr>
                <w:rFonts w:cs="Calibri"/>
                <w:color w:val="FFFFFF" w:themeColor="background1"/>
                <w:szCs w:val="18"/>
              </w:rPr>
              <w:t>p</w:t>
            </w:r>
            <w:r w:rsidRPr="00B87CC5">
              <w:rPr>
                <w:rFonts w:cs="Calibri"/>
                <w:color w:val="FFFFFF" w:themeColor="background1"/>
                <w:szCs w:val="18"/>
              </w:rPr>
              <w:t>rojections</w:t>
            </w:r>
          </w:p>
        </w:tc>
        <w:tc>
          <w:tcPr>
            <w:tcW w:w="916" w:type="pct"/>
            <w:shd w:val="clear" w:color="auto" w:fill="1B556B" w:themeFill="text2"/>
            <w:vAlign w:val="bottom"/>
          </w:tcPr>
          <w:p w14:paraId="2118D413" w14:textId="66873212" w:rsidR="008C37E5" w:rsidRPr="00B87CC5" w:rsidRDefault="008C37E5" w:rsidP="007C6373">
            <w:pPr>
              <w:pStyle w:val="TableTextbold"/>
              <w:spacing w:before="40" w:after="40"/>
              <w:jc w:val="right"/>
              <w:rPr>
                <w:rFonts w:cs="Calibri"/>
                <w:color w:val="FFFFFF" w:themeColor="background1"/>
                <w:szCs w:val="18"/>
              </w:rPr>
            </w:pPr>
            <w:r w:rsidRPr="00B87CC5">
              <w:rPr>
                <w:rFonts w:cs="Calibri"/>
                <w:color w:val="FFFFFF" w:themeColor="background1"/>
                <w:szCs w:val="18"/>
              </w:rPr>
              <w:t>ERP2 interim baseline</w:t>
            </w:r>
            <w:r w:rsidR="00935108" w:rsidRPr="00B87CC5">
              <w:rPr>
                <w:rFonts w:cs="Calibri"/>
                <w:color w:val="FFFFFF" w:themeColor="background1"/>
                <w:szCs w:val="18"/>
              </w:rPr>
              <w:t xml:space="preserve"> (central)</w:t>
            </w:r>
          </w:p>
        </w:tc>
        <w:tc>
          <w:tcPr>
            <w:tcW w:w="834" w:type="pct"/>
            <w:shd w:val="clear" w:color="auto" w:fill="1B556B" w:themeFill="text2"/>
            <w:vAlign w:val="bottom"/>
          </w:tcPr>
          <w:p w14:paraId="679EF22B" w14:textId="3FDD34B5" w:rsidR="008C37E5" w:rsidRPr="00B87CC5" w:rsidRDefault="007B3614" w:rsidP="007C6373">
            <w:pPr>
              <w:pStyle w:val="TableTextbold"/>
              <w:spacing w:before="40" w:after="40"/>
              <w:jc w:val="right"/>
              <w:rPr>
                <w:rFonts w:cs="Calibri"/>
                <w:color w:val="FFFFFF" w:themeColor="background1"/>
                <w:szCs w:val="18"/>
              </w:rPr>
            </w:pPr>
            <w:r w:rsidRPr="00B87CC5">
              <w:rPr>
                <w:rFonts w:cs="Calibri"/>
                <w:color w:val="FFFFFF" w:themeColor="background1"/>
                <w:szCs w:val="18"/>
              </w:rPr>
              <w:t xml:space="preserve">ERP2 </w:t>
            </w:r>
            <w:r w:rsidR="004637B9" w:rsidRPr="00B87CC5">
              <w:rPr>
                <w:rFonts w:cs="Calibri"/>
                <w:color w:val="FFFFFF" w:themeColor="background1"/>
                <w:szCs w:val="18"/>
              </w:rPr>
              <w:t>interim baseline (low)</w:t>
            </w:r>
          </w:p>
        </w:tc>
        <w:tc>
          <w:tcPr>
            <w:tcW w:w="832" w:type="pct"/>
            <w:shd w:val="clear" w:color="auto" w:fill="1B556B" w:themeFill="text2"/>
            <w:vAlign w:val="bottom"/>
          </w:tcPr>
          <w:p w14:paraId="57BD36F5" w14:textId="15E025C7" w:rsidR="008C37E5" w:rsidRPr="00B87CC5" w:rsidRDefault="004637B9" w:rsidP="007C6373">
            <w:pPr>
              <w:pStyle w:val="TableTextbold"/>
              <w:spacing w:before="40" w:after="40"/>
              <w:jc w:val="right"/>
              <w:rPr>
                <w:rFonts w:cs="Calibri"/>
                <w:color w:val="FFFFFF" w:themeColor="background1"/>
                <w:szCs w:val="18"/>
              </w:rPr>
            </w:pPr>
            <w:r w:rsidRPr="00B87CC5">
              <w:rPr>
                <w:rFonts w:cs="Calibri"/>
                <w:color w:val="FFFFFF" w:themeColor="background1"/>
                <w:szCs w:val="18"/>
              </w:rPr>
              <w:t xml:space="preserve">ERP2 interim baseline </w:t>
            </w:r>
            <w:r w:rsidR="00935108" w:rsidRPr="00B87CC5">
              <w:rPr>
                <w:rFonts w:cs="Calibri"/>
                <w:color w:val="FFFFFF" w:themeColor="background1"/>
                <w:szCs w:val="18"/>
              </w:rPr>
              <w:t>(high</w:t>
            </w:r>
            <w:r w:rsidRPr="00B87CC5">
              <w:rPr>
                <w:rFonts w:cs="Calibri"/>
                <w:color w:val="FFFFFF" w:themeColor="background1"/>
                <w:szCs w:val="18"/>
              </w:rPr>
              <w:t>)</w:t>
            </w:r>
          </w:p>
        </w:tc>
      </w:tr>
      <w:tr w:rsidR="002926A7" w:rsidRPr="00B87CC5" w14:paraId="42C5ADBA" w14:textId="38DBBAF6" w:rsidTr="002926A7">
        <w:trPr>
          <w:trHeight w:val="284"/>
        </w:trPr>
        <w:tc>
          <w:tcPr>
            <w:tcW w:w="750" w:type="pct"/>
            <w:shd w:val="clear" w:color="auto" w:fill="auto"/>
          </w:tcPr>
          <w:p w14:paraId="0B971185" w14:textId="67210314" w:rsidR="000C5BF6" w:rsidRPr="00B87CC5" w:rsidRDefault="007F44EC" w:rsidP="007C6373">
            <w:pPr>
              <w:pStyle w:val="TableTextbold"/>
              <w:spacing w:before="40" w:after="40"/>
              <w:rPr>
                <w:rFonts w:cs="Calibri"/>
                <w:szCs w:val="18"/>
              </w:rPr>
            </w:pPr>
            <w:r w:rsidRPr="00B87CC5">
              <w:rPr>
                <w:rFonts w:cs="Calibri"/>
                <w:szCs w:val="18"/>
              </w:rPr>
              <w:t>First</w:t>
            </w:r>
          </w:p>
        </w:tc>
        <w:tc>
          <w:tcPr>
            <w:tcW w:w="834" w:type="pct"/>
            <w:shd w:val="clear" w:color="auto" w:fill="auto"/>
            <w:vAlign w:val="center"/>
          </w:tcPr>
          <w:p w14:paraId="3D87C055" w14:textId="77777777" w:rsidR="000C5BF6" w:rsidRPr="00B87CC5" w:rsidRDefault="000C5BF6" w:rsidP="007C6373">
            <w:pPr>
              <w:pStyle w:val="TableTextbold"/>
              <w:spacing w:before="40" w:after="40"/>
              <w:rPr>
                <w:rFonts w:cs="Calibri"/>
                <w:szCs w:val="18"/>
              </w:rPr>
            </w:pPr>
            <w:r w:rsidRPr="00B87CC5">
              <w:rPr>
                <w:rFonts w:cs="Calibri"/>
                <w:szCs w:val="18"/>
              </w:rPr>
              <w:t>Net emissions</w:t>
            </w:r>
          </w:p>
        </w:tc>
        <w:tc>
          <w:tcPr>
            <w:tcW w:w="834" w:type="pct"/>
            <w:vAlign w:val="center"/>
          </w:tcPr>
          <w:p w14:paraId="1BEA6360" w14:textId="69951CB3" w:rsidR="000C5BF6" w:rsidRPr="00B87CC5" w:rsidRDefault="000C5BF6" w:rsidP="007C6373">
            <w:pPr>
              <w:pStyle w:val="TableTextbold"/>
              <w:spacing w:before="40" w:after="40"/>
              <w:jc w:val="right"/>
              <w:rPr>
                <w:rFonts w:cs="Calibri"/>
                <w:szCs w:val="18"/>
              </w:rPr>
            </w:pPr>
            <w:r w:rsidRPr="00B87CC5">
              <w:rPr>
                <w:rFonts w:cs="Calibri"/>
                <w:color w:val="000000"/>
                <w:szCs w:val="18"/>
              </w:rPr>
              <w:t>137.2</w:t>
            </w:r>
          </w:p>
        </w:tc>
        <w:tc>
          <w:tcPr>
            <w:tcW w:w="916" w:type="pct"/>
            <w:vAlign w:val="center"/>
          </w:tcPr>
          <w:p w14:paraId="7B850FE3" w14:textId="7EA97722" w:rsidR="000C5BF6" w:rsidRPr="00B87CC5" w:rsidRDefault="00327C84" w:rsidP="007C6373">
            <w:pPr>
              <w:pStyle w:val="TableTextbold"/>
              <w:spacing w:before="40" w:after="40"/>
              <w:jc w:val="right"/>
              <w:rPr>
                <w:rFonts w:cs="Calibri"/>
                <w:color w:val="000000"/>
                <w:szCs w:val="18"/>
              </w:rPr>
            </w:pPr>
            <w:r w:rsidRPr="00B87CC5">
              <w:rPr>
                <w:rFonts w:cs="Calibri"/>
                <w:color w:val="000000"/>
                <w:szCs w:val="18"/>
              </w:rPr>
              <w:t>140.0</w:t>
            </w:r>
          </w:p>
        </w:tc>
        <w:tc>
          <w:tcPr>
            <w:tcW w:w="834" w:type="pct"/>
            <w:vAlign w:val="center"/>
          </w:tcPr>
          <w:p w14:paraId="60A04169" w14:textId="464C5221" w:rsidR="000C5BF6" w:rsidRPr="00B87CC5" w:rsidRDefault="00327C84" w:rsidP="007C6373">
            <w:pPr>
              <w:pStyle w:val="TableTextbold"/>
              <w:spacing w:before="40" w:after="40"/>
              <w:jc w:val="right"/>
              <w:rPr>
                <w:rFonts w:cs="Calibri"/>
                <w:color w:val="000000"/>
                <w:szCs w:val="18"/>
              </w:rPr>
            </w:pPr>
            <w:r w:rsidRPr="00B87CC5">
              <w:rPr>
                <w:rFonts w:cs="Calibri"/>
                <w:color w:val="000000"/>
                <w:szCs w:val="18"/>
              </w:rPr>
              <w:t>134.7</w:t>
            </w:r>
          </w:p>
        </w:tc>
        <w:tc>
          <w:tcPr>
            <w:tcW w:w="832" w:type="pct"/>
            <w:vAlign w:val="center"/>
          </w:tcPr>
          <w:p w14:paraId="7EFA555F" w14:textId="78F7A2B6" w:rsidR="000C5BF6" w:rsidRPr="00B87CC5" w:rsidRDefault="00327C84" w:rsidP="007C6373">
            <w:pPr>
              <w:pStyle w:val="TableTextbold"/>
              <w:spacing w:before="40" w:after="40"/>
              <w:jc w:val="right"/>
              <w:rPr>
                <w:rFonts w:cs="Calibri"/>
                <w:color w:val="000000"/>
                <w:szCs w:val="18"/>
              </w:rPr>
            </w:pPr>
            <w:r w:rsidRPr="00B87CC5">
              <w:rPr>
                <w:rFonts w:cs="Calibri"/>
                <w:color w:val="000000"/>
                <w:szCs w:val="18"/>
              </w:rPr>
              <w:t>142.8</w:t>
            </w:r>
          </w:p>
        </w:tc>
      </w:tr>
      <w:tr w:rsidR="002926A7" w:rsidRPr="00B87CC5" w14:paraId="59FB4CDB" w14:textId="086FC777" w:rsidTr="002926A7">
        <w:trPr>
          <w:trHeight w:val="284"/>
        </w:trPr>
        <w:tc>
          <w:tcPr>
            <w:tcW w:w="750" w:type="pct"/>
            <w:shd w:val="clear" w:color="auto" w:fill="auto"/>
          </w:tcPr>
          <w:p w14:paraId="34A69748" w14:textId="77777777" w:rsidR="000C5BF6" w:rsidRPr="00B87CC5" w:rsidRDefault="000C5BF6" w:rsidP="007C6373">
            <w:pPr>
              <w:pStyle w:val="TableTextbold"/>
              <w:spacing w:before="40" w:after="40"/>
              <w:rPr>
                <w:rFonts w:cs="Calibri"/>
                <w:b w:val="0"/>
                <w:bCs/>
                <w:szCs w:val="18"/>
              </w:rPr>
            </w:pPr>
          </w:p>
        </w:tc>
        <w:tc>
          <w:tcPr>
            <w:tcW w:w="834" w:type="pct"/>
            <w:shd w:val="clear" w:color="auto" w:fill="auto"/>
            <w:vAlign w:val="center"/>
          </w:tcPr>
          <w:p w14:paraId="76066F68" w14:textId="77777777" w:rsidR="000C5BF6" w:rsidRPr="00B87CC5" w:rsidRDefault="000C5BF6" w:rsidP="007C6373">
            <w:pPr>
              <w:pStyle w:val="TableText"/>
              <w:spacing w:before="40" w:after="40"/>
              <w:rPr>
                <w:rFonts w:cs="Calibri"/>
                <w:szCs w:val="18"/>
              </w:rPr>
            </w:pPr>
            <w:r w:rsidRPr="00B87CC5">
              <w:rPr>
                <w:rFonts w:cs="Calibri"/>
                <w:szCs w:val="18"/>
              </w:rPr>
              <w:t>Gross emissions</w:t>
            </w:r>
          </w:p>
        </w:tc>
        <w:tc>
          <w:tcPr>
            <w:tcW w:w="834" w:type="pct"/>
            <w:vAlign w:val="center"/>
          </w:tcPr>
          <w:p w14:paraId="6FECE935" w14:textId="173EF378" w:rsidR="000C5BF6" w:rsidRPr="00B87CC5" w:rsidRDefault="000C5BF6" w:rsidP="007C6373">
            <w:pPr>
              <w:pStyle w:val="TableText"/>
              <w:spacing w:before="40" w:after="40"/>
              <w:jc w:val="right"/>
              <w:rPr>
                <w:rFonts w:cs="Calibri"/>
                <w:szCs w:val="18"/>
              </w:rPr>
            </w:pPr>
            <w:r w:rsidRPr="00B87CC5">
              <w:rPr>
                <w:rFonts w:cs="Calibri"/>
                <w:szCs w:val="18"/>
              </w:rPr>
              <w:t>161.0</w:t>
            </w:r>
          </w:p>
        </w:tc>
        <w:tc>
          <w:tcPr>
            <w:tcW w:w="916" w:type="pct"/>
            <w:vAlign w:val="center"/>
          </w:tcPr>
          <w:p w14:paraId="6F6EE81B" w14:textId="4F2A2171" w:rsidR="000C5BF6" w:rsidRPr="00B87CC5" w:rsidRDefault="00327C84" w:rsidP="007C6373">
            <w:pPr>
              <w:pStyle w:val="TableText"/>
              <w:spacing w:before="40" w:after="40"/>
              <w:jc w:val="right"/>
              <w:rPr>
                <w:rFonts w:cs="Calibri"/>
                <w:szCs w:val="18"/>
              </w:rPr>
            </w:pPr>
            <w:r w:rsidRPr="00B87CC5">
              <w:rPr>
                <w:rFonts w:cs="Calibri"/>
                <w:szCs w:val="18"/>
              </w:rPr>
              <w:t>163.3</w:t>
            </w:r>
          </w:p>
        </w:tc>
        <w:tc>
          <w:tcPr>
            <w:tcW w:w="834" w:type="pct"/>
            <w:vAlign w:val="center"/>
          </w:tcPr>
          <w:p w14:paraId="4343E2B1" w14:textId="1E51D9AC" w:rsidR="000C5BF6" w:rsidRPr="00B87CC5" w:rsidRDefault="00327C84" w:rsidP="007C6373">
            <w:pPr>
              <w:pStyle w:val="TableText"/>
              <w:spacing w:before="40" w:after="40"/>
              <w:jc w:val="right"/>
              <w:rPr>
                <w:rFonts w:cs="Calibri"/>
                <w:szCs w:val="18"/>
              </w:rPr>
            </w:pPr>
            <w:r w:rsidRPr="00B87CC5">
              <w:rPr>
                <w:rFonts w:cs="Calibri"/>
                <w:szCs w:val="18"/>
              </w:rPr>
              <w:t>159.7</w:t>
            </w:r>
          </w:p>
        </w:tc>
        <w:tc>
          <w:tcPr>
            <w:tcW w:w="832" w:type="pct"/>
            <w:vAlign w:val="center"/>
          </w:tcPr>
          <w:p w14:paraId="1E5C7E90" w14:textId="45186B5C" w:rsidR="000C5BF6" w:rsidRPr="00B87CC5" w:rsidRDefault="00327C84" w:rsidP="007C6373">
            <w:pPr>
              <w:pStyle w:val="TableText"/>
              <w:spacing w:before="40" w:after="40"/>
              <w:jc w:val="right"/>
              <w:rPr>
                <w:rFonts w:cs="Calibri"/>
                <w:szCs w:val="18"/>
              </w:rPr>
            </w:pPr>
            <w:r w:rsidRPr="00B87CC5">
              <w:rPr>
                <w:rFonts w:cs="Calibri"/>
                <w:szCs w:val="18"/>
              </w:rPr>
              <w:t>164.2</w:t>
            </w:r>
          </w:p>
        </w:tc>
      </w:tr>
      <w:tr w:rsidR="002926A7" w:rsidRPr="00B87CC5" w14:paraId="3D6A35B1" w14:textId="4BAA3A44" w:rsidTr="002926A7">
        <w:trPr>
          <w:trHeight w:val="284"/>
        </w:trPr>
        <w:tc>
          <w:tcPr>
            <w:tcW w:w="750" w:type="pct"/>
          </w:tcPr>
          <w:p w14:paraId="18C058B5" w14:textId="77777777" w:rsidR="000C5BF6" w:rsidRPr="00B87CC5" w:rsidRDefault="000C5BF6" w:rsidP="007C6373">
            <w:pPr>
              <w:pStyle w:val="TableTextbold"/>
              <w:spacing w:before="40" w:after="40"/>
              <w:rPr>
                <w:rFonts w:cs="Calibri"/>
                <w:b w:val="0"/>
                <w:bCs/>
                <w:szCs w:val="18"/>
              </w:rPr>
            </w:pPr>
          </w:p>
        </w:tc>
        <w:tc>
          <w:tcPr>
            <w:tcW w:w="834" w:type="pct"/>
            <w:vAlign w:val="center"/>
          </w:tcPr>
          <w:p w14:paraId="2617E7DB" w14:textId="77777777" w:rsidR="000C5BF6" w:rsidRPr="00B87CC5" w:rsidRDefault="000C5BF6" w:rsidP="007C6373">
            <w:pPr>
              <w:pStyle w:val="TableText"/>
              <w:spacing w:before="40" w:after="40"/>
              <w:rPr>
                <w:rFonts w:cs="Calibri"/>
                <w:szCs w:val="18"/>
              </w:rPr>
            </w:pPr>
            <w:r w:rsidRPr="00B87CC5">
              <w:rPr>
                <w:rFonts w:cs="Calibri"/>
                <w:szCs w:val="18"/>
              </w:rPr>
              <w:t>Removals</w:t>
            </w:r>
          </w:p>
        </w:tc>
        <w:tc>
          <w:tcPr>
            <w:tcW w:w="834" w:type="pct"/>
            <w:vAlign w:val="center"/>
          </w:tcPr>
          <w:p w14:paraId="7E2676B3" w14:textId="7880071B" w:rsidR="000C5BF6" w:rsidRPr="00B87CC5" w:rsidRDefault="007F44EC" w:rsidP="007C6373">
            <w:pPr>
              <w:pStyle w:val="TableText"/>
              <w:spacing w:before="40" w:after="40"/>
              <w:jc w:val="right"/>
              <w:rPr>
                <w:rFonts w:cs="Calibri"/>
                <w:szCs w:val="18"/>
              </w:rPr>
            </w:pPr>
            <w:r w:rsidRPr="00B87CC5">
              <w:rPr>
                <w:rFonts w:cs="Calibri"/>
                <w:szCs w:val="18"/>
              </w:rPr>
              <w:t>–</w:t>
            </w:r>
            <w:r w:rsidR="000C5BF6" w:rsidRPr="00B87CC5">
              <w:rPr>
                <w:rFonts w:cs="Calibri"/>
                <w:szCs w:val="18"/>
              </w:rPr>
              <w:t>23.8</w:t>
            </w:r>
          </w:p>
        </w:tc>
        <w:tc>
          <w:tcPr>
            <w:tcW w:w="916" w:type="pct"/>
            <w:vAlign w:val="center"/>
          </w:tcPr>
          <w:p w14:paraId="4747100C" w14:textId="629D85C7" w:rsidR="000C5BF6" w:rsidRPr="00B87CC5" w:rsidRDefault="007F44EC" w:rsidP="007C6373">
            <w:pPr>
              <w:pStyle w:val="TableText"/>
              <w:spacing w:before="40" w:after="40"/>
              <w:jc w:val="right"/>
              <w:rPr>
                <w:rFonts w:cs="Calibri"/>
                <w:szCs w:val="18"/>
              </w:rPr>
            </w:pPr>
            <w:r w:rsidRPr="00B87CC5">
              <w:rPr>
                <w:rFonts w:cs="Calibri"/>
                <w:szCs w:val="18"/>
              </w:rPr>
              <w:t>–</w:t>
            </w:r>
            <w:r w:rsidR="00327C84" w:rsidRPr="00B87CC5">
              <w:rPr>
                <w:rFonts w:cs="Calibri"/>
                <w:szCs w:val="18"/>
              </w:rPr>
              <w:t>23.3</w:t>
            </w:r>
          </w:p>
        </w:tc>
        <w:tc>
          <w:tcPr>
            <w:tcW w:w="834" w:type="pct"/>
            <w:vAlign w:val="center"/>
          </w:tcPr>
          <w:p w14:paraId="5C8A24DC" w14:textId="5021FD95" w:rsidR="000C5BF6" w:rsidRPr="00B87CC5" w:rsidRDefault="007F44EC" w:rsidP="007C6373">
            <w:pPr>
              <w:pStyle w:val="TableText"/>
              <w:spacing w:before="40" w:after="40"/>
              <w:jc w:val="right"/>
              <w:rPr>
                <w:rFonts w:cs="Calibri"/>
                <w:szCs w:val="18"/>
              </w:rPr>
            </w:pPr>
            <w:r w:rsidRPr="00B87CC5">
              <w:rPr>
                <w:rFonts w:cs="Calibri"/>
                <w:szCs w:val="18"/>
              </w:rPr>
              <w:t>–</w:t>
            </w:r>
            <w:r w:rsidR="00327C84" w:rsidRPr="00B87CC5">
              <w:rPr>
                <w:rFonts w:cs="Calibri"/>
                <w:szCs w:val="18"/>
              </w:rPr>
              <w:t>25.1</w:t>
            </w:r>
          </w:p>
        </w:tc>
        <w:tc>
          <w:tcPr>
            <w:tcW w:w="832" w:type="pct"/>
            <w:vAlign w:val="center"/>
          </w:tcPr>
          <w:p w14:paraId="3AB4E3D0" w14:textId="430A123F" w:rsidR="000C5BF6" w:rsidRPr="00B87CC5" w:rsidRDefault="007F44EC" w:rsidP="007C6373">
            <w:pPr>
              <w:pStyle w:val="TableText"/>
              <w:spacing w:before="40" w:after="40"/>
              <w:jc w:val="right"/>
              <w:rPr>
                <w:rFonts w:cs="Calibri"/>
                <w:szCs w:val="18"/>
              </w:rPr>
            </w:pPr>
            <w:r w:rsidRPr="00B87CC5">
              <w:rPr>
                <w:rFonts w:cs="Calibri"/>
                <w:szCs w:val="18"/>
              </w:rPr>
              <w:t>–</w:t>
            </w:r>
            <w:r w:rsidR="00327C84" w:rsidRPr="00B87CC5">
              <w:rPr>
                <w:rFonts w:cs="Calibri"/>
                <w:szCs w:val="18"/>
              </w:rPr>
              <w:t>21.4</w:t>
            </w:r>
          </w:p>
        </w:tc>
      </w:tr>
      <w:tr w:rsidR="002926A7" w:rsidRPr="00B87CC5" w14:paraId="224B8E33" w14:textId="7D2EEB22" w:rsidTr="002926A7">
        <w:trPr>
          <w:trHeight w:val="284"/>
        </w:trPr>
        <w:tc>
          <w:tcPr>
            <w:tcW w:w="750" w:type="pct"/>
          </w:tcPr>
          <w:p w14:paraId="2E9AAEC7" w14:textId="746AE1E9" w:rsidR="000C5BF6" w:rsidRPr="00B87CC5" w:rsidRDefault="007F44EC" w:rsidP="007C6373">
            <w:pPr>
              <w:pStyle w:val="TableTextbold"/>
              <w:spacing w:before="40" w:after="40"/>
              <w:rPr>
                <w:rFonts w:cs="Calibri"/>
                <w:szCs w:val="18"/>
              </w:rPr>
            </w:pPr>
            <w:r w:rsidRPr="00B87CC5">
              <w:rPr>
                <w:rFonts w:cs="Calibri"/>
                <w:szCs w:val="18"/>
              </w:rPr>
              <w:t>Second</w:t>
            </w:r>
          </w:p>
        </w:tc>
        <w:tc>
          <w:tcPr>
            <w:tcW w:w="834" w:type="pct"/>
            <w:vAlign w:val="center"/>
          </w:tcPr>
          <w:p w14:paraId="7F2FDC36" w14:textId="77777777" w:rsidR="000C5BF6" w:rsidRPr="00B87CC5" w:rsidRDefault="000C5BF6" w:rsidP="007C6373">
            <w:pPr>
              <w:pStyle w:val="TableTextbold"/>
              <w:spacing w:before="40" w:after="40"/>
              <w:rPr>
                <w:rFonts w:cs="Calibri"/>
                <w:szCs w:val="18"/>
              </w:rPr>
            </w:pPr>
            <w:r w:rsidRPr="00B87CC5">
              <w:rPr>
                <w:rFonts w:cs="Calibri"/>
                <w:szCs w:val="18"/>
              </w:rPr>
              <w:t>Net emissions</w:t>
            </w:r>
          </w:p>
        </w:tc>
        <w:tc>
          <w:tcPr>
            <w:tcW w:w="834" w:type="pct"/>
            <w:vAlign w:val="center"/>
          </w:tcPr>
          <w:p w14:paraId="6A1FEE3D" w14:textId="245974BE" w:rsidR="000C5BF6" w:rsidRPr="00B87CC5" w:rsidRDefault="000C5BF6" w:rsidP="007C6373">
            <w:pPr>
              <w:pStyle w:val="TableTextbold"/>
              <w:spacing w:before="40" w:after="40"/>
              <w:jc w:val="right"/>
              <w:rPr>
                <w:rFonts w:cs="Calibri"/>
                <w:szCs w:val="18"/>
              </w:rPr>
            </w:pPr>
            <w:r w:rsidRPr="00B87CC5">
              <w:rPr>
                <w:rFonts w:cs="Calibri"/>
                <w:color w:val="000000"/>
                <w:szCs w:val="18"/>
              </w:rPr>
              <w:t>114.2</w:t>
            </w:r>
          </w:p>
        </w:tc>
        <w:tc>
          <w:tcPr>
            <w:tcW w:w="916" w:type="pct"/>
            <w:vAlign w:val="center"/>
          </w:tcPr>
          <w:p w14:paraId="0D75EB8A" w14:textId="0AD09864" w:rsidR="000C5BF6" w:rsidRPr="00B87CC5" w:rsidRDefault="00327C84" w:rsidP="007C6373">
            <w:pPr>
              <w:pStyle w:val="TableTextbold"/>
              <w:spacing w:before="40" w:after="40"/>
              <w:jc w:val="right"/>
              <w:rPr>
                <w:rFonts w:cs="Calibri"/>
                <w:color w:val="000000"/>
                <w:szCs w:val="18"/>
              </w:rPr>
            </w:pPr>
            <w:r w:rsidRPr="00B87CC5">
              <w:rPr>
                <w:rFonts w:cs="Calibri"/>
                <w:color w:val="000000"/>
                <w:szCs w:val="18"/>
              </w:rPr>
              <w:t>134.2</w:t>
            </w:r>
          </w:p>
        </w:tc>
        <w:tc>
          <w:tcPr>
            <w:tcW w:w="834" w:type="pct"/>
            <w:vAlign w:val="center"/>
          </w:tcPr>
          <w:p w14:paraId="0BFF784F" w14:textId="7F72DB4A" w:rsidR="000C5BF6" w:rsidRPr="00B87CC5" w:rsidRDefault="00327C84" w:rsidP="007C6373">
            <w:pPr>
              <w:pStyle w:val="TableTextbold"/>
              <w:spacing w:before="40" w:after="40"/>
              <w:jc w:val="right"/>
              <w:rPr>
                <w:rFonts w:cs="Calibri"/>
                <w:color w:val="000000"/>
                <w:szCs w:val="18"/>
              </w:rPr>
            </w:pPr>
            <w:r w:rsidRPr="00B87CC5">
              <w:rPr>
                <w:rFonts w:cs="Calibri"/>
                <w:color w:val="000000"/>
                <w:szCs w:val="18"/>
              </w:rPr>
              <w:t>118.8</w:t>
            </w:r>
          </w:p>
        </w:tc>
        <w:tc>
          <w:tcPr>
            <w:tcW w:w="832" w:type="pct"/>
            <w:vAlign w:val="center"/>
          </w:tcPr>
          <w:p w14:paraId="62B7130A" w14:textId="7453911A" w:rsidR="000C5BF6" w:rsidRPr="00B87CC5" w:rsidRDefault="00327C84" w:rsidP="007C6373">
            <w:pPr>
              <w:pStyle w:val="TableTextbold"/>
              <w:spacing w:before="40" w:after="40"/>
              <w:jc w:val="right"/>
              <w:rPr>
                <w:rFonts w:cs="Calibri"/>
                <w:color w:val="000000"/>
                <w:szCs w:val="18"/>
              </w:rPr>
            </w:pPr>
            <w:r w:rsidRPr="00B87CC5">
              <w:rPr>
                <w:rFonts w:cs="Calibri"/>
                <w:color w:val="000000"/>
                <w:szCs w:val="18"/>
              </w:rPr>
              <w:t>148.0</w:t>
            </w:r>
          </w:p>
        </w:tc>
      </w:tr>
      <w:tr w:rsidR="002926A7" w:rsidRPr="00B87CC5" w14:paraId="0CA1BF19" w14:textId="0353C586" w:rsidTr="002926A7">
        <w:trPr>
          <w:trHeight w:val="284"/>
        </w:trPr>
        <w:tc>
          <w:tcPr>
            <w:tcW w:w="750" w:type="pct"/>
          </w:tcPr>
          <w:p w14:paraId="479AF113" w14:textId="77777777" w:rsidR="000C5BF6" w:rsidRPr="00B87CC5" w:rsidRDefault="000C5BF6" w:rsidP="007C6373">
            <w:pPr>
              <w:pStyle w:val="TableTextbold"/>
              <w:spacing w:before="40" w:after="40"/>
              <w:rPr>
                <w:rFonts w:cs="Calibri"/>
                <w:b w:val="0"/>
                <w:bCs/>
                <w:szCs w:val="18"/>
              </w:rPr>
            </w:pPr>
          </w:p>
        </w:tc>
        <w:tc>
          <w:tcPr>
            <w:tcW w:w="834" w:type="pct"/>
            <w:vAlign w:val="center"/>
          </w:tcPr>
          <w:p w14:paraId="1E1F48BC" w14:textId="77777777" w:rsidR="000C5BF6" w:rsidRPr="00B87CC5" w:rsidRDefault="000C5BF6" w:rsidP="007C6373">
            <w:pPr>
              <w:pStyle w:val="TableText"/>
              <w:spacing w:before="40" w:after="40"/>
              <w:rPr>
                <w:rFonts w:cs="Calibri"/>
                <w:szCs w:val="18"/>
              </w:rPr>
            </w:pPr>
            <w:r w:rsidRPr="00B87CC5">
              <w:rPr>
                <w:rFonts w:cs="Calibri"/>
                <w:szCs w:val="18"/>
              </w:rPr>
              <w:t>Gross emissions</w:t>
            </w:r>
          </w:p>
        </w:tc>
        <w:tc>
          <w:tcPr>
            <w:tcW w:w="834" w:type="pct"/>
            <w:vAlign w:val="center"/>
          </w:tcPr>
          <w:p w14:paraId="31361E2D" w14:textId="3010FAC9" w:rsidR="000C5BF6" w:rsidRPr="00B87CC5" w:rsidRDefault="000C5BF6" w:rsidP="007C6373">
            <w:pPr>
              <w:pStyle w:val="TableText"/>
              <w:spacing w:before="40" w:after="40"/>
              <w:jc w:val="right"/>
              <w:rPr>
                <w:rFonts w:cs="Calibri"/>
                <w:szCs w:val="18"/>
              </w:rPr>
            </w:pPr>
            <w:r w:rsidRPr="00B87CC5">
              <w:rPr>
                <w:rFonts w:cs="Calibri"/>
                <w:szCs w:val="18"/>
              </w:rPr>
              <w:t>175.1</w:t>
            </w:r>
          </w:p>
        </w:tc>
        <w:tc>
          <w:tcPr>
            <w:tcW w:w="916" w:type="pct"/>
            <w:vAlign w:val="center"/>
          </w:tcPr>
          <w:p w14:paraId="48F8C213" w14:textId="44F28FF3" w:rsidR="000C5BF6" w:rsidRPr="00B87CC5" w:rsidRDefault="00327C84" w:rsidP="007C6373">
            <w:pPr>
              <w:pStyle w:val="TableText"/>
              <w:spacing w:before="40" w:after="40"/>
              <w:jc w:val="right"/>
              <w:rPr>
                <w:rFonts w:cs="Calibri"/>
                <w:szCs w:val="18"/>
              </w:rPr>
            </w:pPr>
            <w:r w:rsidRPr="00B87CC5">
              <w:rPr>
                <w:rFonts w:cs="Calibri"/>
                <w:szCs w:val="18"/>
              </w:rPr>
              <w:t>195.5</w:t>
            </w:r>
          </w:p>
        </w:tc>
        <w:tc>
          <w:tcPr>
            <w:tcW w:w="834" w:type="pct"/>
            <w:vAlign w:val="center"/>
          </w:tcPr>
          <w:p w14:paraId="3FCD5FE6" w14:textId="288940B5" w:rsidR="000C5BF6" w:rsidRPr="00B87CC5" w:rsidRDefault="00327C84" w:rsidP="007C6373">
            <w:pPr>
              <w:pStyle w:val="TableText"/>
              <w:spacing w:before="40" w:after="40"/>
              <w:jc w:val="right"/>
              <w:rPr>
                <w:rFonts w:cs="Calibri"/>
                <w:szCs w:val="18"/>
              </w:rPr>
            </w:pPr>
            <w:r w:rsidRPr="00B87CC5">
              <w:rPr>
                <w:rFonts w:cs="Calibri"/>
                <w:szCs w:val="18"/>
              </w:rPr>
              <w:t>182.6</w:t>
            </w:r>
          </w:p>
        </w:tc>
        <w:tc>
          <w:tcPr>
            <w:tcW w:w="832" w:type="pct"/>
            <w:vAlign w:val="center"/>
          </w:tcPr>
          <w:p w14:paraId="44E4D991" w14:textId="34843B05" w:rsidR="000C5BF6" w:rsidRPr="00B87CC5" w:rsidRDefault="00327C84" w:rsidP="007C6373">
            <w:pPr>
              <w:pStyle w:val="TableText"/>
              <w:spacing w:before="40" w:after="40"/>
              <w:jc w:val="right"/>
              <w:rPr>
                <w:rFonts w:cs="Calibri"/>
                <w:szCs w:val="18"/>
              </w:rPr>
            </w:pPr>
            <w:r w:rsidRPr="00B87CC5">
              <w:rPr>
                <w:rFonts w:cs="Calibri"/>
                <w:szCs w:val="18"/>
              </w:rPr>
              <w:t>206.5</w:t>
            </w:r>
          </w:p>
        </w:tc>
      </w:tr>
      <w:tr w:rsidR="002926A7" w:rsidRPr="00B87CC5" w14:paraId="6BDA625F" w14:textId="61D5E3FF" w:rsidTr="002926A7">
        <w:trPr>
          <w:trHeight w:val="284"/>
        </w:trPr>
        <w:tc>
          <w:tcPr>
            <w:tcW w:w="750" w:type="pct"/>
          </w:tcPr>
          <w:p w14:paraId="342CDCAD" w14:textId="77777777" w:rsidR="000C5BF6" w:rsidRPr="00B87CC5" w:rsidRDefault="000C5BF6" w:rsidP="007C6373">
            <w:pPr>
              <w:pStyle w:val="TableTextbold"/>
              <w:spacing w:before="40" w:after="40"/>
              <w:rPr>
                <w:rFonts w:cs="Calibri"/>
                <w:b w:val="0"/>
                <w:bCs/>
                <w:szCs w:val="18"/>
              </w:rPr>
            </w:pPr>
          </w:p>
        </w:tc>
        <w:tc>
          <w:tcPr>
            <w:tcW w:w="834" w:type="pct"/>
            <w:vAlign w:val="center"/>
          </w:tcPr>
          <w:p w14:paraId="381AB456" w14:textId="77777777" w:rsidR="000C5BF6" w:rsidRPr="00B87CC5" w:rsidRDefault="000C5BF6" w:rsidP="007C6373">
            <w:pPr>
              <w:pStyle w:val="TableText"/>
              <w:spacing w:before="40" w:after="40"/>
              <w:rPr>
                <w:rFonts w:cs="Calibri"/>
                <w:szCs w:val="18"/>
              </w:rPr>
            </w:pPr>
            <w:r w:rsidRPr="00B87CC5">
              <w:rPr>
                <w:rFonts w:cs="Calibri"/>
                <w:szCs w:val="18"/>
              </w:rPr>
              <w:t>Removals</w:t>
            </w:r>
          </w:p>
        </w:tc>
        <w:tc>
          <w:tcPr>
            <w:tcW w:w="834" w:type="pct"/>
            <w:vAlign w:val="center"/>
          </w:tcPr>
          <w:p w14:paraId="738518C3" w14:textId="43699E7B" w:rsidR="000C5BF6" w:rsidRPr="00B87CC5" w:rsidRDefault="007F44EC" w:rsidP="007C6373">
            <w:pPr>
              <w:pStyle w:val="TableText"/>
              <w:spacing w:before="40" w:after="40"/>
              <w:jc w:val="right"/>
              <w:rPr>
                <w:rFonts w:cs="Calibri"/>
                <w:szCs w:val="18"/>
              </w:rPr>
            </w:pPr>
            <w:r w:rsidRPr="00B87CC5">
              <w:rPr>
                <w:rFonts w:cs="Calibri"/>
                <w:szCs w:val="18"/>
              </w:rPr>
              <w:t>–</w:t>
            </w:r>
            <w:r w:rsidR="000C5BF6" w:rsidRPr="00B87CC5">
              <w:rPr>
                <w:rFonts w:cs="Calibri"/>
                <w:szCs w:val="18"/>
              </w:rPr>
              <w:t>60.9</w:t>
            </w:r>
          </w:p>
        </w:tc>
        <w:tc>
          <w:tcPr>
            <w:tcW w:w="916" w:type="pct"/>
            <w:vAlign w:val="center"/>
          </w:tcPr>
          <w:p w14:paraId="7ED0868E" w14:textId="45F1B1D2" w:rsidR="000C5BF6" w:rsidRPr="00B87CC5" w:rsidRDefault="007F44EC" w:rsidP="007C6373">
            <w:pPr>
              <w:pStyle w:val="TableText"/>
              <w:spacing w:before="40" w:after="40"/>
              <w:jc w:val="right"/>
              <w:rPr>
                <w:rFonts w:cs="Calibri"/>
                <w:szCs w:val="18"/>
              </w:rPr>
            </w:pPr>
            <w:r w:rsidRPr="00B87CC5">
              <w:rPr>
                <w:rFonts w:cs="Calibri"/>
                <w:szCs w:val="18"/>
              </w:rPr>
              <w:t>–</w:t>
            </w:r>
            <w:r w:rsidR="00327C84" w:rsidRPr="00B87CC5">
              <w:rPr>
                <w:rFonts w:cs="Calibri"/>
                <w:szCs w:val="18"/>
              </w:rPr>
              <w:t>61.3</w:t>
            </w:r>
          </w:p>
        </w:tc>
        <w:tc>
          <w:tcPr>
            <w:tcW w:w="834" w:type="pct"/>
            <w:vAlign w:val="center"/>
          </w:tcPr>
          <w:p w14:paraId="659892DD" w14:textId="4FCCD924" w:rsidR="000C5BF6" w:rsidRPr="00B87CC5" w:rsidRDefault="00327C84" w:rsidP="007C6373">
            <w:pPr>
              <w:pStyle w:val="TableText"/>
              <w:spacing w:before="40" w:after="40"/>
              <w:jc w:val="right"/>
              <w:rPr>
                <w:rFonts w:cs="Calibri"/>
                <w:szCs w:val="18"/>
              </w:rPr>
            </w:pPr>
            <w:r w:rsidRPr="00B87CC5">
              <w:rPr>
                <w:rFonts w:cs="Calibri"/>
                <w:szCs w:val="18"/>
              </w:rPr>
              <w:t>-63.8</w:t>
            </w:r>
          </w:p>
        </w:tc>
        <w:tc>
          <w:tcPr>
            <w:tcW w:w="832" w:type="pct"/>
            <w:vAlign w:val="center"/>
          </w:tcPr>
          <w:p w14:paraId="29471156" w14:textId="643F96A9" w:rsidR="000C5BF6" w:rsidRPr="00B87CC5" w:rsidRDefault="007F44EC" w:rsidP="007C6373">
            <w:pPr>
              <w:pStyle w:val="TableText"/>
              <w:spacing w:before="40" w:after="40"/>
              <w:jc w:val="right"/>
              <w:rPr>
                <w:rFonts w:cs="Calibri"/>
                <w:szCs w:val="18"/>
              </w:rPr>
            </w:pPr>
            <w:r w:rsidRPr="00B87CC5">
              <w:rPr>
                <w:rFonts w:cs="Calibri"/>
                <w:szCs w:val="18"/>
              </w:rPr>
              <w:t>–</w:t>
            </w:r>
            <w:r w:rsidR="00327C84" w:rsidRPr="00B87CC5">
              <w:rPr>
                <w:rFonts w:cs="Calibri"/>
                <w:szCs w:val="18"/>
              </w:rPr>
              <w:t>58.5</w:t>
            </w:r>
          </w:p>
        </w:tc>
      </w:tr>
      <w:tr w:rsidR="002926A7" w:rsidRPr="00B87CC5" w14:paraId="4FCDCF9A" w14:textId="7C1CDF62" w:rsidTr="002926A7">
        <w:trPr>
          <w:trHeight w:val="284"/>
        </w:trPr>
        <w:tc>
          <w:tcPr>
            <w:tcW w:w="750" w:type="pct"/>
          </w:tcPr>
          <w:p w14:paraId="33FCCBC7" w14:textId="7683B545" w:rsidR="000C5BF6" w:rsidRPr="00B87CC5" w:rsidRDefault="007F44EC" w:rsidP="007C6373">
            <w:pPr>
              <w:pStyle w:val="TableTextbold"/>
              <w:spacing w:before="40" w:after="40"/>
              <w:rPr>
                <w:rFonts w:cs="Calibri"/>
                <w:szCs w:val="18"/>
              </w:rPr>
            </w:pPr>
            <w:r w:rsidRPr="00B87CC5">
              <w:rPr>
                <w:rFonts w:cs="Calibri"/>
                <w:szCs w:val="18"/>
              </w:rPr>
              <w:t>Third</w:t>
            </w:r>
          </w:p>
        </w:tc>
        <w:tc>
          <w:tcPr>
            <w:tcW w:w="834" w:type="pct"/>
            <w:vAlign w:val="center"/>
          </w:tcPr>
          <w:p w14:paraId="04224F1D" w14:textId="77777777" w:rsidR="000C5BF6" w:rsidRPr="00B87CC5" w:rsidRDefault="000C5BF6" w:rsidP="007C6373">
            <w:pPr>
              <w:pStyle w:val="TableTextbold"/>
              <w:spacing w:before="40" w:after="40"/>
              <w:rPr>
                <w:rFonts w:cs="Calibri"/>
                <w:szCs w:val="18"/>
              </w:rPr>
            </w:pPr>
            <w:r w:rsidRPr="00B87CC5">
              <w:rPr>
                <w:rFonts w:cs="Calibri"/>
                <w:szCs w:val="18"/>
              </w:rPr>
              <w:t>Net emissions</w:t>
            </w:r>
          </w:p>
        </w:tc>
        <w:tc>
          <w:tcPr>
            <w:tcW w:w="834" w:type="pct"/>
            <w:vAlign w:val="center"/>
          </w:tcPr>
          <w:p w14:paraId="3341B964" w14:textId="5CF8CB38" w:rsidR="000C5BF6" w:rsidRPr="00B87CC5" w:rsidRDefault="000C5BF6" w:rsidP="007C6373">
            <w:pPr>
              <w:pStyle w:val="TableTextbold"/>
              <w:spacing w:before="40" w:after="40"/>
              <w:jc w:val="right"/>
              <w:rPr>
                <w:rFonts w:cs="Calibri"/>
                <w:szCs w:val="18"/>
              </w:rPr>
            </w:pPr>
            <w:r w:rsidRPr="00B87CC5">
              <w:rPr>
                <w:rFonts w:cs="Calibri"/>
                <w:color w:val="000000"/>
                <w:szCs w:val="18"/>
              </w:rPr>
              <w:t>71.0</w:t>
            </w:r>
          </w:p>
        </w:tc>
        <w:tc>
          <w:tcPr>
            <w:tcW w:w="916" w:type="pct"/>
            <w:vAlign w:val="center"/>
          </w:tcPr>
          <w:p w14:paraId="1EE6A9D7" w14:textId="706377CD" w:rsidR="000C5BF6" w:rsidRPr="00B87CC5" w:rsidRDefault="00327C84" w:rsidP="007C6373">
            <w:pPr>
              <w:pStyle w:val="TableTextbold"/>
              <w:spacing w:before="40" w:after="40"/>
              <w:jc w:val="right"/>
              <w:rPr>
                <w:rFonts w:cs="Calibri"/>
                <w:color w:val="000000"/>
                <w:szCs w:val="18"/>
              </w:rPr>
            </w:pPr>
            <w:r w:rsidRPr="00B87CC5">
              <w:rPr>
                <w:rFonts w:cs="Calibri"/>
                <w:color w:val="000000"/>
                <w:szCs w:val="18"/>
              </w:rPr>
              <w:t>100.2</w:t>
            </w:r>
          </w:p>
        </w:tc>
        <w:tc>
          <w:tcPr>
            <w:tcW w:w="834" w:type="pct"/>
            <w:vAlign w:val="center"/>
          </w:tcPr>
          <w:p w14:paraId="7AB2B2BA" w14:textId="32F7DDF3" w:rsidR="000C5BF6" w:rsidRPr="00B87CC5" w:rsidRDefault="00327C84" w:rsidP="007C6373">
            <w:pPr>
              <w:pStyle w:val="TableTextbold"/>
              <w:spacing w:before="40" w:after="40"/>
              <w:jc w:val="right"/>
              <w:rPr>
                <w:rFonts w:cs="Calibri"/>
                <w:color w:val="000000"/>
                <w:szCs w:val="18"/>
              </w:rPr>
            </w:pPr>
            <w:r w:rsidRPr="00B87CC5">
              <w:rPr>
                <w:rFonts w:cs="Calibri"/>
                <w:color w:val="000000"/>
                <w:szCs w:val="18"/>
              </w:rPr>
              <w:t>79.0</w:t>
            </w:r>
          </w:p>
        </w:tc>
        <w:tc>
          <w:tcPr>
            <w:tcW w:w="832" w:type="pct"/>
            <w:vAlign w:val="center"/>
          </w:tcPr>
          <w:p w14:paraId="347F7ACA" w14:textId="6A0A76A3" w:rsidR="000C5BF6" w:rsidRPr="00B87CC5" w:rsidRDefault="00327C84" w:rsidP="007C6373">
            <w:pPr>
              <w:pStyle w:val="TableTextbold"/>
              <w:spacing w:before="40" w:after="40"/>
              <w:jc w:val="right"/>
              <w:rPr>
                <w:rFonts w:cs="Calibri"/>
                <w:color w:val="000000"/>
                <w:szCs w:val="18"/>
              </w:rPr>
            </w:pPr>
            <w:r w:rsidRPr="00B87CC5">
              <w:rPr>
                <w:rFonts w:cs="Calibri"/>
                <w:color w:val="000000"/>
                <w:szCs w:val="18"/>
              </w:rPr>
              <w:t>126.0</w:t>
            </w:r>
          </w:p>
        </w:tc>
      </w:tr>
      <w:tr w:rsidR="002926A7" w:rsidRPr="00B87CC5" w14:paraId="55C7F9CB" w14:textId="31275DCE" w:rsidTr="002926A7">
        <w:trPr>
          <w:trHeight w:val="284"/>
        </w:trPr>
        <w:tc>
          <w:tcPr>
            <w:tcW w:w="750" w:type="pct"/>
          </w:tcPr>
          <w:p w14:paraId="25A21C37" w14:textId="77777777" w:rsidR="000C5BF6" w:rsidRPr="00B87CC5" w:rsidRDefault="000C5BF6" w:rsidP="007C6373">
            <w:pPr>
              <w:pStyle w:val="TableTextbold"/>
              <w:spacing w:before="40" w:after="40"/>
              <w:rPr>
                <w:rFonts w:cs="Calibri"/>
                <w:szCs w:val="18"/>
              </w:rPr>
            </w:pPr>
          </w:p>
        </w:tc>
        <w:tc>
          <w:tcPr>
            <w:tcW w:w="834" w:type="pct"/>
            <w:vAlign w:val="center"/>
          </w:tcPr>
          <w:p w14:paraId="57213894" w14:textId="77777777" w:rsidR="000C5BF6" w:rsidRPr="00B87CC5" w:rsidRDefault="000C5BF6" w:rsidP="007C6373">
            <w:pPr>
              <w:pStyle w:val="TableText"/>
              <w:spacing w:before="40" w:after="40"/>
              <w:rPr>
                <w:rFonts w:cs="Calibri"/>
                <w:szCs w:val="18"/>
              </w:rPr>
            </w:pPr>
            <w:r w:rsidRPr="00B87CC5">
              <w:rPr>
                <w:rFonts w:cs="Calibri"/>
                <w:szCs w:val="18"/>
              </w:rPr>
              <w:t>Gross emissions</w:t>
            </w:r>
          </w:p>
        </w:tc>
        <w:tc>
          <w:tcPr>
            <w:tcW w:w="834" w:type="pct"/>
            <w:vAlign w:val="center"/>
          </w:tcPr>
          <w:p w14:paraId="3084745C" w14:textId="7F77CDBA" w:rsidR="000C5BF6" w:rsidRPr="00B87CC5" w:rsidRDefault="000C5BF6" w:rsidP="007C6373">
            <w:pPr>
              <w:pStyle w:val="TableText"/>
              <w:spacing w:before="40" w:after="40"/>
              <w:jc w:val="right"/>
              <w:rPr>
                <w:rFonts w:cs="Calibri"/>
                <w:szCs w:val="18"/>
              </w:rPr>
            </w:pPr>
            <w:r w:rsidRPr="00B87CC5">
              <w:rPr>
                <w:rFonts w:cs="Calibri"/>
                <w:szCs w:val="18"/>
              </w:rPr>
              <w:t>163.3</w:t>
            </w:r>
          </w:p>
        </w:tc>
        <w:tc>
          <w:tcPr>
            <w:tcW w:w="916" w:type="pct"/>
            <w:vAlign w:val="center"/>
          </w:tcPr>
          <w:p w14:paraId="2305FB6F" w14:textId="2E76305F" w:rsidR="000C5BF6" w:rsidRPr="00B87CC5" w:rsidRDefault="00327C84" w:rsidP="007C6373">
            <w:pPr>
              <w:pStyle w:val="TableText"/>
              <w:spacing w:before="40" w:after="40"/>
              <w:jc w:val="right"/>
              <w:rPr>
                <w:rFonts w:cs="Calibri"/>
                <w:szCs w:val="18"/>
              </w:rPr>
            </w:pPr>
            <w:r w:rsidRPr="00B87CC5">
              <w:rPr>
                <w:rFonts w:cs="Calibri"/>
                <w:szCs w:val="18"/>
              </w:rPr>
              <w:t>182.6</w:t>
            </w:r>
          </w:p>
        </w:tc>
        <w:tc>
          <w:tcPr>
            <w:tcW w:w="834" w:type="pct"/>
            <w:vAlign w:val="center"/>
          </w:tcPr>
          <w:p w14:paraId="4E4681C0" w14:textId="072A683C" w:rsidR="000C5BF6" w:rsidRPr="00B87CC5" w:rsidRDefault="00327C84" w:rsidP="007C6373">
            <w:pPr>
              <w:pStyle w:val="TableText"/>
              <w:spacing w:before="40" w:after="40"/>
              <w:jc w:val="right"/>
              <w:rPr>
                <w:rFonts w:cs="Calibri"/>
                <w:szCs w:val="18"/>
              </w:rPr>
            </w:pPr>
            <w:r w:rsidRPr="00B87CC5">
              <w:rPr>
                <w:rFonts w:cs="Calibri"/>
                <w:szCs w:val="18"/>
              </w:rPr>
              <w:t>166.8</w:t>
            </w:r>
          </w:p>
        </w:tc>
        <w:tc>
          <w:tcPr>
            <w:tcW w:w="832" w:type="pct"/>
            <w:vAlign w:val="center"/>
          </w:tcPr>
          <w:p w14:paraId="01EC7B65" w14:textId="00ED705C" w:rsidR="000C5BF6" w:rsidRPr="00B87CC5" w:rsidRDefault="00327C84" w:rsidP="007C6373">
            <w:pPr>
              <w:pStyle w:val="TableText"/>
              <w:spacing w:before="40" w:after="40"/>
              <w:jc w:val="right"/>
              <w:rPr>
                <w:rFonts w:cs="Calibri"/>
                <w:szCs w:val="18"/>
              </w:rPr>
            </w:pPr>
            <w:r w:rsidRPr="00B87CC5">
              <w:rPr>
                <w:rFonts w:cs="Calibri"/>
                <w:szCs w:val="18"/>
              </w:rPr>
              <w:t>202.6</w:t>
            </w:r>
          </w:p>
        </w:tc>
      </w:tr>
      <w:tr w:rsidR="002926A7" w:rsidRPr="00B87CC5" w14:paraId="1A8E9B41" w14:textId="30D1B64F" w:rsidTr="002926A7">
        <w:trPr>
          <w:trHeight w:val="284"/>
        </w:trPr>
        <w:tc>
          <w:tcPr>
            <w:tcW w:w="750" w:type="pct"/>
          </w:tcPr>
          <w:p w14:paraId="73C6C273" w14:textId="77777777" w:rsidR="000C5BF6" w:rsidRPr="00B87CC5" w:rsidRDefault="000C5BF6" w:rsidP="007C6373">
            <w:pPr>
              <w:pStyle w:val="TableTextbold"/>
              <w:spacing w:before="40" w:after="40"/>
              <w:rPr>
                <w:rFonts w:cs="Calibri"/>
                <w:szCs w:val="18"/>
              </w:rPr>
            </w:pPr>
          </w:p>
        </w:tc>
        <w:tc>
          <w:tcPr>
            <w:tcW w:w="834" w:type="pct"/>
            <w:vAlign w:val="center"/>
          </w:tcPr>
          <w:p w14:paraId="2B1EB096" w14:textId="77777777" w:rsidR="000C5BF6" w:rsidRPr="00B87CC5" w:rsidRDefault="000C5BF6" w:rsidP="007C6373">
            <w:pPr>
              <w:pStyle w:val="TableText"/>
              <w:spacing w:before="40" w:after="40"/>
              <w:rPr>
                <w:rFonts w:cs="Calibri"/>
                <w:szCs w:val="18"/>
              </w:rPr>
            </w:pPr>
            <w:r w:rsidRPr="00B87CC5">
              <w:rPr>
                <w:rFonts w:cs="Calibri"/>
                <w:szCs w:val="18"/>
              </w:rPr>
              <w:t>Removals</w:t>
            </w:r>
          </w:p>
        </w:tc>
        <w:tc>
          <w:tcPr>
            <w:tcW w:w="834" w:type="pct"/>
            <w:vAlign w:val="center"/>
          </w:tcPr>
          <w:p w14:paraId="5369393E" w14:textId="35CE1D24" w:rsidR="000C5BF6" w:rsidRPr="00B87CC5" w:rsidRDefault="007F44EC" w:rsidP="007C6373">
            <w:pPr>
              <w:pStyle w:val="TableText"/>
              <w:spacing w:before="40" w:after="40"/>
              <w:jc w:val="right"/>
              <w:rPr>
                <w:rFonts w:cs="Calibri"/>
                <w:szCs w:val="18"/>
              </w:rPr>
            </w:pPr>
            <w:r w:rsidRPr="00B87CC5">
              <w:rPr>
                <w:rFonts w:cs="Calibri"/>
                <w:szCs w:val="18"/>
              </w:rPr>
              <w:t>–</w:t>
            </w:r>
            <w:r w:rsidR="000C5BF6" w:rsidRPr="00B87CC5">
              <w:rPr>
                <w:rFonts w:cs="Calibri"/>
                <w:szCs w:val="18"/>
              </w:rPr>
              <w:t>92.3</w:t>
            </w:r>
          </w:p>
        </w:tc>
        <w:tc>
          <w:tcPr>
            <w:tcW w:w="916" w:type="pct"/>
            <w:vAlign w:val="center"/>
          </w:tcPr>
          <w:p w14:paraId="6E76118F" w14:textId="3F40B855" w:rsidR="000C5BF6" w:rsidRPr="00B87CC5" w:rsidRDefault="007F44EC" w:rsidP="007C6373">
            <w:pPr>
              <w:pStyle w:val="TableText"/>
              <w:spacing w:before="40" w:after="40"/>
              <w:jc w:val="right"/>
              <w:rPr>
                <w:rFonts w:cs="Calibri"/>
                <w:szCs w:val="18"/>
              </w:rPr>
            </w:pPr>
            <w:r w:rsidRPr="00B87CC5">
              <w:rPr>
                <w:rFonts w:cs="Calibri"/>
                <w:szCs w:val="18"/>
              </w:rPr>
              <w:t>–</w:t>
            </w:r>
            <w:r w:rsidR="00327C84" w:rsidRPr="00B87CC5">
              <w:rPr>
                <w:rFonts w:cs="Calibri"/>
                <w:szCs w:val="18"/>
              </w:rPr>
              <w:t>82.3</w:t>
            </w:r>
          </w:p>
        </w:tc>
        <w:tc>
          <w:tcPr>
            <w:tcW w:w="834" w:type="pct"/>
            <w:vAlign w:val="center"/>
          </w:tcPr>
          <w:p w14:paraId="784BC971" w14:textId="30EC6EF2" w:rsidR="000C5BF6" w:rsidRPr="00B87CC5" w:rsidRDefault="007F44EC" w:rsidP="007C6373">
            <w:pPr>
              <w:pStyle w:val="TableText"/>
              <w:spacing w:before="40" w:after="40"/>
              <w:jc w:val="right"/>
              <w:rPr>
                <w:rFonts w:cs="Calibri"/>
                <w:szCs w:val="18"/>
              </w:rPr>
            </w:pPr>
            <w:r w:rsidRPr="00B87CC5">
              <w:rPr>
                <w:rFonts w:cs="Calibri"/>
                <w:szCs w:val="18"/>
              </w:rPr>
              <w:t>–</w:t>
            </w:r>
            <w:r w:rsidR="00327C84" w:rsidRPr="00B87CC5">
              <w:rPr>
                <w:rFonts w:cs="Calibri"/>
                <w:szCs w:val="18"/>
              </w:rPr>
              <w:t>87.8</w:t>
            </w:r>
          </w:p>
        </w:tc>
        <w:tc>
          <w:tcPr>
            <w:tcW w:w="832" w:type="pct"/>
            <w:vAlign w:val="center"/>
          </w:tcPr>
          <w:p w14:paraId="0E7BDE9A" w14:textId="7968FA20" w:rsidR="000C5BF6" w:rsidRPr="00B87CC5" w:rsidRDefault="007F44EC" w:rsidP="007C6373">
            <w:pPr>
              <w:pStyle w:val="TableText"/>
              <w:spacing w:before="40" w:after="40"/>
              <w:jc w:val="right"/>
              <w:rPr>
                <w:rFonts w:cs="Calibri"/>
                <w:szCs w:val="18"/>
              </w:rPr>
            </w:pPr>
            <w:r w:rsidRPr="00B87CC5">
              <w:rPr>
                <w:rFonts w:cs="Calibri"/>
                <w:szCs w:val="18"/>
              </w:rPr>
              <w:t>–</w:t>
            </w:r>
            <w:r w:rsidR="00327C84" w:rsidRPr="00B87CC5">
              <w:rPr>
                <w:rFonts w:cs="Calibri"/>
                <w:szCs w:val="18"/>
              </w:rPr>
              <w:t>76.6</w:t>
            </w:r>
          </w:p>
        </w:tc>
      </w:tr>
      <w:tr w:rsidR="002926A7" w:rsidRPr="00B87CC5" w14:paraId="276396BC" w14:textId="77777777" w:rsidTr="002926A7">
        <w:trPr>
          <w:trHeight w:val="284"/>
        </w:trPr>
        <w:tc>
          <w:tcPr>
            <w:tcW w:w="750" w:type="pct"/>
          </w:tcPr>
          <w:p w14:paraId="6F08BE46" w14:textId="7ACA858C" w:rsidR="000C5BF6" w:rsidRPr="00B87CC5" w:rsidRDefault="000C5BF6" w:rsidP="007C6373">
            <w:pPr>
              <w:pStyle w:val="TableTextbold"/>
              <w:spacing w:before="40" w:after="40"/>
              <w:rPr>
                <w:rFonts w:cs="Calibri"/>
                <w:szCs w:val="18"/>
              </w:rPr>
            </w:pPr>
            <w:r w:rsidRPr="00B87CC5">
              <w:rPr>
                <w:rFonts w:cs="Calibri"/>
                <w:szCs w:val="18"/>
              </w:rPr>
              <w:t>2050</w:t>
            </w:r>
          </w:p>
        </w:tc>
        <w:tc>
          <w:tcPr>
            <w:tcW w:w="834" w:type="pct"/>
            <w:vAlign w:val="center"/>
          </w:tcPr>
          <w:p w14:paraId="3D7865E3" w14:textId="7DB5FCEA" w:rsidR="000C5BF6" w:rsidRPr="00B87CC5" w:rsidRDefault="000C5BF6" w:rsidP="007C6373">
            <w:pPr>
              <w:pStyle w:val="TableTextbold"/>
              <w:spacing w:before="40" w:after="40"/>
              <w:rPr>
                <w:rFonts w:cs="Calibri"/>
                <w:szCs w:val="18"/>
              </w:rPr>
            </w:pPr>
            <w:r w:rsidRPr="00B87CC5">
              <w:rPr>
                <w:rFonts w:cs="Calibri"/>
                <w:szCs w:val="18"/>
              </w:rPr>
              <w:t>Net emissions</w:t>
            </w:r>
          </w:p>
        </w:tc>
        <w:tc>
          <w:tcPr>
            <w:tcW w:w="834" w:type="pct"/>
            <w:vAlign w:val="center"/>
          </w:tcPr>
          <w:p w14:paraId="4EE98304" w14:textId="4B509104" w:rsidR="000C5BF6" w:rsidRPr="00B87CC5" w:rsidRDefault="007F44EC" w:rsidP="007C6373">
            <w:pPr>
              <w:pStyle w:val="TableTextbold"/>
              <w:spacing w:before="40" w:after="40"/>
              <w:jc w:val="right"/>
              <w:rPr>
                <w:rFonts w:cs="Calibri"/>
                <w:color w:val="000000"/>
                <w:szCs w:val="18"/>
              </w:rPr>
            </w:pPr>
            <w:r w:rsidRPr="00B87CC5">
              <w:rPr>
                <w:rFonts w:cs="Calibri"/>
                <w:color w:val="000000"/>
                <w:szCs w:val="18"/>
              </w:rPr>
              <w:t>–</w:t>
            </w:r>
            <w:r w:rsidR="000C5BF6" w:rsidRPr="00B87CC5">
              <w:rPr>
                <w:rFonts w:cs="Calibri"/>
                <w:color w:val="000000"/>
                <w:szCs w:val="18"/>
              </w:rPr>
              <w:t>3.9</w:t>
            </w:r>
          </w:p>
        </w:tc>
        <w:tc>
          <w:tcPr>
            <w:tcW w:w="916" w:type="pct"/>
            <w:vAlign w:val="center"/>
          </w:tcPr>
          <w:p w14:paraId="6F540A37" w14:textId="36B49A33" w:rsidR="000C5BF6" w:rsidRPr="00B87CC5" w:rsidRDefault="00327C84" w:rsidP="007C6373">
            <w:pPr>
              <w:pStyle w:val="TableTextbold"/>
              <w:spacing w:before="40" w:after="40"/>
              <w:jc w:val="right"/>
              <w:rPr>
                <w:rFonts w:cs="Calibri"/>
                <w:color w:val="000000"/>
                <w:szCs w:val="18"/>
              </w:rPr>
            </w:pPr>
            <w:r w:rsidRPr="00B87CC5">
              <w:rPr>
                <w:rFonts w:cs="Calibri"/>
                <w:color w:val="000000"/>
                <w:szCs w:val="18"/>
              </w:rPr>
              <w:t>4.6</w:t>
            </w:r>
          </w:p>
        </w:tc>
        <w:tc>
          <w:tcPr>
            <w:tcW w:w="834" w:type="pct"/>
            <w:vAlign w:val="center"/>
          </w:tcPr>
          <w:p w14:paraId="0618D10D" w14:textId="6CD815CD" w:rsidR="000C5BF6" w:rsidRPr="00B87CC5" w:rsidRDefault="007F44EC" w:rsidP="007C6373">
            <w:pPr>
              <w:pStyle w:val="TableTextbold"/>
              <w:spacing w:before="40" w:after="40"/>
              <w:jc w:val="right"/>
              <w:rPr>
                <w:rFonts w:cs="Calibri"/>
                <w:color w:val="000000"/>
                <w:szCs w:val="18"/>
              </w:rPr>
            </w:pPr>
            <w:r w:rsidRPr="00B87CC5">
              <w:rPr>
                <w:rFonts w:cs="Calibri"/>
                <w:color w:val="000000"/>
                <w:szCs w:val="18"/>
              </w:rPr>
              <w:t>–</w:t>
            </w:r>
            <w:r w:rsidR="00327C84" w:rsidRPr="00B87CC5">
              <w:rPr>
                <w:rFonts w:cs="Calibri"/>
                <w:color w:val="000000"/>
                <w:szCs w:val="18"/>
              </w:rPr>
              <w:t>3.5</w:t>
            </w:r>
          </w:p>
        </w:tc>
        <w:tc>
          <w:tcPr>
            <w:tcW w:w="832" w:type="pct"/>
            <w:vAlign w:val="center"/>
          </w:tcPr>
          <w:p w14:paraId="011896F3" w14:textId="27F123AA" w:rsidR="000C5BF6" w:rsidRPr="00B87CC5" w:rsidRDefault="00327C84" w:rsidP="007C6373">
            <w:pPr>
              <w:pStyle w:val="TableTextbold"/>
              <w:spacing w:before="40" w:after="40"/>
              <w:jc w:val="right"/>
              <w:rPr>
                <w:rFonts w:cs="Calibri"/>
                <w:color w:val="000000"/>
                <w:szCs w:val="18"/>
              </w:rPr>
            </w:pPr>
            <w:r w:rsidRPr="00B87CC5">
              <w:rPr>
                <w:rFonts w:cs="Calibri"/>
                <w:color w:val="000000"/>
                <w:szCs w:val="18"/>
              </w:rPr>
              <w:t>21.0</w:t>
            </w:r>
          </w:p>
        </w:tc>
      </w:tr>
      <w:tr w:rsidR="002926A7" w:rsidRPr="00B87CC5" w14:paraId="7E165B68" w14:textId="77777777" w:rsidTr="002926A7">
        <w:trPr>
          <w:trHeight w:val="284"/>
        </w:trPr>
        <w:tc>
          <w:tcPr>
            <w:tcW w:w="750" w:type="pct"/>
          </w:tcPr>
          <w:p w14:paraId="329A7574" w14:textId="77777777" w:rsidR="000C5BF6" w:rsidRPr="00B87CC5" w:rsidRDefault="000C5BF6" w:rsidP="007C6373">
            <w:pPr>
              <w:pStyle w:val="TableTextbold"/>
              <w:spacing w:before="40" w:after="40"/>
              <w:rPr>
                <w:rFonts w:cs="Calibri"/>
                <w:b w:val="0"/>
                <w:bCs/>
                <w:szCs w:val="18"/>
              </w:rPr>
            </w:pPr>
          </w:p>
        </w:tc>
        <w:tc>
          <w:tcPr>
            <w:tcW w:w="834" w:type="pct"/>
            <w:vAlign w:val="center"/>
          </w:tcPr>
          <w:p w14:paraId="6A98A93C" w14:textId="49B4A4DA" w:rsidR="000C5BF6" w:rsidRPr="00B87CC5" w:rsidRDefault="000C5BF6" w:rsidP="007C6373">
            <w:pPr>
              <w:pStyle w:val="TableText"/>
              <w:spacing w:before="40" w:after="40"/>
              <w:rPr>
                <w:rFonts w:cs="Calibri"/>
                <w:szCs w:val="18"/>
              </w:rPr>
            </w:pPr>
            <w:r w:rsidRPr="00B87CC5">
              <w:rPr>
                <w:rFonts w:cs="Calibri"/>
                <w:szCs w:val="18"/>
              </w:rPr>
              <w:t>Gross emissions</w:t>
            </w:r>
          </w:p>
        </w:tc>
        <w:tc>
          <w:tcPr>
            <w:tcW w:w="834" w:type="pct"/>
            <w:vAlign w:val="center"/>
          </w:tcPr>
          <w:p w14:paraId="7DA14CEE" w14:textId="3626C86C" w:rsidR="000C5BF6" w:rsidRPr="00B87CC5" w:rsidRDefault="000C5BF6" w:rsidP="007C6373">
            <w:pPr>
              <w:pStyle w:val="TableText"/>
              <w:spacing w:before="40" w:after="40"/>
              <w:jc w:val="right"/>
              <w:rPr>
                <w:rFonts w:cs="Calibri"/>
                <w:color w:val="000000"/>
                <w:szCs w:val="18"/>
              </w:rPr>
            </w:pPr>
            <w:r w:rsidRPr="00B87CC5">
              <w:rPr>
                <w:rFonts w:cs="Calibri"/>
                <w:color w:val="000000"/>
                <w:szCs w:val="18"/>
              </w:rPr>
              <w:t>24.1</w:t>
            </w:r>
          </w:p>
        </w:tc>
        <w:tc>
          <w:tcPr>
            <w:tcW w:w="916" w:type="pct"/>
            <w:vAlign w:val="center"/>
          </w:tcPr>
          <w:p w14:paraId="30113ECC" w14:textId="68F1F3BE" w:rsidR="000C5BF6" w:rsidRPr="00B87CC5" w:rsidRDefault="00327C84" w:rsidP="007C6373">
            <w:pPr>
              <w:pStyle w:val="TableText"/>
              <w:spacing w:before="40" w:after="40"/>
              <w:jc w:val="right"/>
              <w:rPr>
                <w:rFonts w:cs="Calibri"/>
                <w:color w:val="000000"/>
                <w:szCs w:val="18"/>
              </w:rPr>
            </w:pPr>
            <w:r w:rsidRPr="00B87CC5">
              <w:rPr>
                <w:rFonts w:cs="Calibri"/>
                <w:color w:val="000000"/>
                <w:szCs w:val="18"/>
              </w:rPr>
              <w:t>26.0</w:t>
            </w:r>
          </w:p>
        </w:tc>
        <w:tc>
          <w:tcPr>
            <w:tcW w:w="834" w:type="pct"/>
            <w:vAlign w:val="center"/>
          </w:tcPr>
          <w:p w14:paraId="20A2E729" w14:textId="2520A8B3" w:rsidR="000C5BF6" w:rsidRPr="00B87CC5" w:rsidRDefault="00327C84" w:rsidP="007C6373">
            <w:pPr>
              <w:pStyle w:val="TableText"/>
              <w:spacing w:before="40" w:after="40"/>
              <w:jc w:val="right"/>
              <w:rPr>
                <w:rFonts w:cs="Calibri"/>
                <w:color w:val="000000"/>
                <w:szCs w:val="18"/>
              </w:rPr>
            </w:pPr>
            <w:r w:rsidRPr="00B87CC5">
              <w:rPr>
                <w:rFonts w:cs="Calibri"/>
                <w:color w:val="000000"/>
                <w:szCs w:val="18"/>
              </w:rPr>
              <w:t>23.8</w:t>
            </w:r>
          </w:p>
        </w:tc>
        <w:tc>
          <w:tcPr>
            <w:tcW w:w="832" w:type="pct"/>
            <w:vAlign w:val="center"/>
          </w:tcPr>
          <w:p w14:paraId="248ADB93" w14:textId="70F4AB59" w:rsidR="000C5BF6" w:rsidRPr="00B87CC5" w:rsidRDefault="00327C84" w:rsidP="007C6373">
            <w:pPr>
              <w:pStyle w:val="TableText"/>
              <w:spacing w:before="40" w:after="40"/>
              <w:jc w:val="right"/>
              <w:rPr>
                <w:rFonts w:cs="Calibri"/>
                <w:color w:val="000000"/>
                <w:szCs w:val="18"/>
              </w:rPr>
            </w:pPr>
            <w:r w:rsidRPr="00B87CC5">
              <w:rPr>
                <w:rFonts w:cs="Calibri"/>
                <w:color w:val="000000"/>
                <w:szCs w:val="18"/>
              </w:rPr>
              <w:t>36.4</w:t>
            </w:r>
          </w:p>
        </w:tc>
      </w:tr>
      <w:tr w:rsidR="002926A7" w:rsidRPr="00B87CC5" w14:paraId="2864BBF2" w14:textId="77777777" w:rsidTr="002926A7">
        <w:trPr>
          <w:trHeight w:val="284"/>
        </w:trPr>
        <w:tc>
          <w:tcPr>
            <w:tcW w:w="750" w:type="pct"/>
          </w:tcPr>
          <w:p w14:paraId="3ABDB026" w14:textId="77777777" w:rsidR="000C5BF6" w:rsidRPr="00B87CC5" w:rsidRDefault="000C5BF6" w:rsidP="007C6373">
            <w:pPr>
              <w:pStyle w:val="TableTextbold"/>
              <w:spacing w:before="40" w:after="40"/>
              <w:rPr>
                <w:rFonts w:cs="Calibri"/>
                <w:b w:val="0"/>
                <w:bCs/>
                <w:szCs w:val="18"/>
              </w:rPr>
            </w:pPr>
          </w:p>
        </w:tc>
        <w:tc>
          <w:tcPr>
            <w:tcW w:w="834" w:type="pct"/>
            <w:vAlign w:val="center"/>
          </w:tcPr>
          <w:p w14:paraId="1A1B75F4" w14:textId="3225252D" w:rsidR="000C5BF6" w:rsidRPr="00B87CC5" w:rsidRDefault="000C5BF6" w:rsidP="007C6373">
            <w:pPr>
              <w:pStyle w:val="TableText"/>
              <w:spacing w:before="40" w:after="40"/>
              <w:rPr>
                <w:rFonts w:cs="Calibri"/>
                <w:szCs w:val="18"/>
              </w:rPr>
            </w:pPr>
            <w:r w:rsidRPr="00B87CC5">
              <w:rPr>
                <w:rFonts w:cs="Calibri"/>
                <w:szCs w:val="18"/>
              </w:rPr>
              <w:t>Removals</w:t>
            </w:r>
          </w:p>
        </w:tc>
        <w:tc>
          <w:tcPr>
            <w:tcW w:w="834" w:type="pct"/>
            <w:vAlign w:val="center"/>
          </w:tcPr>
          <w:p w14:paraId="2A88C472" w14:textId="38C94106" w:rsidR="000C5BF6" w:rsidRPr="00B87CC5" w:rsidRDefault="007F44EC" w:rsidP="007C6373">
            <w:pPr>
              <w:pStyle w:val="TableText"/>
              <w:spacing w:before="40" w:after="40"/>
              <w:jc w:val="right"/>
              <w:rPr>
                <w:rFonts w:cs="Calibri"/>
                <w:szCs w:val="18"/>
              </w:rPr>
            </w:pPr>
            <w:r w:rsidRPr="00B87CC5">
              <w:rPr>
                <w:rFonts w:cs="Calibri"/>
                <w:szCs w:val="18"/>
              </w:rPr>
              <w:t>–</w:t>
            </w:r>
            <w:r w:rsidR="000C5BF6" w:rsidRPr="00B87CC5">
              <w:rPr>
                <w:rFonts w:cs="Calibri"/>
                <w:szCs w:val="18"/>
              </w:rPr>
              <w:t>28.0</w:t>
            </w:r>
          </w:p>
        </w:tc>
        <w:tc>
          <w:tcPr>
            <w:tcW w:w="916" w:type="pct"/>
            <w:vAlign w:val="center"/>
          </w:tcPr>
          <w:p w14:paraId="5BE502BC" w14:textId="1BD05E38" w:rsidR="000C5BF6" w:rsidRPr="00B87CC5" w:rsidRDefault="007F44EC" w:rsidP="007C6373">
            <w:pPr>
              <w:pStyle w:val="TableText"/>
              <w:spacing w:before="40" w:after="40"/>
              <w:jc w:val="right"/>
              <w:rPr>
                <w:rFonts w:cs="Calibri"/>
                <w:szCs w:val="18"/>
              </w:rPr>
            </w:pPr>
            <w:r w:rsidRPr="00B87CC5">
              <w:rPr>
                <w:rFonts w:cs="Calibri"/>
                <w:szCs w:val="18"/>
              </w:rPr>
              <w:t>–</w:t>
            </w:r>
            <w:r w:rsidR="00327C84" w:rsidRPr="00B87CC5">
              <w:rPr>
                <w:rFonts w:cs="Calibri"/>
                <w:szCs w:val="18"/>
              </w:rPr>
              <w:t>21.4</w:t>
            </w:r>
          </w:p>
        </w:tc>
        <w:tc>
          <w:tcPr>
            <w:tcW w:w="834" w:type="pct"/>
            <w:vAlign w:val="center"/>
          </w:tcPr>
          <w:p w14:paraId="7BA6BE69" w14:textId="23BB586C" w:rsidR="000C5BF6" w:rsidRPr="00B87CC5" w:rsidRDefault="007F44EC" w:rsidP="007C6373">
            <w:pPr>
              <w:pStyle w:val="TableText"/>
              <w:spacing w:before="40" w:after="40"/>
              <w:jc w:val="right"/>
              <w:rPr>
                <w:rFonts w:cs="Calibri"/>
                <w:szCs w:val="18"/>
              </w:rPr>
            </w:pPr>
            <w:r w:rsidRPr="00B87CC5">
              <w:rPr>
                <w:rFonts w:cs="Calibri"/>
                <w:szCs w:val="18"/>
              </w:rPr>
              <w:t>–</w:t>
            </w:r>
            <w:r w:rsidR="00327C84" w:rsidRPr="00B87CC5">
              <w:rPr>
                <w:rFonts w:cs="Calibri"/>
                <w:szCs w:val="18"/>
              </w:rPr>
              <w:t>27.4</w:t>
            </w:r>
          </w:p>
        </w:tc>
        <w:tc>
          <w:tcPr>
            <w:tcW w:w="832" w:type="pct"/>
            <w:vAlign w:val="center"/>
          </w:tcPr>
          <w:p w14:paraId="46E3B35C" w14:textId="653BE50C" w:rsidR="000C5BF6" w:rsidRPr="00B87CC5" w:rsidRDefault="007F44EC" w:rsidP="007C6373">
            <w:pPr>
              <w:pStyle w:val="TableText"/>
              <w:spacing w:before="40" w:after="40"/>
              <w:jc w:val="right"/>
              <w:rPr>
                <w:rFonts w:cs="Calibri"/>
                <w:szCs w:val="18"/>
              </w:rPr>
            </w:pPr>
            <w:r w:rsidRPr="00B87CC5">
              <w:rPr>
                <w:rFonts w:cs="Calibri"/>
                <w:szCs w:val="18"/>
              </w:rPr>
              <w:t>–</w:t>
            </w:r>
            <w:r w:rsidR="00327C84" w:rsidRPr="00B87CC5">
              <w:rPr>
                <w:rFonts w:cs="Calibri"/>
                <w:szCs w:val="18"/>
              </w:rPr>
              <w:t>15.3</w:t>
            </w:r>
          </w:p>
        </w:tc>
      </w:tr>
    </w:tbl>
    <w:p w14:paraId="5AA97CB4" w14:textId="490364EB" w:rsidR="00EA5A58" w:rsidRPr="00B87CC5" w:rsidRDefault="00EA5A58" w:rsidP="00EA5A58">
      <w:pPr>
        <w:pStyle w:val="Heading3"/>
      </w:pPr>
      <w:r w:rsidRPr="00B87CC5">
        <w:t>Bio</w:t>
      </w:r>
      <w:r w:rsidR="00533C90" w:rsidRPr="00B87CC5">
        <w:t>g</w:t>
      </w:r>
      <w:r w:rsidRPr="00B87CC5">
        <w:t xml:space="preserve">enic </w:t>
      </w:r>
      <w:r w:rsidR="00D5796B" w:rsidRPr="00B87CC5">
        <w:t>m</w:t>
      </w:r>
      <w:r w:rsidRPr="00B87CC5">
        <w:t>ethane</w:t>
      </w:r>
    </w:p>
    <w:p w14:paraId="3321DF61" w14:textId="71FD9A3E" w:rsidR="00EA5A58" w:rsidRPr="00B87CC5" w:rsidRDefault="001B6E3F" w:rsidP="00F32951">
      <w:pPr>
        <w:pStyle w:val="BodyText"/>
      </w:pPr>
      <w:r w:rsidRPr="00B87CC5">
        <w:t>Figure 5</w:t>
      </w:r>
      <w:r w:rsidR="00A32798" w:rsidRPr="00B87CC5">
        <w:rPr>
          <w:lang w:eastAsia="en-US"/>
        </w:rPr>
        <w:t xml:space="preserve"> </w:t>
      </w:r>
      <w:r w:rsidR="00EA5A58" w:rsidRPr="00B87CC5">
        <w:rPr>
          <w:lang w:eastAsia="en-US"/>
        </w:rPr>
        <w:t xml:space="preserve">shows the projected emissions of biogenic methane, the 2030 and 2050 </w:t>
      </w:r>
      <w:r w:rsidR="00E03EBE" w:rsidRPr="00B87CC5">
        <w:rPr>
          <w:lang w:eastAsia="en-US"/>
        </w:rPr>
        <w:t>biogenic</w:t>
      </w:r>
      <w:r w:rsidR="00EA5A58" w:rsidRPr="00B87CC5">
        <w:rPr>
          <w:lang w:eastAsia="en-US"/>
        </w:rPr>
        <w:t xml:space="preserve"> </w:t>
      </w:r>
      <w:r w:rsidR="00063980" w:rsidRPr="00B87CC5">
        <w:rPr>
          <w:lang w:eastAsia="en-US"/>
        </w:rPr>
        <w:t xml:space="preserve">methane </w:t>
      </w:r>
      <w:r w:rsidR="00EA5A58" w:rsidRPr="00B87CC5">
        <w:t>targets, and the range of projected emissions using only the ADF approach described above. The ADF approach is used in the absence of sufficient identified parameters for sensitivity analysis.</w:t>
      </w:r>
    </w:p>
    <w:p w14:paraId="35836BD9" w14:textId="3BB50E4B" w:rsidR="00EA5A58" w:rsidRPr="00B87CC5" w:rsidRDefault="009F3512" w:rsidP="00F32951">
      <w:pPr>
        <w:pStyle w:val="BodyText"/>
        <w:rPr>
          <w:lang w:eastAsia="en-US"/>
        </w:rPr>
      </w:pPr>
      <w:r w:rsidRPr="00B87CC5">
        <w:t>Table 5</w:t>
      </w:r>
      <w:r w:rsidR="0086187D" w:rsidRPr="00B87CC5">
        <w:t xml:space="preserve"> summarises the results for individual emission</w:t>
      </w:r>
      <w:r w:rsidR="00FC15D8" w:rsidRPr="00B87CC5">
        <w:t>s</w:t>
      </w:r>
      <w:r w:rsidR="0086187D" w:rsidRPr="00B87CC5">
        <w:t xml:space="preserve"> budgets and for the 2030 and 2050</w:t>
      </w:r>
      <w:r w:rsidR="00F32951" w:rsidRPr="00B87CC5">
        <w:t> </w:t>
      </w:r>
      <w:r w:rsidR="0086187D" w:rsidRPr="00B87CC5">
        <w:t xml:space="preserve">targets. </w:t>
      </w:r>
      <w:r w:rsidR="00EA5A58" w:rsidRPr="00B87CC5">
        <w:t>The ce</w:t>
      </w:r>
      <w:r w:rsidR="00EA5A58" w:rsidRPr="00B87CC5">
        <w:rPr>
          <w:lang w:eastAsia="en-US"/>
        </w:rPr>
        <w:t xml:space="preserve">ntral projection suggests emissions will </w:t>
      </w:r>
      <w:r w:rsidR="00D74F06" w:rsidRPr="00B87CC5">
        <w:rPr>
          <w:lang w:eastAsia="en-US"/>
        </w:rPr>
        <w:t>just</w:t>
      </w:r>
      <w:r w:rsidR="0032658F" w:rsidRPr="00B87CC5">
        <w:rPr>
          <w:lang w:eastAsia="en-US"/>
        </w:rPr>
        <w:t xml:space="preserve"> </w:t>
      </w:r>
      <w:r w:rsidR="005326F3" w:rsidRPr="00B87CC5">
        <w:rPr>
          <w:lang w:eastAsia="en-US"/>
        </w:rPr>
        <w:t>meet</w:t>
      </w:r>
      <w:r w:rsidR="00EA5A58" w:rsidRPr="00B87CC5">
        <w:rPr>
          <w:lang w:eastAsia="en-US"/>
        </w:rPr>
        <w:t xml:space="preserve"> the 2030 </w:t>
      </w:r>
      <w:r w:rsidR="0032658F" w:rsidRPr="00B87CC5">
        <w:rPr>
          <w:lang w:eastAsia="en-US"/>
        </w:rPr>
        <w:t xml:space="preserve">target </w:t>
      </w:r>
      <w:r w:rsidR="00DD11DE" w:rsidRPr="00B87CC5">
        <w:rPr>
          <w:lang w:eastAsia="en-US"/>
        </w:rPr>
        <w:t xml:space="preserve">of </w:t>
      </w:r>
      <w:r w:rsidR="00DD11DE" w:rsidRPr="00B87CC5">
        <w:rPr>
          <w:lang w:eastAsia="en-US"/>
        </w:rPr>
        <w:lastRenderedPageBreak/>
        <w:t>34.3</w:t>
      </w:r>
      <w:r w:rsidR="00B332E7" w:rsidRPr="00B87CC5">
        <w:rPr>
          <w:lang w:eastAsia="en-US"/>
        </w:rPr>
        <w:t> </w:t>
      </w:r>
      <w:r w:rsidR="00DD11DE" w:rsidRPr="00B87CC5">
        <w:rPr>
          <w:lang w:eastAsia="en-US"/>
        </w:rPr>
        <w:t>Mt</w:t>
      </w:r>
      <w:r w:rsidR="00B332E7" w:rsidRPr="00B87CC5">
        <w:rPr>
          <w:lang w:eastAsia="en-US"/>
        </w:rPr>
        <w:t> CO</w:t>
      </w:r>
      <w:r w:rsidR="00B332E7" w:rsidRPr="00B87CC5">
        <w:rPr>
          <w:vertAlign w:val="subscript"/>
          <w:lang w:eastAsia="en-US"/>
        </w:rPr>
        <w:t>2</w:t>
      </w:r>
      <w:r w:rsidR="00B332E7" w:rsidRPr="00B87CC5">
        <w:t>-e</w:t>
      </w:r>
      <w:r w:rsidR="0032658F" w:rsidRPr="00B87CC5">
        <w:rPr>
          <w:lang w:eastAsia="en-US"/>
        </w:rPr>
        <w:t xml:space="preserve"> </w:t>
      </w:r>
      <w:r w:rsidR="00B667EF" w:rsidRPr="00B87CC5">
        <w:rPr>
          <w:lang w:eastAsia="en-US"/>
        </w:rPr>
        <w:t xml:space="preserve">but </w:t>
      </w:r>
      <w:r w:rsidR="00E97EC6" w:rsidRPr="00B87CC5">
        <w:rPr>
          <w:lang w:eastAsia="en-US"/>
        </w:rPr>
        <w:t xml:space="preserve">exceeding </w:t>
      </w:r>
      <w:r w:rsidR="00B667EF" w:rsidRPr="00B87CC5">
        <w:rPr>
          <w:lang w:eastAsia="en-US"/>
        </w:rPr>
        <w:t xml:space="preserve">the target is within the uncertainty range. The </w:t>
      </w:r>
      <w:r w:rsidR="00FB0CBB" w:rsidRPr="00B87CC5">
        <w:rPr>
          <w:lang w:eastAsia="en-US"/>
        </w:rPr>
        <w:t xml:space="preserve">top of the </w:t>
      </w:r>
      <w:r w:rsidR="00EA5A58" w:rsidRPr="00B87CC5">
        <w:rPr>
          <w:lang w:eastAsia="en-US"/>
        </w:rPr>
        <w:t>2050</w:t>
      </w:r>
      <w:r w:rsidR="00F32951" w:rsidRPr="00B87CC5">
        <w:rPr>
          <w:lang w:eastAsia="en-US"/>
        </w:rPr>
        <w:t> </w:t>
      </w:r>
      <w:r w:rsidR="00EA5A58" w:rsidRPr="00B87CC5">
        <w:rPr>
          <w:lang w:eastAsia="en-US"/>
        </w:rPr>
        <w:t>target</w:t>
      </w:r>
      <w:r w:rsidR="00FF779E" w:rsidRPr="00B87CC5">
        <w:rPr>
          <w:lang w:eastAsia="en-US"/>
        </w:rPr>
        <w:t xml:space="preserve"> </w:t>
      </w:r>
      <w:r w:rsidR="00FB0CBB" w:rsidRPr="00B87CC5">
        <w:rPr>
          <w:lang w:eastAsia="en-US"/>
        </w:rPr>
        <w:t xml:space="preserve">range </w:t>
      </w:r>
      <w:r w:rsidR="00FF779E" w:rsidRPr="00B87CC5">
        <w:rPr>
          <w:lang w:eastAsia="en-US"/>
        </w:rPr>
        <w:t>is al</w:t>
      </w:r>
      <w:r w:rsidR="00A245DD" w:rsidRPr="00B87CC5">
        <w:rPr>
          <w:lang w:eastAsia="en-US"/>
        </w:rPr>
        <w:t>so within the projection range, although the central projection places</w:t>
      </w:r>
      <w:r w:rsidR="00F32951" w:rsidRPr="00B87CC5">
        <w:rPr>
          <w:lang w:eastAsia="en-US"/>
        </w:rPr>
        <w:t> </w:t>
      </w:r>
      <w:r w:rsidR="00A245DD" w:rsidRPr="00B87CC5">
        <w:rPr>
          <w:lang w:eastAsia="en-US"/>
        </w:rPr>
        <w:t>emissions</w:t>
      </w:r>
      <w:r w:rsidR="00B01B70" w:rsidRPr="00B87CC5">
        <w:rPr>
          <w:lang w:eastAsia="en-US"/>
        </w:rPr>
        <w:t xml:space="preserve"> close to </w:t>
      </w:r>
      <w:r w:rsidR="000518D2" w:rsidRPr="00B87CC5">
        <w:rPr>
          <w:lang w:eastAsia="en-US"/>
        </w:rPr>
        <w:t xml:space="preserve">3 </w:t>
      </w:r>
      <w:r w:rsidR="00B01B70" w:rsidRPr="00B87CC5">
        <w:rPr>
          <w:lang w:eastAsia="en-US"/>
        </w:rPr>
        <w:t>Mt</w:t>
      </w:r>
      <w:r w:rsidR="00B332E7" w:rsidRPr="00B87CC5">
        <w:rPr>
          <w:lang w:eastAsia="en-US"/>
        </w:rPr>
        <w:t xml:space="preserve"> CO</w:t>
      </w:r>
      <w:r w:rsidR="00B332E7" w:rsidRPr="00B87CC5">
        <w:rPr>
          <w:vertAlign w:val="subscript"/>
          <w:lang w:eastAsia="en-US"/>
        </w:rPr>
        <w:t>2</w:t>
      </w:r>
      <w:r w:rsidR="00B332E7" w:rsidRPr="00B87CC5">
        <w:t>-e</w:t>
      </w:r>
      <w:r w:rsidR="00B01B70" w:rsidRPr="00B87CC5">
        <w:rPr>
          <w:lang w:eastAsia="en-US"/>
        </w:rPr>
        <w:t xml:space="preserve"> above the</w:t>
      </w:r>
      <w:r w:rsidR="00EC24D6" w:rsidRPr="00B87CC5">
        <w:rPr>
          <w:lang w:eastAsia="en-US"/>
        </w:rPr>
        <w:t xml:space="preserve"> top of the</w:t>
      </w:r>
      <w:r w:rsidR="00B01B70" w:rsidRPr="00B87CC5">
        <w:rPr>
          <w:lang w:eastAsia="en-US"/>
        </w:rPr>
        <w:t xml:space="preserve"> </w:t>
      </w:r>
      <w:r w:rsidR="00EA5BE2" w:rsidRPr="00B87CC5">
        <w:rPr>
          <w:lang w:eastAsia="en-US"/>
        </w:rPr>
        <w:t>target range</w:t>
      </w:r>
      <w:r w:rsidR="00321E63" w:rsidRPr="00B87CC5">
        <w:rPr>
          <w:lang w:eastAsia="en-US"/>
        </w:rPr>
        <w:t>.</w:t>
      </w:r>
    </w:p>
    <w:p w14:paraId="63019DA9" w14:textId="61DDC9AD" w:rsidR="00354E52" w:rsidRPr="00B87CC5" w:rsidRDefault="00354E52" w:rsidP="00354E52">
      <w:pPr>
        <w:pStyle w:val="Figureheading"/>
      </w:pPr>
      <w:bookmarkStart w:id="26" w:name="_Ref170313005"/>
      <w:bookmarkStart w:id="27" w:name="_Toc171609780"/>
      <w:r w:rsidRPr="00B87CC5">
        <w:t xml:space="preserve">Figure </w:t>
      </w:r>
      <w:r w:rsidR="00385111">
        <w:fldChar w:fldCharType="begin"/>
      </w:r>
      <w:r w:rsidR="00385111">
        <w:instrText xml:space="preserve"> SEQ Figure \* ARABIC </w:instrText>
      </w:r>
      <w:r w:rsidR="00385111">
        <w:fldChar w:fldCharType="separate"/>
      </w:r>
      <w:r w:rsidR="001B6E3F" w:rsidRPr="00B87CC5">
        <w:t>5</w:t>
      </w:r>
      <w:r w:rsidR="00385111">
        <w:fldChar w:fldCharType="end"/>
      </w:r>
      <w:bookmarkEnd w:id="26"/>
      <w:r w:rsidR="005E1D91" w:rsidRPr="00B87CC5">
        <w:t>:</w:t>
      </w:r>
      <w:r w:rsidR="005E1D91" w:rsidRPr="00B87CC5">
        <w:tab/>
      </w:r>
      <w:r w:rsidR="00B332E7" w:rsidRPr="00B87CC5">
        <w:t>Biogenic m</w:t>
      </w:r>
      <w:r w:rsidRPr="00B87CC5">
        <w:t>ethane emissions in interim ERP2 baseline for consultation</w:t>
      </w:r>
      <w:r w:rsidR="00B332E7" w:rsidRPr="00B87CC5">
        <w:t>, 2023–50</w:t>
      </w:r>
      <w:bookmarkEnd w:id="27"/>
    </w:p>
    <w:p w14:paraId="02B5EDD1" w14:textId="51C1B216" w:rsidR="00F32951" w:rsidRPr="00B87CC5" w:rsidRDefault="006C7DD8" w:rsidP="006C7DD8">
      <w:pPr>
        <w:pStyle w:val="BodyText"/>
        <w:spacing w:after="240"/>
      </w:pPr>
      <w:r w:rsidRPr="00B87CC5">
        <w:rPr>
          <w:noProof/>
        </w:rPr>
        <w:drawing>
          <wp:inline distT="0" distB="0" distL="0" distR="0" wp14:anchorId="2AE1C4B1" wp14:editId="7669C39A">
            <wp:extent cx="5276069" cy="2712433"/>
            <wp:effectExtent l="0" t="0" r="1270" b="0"/>
            <wp:docPr id="778031362" name="Picture 27" descr="A line graph showing biogenic methane emissions with:&#10;• a line for the central estimate of interim projected emissions&#10;• an uncertainty range around the central projection, based on historical deviations&#10;• the methane targ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31362" name="Picture 27" descr="A line graph showing biogenic methane emissions with:&#10;• a line for the central estimate of interim projected emissions&#10;• an uncertainty range around the central projection, based on historical deviations&#10;• the methane targets "/>
                    <pic:cNvPicPr>
                      <a:picLocks noChangeAspect="1" noChangeArrowheads="1"/>
                    </pic:cNvPicPr>
                  </pic:nvPicPr>
                  <pic:blipFill>
                    <a:blip r:embed="rId26">
                      <a:extLst>
                        <a:ext uri="{96DAC541-7B7A-43D3-8B79-37D633B846F1}">
                          <asvg:svgBlip xmlns:asvg="http://schemas.microsoft.com/office/drawing/2016/SVG/main" r:embed="rId27"/>
                        </a:ext>
                      </a:extLst>
                    </a:blip>
                    <a:srcRect l="1006" r="1006"/>
                    <a:stretch>
                      <a:fillRect/>
                    </a:stretch>
                  </pic:blipFill>
                  <pic:spPr bwMode="auto">
                    <a:xfrm>
                      <a:off x="0" y="0"/>
                      <a:ext cx="5276069" cy="2712433"/>
                    </a:xfrm>
                    <a:prstGeom prst="rect">
                      <a:avLst/>
                    </a:prstGeom>
                    <a:extLst>
                      <a:ext uri="{53640926-AAD7-44D8-BBD7-CCE9431645EC}">
                        <a14:shadowObscured xmlns:a14="http://schemas.microsoft.com/office/drawing/2010/main"/>
                      </a:ext>
                    </a:extLst>
                  </pic:spPr>
                </pic:pic>
              </a:graphicData>
            </a:graphic>
          </wp:inline>
        </w:drawing>
      </w:r>
    </w:p>
    <w:p w14:paraId="425F9F69" w14:textId="3298441E" w:rsidR="00FF142A" w:rsidRPr="00B87CC5" w:rsidRDefault="00FF142A" w:rsidP="00E33B8C">
      <w:pPr>
        <w:pStyle w:val="Tableheading"/>
      </w:pPr>
      <w:bookmarkStart w:id="28" w:name="_Ref167887675"/>
      <w:bookmarkStart w:id="29" w:name="_Toc171609764"/>
      <w:r w:rsidRPr="00B87CC5">
        <w:t xml:space="preserve">Table </w:t>
      </w:r>
      <w:r w:rsidR="00385111">
        <w:fldChar w:fldCharType="begin"/>
      </w:r>
      <w:r w:rsidR="00385111">
        <w:instrText xml:space="preserve"> SEQ Table \* ARABIC </w:instrText>
      </w:r>
      <w:r w:rsidR="00385111">
        <w:fldChar w:fldCharType="separate"/>
      </w:r>
      <w:r w:rsidR="001B6E3F" w:rsidRPr="00B87CC5">
        <w:t>5</w:t>
      </w:r>
      <w:r w:rsidR="00385111">
        <w:fldChar w:fldCharType="end"/>
      </w:r>
      <w:bookmarkEnd w:id="28"/>
      <w:r w:rsidR="005E1D91" w:rsidRPr="00B87CC5">
        <w:t>:</w:t>
      </w:r>
      <w:r w:rsidR="005E1D91" w:rsidRPr="00B87CC5">
        <w:tab/>
      </w:r>
      <w:r w:rsidRPr="00B87CC5">
        <w:t>Interim consultation baseline compared with 2023 projections per budget period (biogenic methane)</w:t>
      </w:r>
      <w:r w:rsidR="00CD4139" w:rsidRPr="00B87CC5">
        <w:t xml:space="preserve"> (</w:t>
      </w:r>
      <w:r w:rsidR="00CD4139" w:rsidRPr="00B87CC5">
        <w:rPr>
          <w:lang w:eastAsia="en-US"/>
        </w:rPr>
        <w:t>Mt CO</w:t>
      </w:r>
      <w:r w:rsidR="00CD4139" w:rsidRPr="00B87CC5">
        <w:rPr>
          <w:vertAlign w:val="subscript"/>
          <w:lang w:eastAsia="en-US"/>
        </w:rPr>
        <w:t>2</w:t>
      </w:r>
      <w:r w:rsidR="00CD4139" w:rsidRPr="00B87CC5">
        <w:rPr>
          <w:lang w:eastAsia="en-US"/>
        </w:rPr>
        <w:t>-e</w:t>
      </w:r>
      <w:r w:rsidR="00CD4139" w:rsidRPr="00B87CC5">
        <w:t>)</w:t>
      </w:r>
      <w:bookmarkEnd w:id="29"/>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1559"/>
        <w:gridCol w:w="1135"/>
        <w:gridCol w:w="1558"/>
        <w:gridCol w:w="1560"/>
        <w:gridCol w:w="1276"/>
        <w:gridCol w:w="1417"/>
      </w:tblGrid>
      <w:tr w:rsidR="00BA1A80" w:rsidRPr="00B87CC5" w14:paraId="7BE6E5F1" w14:textId="77777777" w:rsidTr="00BA1A80">
        <w:trPr>
          <w:tblHeader/>
        </w:trPr>
        <w:tc>
          <w:tcPr>
            <w:tcW w:w="917" w:type="pct"/>
            <w:shd w:val="clear" w:color="auto" w:fill="1B556B"/>
            <w:vAlign w:val="bottom"/>
          </w:tcPr>
          <w:p w14:paraId="697363B2" w14:textId="77777777" w:rsidR="0087495B" w:rsidRPr="00B87CC5" w:rsidRDefault="0087495B" w:rsidP="006C7DD8">
            <w:pPr>
              <w:pStyle w:val="TableTextbold"/>
              <w:spacing w:before="40" w:after="40"/>
              <w:rPr>
                <w:color w:val="FFFFFF" w:themeColor="background1"/>
              </w:rPr>
            </w:pPr>
            <w:r w:rsidRPr="00B87CC5">
              <w:rPr>
                <w:color w:val="FFFFFF" w:themeColor="background1"/>
              </w:rPr>
              <w:t xml:space="preserve">Budget period </w:t>
            </w:r>
          </w:p>
        </w:tc>
        <w:tc>
          <w:tcPr>
            <w:tcW w:w="667" w:type="pct"/>
            <w:shd w:val="clear" w:color="auto" w:fill="1B556B"/>
            <w:vAlign w:val="bottom"/>
          </w:tcPr>
          <w:p w14:paraId="03B14A71" w14:textId="003ACFD9" w:rsidR="0087495B" w:rsidRPr="00B87CC5" w:rsidRDefault="0087495B" w:rsidP="006C7DD8">
            <w:pPr>
              <w:pStyle w:val="TableTextbold"/>
              <w:spacing w:before="40" w:after="40"/>
              <w:jc w:val="right"/>
              <w:rPr>
                <w:color w:val="FFFFFF" w:themeColor="background1"/>
              </w:rPr>
            </w:pPr>
            <w:r w:rsidRPr="00B87CC5">
              <w:rPr>
                <w:color w:val="FFFFFF" w:themeColor="background1"/>
              </w:rPr>
              <w:t>Targets</w:t>
            </w:r>
          </w:p>
        </w:tc>
        <w:tc>
          <w:tcPr>
            <w:tcW w:w="916" w:type="pct"/>
            <w:shd w:val="clear" w:color="auto" w:fill="1B556B"/>
            <w:vAlign w:val="bottom"/>
          </w:tcPr>
          <w:p w14:paraId="33709D19" w14:textId="53F430C3" w:rsidR="0087495B" w:rsidRPr="00B87CC5" w:rsidRDefault="0087495B" w:rsidP="006C7DD8">
            <w:pPr>
              <w:pStyle w:val="TableTextbold"/>
              <w:spacing w:before="40" w:after="40"/>
              <w:jc w:val="right"/>
              <w:rPr>
                <w:color w:val="FFFFFF" w:themeColor="background1"/>
              </w:rPr>
            </w:pPr>
            <w:r w:rsidRPr="00B87CC5">
              <w:rPr>
                <w:color w:val="FFFFFF" w:themeColor="background1"/>
              </w:rPr>
              <w:t xml:space="preserve">2023 </w:t>
            </w:r>
            <w:r w:rsidR="00B332E7" w:rsidRPr="00B87CC5">
              <w:rPr>
                <w:color w:val="FFFFFF" w:themeColor="background1"/>
              </w:rPr>
              <w:t>p</w:t>
            </w:r>
            <w:r w:rsidRPr="00B87CC5">
              <w:rPr>
                <w:color w:val="FFFFFF" w:themeColor="background1"/>
              </w:rPr>
              <w:t>rojections</w:t>
            </w:r>
          </w:p>
        </w:tc>
        <w:tc>
          <w:tcPr>
            <w:tcW w:w="917" w:type="pct"/>
            <w:shd w:val="clear" w:color="auto" w:fill="1B556B"/>
            <w:vAlign w:val="bottom"/>
          </w:tcPr>
          <w:p w14:paraId="0247A586" w14:textId="77777777" w:rsidR="0087495B" w:rsidRPr="00B87CC5" w:rsidRDefault="0087495B" w:rsidP="006C7DD8">
            <w:pPr>
              <w:pStyle w:val="TableTextbold"/>
              <w:spacing w:before="40" w:after="40"/>
              <w:jc w:val="right"/>
              <w:rPr>
                <w:color w:val="FFFFFF" w:themeColor="background1"/>
              </w:rPr>
            </w:pPr>
            <w:r w:rsidRPr="00B87CC5">
              <w:rPr>
                <w:color w:val="FFFFFF" w:themeColor="background1"/>
              </w:rPr>
              <w:t>ERP2 interim baseline (central)</w:t>
            </w:r>
          </w:p>
        </w:tc>
        <w:tc>
          <w:tcPr>
            <w:tcW w:w="750" w:type="pct"/>
            <w:shd w:val="clear" w:color="auto" w:fill="1B556B"/>
            <w:vAlign w:val="bottom"/>
          </w:tcPr>
          <w:p w14:paraId="11A5A634" w14:textId="77777777" w:rsidR="0087495B" w:rsidRPr="00B87CC5" w:rsidRDefault="0087495B" w:rsidP="006C7DD8">
            <w:pPr>
              <w:pStyle w:val="TableTextbold"/>
              <w:spacing w:before="40" w:after="40"/>
              <w:jc w:val="right"/>
              <w:rPr>
                <w:color w:val="FFFFFF" w:themeColor="background1"/>
              </w:rPr>
            </w:pPr>
            <w:r w:rsidRPr="00B87CC5">
              <w:rPr>
                <w:color w:val="FFFFFF" w:themeColor="background1"/>
              </w:rPr>
              <w:t>ERP2 interim baseline (low)</w:t>
            </w:r>
          </w:p>
        </w:tc>
        <w:tc>
          <w:tcPr>
            <w:tcW w:w="833" w:type="pct"/>
            <w:shd w:val="clear" w:color="auto" w:fill="1B556B"/>
            <w:vAlign w:val="bottom"/>
          </w:tcPr>
          <w:p w14:paraId="1AE5C5ED" w14:textId="77777777" w:rsidR="0087495B" w:rsidRPr="00B87CC5" w:rsidRDefault="0087495B" w:rsidP="006C7DD8">
            <w:pPr>
              <w:pStyle w:val="TableTextbold"/>
              <w:spacing w:before="40" w:after="40"/>
              <w:jc w:val="right"/>
              <w:rPr>
                <w:color w:val="FFFFFF" w:themeColor="background1"/>
              </w:rPr>
            </w:pPr>
            <w:r w:rsidRPr="00B87CC5">
              <w:rPr>
                <w:color w:val="FFFFFF" w:themeColor="background1"/>
              </w:rPr>
              <w:t>ERP2 interim baseline (high)</w:t>
            </w:r>
          </w:p>
        </w:tc>
      </w:tr>
      <w:tr w:rsidR="00BA1A80" w:rsidRPr="00B87CC5" w14:paraId="11114E23" w14:textId="77777777" w:rsidTr="00BA1A80">
        <w:tc>
          <w:tcPr>
            <w:tcW w:w="917" w:type="pct"/>
            <w:shd w:val="clear" w:color="auto" w:fill="auto"/>
          </w:tcPr>
          <w:p w14:paraId="64104E60" w14:textId="59FF81EE" w:rsidR="00CA61D8" w:rsidRPr="00B87CC5" w:rsidRDefault="00B332E7" w:rsidP="006C7DD8">
            <w:pPr>
              <w:pStyle w:val="TableText"/>
              <w:spacing w:before="40" w:after="40"/>
              <w:rPr>
                <w:b/>
                <w:bCs/>
              </w:rPr>
            </w:pPr>
            <w:r w:rsidRPr="00B87CC5">
              <w:rPr>
                <w:b/>
                <w:bCs/>
              </w:rPr>
              <w:t>First</w:t>
            </w:r>
          </w:p>
        </w:tc>
        <w:tc>
          <w:tcPr>
            <w:tcW w:w="667" w:type="pct"/>
          </w:tcPr>
          <w:p w14:paraId="39C28FE1" w14:textId="77777777" w:rsidR="00CA61D8" w:rsidRPr="00B87CC5" w:rsidRDefault="00CA61D8" w:rsidP="006C7DD8">
            <w:pPr>
              <w:pStyle w:val="TableText"/>
              <w:spacing w:before="40" w:after="40"/>
              <w:jc w:val="right"/>
            </w:pPr>
          </w:p>
        </w:tc>
        <w:tc>
          <w:tcPr>
            <w:tcW w:w="916" w:type="pct"/>
          </w:tcPr>
          <w:p w14:paraId="506B8DB2" w14:textId="25796037" w:rsidR="00CA61D8" w:rsidRPr="00B87CC5" w:rsidRDefault="008F4110" w:rsidP="006C7DD8">
            <w:pPr>
              <w:pStyle w:val="TableText"/>
              <w:spacing w:before="40" w:after="40"/>
              <w:jc w:val="right"/>
            </w:pPr>
            <w:r w:rsidRPr="00B87CC5">
              <w:t>140.2</w:t>
            </w:r>
          </w:p>
        </w:tc>
        <w:tc>
          <w:tcPr>
            <w:tcW w:w="917" w:type="pct"/>
          </w:tcPr>
          <w:p w14:paraId="4927D023" w14:textId="3C6CE6D0" w:rsidR="00CA61D8" w:rsidRPr="00B87CC5" w:rsidRDefault="008F4110" w:rsidP="006C7DD8">
            <w:pPr>
              <w:pStyle w:val="TableText"/>
              <w:spacing w:before="40" w:after="40"/>
              <w:jc w:val="right"/>
            </w:pPr>
            <w:r w:rsidRPr="00B87CC5">
              <w:t>144.0</w:t>
            </w:r>
          </w:p>
        </w:tc>
        <w:tc>
          <w:tcPr>
            <w:tcW w:w="750" w:type="pct"/>
          </w:tcPr>
          <w:p w14:paraId="1768ACD4" w14:textId="38DF8252" w:rsidR="00CA61D8" w:rsidRPr="00B87CC5" w:rsidRDefault="008F4110" w:rsidP="006C7DD8">
            <w:pPr>
              <w:pStyle w:val="TableText"/>
              <w:spacing w:before="40" w:after="40"/>
              <w:jc w:val="right"/>
            </w:pPr>
            <w:r w:rsidRPr="00B87CC5">
              <w:t>142.6</w:t>
            </w:r>
          </w:p>
        </w:tc>
        <w:tc>
          <w:tcPr>
            <w:tcW w:w="833" w:type="pct"/>
          </w:tcPr>
          <w:p w14:paraId="25BAF9E3" w14:textId="71974593" w:rsidR="00CA61D8" w:rsidRPr="00B87CC5" w:rsidRDefault="008F4110" w:rsidP="006C7DD8">
            <w:pPr>
              <w:pStyle w:val="TableText"/>
              <w:spacing w:before="40" w:after="40"/>
              <w:jc w:val="right"/>
            </w:pPr>
            <w:r w:rsidRPr="00B87CC5">
              <w:t>145.5</w:t>
            </w:r>
          </w:p>
        </w:tc>
      </w:tr>
      <w:tr w:rsidR="00BA1A80" w:rsidRPr="00B87CC5" w14:paraId="1EBE6C22" w14:textId="77777777" w:rsidTr="00BA1A80">
        <w:tc>
          <w:tcPr>
            <w:tcW w:w="917" w:type="pct"/>
          </w:tcPr>
          <w:p w14:paraId="4C5A0A3F" w14:textId="3A28602D" w:rsidR="00CA61D8" w:rsidRPr="00B87CC5" w:rsidRDefault="00B332E7" w:rsidP="006C7DD8">
            <w:pPr>
              <w:pStyle w:val="TableText"/>
              <w:spacing w:before="40" w:after="40"/>
              <w:rPr>
                <w:b/>
                <w:bCs/>
              </w:rPr>
            </w:pPr>
            <w:r w:rsidRPr="00B87CC5">
              <w:rPr>
                <w:b/>
                <w:bCs/>
              </w:rPr>
              <w:t>Second</w:t>
            </w:r>
          </w:p>
        </w:tc>
        <w:tc>
          <w:tcPr>
            <w:tcW w:w="667" w:type="pct"/>
          </w:tcPr>
          <w:p w14:paraId="269E45A0" w14:textId="77777777" w:rsidR="00CA61D8" w:rsidRPr="00B87CC5" w:rsidRDefault="00CA61D8" w:rsidP="006C7DD8">
            <w:pPr>
              <w:pStyle w:val="TableText"/>
              <w:spacing w:before="40" w:after="40"/>
              <w:jc w:val="right"/>
            </w:pPr>
          </w:p>
        </w:tc>
        <w:tc>
          <w:tcPr>
            <w:tcW w:w="916" w:type="pct"/>
          </w:tcPr>
          <w:p w14:paraId="24C43C90" w14:textId="535504AC" w:rsidR="00CA61D8" w:rsidRPr="00B87CC5" w:rsidRDefault="008F4110" w:rsidP="006C7DD8">
            <w:pPr>
              <w:pStyle w:val="TableText"/>
              <w:spacing w:before="40" w:after="40"/>
              <w:jc w:val="right"/>
            </w:pPr>
            <w:r w:rsidRPr="00B87CC5">
              <w:t>167.1</w:t>
            </w:r>
          </w:p>
        </w:tc>
        <w:tc>
          <w:tcPr>
            <w:tcW w:w="917" w:type="pct"/>
          </w:tcPr>
          <w:p w14:paraId="175418D0" w14:textId="7FA12674" w:rsidR="00CA61D8" w:rsidRPr="00B87CC5" w:rsidRDefault="008F4110" w:rsidP="006C7DD8">
            <w:pPr>
              <w:pStyle w:val="TableText"/>
              <w:spacing w:before="40" w:after="40"/>
              <w:jc w:val="right"/>
            </w:pPr>
            <w:r w:rsidRPr="00B87CC5">
              <w:t>172.9</w:t>
            </w:r>
          </w:p>
        </w:tc>
        <w:tc>
          <w:tcPr>
            <w:tcW w:w="750" w:type="pct"/>
          </w:tcPr>
          <w:p w14:paraId="10489565" w14:textId="644D2687" w:rsidR="00CA61D8" w:rsidRPr="00B87CC5" w:rsidRDefault="008F4110" w:rsidP="006C7DD8">
            <w:pPr>
              <w:pStyle w:val="TableText"/>
              <w:spacing w:before="40" w:after="40"/>
              <w:jc w:val="right"/>
            </w:pPr>
            <w:r w:rsidRPr="00B87CC5">
              <w:t>165.7</w:t>
            </w:r>
          </w:p>
        </w:tc>
        <w:tc>
          <w:tcPr>
            <w:tcW w:w="833" w:type="pct"/>
          </w:tcPr>
          <w:p w14:paraId="4B97EF26" w14:textId="7ECBE294" w:rsidR="00CA61D8" w:rsidRPr="00B87CC5" w:rsidRDefault="008F4110" w:rsidP="006C7DD8">
            <w:pPr>
              <w:pStyle w:val="TableText"/>
              <w:spacing w:before="40" w:after="40"/>
              <w:jc w:val="right"/>
            </w:pPr>
            <w:r w:rsidRPr="00B87CC5">
              <w:t>180.1</w:t>
            </w:r>
          </w:p>
        </w:tc>
      </w:tr>
      <w:tr w:rsidR="00BA1A80" w:rsidRPr="00B87CC5" w14:paraId="14CA2383" w14:textId="77777777" w:rsidTr="00BA1A80">
        <w:tc>
          <w:tcPr>
            <w:tcW w:w="917" w:type="pct"/>
          </w:tcPr>
          <w:p w14:paraId="0BAB7777" w14:textId="39FE7A96" w:rsidR="00CA61D8" w:rsidRPr="00B87CC5" w:rsidRDefault="00B332E7" w:rsidP="006C7DD8">
            <w:pPr>
              <w:pStyle w:val="TableText"/>
              <w:spacing w:before="40" w:after="40"/>
              <w:rPr>
                <w:b/>
                <w:bCs/>
              </w:rPr>
            </w:pPr>
            <w:r w:rsidRPr="00B87CC5">
              <w:rPr>
                <w:b/>
                <w:bCs/>
              </w:rPr>
              <w:t>Third</w:t>
            </w:r>
          </w:p>
        </w:tc>
        <w:tc>
          <w:tcPr>
            <w:tcW w:w="667" w:type="pct"/>
          </w:tcPr>
          <w:p w14:paraId="3406A447" w14:textId="77777777" w:rsidR="00CA61D8" w:rsidRPr="00B87CC5" w:rsidRDefault="00CA61D8" w:rsidP="006C7DD8">
            <w:pPr>
              <w:pStyle w:val="TableText"/>
              <w:spacing w:before="40" w:after="40"/>
              <w:jc w:val="right"/>
            </w:pPr>
          </w:p>
        </w:tc>
        <w:tc>
          <w:tcPr>
            <w:tcW w:w="916" w:type="pct"/>
          </w:tcPr>
          <w:p w14:paraId="08B9939C" w14:textId="6EC04A4A" w:rsidR="00CA61D8" w:rsidRPr="00B87CC5" w:rsidRDefault="008F4110" w:rsidP="006C7DD8">
            <w:pPr>
              <w:pStyle w:val="TableText"/>
              <w:spacing w:before="40" w:after="40"/>
              <w:jc w:val="right"/>
            </w:pPr>
            <w:r w:rsidRPr="00B87CC5">
              <w:t>162.3</w:t>
            </w:r>
          </w:p>
        </w:tc>
        <w:tc>
          <w:tcPr>
            <w:tcW w:w="917" w:type="pct"/>
          </w:tcPr>
          <w:p w14:paraId="52606F62" w14:textId="61EEE2E8" w:rsidR="00CA61D8" w:rsidRPr="00B87CC5" w:rsidRDefault="008F4110" w:rsidP="006C7DD8">
            <w:pPr>
              <w:pStyle w:val="TableText"/>
              <w:spacing w:before="40" w:after="40"/>
              <w:jc w:val="right"/>
            </w:pPr>
            <w:r w:rsidRPr="00B87CC5">
              <w:t>169.9</w:t>
            </w:r>
          </w:p>
        </w:tc>
        <w:tc>
          <w:tcPr>
            <w:tcW w:w="750" w:type="pct"/>
          </w:tcPr>
          <w:p w14:paraId="589DE6C8" w14:textId="2483B905" w:rsidR="00CA61D8" w:rsidRPr="00B87CC5" w:rsidRDefault="008F4110" w:rsidP="006C7DD8">
            <w:pPr>
              <w:pStyle w:val="TableText"/>
              <w:spacing w:before="40" w:after="40"/>
              <w:jc w:val="right"/>
            </w:pPr>
            <w:r w:rsidRPr="00B87CC5">
              <w:t>156.9</w:t>
            </w:r>
          </w:p>
        </w:tc>
        <w:tc>
          <w:tcPr>
            <w:tcW w:w="833" w:type="pct"/>
          </w:tcPr>
          <w:p w14:paraId="3CAB5AE0" w14:textId="6C5DCD61" w:rsidR="00CA61D8" w:rsidRPr="00B87CC5" w:rsidRDefault="008F4110" w:rsidP="006C7DD8">
            <w:pPr>
              <w:pStyle w:val="TableText"/>
              <w:spacing w:before="40" w:after="40"/>
              <w:jc w:val="right"/>
            </w:pPr>
            <w:r w:rsidRPr="00B87CC5">
              <w:t>182.9</w:t>
            </w:r>
          </w:p>
        </w:tc>
      </w:tr>
      <w:tr w:rsidR="00BA1A80" w:rsidRPr="00B87CC5" w14:paraId="1760A8FF" w14:textId="77777777" w:rsidTr="00BA1A80">
        <w:tc>
          <w:tcPr>
            <w:tcW w:w="917" w:type="pct"/>
          </w:tcPr>
          <w:p w14:paraId="3FC7D0BA" w14:textId="6F901386" w:rsidR="00CA61D8" w:rsidRPr="00B87CC5" w:rsidRDefault="00CA61D8" w:rsidP="006C7DD8">
            <w:pPr>
              <w:pStyle w:val="TableText"/>
              <w:spacing w:before="40" w:after="40"/>
              <w:rPr>
                <w:b/>
                <w:bCs/>
              </w:rPr>
            </w:pPr>
            <w:r w:rsidRPr="00B87CC5">
              <w:rPr>
                <w:b/>
                <w:bCs/>
              </w:rPr>
              <w:t>2030</w:t>
            </w:r>
          </w:p>
        </w:tc>
        <w:tc>
          <w:tcPr>
            <w:tcW w:w="667" w:type="pct"/>
          </w:tcPr>
          <w:p w14:paraId="3E806FE5" w14:textId="7AFD390D" w:rsidR="00CA61D8" w:rsidRPr="00B87CC5" w:rsidRDefault="008F4110" w:rsidP="006C7DD8">
            <w:pPr>
              <w:pStyle w:val="TableText"/>
              <w:spacing w:before="40" w:after="40"/>
              <w:jc w:val="right"/>
            </w:pPr>
            <w:r w:rsidRPr="00B87CC5">
              <w:t>3</w:t>
            </w:r>
            <w:r w:rsidR="00914512" w:rsidRPr="00B87CC5">
              <w:t>4</w:t>
            </w:r>
            <w:r w:rsidRPr="00B87CC5">
              <w:t>.</w:t>
            </w:r>
            <w:r w:rsidR="00914512" w:rsidRPr="00B87CC5">
              <w:t>3</w:t>
            </w:r>
          </w:p>
        </w:tc>
        <w:tc>
          <w:tcPr>
            <w:tcW w:w="916" w:type="pct"/>
          </w:tcPr>
          <w:p w14:paraId="6F9F4270" w14:textId="39DF114E" w:rsidR="00CA61D8" w:rsidRPr="00B87CC5" w:rsidRDefault="008F4110" w:rsidP="006C7DD8">
            <w:pPr>
              <w:pStyle w:val="TableText"/>
              <w:spacing w:before="40" w:after="40"/>
              <w:jc w:val="right"/>
            </w:pPr>
            <w:r w:rsidRPr="00B87CC5">
              <w:t>33.0</w:t>
            </w:r>
          </w:p>
        </w:tc>
        <w:tc>
          <w:tcPr>
            <w:tcW w:w="917" w:type="pct"/>
          </w:tcPr>
          <w:p w14:paraId="4BC4BED8" w14:textId="3DA7BA79" w:rsidR="00CA61D8" w:rsidRPr="00B87CC5" w:rsidRDefault="008F4110" w:rsidP="006C7DD8">
            <w:pPr>
              <w:pStyle w:val="TableText"/>
              <w:spacing w:before="40" w:after="40"/>
              <w:jc w:val="right"/>
            </w:pPr>
            <w:r w:rsidRPr="00B87CC5">
              <w:t>34.3</w:t>
            </w:r>
          </w:p>
        </w:tc>
        <w:tc>
          <w:tcPr>
            <w:tcW w:w="750" w:type="pct"/>
          </w:tcPr>
          <w:p w14:paraId="55DA3D8F" w14:textId="66A98554" w:rsidR="00CA61D8" w:rsidRPr="00B87CC5" w:rsidRDefault="008F4110" w:rsidP="006C7DD8">
            <w:pPr>
              <w:pStyle w:val="TableText"/>
              <w:spacing w:before="40" w:after="40"/>
              <w:jc w:val="right"/>
            </w:pPr>
            <w:r w:rsidRPr="00B87CC5">
              <w:t>32.4</w:t>
            </w:r>
          </w:p>
        </w:tc>
        <w:tc>
          <w:tcPr>
            <w:tcW w:w="833" w:type="pct"/>
          </w:tcPr>
          <w:p w14:paraId="30786FAA" w14:textId="106CCB66" w:rsidR="00CA61D8" w:rsidRPr="00B87CC5" w:rsidRDefault="008F4110" w:rsidP="006C7DD8">
            <w:pPr>
              <w:pStyle w:val="TableText"/>
              <w:spacing w:before="40" w:after="40"/>
              <w:jc w:val="right"/>
            </w:pPr>
            <w:r w:rsidRPr="00B87CC5">
              <w:t>36.2</w:t>
            </w:r>
          </w:p>
        </w:tc>
      </w:tr>
      <w:tr w:rsidR="00BA1A80" w:rsidRPr="00B87CC5" w14:paraId="4F46D5B9" w14:textId="77777777" w:rsidTr="00BA1A80">
        <w:tc>
          <w:tcPr>
            <w:tcW w:w="917" w:type="pct"/>
          </w:tcPr>
          <w:p w14:paraId="6EF8C3DE" w14:textId="77777777" w:rsidR="00CA61D8" w:rsidRPr="00B87CC5" w:rsidRDefault="00CA61D8" w:rsidP="006C7DD8">
            <w:pPr>
              <w:pStyle w:val="TableText"/>
              <w:spacing w:before="40" w:after="40"/>
              <w:rPr>
                <w:b/>
                <w:bCs/>
              </w:rPr>
            </w:pPr>
            <w:r w:rsidRPr="00B87CC5">
              <w:rPr>
                <w:b/>
                <w:bCs/>
              </w:rPr>
              <w:t>2050</w:t>
            </w:r>
          </w:p>
        </w:tc>
        <w:tc>
          <w:tcPr>
            <w:tcW w:w="667" w:type="pct"/>
          </w:tcPr>
          <w:p w14:paraId="6EA067A9" w14:textId="72B196F8" w:rsidR="00CA61D8" w:rsidRPr="00B87CC5" w:rsidRDefault="008F4110" w:rsidP="006C7DD8">
            <w:pPr>
              <w:pStyle w:val="TableText"/>
              <w:spacing w:before="40" w:after="40"/>
              <w:jc w:val="right"/>
            </w:pPr>
            <w:r w:rsidRPr="00B87CC5">
              <w:t>20.2</w:t>
            </w:r>
            <w:r w:rsidR="00B332E7" w:rsidRPr="00B87CC5">
              <w:t>–</w:t>
            </w:r>
            <w:r w:rsidRPr="00B87CC5">
              <w:t>29.0</w:t>
            </w:r>
          </w:p>
        </w:tc>
        <w:tc>
          <w:tcPr>
            <w:tcW w:w="916" w:type="pct"/>
          </w:tcPr>
          <w:p w14:paraId="1F3CAD4B" w14:textId="48B8F9AC" w:rsidR="00CA61D8" w:rsidRPr="00B87CC5" w:rsidRDefault="008F4110" w:rsidP="006C7DD8">
            <w:pPr>
              <w:pStyle w:val="TableText"/>
              <w:spacing w:before="40" w:after="40"/>
              <w:jc w:val="right"/>
            </w:pPr>
            <w:r w:rsidRPr="00B87CC5">
              <w:t>31.9</w:t>
            </w:r>
          </w:p>
        </w:tc>
        <w:tc>
          <w:tcPr>
            <w:tcW w:w="917" w:type="pct"/>
          </w:tcPr>
          <w:p w14:paraId="75D0D03D" w14:textId="7B4F158B" w:rsidR="00CA61D8" w:rsidRPr="00B87CC5" w:rsidRDefault="008F4110" w:rsidP="006C7DD8">
            <w:pPr>
              <w:pStyle w:val="TableText"/>
              <w:spacing w:before="40" w:after="40"/>
              <w:jc w:val="right"/>
            </w:pPr>
            <w:r w:rsidRPr="00B87CC5">
              <w:t>33.1</w:t>
            </w:r>
          </w:p>
        </w:tc>
        <w:tc>
          <w:tcPr>
            <w:tcW w:w="750" w:type="pct"/>
          </w:tcPr>
          <w:p w14:paraId="66D1A4A0" w14:textId="23FA8270" w:rsidR="00CA61D8" w:rsidRPr="00B87CC5" w:rsidRDefault="008F4110" w:rsidP="006C7DD8">
            <w:pPr>
              <w:pStyle w:val="TableText"/>
              <w:spacing w:before="40" w:after="40"/>
              <w:jc w:val="right"/>
            </w:pPr>
            <w:r w:rsidRPr="00B87CC5">
              <w:t>26.6</w:t>
            </w:r>
          </w:p>
        </w:tc>
        <w:tc>
          <w:tcPr>
            <w:tcW w:w="833" w:type="pct"/>
          </w:tcPr>
          <w:p w14:paraId="13A580B2" w14:textId="5C6ACFCA" w:rsidR="00CA61D8" w:rsidRPr="00B87CC5" w:rsidRDefault="008F4110" w:rsidP="006C7DD8">
            <w:pPr>
              <w:pStyle w:val="TableText"/>
              <w:spacing w:before="40" w:after="40"/>
              <w:jc w:val="right"/>
            </w:pPr>
            <w:r w:rsidRPr="00B87CC5">
              <w:t>39.5</w:t>
            </w:r>
          </w:p>
        </w:tc>
      </w:tr>
    </w:tbl>
    <w:p w14:paraId="01546587" w14:textId="67E680DE" w:rsidR="00BA5666" w:rsidRPr="00B87CC5" w:rsidRDefault="006551EA" w:rsidP="006C7DD8">
      <w:pPr>
        <w:pStyle w:val="Heading3"/>
        <w:spacing w:before="400"/>
      </w:pPr>
      <w:r w:rsidRPr="00B87CC5">
        <w:t>Nationally Determined Contribution</w:t>
      </w:r>
    </w:p>
    <w:p w14:paraId="5A532D01" w14:textId="2D53E201" w:rsidR="006A35A6" w:rsidRPr="00B87CC5" w:rsidRDefault="006551EA" w:rsidP="006C7DD8">
      <w:pPr>
        <w:pStyle w:val="BodyText"/>
        <w:rPr>
          <w:lang w:eastAsia="en-US"/>
        </w:rPr>
      </w:pPr>
      <w:r w:rsidRPr="00B87CC5">
        <w:rPr>
          <w:lang w:eastAsia="en-US"/>
        </w:rPr>
        <w:t xml:space="preserve">The projections </w:t>
      </w:r>
      <w:r w:rsidR="00912276" w:rsidRPr="00B87CC5">
        <w:rPr>
          <w:lang w:eastAsia="en-US"/>
        </w:rPr>
        <w:t xml:space="preserve">have been used to estimate the </w:t>
      </w:r>
      <w:r w:rsidR="00A90659" w:rsidRPr="00B87CC5">
        <w:rPr>
          <w:lang w:eastAsia="en-US"/>
        </w:rPr>
        <w:t xml:space="preserve">gap relative to </w:t>
      </w:r>
      <w:r w:rsidR="00427FF4" w:rsidRPr="00B87CC5">
        <w:rPr>
          <w:lang w:eastAsia="en-US"/>
        </w:rPr>
        <w:t xml:space="preserve">New Zealand’s </w:t>
      </w:r>
      <w:r w:rsidR="00A5464C" w:rsidRPr="00B87CC5">
        <w:rPr>
          <w:lang w:eastAsia="en-US"/>
        </w:rPr>
        <w:t>f</w:t>
      </w:r>
      <w:r w:rsidR="00427FF4" w:rsidRPr="00B87CC5">
        <w:rPr>
          <w:lang w:eastAsia="en-US"/>
        </w:rPr>
        <w:t>irst Nationally Determined Contribution (</w:t>
      </w:r>
      <w:r w:rsidR="00A90659" w:rsidRPr="00B87CC5">
        <w:t>NDC</w:t>
      </w:r>
      <w:r w:rsidR="00A5464C" w:rsidRPr="00B87CC5">
        <w:t>1</w:t>
      </w:r>
      <w:r w:rsidR="00427FF4" w:rsidRPr="00B87CC5">
        <w:rPr>
          <w:lang w:eastAsia="en-US"/>
        </w:rPr>
        <w:t>)</w:t>
      </w:r>
      <w:r w:rsidR="00EC6335" w:rsidRPr="00B87CC5">
        <w:rPr>
          <w:lang w:eastAsia="en-US"/>
        </w:rPr>
        <w:t xml:space="preserve"> for the period 2021</w:t>
      </w:r>
      <w:r w:rsidR="00B332E7" w:rsidRPr="00B87CC5">
        <w:rPr>
          <w:lang w:eastAsia="en-US"/>
        </w:rPr>
        <w:t>–</w:t>
      </w:r>
      <w:r w:rsidR="00EC6335" w:rsidRPr="00B87CC5">
        <w:rPr>
          <w:lang w:eastAsia="en-US"/>
        </w:rPr>
        <w:t>30</w:t>
      </w:r>
      <w:r w:rsidR="00427FF4" w:rsidRPr="00B87CC5">
        <w:rPr>
          <w:lang w:eastAsia="en-US"/>
        </w:rPr>
        <w:t>.</w:t>
      </w:r>
      <w:r w:rsidR="00566438" w:rsidRPr="00B87CC5" w:rsidDel="00A5464C">
        <w:rPr>
          <w:lang w:eastAsia="en-US"/>
        </w:rPr>
        <w:t xml:space="preserve"> </w:t>
      </w:r>
      <w:r w:rsidR="008A2524" w:rsidRPr="00B87CC5">
        <w:rPr>
          <w:lang w:eastAsia="en-US"/>
        </w:rPr>
        <w:t>NDC</w:t>
      </w:r>
      <w:r w:rsidR="00A5464C" w:rsidRPr="00B87CC5">
        <w:rPr>
          <w:lang w:eastAsia="en-US"/>
        </w:rPr>
        <w:t>1</w:t>
      </w:r>
      <w:r w:rsidR="008A2524" w:rsidRPr="00B87CC5">
        <w:rPr>
          <w:lang w:eastAsia="en-US"/>
        </w:rPr>
        <w:t xml:space="preserve"> </w:t>
      </w:r>
      <w:r w:rsidR="00566438" w:rsidRPr="00B87CC5">
        <w:rPr>
          <w:lang w:eastAsia="en-US"/>
        </w:rPr>
        <w:t xml:space="preserve">is </w:t>
      </w:r>
      <w:r w:rsidR="00AC092E" w:rsidRPr="00B87CC5">
        <w:rPr>
          <w:lang w:eastAsia="en-US"/>
        </w:rPr>
        <w:t xml:space="preserve">to reduce </w:t>
      </w:r>
      <w:r w:rsidR="00101194" w:rsidRPr="00B87CC5">
        <w:rPr>
          <w:lang w:eastAsia="en-US"/>
        </w:rPr>
        <w:t>net emissions</w:t>
      </w:r>
      <w:r w:rsidR="00AC092E" w:rsidRPr="00B87CC5">
        <w:rPr>
          <w:lang w:eastAsia="en-US"/>
        </w:rPr>
        <w:t xml:space="preserve"> </w:t>
      </w:r>
      <w:r w:rsidR="00566438" w:rsidRPr="00B87CC5">
        <w:rPr>
          <w:lang w:eastAsia="en-US"/>
        </w:rPr>
        <w:t xml:space="preserve">to </w:t>
      </w:r>
      <w:r w:rsidR="00AC092E" w:rsidRPr="00B87CC5">
        <w:rPr>
          <w:lang w:eastAsia="en-US"/>
        </w:rPr>
        <w:t>50</w:t>
      </w:r>
      <w:r w:rsidR="00A5464C" w:rsidRPr="00B87CC5">
        <w:rPr>
          <w:lang w:eastAsia="en-US"/>
        </w:rPr>
        <w:t> </w:t>
      </w:r>
      <w:r w:rsidR="00AC092E" w:rsidRPr="00B87CC5">
        <w:rPr>
          <w:lang w:eastAsia="en-US"/>
        </w:rPr>
        <w:t xml:space="preserve">per cent </w:t>
      </w:r>
      <w:r w:rsidR="00A6783E" w:rsidRPr="00B87CC5">
        <w:rPr>
          <w:lang w:eastAsia="en-US"/>
        </w:rPr>
        <w:t xml:space="preserve">below </w:t>
      </w:r>
      <w:r w:rsidR="00C60781" w:rsidRPr="00B87CC5">
        <w:rPr>
          <w:lang w:eastAsia="en-US"/>
        </w:rPr>
        <w:t xml:space="preserve">the </w:t>
      </w:r>
      <w:r w:rsidR="00AC092E" w:rsidRPr="00B87CC5">
        <w:rPr>
          <w:lang w:eastAsia="en-US"/>
        </w:rPr>
        <w:t>gross 2005 level by 2030</w:t>
      </w:r>
      <w:r w:rsidR="00A6783E" w:rsidRPr="00B87CC5">
        <w:rPr>
          <w:lang w:eastAsia="en-US"/>
        </w:rPr>
        <w:t xml:space="preserve">. </w:t>
      </w:r>
    </w:p>
    <w:p w14:paraId="34B0DEE0" w14:textId="2DEEDD06" w:rsidR="008A2524" w:rsidRPr="00B87CC5" w:rsidRDefault="00EC6335" w:rsidP="00324AFF">
      <w:pPr>
        <w:pStyle w:val="BodyText"/>
        <w:ind w:right="-142"/>
        <w:rPr>
          <w:lang w:eastAsia="en-US"/>
        </w:rPr>
      </w:pPr>
      <w:r w:rsidRPr="00B87CC5">
        <w:rPr>
          <w:lang w:eastAsia="en-US"/>
        </w:rPr>
        <w:t>NDC</w:t>
      </w:r>
      <w:r w:rsidR="00A5464C" w:rsidRPr="00B87CC5">
        <w:rPr>
          <w:lang w:eastAsia="en-US"/>
        </w:rPr>
        <w:t>1</w:t>
      </w:r>
      <w:r w:rsidRPr="00B87CC5">
        <w:rPr>
          <w:lang w:eastAsia="en-US"/>
        </w:rPr>
        <w:t xml:space="preserve"> is a point</w:t>
      </w:r>
      <w:r w:rsidR="00A726E9" w:rsidRPr="00B87CC5">
        <w:rPr>
          <w:lang w:eastAsia="en-US"/>
        </w:rPr>
        <w:t>-</w:t>
      </w:r>
      <w:r w:rsidRPr="00B87CC5">
        <w:rPr>
          <w:lang w:eastAsia="en-US"/>
        </w:rPr>
        <w:t>year target that is managed by a multi</w:t>
      </w:r>
      <w:r w:rsidR="00A726E9" w:rsidRPr="00B87CC5">
        <w:rPr>
          <w:lang w:eastAsia="en-US"/>
        </w:rPr>
        <w:t>-</w:t>
      </w:r>
      <w:r w:rsidRPr="00B87CC5">
        <w:rPr>
          <w:lang w:eastAsia="en-US"/>
        </w:rPr>
        <w:t>year emissions budget for the period 2021</w:t>
      </w:r>
      <w:r w:rsidR="00A726E9" w:rsidRPr="00B87CC5">
        <w:rPr>
          <w:lang w:eastAsia="en-US"/>
        </w:rPr>
        <w:t>–</w:t>
      </w:r>
      <w:r w:rsidRPr="00B87CC5">
        <w:rPr>
          <w:lang w:eastAsia="en-US"/>
        </w:rPr>
        <w:t>30</w:t>
      </w:r>
      <w:r w:rsidR="002F0942" w:rsidRPr="00B87CC5">
        <w:rPr>
          <w:lang w:eastAsia="en-US"/>
        </w:rPr>
        <w:t xml:space="preserve">. </w:t>
      </w:r>
      <w:r w:rsidR="00E36F5B" w:rsidRPr="00B87CC5">
        <w:rPr>
          <w:lang w:eastAsia="en-US"/>
        </w:rPr>
        <w:t>The provisional budget for NDC</w:t>
      </w:r>
      <w:r w:rsidR="00A5464C" w:rsidRPr="00B87CC5">
        <w:rPr>
          <w:lang w:eastAsia="en-US"/>
        </w:rPr>
        <w:t>1</w:t>
      </w:r>
      <w:r w:rsidR="00E36F5B" w:rsidRPr="00B87CC5">
        <w:rPr>
          <w:lang w:eastAsia="en-US"/>
        </w:rPr>
        <w:t xml:space="preserve"> is 571 M</w:t>
      </w:r>
      <w:r w:rsidR="00A726E9" w:rsidRPr="00B87CC5">
        <w:rPr>
          <w:lang w:eastAsia="en-US"/>
        </w:rPr>
        <w:t>t</w:t>
      </w:r>
      <w:r w:rsidR="00E36F5B" w:rsidRPr="00B87CC5">
        <w:rPr>
          <w:lang w:eastAsia="en-US"/>
        </w:rPr>
        <w:t xml:space="preserve"> CO</w:t>
      </w:r>
      <w:r w:rsidR="00E36F5B" w:rsidRPr="00B87CC5">
        <w:rPr>
          <w:vertAlign w:val="subscript"/>
          <w:lang w:eastAsia="en-US"/>
        </w:rPr>
        <w:t>2</w:t>
      </w:r>
      <w:r w:rsidR="00E36F5B" w:rsidRPr="00B87CC5">
        <w:rPr>
          <w:lang w:eastAsia="en-US"/>
        </w:rPr>
        <w:t>-e.</w:t>
      </w:r>
      <w:r w:rsidR="00323884" w:rsidRPr="00B87CC5">
        <w:rPr>
          <w:rStyle w:val="FootnoteReference"/>
          <w:lang w:eastAsia="en-US"/>
        </w:rPr>
        <w:footnoteReference w:id="18"/>
      </w:r>
    </w:p>
    <w:p w14:paraId="1DB30DB6" w14:textId="0A53262A" w:rsidR="00D03885" w:rsidRPr="00B87CC5" w:rsidRDefault="00CD4721" w:rsidP="002B75DB">
      <w:pPr>
        <w:pStyle w:val="BodyText"/>
      </w:pPr>
      <w:r w:rsidRPr="00B87CC5">
        <w:rPr>
          <w:lang w:eastAsia="en-US"/>
        </w:rPr>
        <w:t xml:space="preserve">The </w:t>
      </w:r>
      <w:r w:rsidR="00585DD7" w:rsidRPr="00B87CC5">
        <w:rPr>
          <w:lang w:eastAsia="en-US"/>
        </w:rPr>
        <w:t>baseline projections total 668</w:t>
      </w:r>
      <w:r w:rsidR="00A726E9" w:rsidRPr="00B87CC5">
        <w:rPr>
          <w:lang w:eastAsia="en-US"/>
        </w:rPr>
        <w:t xml:space="preserve"> Mt CO</w:t>
      </w:r>
      <w:r w:rsidR="00A726E9" w:rsidRPr="00B87CC5">
        <w:rPr>
          <w:vertAlign w:val="subscript"/>
          <w:lang w:eastAsia="en-US"/>
        </w:rPr>
        <w:t>2</w:t>
      </w:r>
      <w:r w:rsidR="00A726E9" w:rsidRPr="00B87CC5">
        <w:rPr>
          <w:lang w:eastAsia="en-US"/>
        </w:rPr>
        <w:t>-e</w:t>
      </w:r>
      <w:r w:rsidR="00585DD7" w:rsidRPr="00B87CC5">
        <w:rPr>
          <w:lang w:eastAsia="en-US"/>
        </w:rPr>
        <w:t xml:space="preserve"> </w:t>
      </w:r>
      <w:r w:rsidR="00CF276F" w:rsidRPr="00B87CC5">
        <w:rPr>
          <w:lang w:eastAsia="en-US"/>
        </w:rPr>
        <w:t>from 2021</w:t>
      </w:r>
      <w:r w:rsidR="00A726E9" w:rsidRPr="00B87CC5">
        <w:rPr>
          <w:lang w:eastAsia="en-US"/>
        </w:rPr>
        <w:t>–</w:t>
      </w:r>
      <w:r w:rsidR="00CF276F" w:rsidRPr="00B87CC5">
        <w:rPr>
          <w:lang w:eastAsia="en-US"/>
        </w:rPr>
        <w:t>30</w:t>
      </w:r>
      <w:r w:rsidR="00566438" w:rsidRPr="00B87CC5">
        <w:rPr>
          <w:lang w:eastAsia="en-US"/>
        </w:rPr>
        <w:t xml:space="preserve"> </w:t>
      </w:r>
      <w:r w:rsidR="03590649" w:rsidRPr="00B87CC5" w:rsidDel="00B77216">
        <w:rPr>
          <w:lang w:eastAsia="en-US"/>
        </w:rPr>
        <w:t>(</w:t>
      </w:r>
      <w:r w:rsidR="14F0F962" w:rsidRPr="00B87CC5">
        <w:rPr>
          <w:lang w:eastAsia="en-US"/>
        </w:rPr>
        <w:t xml:space="preserve">before </w:t>
      </w:r>
      <w:r w:rsidR="00A726E9" w:rsidRPr="00B87CC5">
        <w:rPr>
          <w:lang w:eastAsia="en-US"/>
        </w:rPr>
        <w:t xml:space="preserve">taking account of </w:t>
      </w:r>
      <w:r w:rsidR="14F0F962" w:rsidRPr="00B87CC5">
        <w:rPr>
          <w:lang w:eastAsia="en-US"/>
        </w:rPr>
        <w:t>the impact of any additional policies being proposed in the ERP</w:t>
      </w:r>
      <w:r w:rsidR="00A726E9" w:rsidRPr="00B87CC5">
        <w:rPr>
          <w:lang w:eastAsia="en-US"/>
        </w:rPr>
        <w:t>2</w:t>
      </w:r>
      <w:r w:rsidR="14F0F962" w:rsidRPr="00B87CC5">
        <w:rPr>
          <w:lang w:eastAsia="en-US"/>
        </w:rPr>
        <w:t xml:space="preserve"> </w:t>
      </w:r>
      <w:r w:rsidR="00A726E9" w:rsidRPr="00B87CC5">
        <w:rPr>
          <w:lang w:eastAsia="en-US"/>
        </w:rPr>
        <w:t>d</w:t>
      </w:r>
      <w:r w:rsidR="14F0F962" w:rsidRPr="00B87CC5">
        <w:rPr>
          <w:lang w:eastAsia="en-US"/>
        </w:rPr>
        <w:t xml:space="preserve">iscussion </w:t>
      </w:r>
      <w:r w:rsidR="00A726E9" w:rsidRPr="00B87CC5">
        <w:rPr>
          <w:lang w:eastAsia="en-US"/>
        </w:rPr>
        <w:t>d</w:t>
      </w:r>
      <w:r w:rsidR="14F0F962" w:rsidRPr="00B87CC5">
        <w:rPr>
          <w:lang w:eastAsia="en-US"/>
        </w:rPr>
        <w:t>ocument)</w:t>
      </w:r>
      <w:r w:rsidR="004A0BE6" w:rsidRPr="00B87CC5">
        <w:rPr>
          <w:lang w:eastAsia="en-US"/>
        </w:rPr>
        <w:t xml:space="preserve">, leaving a gap </w:t>
      </w:r>
      <w:r w:rsidR="00D81084" w:rsidRPr="00B87CC5">
        <w:rPr>
          <w:lang w:eastAsia="en-US"/>
        </w:rPr>
        <w:t>of 97 Mt</w:t>
      </w:r>
      <w:r w:rsidR="00A726E9" w:rsidRPr="00B87CC5">
        <w:rPr>
          <w:lang w:eastAsia="en-US"/>
        </w:rPr>
        <w:t xml:space="preserve"> CO</w:t>
      </w:r>
      <w:r w:rsidR="00A726E9" w:rsidRPr="00B87CC5">
        <w:rPr>
          <w:vertAlign w:val="subscript"/>
          <w:lang w:eastAsia="en-US"/>
        </w:rPr>
        <w:t>2</w:t>
      </w:r>
      <w:r w:rsidR="00A726E9" w:rsidRPr="00B87CC5">
        <w:rPr>
          <w:lang w:eastAsia="en-US"/>
        </w:rPr>
        <w:t>-e</w:t>
      </w:r>
      <w:r w:rsidR="00D81084" w:rsidRPr="00B87CC5">
        <w:rPr>
          <w:lang w:eastAsia="en-US"/>
        </w:rPr>
        <w:t xml:space="preserve"> in a range from 76 to 119 Mt</w:t>
      </w:r>
      <w:r w:rsidR="00A726E9" w:rsidRPr="00B87CC5">
        <w:rPr>
          <w:lang w:eastAsia="en-US"/>
        </w:rPr>
        <w:t xml:space="preserve"> CO</w:t>
      </w:r>
      <w:r w:rsidR="00A726E9" w:rsidRPr="00B87CC5">
        <w:rPr>
          <w:vertAlign w:val="subscript"/>
          <w:lang w:eastAsia="en-US"/>
        </w:rPr>
        <w:t>2</w:t>
      </w:r>
      <w:r w:rsidR="00A726E9" w:rsidRPr="00B87CC5">
        <w:rPr>
          <w:lang w:eastAsia="en-US"/>
        </w:rPr>
        <w:t>-e</w:t>
      </w:r>
      <w:r w:rsidR="00057ED0" w:rsidRPr="00B87CC5">
        <w:rPr>
          <w:lang w:eastAsia="en-US"/>
        </w:rPr>
        <w:t>.</w:t>
      </w:r>
      <w:r w:rsidR="00057ED0" w:rsidRPr="00B87CC5">
        <w:t xml:space="preserve"> </w:t>
      </w:r>
      <w:r w:rsidR="00566438" w:rsidRPr="00B87CC5">
        <w:t xml:space="preserve">Assuming we just meet </w:t>
      </w:r>
      <w:r w:rsidR="00A726E9" w:rsidRPr="00B87CC5">
        <w:t>the first and second emissions budgets</w:t>
      </w:r>
      <w:r w:rsidR="00566438" w:rsidRPr="00B87CC5">
        <w:t xml:space="preserve">, the gap would be </w:t>
      </w:r>
      <w:r w:rsidR="00B71C41" w:rsidRPr="00B87CC5">
        <w:t>101 Mt</w:t>
      </w:r>
      <w:r w:rsidR="00A726E9" w:rsidRPr="00B87CC5">
        <w:rPr>
          <w:lang w:eastAsia="en-US"/>
        </w:rPr>
        <w:t xml:space="preserve"> CO</w:t>
      </w:r>
      <w:r w:rsidR="00A726E9" w:rsidRPr="00B87CC5">
        <w:rPr>
          <w:vertAlign w:val="subscript"/>
          <w:lang w:eastAsia="en-US"/>
        </w:rPr>
        <w:t>2</w:t>
      </w:r>
      <w:r w:rsidR="00A726E9" w:rsidRPr="00B87CC5">
        <w:rPr>
          <w:lang w:eastAsia="en-US"/>
        </w:rPr>
        <w:t>-e</w:t>
      </w:r>
      <w:r w:rsidR="00B71C41" w:rsidRPr="00B87CC5">
        <w:t>.</w:t>
      </w:r>
    </w:p>
    <w:p w14:paraId="7BE5874B" w14:textId="23ABD040" w:rsidR="00FB2152" w:rsidRPr="00B87CC5" w:rsidRDefault="006067AA" w:rsidP="000761BD">
      <w:pPr>
        <w:pStyle w:val="Heading2"/>
        <w:rPr>
          <w:lang w:eastAsia="en-US"/>
        </w:rPr>
      </w:pPr>
      <w:bookmarkStart w:id="30" w:name="_Toc171609747"/>
      <w:r w:rsidRPr="00B87CC5">
        <w:rPr>
          <w:lang w:eastAsia="en-US"/>
        </w:rPr>
        <w:lastRenderedPageBreak/>
        <w:t xml:space="preserve">Emission </w:t>
      </w:r>
      <w:r w:rsidR="00D5796B" w:rsidRPr="00B87CC5">
        <w:rPr>
          <w:lang w:eastAsia="en-US"/>
        </w:rPr>
        <w:t>t</w:t>
      </w:r>
      <w:r w:rsidRPr="00B87CC5">
        <w:rPr>
          <w:lang w:eastAsia="en-US"/>
        </w:rPr>
        <w:t>rends</w:t>
      </w:r>
      <w:r w:rsidR="006A3278" w:rsidRPr="00B87CC5">
        <w:rPr>
          <w:lang w:eastAsia="en-US"/>
        </w:rPr>
        <w:t xml:space="preserve"> </w:t>
      </w:r>
      <w:r w:rsidR="00556D72" w:rsidRPr="00B87CC5">
        <w:rPr>
          <w:lang w:eastAsia="en-US"/>
        </w:rPr>
        <w:t xml:space="preserve">and </w:t>
      </w:r>
      <w:r w:rsidR="00D5796B" w:rsidRPr="00B87CC5">
        <w:rPr>
          <w:lang w:eastAsia="en-US"/>
        </w:rPr>
        <w:t>s</w:t>
      </w:r>
      <w:r w:rsidR="00556D72" w:rsidRPr="00B87CC5">
        <w:rPr>
          <w:lang w:eastAsia="en-US"/>
        </w:rPr>
        <w:t xml:space="preserve">ectoral </w:t>
      </w:r>
      <w:r w:rsidR="00D5796B" w:rsidRPr="00B87CC5">
        <w:rPr>
          <w:lang w:eastAsia="en-US"/>
        </w:rPr>
        <w:t>r</w:t>
      </w:r>
      <w:r w:rsidR="00556D72" w:rsidRPr="00B87CC5">
        <w:rPr>
          <w:lang w:eastAsia="en-US"/>
        </w:rPr>
        <w:t>esults</w:t>
      </w:r>
      <w:bookmarkEnd w:id="30"/>
    </w:p>
    <w:p w14:paraId="1EC96F79" w14:textId="6E943B9E" w:rsidR="00D6405D" w:rsidRPr="00B87CC5" w:rsidRDefault="00D6405D" w:rsidP="00B22E9F">
      <w:pPr>
        <w:pStyle w:val="Heading3"/>
        <w:spacing w:before="240"/>
      </w:pPr>
      <w:r w:rsidRPr="00B87CC5">
        <w:t>Total</w:t>
      </w:r>
    </w:p>
    <w:p w14:paraId="5A2C5647" w14:textId="391E5E4B" w:rsidR="00F05E1D" w:rsidRPr="00B87CC5" w:rsidRDefault="00EB13F4" w:rsidP="00983811">
      <w:pPr>
        <w:pStyle w:val="BodyText"/>
      </w:pPr>
      <w:r w:rsidRPr="00B87CC5">
        <w:rPr>
          <w:lang w:eastAsia="en-US"/>
        </w:rPr>
        <w:t xml:space="preserve">Emissions in gross and net terms </w:t>
      </w:r>
      <w:r w:rsidR="00CE1AA6" w:rsidRPr="00B87CC5">
        <w:rPr>
          <w:lang w:eastAsia="en-US"/>
        </w:rPr>
        <w:t>are shown in</w:t>
      </w:r>
      <w:r w:rsidR="00A32798" w:rsidRPr="00B87CC5">
        <w:rPr>
          <w:lang w:eastAsia="en-US"/>
        </w:rPr>
        <w:t xml:space="preserve"> </w:t>
      </w:r>
      <w:r w:rsidR="00A726E9" w:rsidRPr="00B87CC5">
        <w:t>f</w:t>
      </w:r>
      <w:r w:rsidR="001B6E3F" w:rsidRPr="00B87CC5">
        <w:t>igure 6</w:t>
      </w:r>
      <w:r w:rsidR="00CE1AA6" w:rsidRPr="00B87CC5">
        <w:rPr>
          <w:lang w:eastAsia="en-US"/>
        </w:rPr>
        <w:t xml:space="preserve">. </w:t>
      </w:r>
      <w:r w:rsidR="009B2921" w:rsidRPr="00B87CC5">
        <w:rPr>
          <w:lang w:eastAsia="en-US"/>
        </w:rPr>
        <w:t xml:space="preserve"> </w:t>
      </w:r>
      <w:r w:rsidR="006E7EC1" w:rsidRPr="00B87CC5">
        <w:t xml:space="preserve">Emissions rose </w:t>
      </w:r>
      <w:r w:rsidR="00C21C8B" w:rsidRPr="00B87CC5">
        <w:t>until</w:t>
      </w:r>
      <w:r w:rsidR="006E7EC1" w:rsidRPr="00B87CC5">
        <w:t xml:space="preserve"> approximately 2005 and have been relatively static since then. </w:t>
      </w:r>
      <w:r w:rsidR="00F72834" w:rsidRPr="00B87CC5">
        <w:t xml:space="preserve">Gross </w:t>
      </w:r>
      <w:r w:rsidR="006E7EC1" w:rsidRPr="00B87CC5">
        <w:t xml:space="preserve">emissions </w:t>
      </w:r>
      <w:r w:rsidR="00F72834" w:rsidRPr="00B87CC5">
        <w:t xml:space="preserve">are projected </w:t>
      </w:r>
      <w:r w:rsidR="006E7EC1" w:rsidRPr="00B87CC5">
        <w:t>to fall in the future</w:t>
      </w:r>
      <w:r w:rsidR="00F72834" w:rsidRPr="00B87CC5">
        <w:t xml:space="preserve">; </w:t>
      </w:r>
      <w:r w:rsidR="00416165" w:rsidRPr="00B87CC5">
        <w:t xml:space="preserve">figure 7 shows </w:t>
      </w:r>
      <w:r w:rsidR="00F72834" w:rsidRPr="00B87CC5">
        <w:t xml:space="preserve">the contributions </w:t>
      </w:r>
      <w:r w:rsidR="00416165" w:rsidRPr="00B87CC5">
        <w:t xml:space="preserve">each sector makes </w:t>
      </w:r>
      <w:r w:rsidR="00F72834" w:rsidRPr="00B87CC5">
        <w:t xml:space="preserve">to these reductions. Net emissions are shown using target accounting; they are projected to fall further because of the </w:t>
      </w:r>
      <w:r w:rsidR="00993371" w:rsidRPr="00B87CC5">
        <w:t>forecast</w:t>
      </w:r>
      <w:r w:rsidR="00F72834" w:rsidRPr="00B87CC5">
        <w:t xml:space="preserve"> removals</w:t>
      </w:r>
      <w:r w:rsidR="00FA6DE5" w:rsidRPr="00B87CC5">
        <w:t xml:space="preserve"> from forestry</w:t>
      </w:r>
      <w:r w:rsidR="00993371" w:rsidRPr="00B87CC5">
        <w:t>.</w:t>
      </w:r>
    </w:p>
    <w:p w14:paraId="2FCDB425" w14:textId="066A8BB5" w:rsidR="00354E52" w:rsidRDefault="00354E52" w:rsidP="00C64711">
      <w:pPr>
        <w:pStyle w:val="Figureheading"/>
        <w:spacing w:after="80"/>
      </w:pPr>
      <w:bookmarkStart w:id="31" w:name="_Ref170313034"/>
      <w:bookmarkStart w:id="32" w:name="_Toc171609781"/>
      <w:r w:rsidRPr="00B87CC5">
        <w:t xml:space="preserve">Figure </w:t>
      </w:r>
      <w:r w:rsidR="00385111">
        <w:fldChar w:fldCharType="begin"/>
      </w:r>
      <w:r w:rsidR="00385111">
        <w:instrText xml:space="preserve"> SEQ Figure \* ARABIC </w:instrText>
      </w:r>
      <w:r w:rsidR="00385111">
        <w:fldChar w:fldCharType="separate"/>
      </w:r>
      <w:r w:rsidR="001B6E3F" w:rsidRPr="00B87CC5">
        <w:t>6</w:t>
      </w:r>
      <w:r w:rsidR="00385111">
        <w:fldChar w:fldCharType="end"/>
      </w:r>
      <w:bookmarkEnd w:id="31"/>
      <w:r w:rsidR="005E1D91" w:rsidRPr="00B87CC5">
        <w:t>:</w:t>
      </w:r>
      <w:r w:rsidR="005E1D91" w:rsidRPr="00B87CC5">
        <w:tab/>
      </w:r>
      <w:r w:rsidRPr="00B87CC5">
        <w:t xml:space="preserve">Interim baseline projections </w:t>
      </w:r>
      <w:r w:rsidR="00A726E9" w:rsidRPr="00B87CC5">
        <w:t xml:space="preserve">– </w:t>
      </w:r>
      <w:r w:rsidRPr="00B87CC5">
        <w:t>gross and net emissions (using target accounting)</w:t>
      </w:r>
      <w:r w:rsidR="00A726E9" w:rsidRPr="00B87CC5">
        <w:t>,</w:t>
      </w:r>
      <w:r w:rsidR="00B22E9F" w:rsidRPr="00B87CC5">
        <w:br/>
      </w:r>
      <w:r w:rsidR="00A726E9" w:rsidRPr="00B87CC5">
        <w:t>1990–2050</w:t>
      </w:r>
      <w:bookmarkEnd w:id="32"/>
    </w:p>
    <w:p w14:paraId="3CF0E2FC" w14:textId="04832EE3" w:rsidR="00EE34E4" w:rsidRPr="00EE34E4" w:rsidRDefault="00EE34E4" w:rsidP="00EE34E4">
      <w:pPr>
        <w:pStyle w:val="BodyText"/>
        <w:spacing w:after="60"/>
      </w:pPr>
      <w:r>
        <w:rPr>
          <w:noProof/>
        </w:rPr>
        <w:drawing>
          <wp:inline distT="0" distB="0" distL="0" distR="0" wp14:anchorId="4D60A74B" wp14:editId="7B4D4899">
            <wp:extent cx="5399289" cy="3741960"/>
            <wp:effectExtent l="0" t="0" r="0" b="0"/>
            <wp:docPr id="243465382" name="Picture 59" descr="A line graph showing gross emissions and target accounting net emissions from 1990 to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65382" name="Picture 59" descr="A line graph showing gross emissions and target accounting net emissions from 1990 to 2050."/>
                    <pic:cNvPicPr>
                      <a:picLocks noChangeAspect="1" noChangeArrowheads="1"/>
                    </pic:cNvPicPr>
                  </pic:nvPicPr>
                  <pic:blipFill rotWithShape="1">
                    <a:blip r:embed="rId28">
                      <a:extLst>
                        <a:ext uri="{28A0092B-C50C-407E-A947-70E740481C1C}">
                          <a14:useLocalDpi xmlns:a14="http://schemas.microsoft.com/office/drawing/2010/main" val="0"/>
                        </a:ext>
                      </a:extLst>
                    </a:blip>
                    <a:srcRect l="6144" t="3142" r="2571"/>
                    <a:stretch/>
                  </pic:blipFill>
                  <pic:spPr bwMode="auto">
                    <a:xfrm>
                      <a:off x="0" y="0"/>
                      <a:ext cx="5400000" cy="3742453"/>
                    </a:xfrm>
                    <a:prstGeom prst="rect">
                      <a:avLst/>
                    </a:prstGeom>
                    <a:noFill/>
                    <a:ln>
                      <a:noFill/>
                    </a:ln>
                    <a:extLst>
                      <a:ext uri="{53640926-AAD7-44D8-BBD7-CCE9431645EC}">
                        <a14:shadowObscured xmlns:a14="http://schemas.microsoft.com/office/drawing/2010/main"/>
                      </a:ext>
                    </a:extLst>
                  </pic:spPr>
                </pic:pic>
              </a:graphicData>
            </a:graphic>
          </wp:inline>
        </w:drawing>
      </w:r>
    </w:p>
    <w:p w14:paraId="3802E9EF" w14:textId="34176DEA" w:rsidR="00D81084" w:rsidRPr="00B87CC5" w:rsidRDefault="00D81084" w:rsidP="00C64711">
      <w:pPr>
        <w:pStyle w:val="Note"/>
        <w:spacing w:before="60"/>
        <w:rPr>
          <w:lang w:eastAsia="en-US"/>
        </w:rPr>
      </w:pPr>
      <w:r w:rsidRPr="00B87CC5">
        <w:rPr>
          <w:lang w:eastAsia="en-US"/>
        </w:rPr>
        <w:t xml:space="preserve">Note: </w:t>
      </w:r>
      <w:r w:rsidR="00A726E9" w:rsidRPr="00B87CC5">
        <w:rPr>
          <w:lang w:eastAsia="en-US"/>
        </w:rPr>
        <w:t>S</w:t>
      </w:r>
      <w:r w:rsidRPr="00B87CC5">
        <w:rPr>
          <w:lang w:eastAsia="en-US"/>
        </w:rPr>
        <w:t>olid lines = historical data; dashed lines = projections</w:t>
      </w:r>
      <w:r w:rsidR="00A726E9" w:rsidRPr="00B87CC5">
        <w:rPr>
          <w:lang w:eastAsia="en-US"/>
        </w:rPr>
        <w:t>.</w:t>
      </w:r>
    </w:p>
    <w:p w14:paraId="03D2ABA8" w14:textId="063DF9E8" w:rsidR="00983811" w:rsidRPr="00B87CC5" w:rsidRDefault="009F3512" w:rsidP="00983811">
      <w:pPr>
        <w:pStyle w:val="BodyText"/>
        <w:rPr>
          <w:lang w:eastAsia="en-US"/>
        </w:rPr>
      </w:pPr>
      <w:r w:rsidRPr="00B87CC5">
        <w:t>Figure 7</w:t>
      </w:r>
      <w:r w:rsidR="00A32798" w:rsidRPr="00B87CC5">
        <w:rPr>
          <w:lang w:eastAsia="en-US"/>
        </w:rPr>
        <w:t xml:space="preserve"> </w:t>
      </w:r>
      <w:r w:rsidR="00C47969" w:rsidRPr="00B87CC5">
        <w:rPr>
          <w:lang w:eastAsia="en-US"/>
        </w:rPr>
        <w:t xml:space="preserve">shows the </w:t>
      </w:r>
      <w:r w:rsidR="009B2921" w:rsidRPr="00B87CC5">
        <w:rPr>
          <w:lang w:eastAsia="en-US"/>
        </w:rPr>
        <w:t xml:space="preserve">historical </w:t>
      </w:r>
      <w:r w:rsidR="00993371" w:rsidRPr="00B87CC5">
        <w:rPr>
          <w:lang w:eastAsia="en-US"/>
        </w:rPr>
        <w:t>changes to gross emissions by sector</w:t>
      </w:r>
      <w:r w:rsidR="009B2921" w:rsidRPr="00B87CC5">
        <w:rPr>
          <w:lang w:eastAsia="en-US"/>
        </w:rPr>
        <w:t xml:space="preserve"> and projections to 2050</w:t>
      </w:r>
      <w:r w:rsidR="00D80A24" w:rsidRPr="00B87CC5">
        <w:rPr>
          <w:lang w:eastAsia="en-US"/>
        </w:rPr>
        <w:t>. A</w:t>
      </w:r>
      <w:r w:rsidR="0064551F" w:rsidRPr="00B87CC5">
        <w:rPr>
          <w:lang w:eastAsia="en-US"/>
        </w:rPr>
        <w:t>gricultur</w:t>
      </w:r>
      <w:r w:rsidR="005B6408" w:rsidRPr="00B87CC5">
        <w:rPr>
          <w:lang w:eastAsia="en-US"/>
        </w:rPr>
        <w:t>e</w:t>
      </w:r>
      <w:r w:rsidR="0064551F" w:rsidRPr="00B87CC5">
        <w:rPr>
          <w:lang w:eastAsia="en-US"/>
        </w:rPr>
        <w:t xml:space="preserve"> emission</w:t>
      </w:r>
      <w:r w:rsidR="00A5464C" w:rsidRPr="00B87CC5">
        <w:rPr>
          <w:lang w:eastAsia="en-US"/>
        </w:rPr>
        <w:t>s quantities</w:t>
      </w:r>
      <w:r w:rsidR="00B95A12" w:rsidRPr="00B87CC5">
        <w:rPr>
          <w:lang w:eastAsia="en-US"/>
        </w:rPr>
        <w:t xml:space="preserve"> </w:t>
      </w:r>
      <w:r w:rsidR="0064551F" w:rsidRPr="00B87CC5">
        <w:rPr>
          <w:lang w:eastAsia="en-US"/>
        </w:rPr>
        <w:t xml:space="preserve">are </w:t>
      </w:r>
      <w:r w:rsidR="00B95A12" w:rsidRPr="00B87CC5">
        <w:rPr>
          <w:lang w:eastAsia="en-US"/>
        </w:rPr>
        <w:t xml:space="preserve">shown </w:t>
      </w:r>
      <w:r w:rsidR="00A5464C" w:rsidRPr="00B87CC5">
        <w:rPr>
          <w:lang w:eastAsia="en-US"/>
        </w:rPr>
        <w:t xml:space="preserve">along </w:t>
      </w:r>
      <w:r w:rsidR="00B95A12" w:rsidRPr="00B87CC5">
        <w:rPr>
          <w:lang w:eastAsia="en-US"/>
        </w:rPr>
        <w:t>the right</w:t>
      </w:r>
      <w:r w:rsidR="001C747A" w:rsidRPr="00B87CC5">
        <w:rPr>
          <w:lang w:eastAsia="en-US"/>
        </w:rPr>
        <w:t>-</w:t>
      </w:r>
      <w:r w:rsidR="00B95A12" w:rsidRPr="00B87CC5">
        <w:rPr>
          <w:lang w:eastAsia="en-US"/>
        </w:rPr>
        <w:t xml:space="preserve">hand axis, whereas </w:t>
      </w:r>
      <w:r w:rsidR="00A5464C" w:rsidRPr="00B87CC5">
        <w:rPr>
          <w:lang w:eastAsia="en-US"/>
        </w:rPr>
        <w:t>the quantities of</w:t>
      </w:r>
      <w:r w:rsidR="001C0561" w:rsidRPr="00B87CC5">
        <w:rPr>
          <w:lang w:eastAsia="en-US"/>
        </w:rPr>
        <w:t> </w:t>
      </w:r>
      <w:r w:rsidR="00B95A12" w:rsidRPr="00B87CC5">
        <w:rPr>
          <w:lang w:eastAsia="en-US"/>
        </w:rPr>
        <w:t xml:space="preserve">emissions for all other sectors </w:t>
      </w:r>
      <w:r w:rsidR="00A5464C" w:rsidRPr="00B87CC5">
        <w:rPr>
          <w:lang w:eastAsia="en-US"/>
        </w:rPr>
        <w:t xml:space="preserve">are shown on </w:t>
      </w:r>
      <w:r w:rsidR="00B95A12" w:rsidRPr="00B87CC5">
        <w:rPr>
          <w:lang w:eastAsia="en-US"/>
        </w:rPr>
        <w:t>the left</w:t>
      </w:r>
      <w:r w:rsidR="0021480C" w:rsidRPr="00B87CC5">
        <w:rPr>
          <w:lang w:eastAsia="en-US"/>
        </w:rPr>
        <w:t>-</w:t>
      </w:r>
      <w:r w:rsidR="00B95A12" w:rsidRPr="00B87CC5">
        <w:rPr>
          <w:lang w:eastAsia="en-US"/>
        </w:rPr>
        <w:t>hand axis</w:t>
      </w:r>
      <w:r w:rsidR="00993371" w:rsidRPr="00B87CC5">
        <w:rPr>
          <w:lang w:eastAsia="en-US"/>
        </w:rPr>
        <w:t xml:space="preserve">. </w:t>
      </w:r>
    </w:p>
    <w:p w14:paraId="72E9ECCB" w14:textId="10410C7E" w:rsidR="00354E52" w:rsidRDefault="00354E52" w:rsidP="00354E52">
      <w:pPr>
        <w:pStyle w:val="Figureheading"/>
      </w:pPr>
      <w:bookmarkStart w:id="33" w:name="_Ref170313051"/>
      <w:bookmarkStart w:id="34" w:name="_Toc171609782"/>
      <w:r w:rsidRPr="00B87CC5">
        <w:lastRenderedPageBreak/>
        <w:t xml:space="preserve">Figure </w:t>
      </w:r>
      <w:r w:rsidR="00385111">
        <w:fldChar w:fldCharType="begin"/>
      </w:r>
      <w:r w:rsidR="00385111">
        <w:instrText xml:space="preserve"> SEQ Figure \* ARABIC </w:instrText>
      </w:r>
      <w:r w:rsidR="00385111">
        <w:fldChar w:fldCharType="separate"/>
      </w:r>
      <w:r w:rsidR="001B6E3F" w:rsidRPr="00B87CC5">
        <w:t>7</w:t>
      </w:r>
      <w:r w:rsidR="00385111">
        <w:fldChar w:fldCharType="end"/>
      </w:r>
      <w:bookmarkEnd w:id="33"/>
      <w:r w:rsidR="005E1D91" w:rsidRPr="00B87CC5">
        <w:t>:</w:t>
      </w:r>
      <w:r w:rsidR="005E1D91" w:rsidRPr="00B87CC5">
        <w:tab/>
      </w:r>
      <w:r w:rsidRPr="00B87CC5">
        <w:t xml:space="preserve">Interim </w:t>
      </w:r>
      <w:r w:rsidR="00416165" w:rsidRPr="00B87CC5">
        <w:t>b</w:t>
      </w:r>
      <w:r w:rsidRPr="00B87CC5">
        <w:t xml:space="preserve">aseline </w:t>
      </w:r>
      <w:r w:rsidR="00416165" w:rsidRPr="00B87CC5">
        <w:t>e</w:t>
      </w:r>
      <w:r w:rsidRPr="00B87CC5">
        <w:t xml:space="preserve">missions by </w:t>
      </w:r>
      <w:r w:rsidR="00416165" w:rsidRPr="00B87CC5">
        <w:t>s</w:t>
      </w:r>
      <w:r w:rsidRPr="00B87CC5">
        <w:t>ector</w:t>
      </w:r>
      <w:r w:rsidR="00416165" w:rsidRPr="00B87CC5">
        <w:t>, 1990–2050</w:t>
      </w:r>
      <w:bookmarkEnd w:id="34"/>
    </w:p>
    <w:p w14:paraId="63093101" w14:textId="0A0E3F45" w:rsidR="00A706EC" w:rsidRPr="00A706EC" w:rsidRDefault="00A706EC" w:rsidP="00A706EC">
      <w:pPr>
        <w:pStyle w:val="BodyText"/>
      </w:pPr>
      <w:r>
        <w:rPr>
          <w:noProof/>
        </w:rPr>
        <w:drawing>
          <wp:inline distT="0" distB="0" distL="0" distR="0" wp14:anchorId="7C67D98D" wp14:editId="5E27BE4D">
            <wp:extent cx="5183947" cy="3502324"/>
            <wp:effectExtent l="0" t="0" r="0" b="3175"/>
            <wp:docPr id="816271393" name="Picture 58" descr="A line graph showing emissions by sector for agriculture, transport energy, non-transport energy, industrial processes and product use, an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71393" name="Picture 58" descr="A line graph showing emissions by sector for agriculture, transport energy, non-transport energy, industrial processes and product use, and waste."/>
                    <pic:cNvPicPr>
                      <a:picLocks noChangeAspect="1" noChangeArrowheads="1"/>
                    </pic:cNvPicPr>
                  </pic:nvPicPr>
                  <pic:blipFill rotWithShape="1">
                    <a:blip r:embed="rId29">
                      <a:extLst>
                        <a:ext uri="{96DAC541-7B7A-43D3-8B79-37D633B846F1}">
                          <asvg:svgBlip xmlns:asvg="http://schemas.microsoft.com/office/drawing/2016/SVG/main" r:embed="rId30"/>
                        </a:ext>
                      </a:extLst>
                    </a:blip>
                    <a:srcRect l="1773" t="542" r="6859" b="4624"/>
                    <a:stretch/>
                  </pic:blipFill>
                  <pic:spPr bwMode="auto">
                    <a:xfrm>
                      <a:off x="0" y="0"/>
                      <a:ext cx="5196343" cy="3510699"/>
                    </a:xfrm>
                    <a:prstGeom prst="rect">
                      <a:avLst/>
                    </a:prstGeom>
                    <a:ln>
                      <a:noFill/>
                    </a:ln>
                    <a:extLst>
                      <a:ext uri="{53640926-AAD7-44D8-BBD7-CCE9431645EC}">
                        <a14:shadowObscured xmlns:a14="http://schemas.microsoft.com/office/drawing/2010/main"/>
                      </a:ext>
                    </a:extLst>
                  </pic:spPr>
                </pic:pic>
              </a:graphicData>
            </a:graphic>
          </wp:inline>
        </w:drawing>
      </w:r>
    </w:p>
    <w:p w14:paraId="3688C792" w14:textId="3C25BAC7" w:rsidR="00A56A9B" w:rsidRPr="00B87CC5" w:rsidRDefault="00A56A9B" w:rsidP="001C0561">
      <w:pPr>
        <w:pStyle w:val="Note"/>
        <w:spacing w:before="80"/>
        <w:rPr>
          <w:lang w:eastAsia="en-US"/>
        </w:rPr>
      </w:pPr>
      <w:r w:rsidRPr="00B87CC5">
        <w:rPr>
          <w:lang w:eastAsia="en-US"/>
        </w:rPr>
        <w:t xml:space="preserve">Note: </w:t>
      </w:r>
      <w:r w:rsidR="005B6408" w:rsidRPr="00B87CC5">
        <w:rPr>
          <w:lang w:eastAsia="en-US"/>
        </w:rPr>
        <w:t>S</w:t>
      </w:r>
      <w:r w:rsidRPr="00B87CC5">
        <w:rPr>
          <w:lang w:eastAsia="en-US"/>
        </w:rPr>
        <w:t>olid lines = historical data; dashed lines = projections</w:t>
      </w:r>
      <w:r w:rsidR="005B6408" w:rsidRPr="00B87CC5">
        <w:rPr>
          <w:lang w:eastAsia="en-US"/>
        </w:rPr>
        <w:t>. IPPU = industrial processes and product use.</w:t>
      </w:r>
    </w:p>
    <w:p w14:paraId="3D1B11FF" w14:textId="448E7B89" w:rsidR="005B4F03" w:rsidRPr="00B87CC5" w:rsidRDefault="001C747A" w:rsidP="008C4E68">
      <w:pPr>
        <w:pStyle w:val="BodyText"/>
        <w:rPr>
          <w:lang w:eastAsia="en-US"/>
        </w:rPr>
      </w:pPr>
      <w:r w:rsidRPr="00B87CC5">
        <w:rPr>
          <w:lang w:eastAsia="en-US"/>
        </w:rPr>
        <w:t xml:space="preserve">The largest </w:t>
      </w:r>
      <w:r w:rsidR="00A5464C" w:rsidRPr="00B87CC5">
        <w:rPr>
          <w:lang w:eastAsia="en-US"/>
        </w:rPr>
        <w:t xml:space="preserve">rises in </w:t>
      </w:r>
      <w:r w:rsidRPr="00B87CC5">
        <w:rPr>
          <w:lang w:eastAsia="en-US"/>
        </w:rPr>
        <w:t>emission</w:t>
      </w:r>
      <w:r w:rsidR="00A5464C" w:rsidRPr="00B87CC5">
        <w:rPr>
          <w:lang w:eastAsia="en-US"/>
        </w:rPr>
        <w:t>s</w:t>
      </w:r>
      <w:r w:rsidRPr="00B87CC5">
        <w:rPr>
          <w:lang w:eastAsia="en-US"/>
        </w:rPr>
        <w:t xml:space="preserve"> to 2005 were for transport</w:t>
      </w:r>
      <w:r w:rsidR="001402EC" w:rsidRPr="00B87CC5">
        <w:rPr>
          <w:lang w:eastAsia="en-US"/>
        </w:rPr>
        <w:t xml:space="preserve"> energy</w:t>
      </w:r>
      <w:r w:rsidRPr="00B87CC5">
        <w:rPr>
          <w:lang w:eastAsia="en-US"/>
        </w:rPr>
        <w:t xml:space="preserve"> (6</w:t>
      </w:r>
      <w:r w:rsidR="003C360F" w:rsidRPr="00B87CC5">
        <w:rPr>
          <w:lang w:eastAsia="en-US"/>
        </w:rPr>
        <w:t>1</w:t>
      </w:r>
      <w:r w:rsidR="005B6408" w:rsidRPr="00B87CC5">
        <w:rPr>
          <w:lang w:eastAsia="en-US"/>
        </w:rPr>
        <w:t xml:space="preserve"> per cent</w:t>
      </w:r>
      <w:r w:rsidRPr="00B87CC5">
        <w:rPr>
          <w:lang w:eastAsia="en-US"/>
        </w:rPr>
        <w:t>) and non-transport energy (</w:t>
      </w:r>
      <w:r w:rsidR="003C360F" w:rsidRPr="00B87CC5">
        <w:rPr>
          <w:lang w:eastAsia="en-US"/>
        </w:rPr>
        <w:t>3</w:t>
      </w:r>
      <w:r w:rsidRPr="00B87CC5">
        <w:rPr>
          <w:lang w:eastAsia="en-US"/>
        </w:rPr>
        <w:t>6</w:t>
      </w:r>
      <w:r w:rsidR="005B6408" w:rsidRPr="00B87CC5">
        <w:rPr>
          <w:lang w:eastAsia="en-US"/>
        </w:rPr>
        <w:t xml:space="preserve"> per cent</w:t>
      </w:r>
      <w:r w:rsidRPr="00B87CC5">
        <w:rPr>
          <w:lang w:eastAsia="en-US"/>
        </w:rPr>
        <w:t>), with smaller rises in agriculture</w:t>
      </w:r>
      <w:r w:rsidR="003C360F" w:rsidRPr="00B87CC5">
        <w:rPr>
          <w:lang w:eastAsia="en-US"/>
        </w:rPr>
        <w:t xml:space="preserve"> (</w:t>
      </w:r>
      <w:r w:rsidR="00816239" w:rsidRPr="00B87CC5">
        <w:rPr>
          <w:lang w:eastAsia="en-US"/>
        </w:rPr>
        <w:t>16</w:t>
      </w:r>
      <w:r w:rsidR="00951FFC" w:rsidRPr="00B87CC5">
        <w:rPr>
          <w:lang w:eastAsia="en-US"/>
        </w:rPr>
        <w:t xml:space="preserve"> per cent</w:t>
      </w:r>
      <w:r w:rsidR="00816239" w:rsidRPr="00B87CC5">
        <w:rPr>
          <w:lang w:eastAsia="en-US"/>
        </w:rPr>
        <w:t>)</w:t>
      </w:r>
      <w:r w:rsidRPr="00B87CC5">
        <w:rPr>
          <w:lang w:eastAsia="en-US"/>
        </w:rPr>
        <w:t xml:space="preserve">, </w:t>
      </w:r>
      <w:r w:rsidR="005B6408" w:rsidRPr="00B87CC5">
        <w:rPr>
          <w:lang w:eastAsia="en-US"/>
        </w:rPr>
        <w:t>industrial processes and product use (</w:t>
      </w:r>
      <w:r w:rsidRPr="00B87CC5">
        <w:rPr>
          <w:lang w:eastAsia="en-US"/>
        </w:rPr>
        <w:t>IPPU</w:t>
      </w:r>
      <w:r w:rsidR="005B6408" w:rsidRPr="00B87CC5">
        <w:rPr>
          <w:lang w:eastAsia="en-US"/>
        </w:rPr>
        <w:t>)</w:t>
      </w:r>
      <w:r w:rsidRPr="00B87CC5">
        <w:rPr>
          <w:lang w:eastAsia="en-US"/>
        </w:rPr>
        <w:t xml:space="preserve"> </w:t>
      </w:r>
      <w:r w:rsidR="00816239" w:rsidRPr="00B87CC5">
        <w:rPr>
          <w:lang w:eastAsia="en-US"/>
        </w:rPr>
        <w:t>(15</w:t>
      </w:r>
      <w:r w:rsidR="005B6408" w:rsidRPr="00B87CC5">
        <w:rPr>
          <w:lang w:eastAsia="en-US"/>
        </w:rPr>
        <w:t xml:space="preserve"> per cent</w:t>
      </w:r>
      <w:r w:rsidR="00816239" w:rsidRPr="00B87CC5">
        <w:rPr>
          <w:lang w:eastAsia="en-US"/>
        </w:rPr>
        <w:t xml:space="preserve">) </w:t>
      </w:r>
      <w:r w:rsidRPr="00B87CC5">
        <w:rPr>
          <w:lang w:eastAsia="en-US"/>
        </w:rPr>
        <w:t>and waste</w:t>
      </w:r>
      <w:r w:rsidR="00816239" w:rsidRPr="00B87CC5">
        <w:rPr>
          <w:lang w:eastAsia="en-US"/>
        </w:rPr>
        <w:t xml:space="preserve"> (11</w:t>
      </w:r>
      <w:r w:rsidR="005B6408" w:rsidRPr="00B87CC5">
        <w:rPr>
          <w:lang w:eastAsia="en-US"/>
        </w:rPr>
        <w:t xml:space="preserve"> per cent</w:t>
      </w:r>
      <w:r w:rsidR="00816239" w:rsidRPr="00B87CC5">
        <w:rPr>
          <w:lang w:eastAsia="en-US"/>
        </w:rPr>
        <w:t>)</w:t>
      </w:r>
      <w:r w:rsidRPr="00B87CC5">
        <w:rPr>
          <w:lang w:eastAsia="en-US"/>
        </w:rPr>
        <w:t>. Since 2005</w:t>
      </w:r>
      <w:r w:rsidR="001402EC" w:rsidRPr="00B87CC5">
        <w:rPr>
          <w:lang w:eastAsia="en-US"/>
        </w:rPr>
        <w:t>,</w:t>
      </w:r>
      <w:r w:rsidRPr="00B87CC5">
        <w:rPr>
          <w:lang w:eastAsia="en-US"/>
        </w:rPr>
        <w:t xml:space="preserve"> emissions have fallen for non-transport energy</w:t>
      </w:r>
      <w:r w:rsidR="00ED15F7" w:rsidRPr="00B87CC5">
        <w:rPr>
          <w:lang w:eastAsia="en-US"/>
        </w:rPr>
        <w:t xml:space="preserve"> </w:t>
      </w:r>
      <w:r w:rsidRPr="00B87CC5">
        <w:rPr>
          <w:lang w:eastAsia="en-US"/>
        </w:rPr>
        <w:t>and waste</w:t>
      </w:r>
      <w:r w:rsidR="00800758" w:rsidRPr="00B87CC5">
        <w:rPr>
          <w:lang w:eastAsia="en-US"/>
        </w:rPr>
        <w:t xml:space="preserve">, </w:t>
      </w:r>
      <w:r w:rsidR="001402EC" w:rsidRPr="00B87CC5">
        <w:rPr>
          <w:lang w:eastAsia="en-US"/>
        </w:rPr>
        <w:t xml:space="preserve">have risen </w:t>
      </w:r>
      <w:r w:rsidR="00F8658E" w:rsidRPr="00B87CC5">
        <w:rPr>
          <w:lang w:eastAsia="en-US"/>
        </w:rPr>
        <w:t xml:space="preserve">for transport </w:t>
      </w:r>
      <w:r w:rsidR="001402EC" w:rsidRPr="00B87CC5">
        <w:rPr>
          <w:lang w:eastAsia="en-US"/>
        </w:rPr>
        <w:t xml:space="preserve">energy </w:t>
      </w:r>
      <w:r w:rsidR="00F8658E" w:rsidRPr="00B87CC5">
        <w:rPr>
          <w:lang w:eastAsia="en-US"/>
        </w:rPr>
        <w:t xml:space="preserve">and </w:t>
      </w:r>
      <w:r w:rsidR="001402EC" w:rsidRPr="00B87CC5">
        <w:rPr>
          <w:lang w:eastAsia="en-US"/>
        </w:rPr>
        <w:t xml:space="preserve">have been </w:t>
      </w:r>
      <w:r w:rsidR="00800758" w:rsidRPr="00B87CC5">
        <w:rPr>
          <w:lang w:eastAsia="en-US"/>
        </w:rPr>
        <w:t xml:space="preserve">reasonably </w:t>
      </w:r>
      <w:r w:rsidR="00AC163F" w:rsidRPr="00B87CC5">
        <w:rPr>
          <w:lang w:eastAsia="en-US"/>
        </w:rPr>
        <w:t>steady for agriculture</w:t>
      </w:r>
      <w:r w:rsidR="00CE1AF7" w:rsidRPr="00B87CC5">
        <w:rPr>
          <w:lang w:eastAsia="en-US"/>
        </w:rPr>
        <w:t xml:space="preserve">. Both transport and agriculture emissions </w:t>
      </w:r>
      <w:r w:rsidR="00883829" w:rsidRPr="00B87CC5">
        <w:rPr>
          <w:lang w:eastAsia="en-US"/>
        </w:rPr>
        <w:t>are expected to fall</w:t>
      </w:r>
      <w:r w:rsidR="00F71A02" w:rsidRPr="00B87CC5">
        <w:rPr>
          <w:lang w:eastAsia="en-US"/>
        </w:rPr>
        <w:t xml:space="preserve"> </w:t>
      </w:r>
      <w:r w:rsidR="004F130D" w:rsidRPr="00B87CC5">
        <w:rPr>
          <w:lang w:eastAsia="en-US"/>
        </w:rPr>
        <w:t xml:space="preserve">in the future. </w:t>
      </w:r>
      <w:r w:rsidRPr="00B87CC5">
        <w:rPr>
          <w:lang w:eastAsia="en-US"/>
        </w:rPr>
        <w:t xml:space="preserve">IPPU emissions </w:t>
      </w:r>
      <w:r w:rsidR="0080358D" w:rsidRPr="00B87CC5">
        <w:rPr>
          <w:lang w:eastAsia="en-US"/>
        </w:rPr>
        <w:t xml:space="preserve">peaked in approximately </w:t>
      </w:r>
      <w:r w:rsidR="00266684" w:rsidRPr="00B87CC5">
        <w:rPr>
          <w:lang w:eastAsia="en-US"/>
        </w:rPr>
        <w:t xml:space="preserve">2015 </w:t>
      </w:r>
      <w:r w:rsidR="00367A70" w:rsidRPr="00B87CC5">
        <w:rPr>
          <w:lang w:eastAsia="en-US"/>
        </w:rPr>
        <w:t xml:space="preserve">and </w:t>
      </w:r>
      <w:r w:rsidR="00A76168" w:rsidRPr="00B87CC5">
        <w:rPr>
          <w:lang w:eastAsia="en-US"/>
        </w:rPr>
        <w:t>have slowly fallen</w:t>
      </w:r>
      <w:r w:rsidR="00453C99" w:rsidRPr="00B87CC5">
        <w:rPr>
          <w:lang w:eastAsia="en-US"/>
        </w:rPr>
        <w:t xml:space="preserve"> since then</w:t>
      </w:r>
      <w:r w:rsidRPr="00B87CC5">
        <w:rPr>
          <w:lang w:eastAsia="en-US"/>
        </w:rPr>
        <w:t xml:space="preserve">. </w:t>
      </w:r>
    </w:p>
    <w:p w14:paraId="220E49BE" w14:textId="3F89F553" w:rsidR="001C747A" w:rsidRPr="00B87CC5" w:rsidRDefault="001B6E3F" w:rsidP="006329FB">
      <w:pPr>
        <w:pStyle w:val="BodyText"/>
        <w:rPr>
          <w:lang w:eastAsia="en-US"/>
        </w:rPr>
      </w:pPr>
      <w:r w:rsidRPr="00B87CC5">
        <w:t>Table 6</w:t>
      </w:r>
      <w:r w:rsidR="00BA5F38" w:rsidRPr="00B87CC5">
        <w:rPr>
          <w:lang w:eastAsia="en-US"/>
        </w:rPr>
        <w:t xml:space="preserve"> shows the changes in emissions relative to </w:t>
      </w:r>
      <w:r w:rsidR="00530AFF" w:rsidRPr="00B87CC5">
        <w:rPr>
          <w:lang w:eastAsia="en-US"/>
        </w:rPr>
        <w:t>average emissions in the five</w:t>
      </w:r>
      <w:r w:rsidR="007B579F" w:rsidRPr="00B87CC5">
        <w:rPr>
          <w:lang w:eastAsia="en-US"/>
        </w:rPr>
        <w:t>-</w:t>
      </w:r>
      <w:r w:rsidR="00530AFF" w:rsidRPr="00B87CC5">
        <w:rPr>
          <w:lang w:eastAsia="en-US"/>
        </w:rPr>
        <w:t>year period to</w:t>
      </w:r>
      <w:r w:rsidR="00294F8F" w:rsidRPr="00B87CC5">
        <w:rPr>
          <w:lang w:eastAsia="en-US"/>
        </w:rPr>
        <w:t> </w:t>
      </w:r>
      <w:r w:rsidR="00104856" w:rsidRPr="00B87CC5">
        <w:rPr>
          <w:lang w:eastAsia="en-US"/>
        </w:rPr>
        <w:t>2022</w:t>
      </w:r>
      <w:r w:rsidR="003F7028" w:rsidRPr="00B87CC5">
        <w:rPr>
          <w:lang w:eastAsia="en-US"/>
        </w:rPr>
        <w:t xml:space="preserve"> (</w:t>
      </w:r>
      <w:r w:rsidR="00FF70D8" w:rsidRPr="00B87CC5">
        <w:rPr>
          <w:lang w:eastAsia="en-US"/>
        </w:rPr>
        <w:t xml:space="preserve">for which we have </w:t>
      </w:r>
      <w:r w:rsidR="003F7028" w:rsidRPr="00B87CC5">
        <w:rPr>
          <w:lang w:eastAsia="en-US"/>
        </w:rPr>
        <w:t>actual emissions</w:t>
      </w:r>
      <w:r w:rsidR="00FF70D8" w:rsidRPr="00B87CC5">
        <w:rPr>
          <w:lang w:eastAsia="en-US"/>
        </w:rPr>
        <w:t xml:space="preserve"> data</w:t>
      </w:r>
      <w:r w:rsidR="003F7028" w:rsidRPr="00B87CC5">
        <w:rPr>
          <w:lang w:eastAsia="en-US"/>
        </w:rPr>
        <w:t>)</w:t>
      </w:r>
      <w:r w:rsidR="00530AFF" w:rsidRPr="00B87CC5">
        <w:rPr>
          <w:lang w:eastAsia="en-US"/>
        </w:rPr>
        <w:t>;</w:t>
      </w:r>
      <w:r w:rsidR="00EA18FB" w:rsidRPr="00B87CC5">
        <w:rPr>
          <w:rStyle w:val="FootnoteReference"/>
          <w:lang w:eastAsia="en-US"/>
        </w:rPr>
        <w:footnoteReference w:id="19"/>
      </w:r>
      <w:r w:rsidR="00530AFF" w:rsidRPr="00B87CC5">
        <w:rPr>
          <w:lang w:eastAsia="en-US"/>
        </w:rPr>
        <w:t xml:space="preserve"> a five</w:t>
      </w:r>
      <w:r w:rsidR="007B579F" w:rsidRPr="00B87CC5">
        <w:rPr>
          <w:lang w:eastAsia="en-US"/>
        </w:rPr>
        <w:t>-</w:t>
      </w:r>
      <w:r w:rsidR="00530AFF" w:rsidRPr="00B87CC5">
        <w:rPr>
          <w:lang w:eastAsia="en-US"/>
        </w:rPr>
        <w:t xml:space="preserve">year period is used </w:t>
      </w:r>
      <w:r w:rsidR="007B579F" w:rsidRPr="00B87CC5">
        <w:rPr>
          <w:lang w:eastAsia="en-US"/>
        </w:rPr>
        <w:t xml:space="preserve">for the baseline </w:t>
      </w:r>
      <w:r w:rsidR="00530AFF" w:rsidRPr="00B87CC5">
        <w:rPr>
          <w:lang w:eastAsia="en-US"/>
        </w:rPr>
        <w:t xml:space="preserve">to </w:t>
      </w:r>
      <w:r w:rsidR="00C57954" w:rsidRPr="00B87CC5">
        <w:rPr>
          <w:lang w:eastAsia="en-US"/>
        </w:rPr>
        <w:t>even out weather impacts</w:t>
      </w:r>
      <w:r w:rsidR="00C57954" w:rsidRPr="00B87CC5" w:rsidDel="00DB0D7C">
        <w:rPr>
          <w:lang w:eastAsia="en-US"/>
        </w:rPr>
        <w:t xml:space="preserve"> </w:t>
      </w:r>
      <w:r w:rsidR="00DB0D7C" w:rsidRPr="00B87CC5">
        <w:rPr>
          <w:lang w:eastAsia="en-US"/>
        </w:rPr>
        <w:t xml:space="preserve">on </w:t>
      </w:r>
      <w:r w:rsidR="00C57954" w:rsidRPr="00B87CC5">
        <w:rPr>
          <w:lang w:eastAsia="en-US"/>
        </w:rPr>
        <w:t>electricity generation emissions</w:t>
      </w:r>
      <w:r w:rsidR="007B579F" w:rsidRPr="00B87CC5">
        <w:rPr>
          <w:lang w:eastAsia="en-US"/>
        </w:rPr>
        <w:t>, while the projections reflect</w:t>
      </w:r>
      <w:r w:rsidR="00294F8F" w:rsidRPr="00B87CC5">
        <w:rPr>
          <w:lang w:eastAsia="en-US"/>
        </w:rPr>
        <w:t> </w:t>
      </w:r>
      <w:r w:rsidR="007B579F" w:rsidRPr="00B87CC5">
        <w:rPr>
          <w:lang w:eastAsia="en-US"/>
        </w:rPr>
        <w:t xml:space="preserve">average conditions. </w:t>
      </w:r>
      <w:r w:rsidR="001C747A" w:rsidRPr="00B87CC5">
        <w:rPr>
          <w:lang w:eastAsia="en-US"/>
        </w:rPr>
        <w:t>The projections show emi</w:t>
      </w:r>
      <w:r w:rsidR="00FF031A" w:rsidRPr="00B87CC5">
        <w:rPr>
          <w:lang w:eastAsia="en-US"/>
        </w:rPr>
        <w:t>s</w:t>
      </w:r>
      <w:r w:rsidR="001C747A" w:rsidRPr="00B87CC5">
        <w:rPr>
          <w:lang w:eastAsia="en-US"/>
        </w:rPr>
        <w:t>s</w:t>
      </w:r>
      <w:r w:rsidR="00FF031A" w:rsidRPr="00B87CC5">
        <w:rPr>
          <w:lang w:eastAsia="en-US"/>
        </w:rPr>
        <w:t>i</w:t>
      </w:r>
      <w:r w:rsidR="001C747A" w:rsidRPr="00B87CC5">
        <w:rPr>
          <w:lang w:eastAsia="en-US"/>
        </w:rPr>
        <w:t xml:space="preserve">ons </w:t>
      </w:r>
      <w:r w:rsidR="00FF031A" w:rsidRPr="00B87CC5">
        <w:rPr>
          <w:lang w:eastAsia="en-US"/>
        </w:rPr>
        <w:t>falling for all sectors</w:t>
      </w:r>
      <w:r w:rsidR="00A97EEA" w:rsidRPr="00B87CC5">
        <w:rPr>
          <w:lang w:eastAsia="en-US"/>
        </w:rPr>
        <w:t>. T</w:t>
      </w:r>
      <w:r w:rsidR="00002403" w:rsidRPr="00B87CC5">
        <w:rPr>
          <w:lang w:eastAsia="en-US"/>
        </w:rPr>
        <w:t xml:space="preserve">he largest contributions to </w:t>
      </w:r>
      <w:r w:rsidR="005A0BA2" w:rsidRPr="00B87CC5">
        <w:rPr>
          <w:lang w:eastAsia="en-US"/>
        </w:rPr>
        <w:t xml:space="preserve">the </w:t>
      </w:r>
      <w:r w:rsidR="005E7D3F" w:rsidRPr="00B87CC5">
        <w:rPr>
          <w:lang w:eastAsia="en-US"/>
        </w:rPr>
        <w:t>1</w:t>
      </w:r>
      <w:r w:rsidR="00A97D58" w:rsidRPr="00B87CC5">
        <w:rPr>
          <w:lang w:eastAsia="en-US"/>
        </w:rPr>
        <w:t>2</w:t>
      </w:r>
      <w:r w:rsidR="00A97EEA" w:rsidRPr="00B87CC5">
        <w:rPr>
          <w:lang w:eastAsia="en-US"/>
        </w:rPr>
        <w:t xml:space="preserve"> per cent</w:t>
      </w:r>
      <w:r w:rsidR="005E7D3F" w:rsidRPr="00B87CC5">
        <w:rPr>
          <w:lang w:eastAsia="en-US"/>
        </w:rPr>
        <w:t xml:space="preserve"> projected fall in emissions to 2030 </w:t>
      </w:r>
      <w:r w:rsidR="00A97EEA" w:rsidRPr="00B87CC5">
        <w:rPr>
          <w:lang w:eastAsia="en-US"/>
        </w:rPr>
        <w:t xml:space="preserve">come </w:t>
      </w:r>
      <w:r w:rsidR="003567FC" w:rsidRPr="00B87CC5">
        <w:rPr>
          <w:lang w:eastAsia="en-US"/>
        </w:rPr>
        <w:t xml:space="preserve">from </w:t>
      </w:r>
      <w:r w:rsidR="00185991" w:rsidRPr="00B87CC5">
        <w:rPr>
          <w:lang w:eastAsia="en-US"/>
        </w:rPr>
        <w:t xml:space="preserve">agriculture </w:t>
      </w:r>
      <w:r w:rsidR="002F56BD" w:rsidRPr="00B87CC5">
        <w:rPr>
          <w:lang w:eastAsia="en-US"/>
        </w:rPr>
        <w:t>(4</w:t>
      </w:r>
      <w:r w:rsidR="00A97D58" w:rsidRPr="00B87CC5">
        <w:rPr>
          <w:lang w:eastAsia="en-US"/>
        </w:rPr>
        <w:t>3</w:t>
      </w:r>
      <w:r w:rsidR="00DB0D7C" w:rsidRPr="00B87CC5">
        <w:rPr>
          <w:lang w:eastAsia="en-US"/>
        </w:rPr>
        <w:t> </w:t>
      </w:r>
      <w:r w:rsidR="00A97EEA" w:rsidRPr="00B87CC5">
        <w:rPr>
          <w:lang w:eastAsia="en-US"/>
        </w:rPr>
        <w:t>per cent</w:t>
      </w:r>
      <w:r w:rsidR="002F56BD" w:rsidRPr="00B87CC5">
        <w:rPr>
          <w:lang w:eastAsia="en-US"/>
        </w:rPr>
        <w:t xml:space="preserve">) and </w:t>
      </w:r>
      <w:r w:rsidR="003567FC" w:rsidRPr="00B87CC5">
        <w:rPr>
          <w:lang w:eastAsia="en-US"/>
        </w:rPr>
        <w:t>non-trans</w:t>
      </w:r>
      <w:r w:rsidR="00185991" w:rsidRPr="00B87CC5">
        <w:rPr>
          <w:lang w:eastAsia="en-US"/>
        </w:rPr>
        <w:t>p</w:t>
      </w:r>
      <w:r w:rsidR="003567FC" w:rsidRPr="00B87CC5">
        <w:rPr>
          <w:lang w:eastAsia="en-US"/>
        </w:rPr>
        <w:t xml:space="preserve">ort energy </w:t>
      </w:r>
      <w:r w:rsidR="002F56BD" w:rsidRPr="00B87CC5">
        <w:rPr>
          <w:lang w:eastAsia="en-US"/>
        </w:rPr>
        <w:t>(3</w:t>
      </w:r>
      <w:r w:rsidR="00D30906" w:rsidRPr="00B87CC5">
        <w:rPr>
          <w:lang w:eastAsia="en-US"/>
        </w:rPr>
        <w:t>7</w:t>
      </w:r>
      <w:r w:rsidR="00A97EEA" w:rsidRPr="00B87CC5">
        <w:rPr>
          <w:lang w:eastAsia="en-US"/>
        </w:rPr>
        <w:t xml:space="preserve"> per cent</w:t>
      </w:r>
      <w:r w:rsidR="002F56BD" w:rsidRPr="00B87CC5">
        <w:rPr>
          <w:lang w:eastAsia="en-US"/>
        </w:rPr>
        <w:t xml:space="preserve">). In contrast, </w:t>
      </w:r>
      <w:r w:rsidR="007354E9" w:rsidRPr="00B87CC5">
        <w:rPr>
          <w:lang w:eastAsia="en-US"/>
        </w:rPr>
        <w:t xml:space="preserve">transport </w:t>
      </w:r>
      <w:r w:rsidR="001323F8" w:rsidRPr="00B87CC5">
        <w:rPr>
          <w:lang w:eastAsia="en-US"/>
        </w:rPr>
        <w:t>is a significant source of emission</w:t>
      </w:r>
      <w:r w:rsidR="00DB0D7C" w:rsidRPr="00B87CC5">
        <w:rPr>
          <w:lang w:eastAsia="en-US"/>
        </w:rPr>
        <w:t>s</w:t>
      </w:r>
      <w:r w:rsidR="001323F8" w:rsidRPr="00B87CC5">
        <w:rPr>
          <w:lang w:eastAsia="en-US"/>
        </w:rPr>
        <w:t xml:space="preserve"> reductions </w:t>
      </w:r>
      <w:r w:rsidR="00DB2388" w:rsidRPr="00B87CC5">
        <w:rPr>
          <w:lang w:eastAsia="en-US"/>
        </w:rPr>
        <w:t xml:space="preserve">to 2050 </w:t>
      </w:r>
      <w:r w:rsidR="001323F8" w:rsidRPr="00B87CC5">
        <w:rPr>
          <w:lang w:eastAsia="en-US"/>
        </w:rPr>
        <w:t xml:space="preserve">because of the </w:t>
      </w:r>
      <w:r w:rsidR="00F6158E" w:rsidRPr="00B87CC5">
        <w:rPr>
          <w:lang w:eastAsia="en-US"/>
        </w:rPr>
        <w:t xml:space="preserve">greater penetration of </w:t>
      </w:r>
      <w:r w:rsidR="003A7F9D" w:rsidRPr="00B87CC5">
        <w:rPr>
          <w:lang w:eastAsia="en-US"/>
        </w:rPr>
        <w:t xml:space="preserve">EVs. </w:t>
      </w:r>
    </w:p>
    <w:p w14:paraId="6B4B56C7" w14:textId="3DACB576" w:rsidR="00CE54E0" w:rsidRPr="00B87CC5" w:rsidRDefault="001436C8" w:rsidP="001A5E16">
      <w:pPr>
        <w:pStyle w:val="Tableheading"/>
      </w:pPr>
      <w:bookmarkStart w:id="35" w:name="_Ref167287369"/>
      <w:bookmarkStart w:id="36" w:name="_Toc171609765"/>
      <w:r w:rsidRPr="00B87CC5">
        <w:lastRenderedPageBreak/>
        <w:t xml:space="preserve">Table </w:t>
      </w:r>
      <w:r w:rsidR="00385111">
        <w:fldChar w:fldCharType="begin"/>
      </w:r>
      <w:r w:rsidR="00385111">
        <w:instrText xml:space="preserve"> SEQ Table \* ARABIC </w:instrText>
      </w:r>
      <w:r w:rsidR="00385111">
        <w:fldChar w:fldCharType="separate"/>
      </w:r>
      <w:r w:rsidR="001B6E3F" w:rsidRPr="00B87CC5">
        <w:t>6</w:t>
      </w:r>
      <w:r w:rsidR="00385111">
        <w:fldChar w:fldCharType="end"/>
      </w:r>
      <w:bookmarkEnd w:id="35"/>
      <w:r w:rsidR="005E1D91" w:rsidRPr="00B87CC5">
        <w:t>:</w:t>
      </w:r>
      <w:r w:rsidR="005E1D91" w:rsidRPr="00B87CC5">
        <w:tab/>
      </w:r>
      <w:r w:rsidRPr="00B87CC5">
        <w:t xml:space="preserve">Changes in emissions </w:t>
      </w:r>
      <w:r w:rsidR="005A1024" w:rsidRPr="00B87CC5">
        <w:t>from 2018</w:t>
      </w:r>
      <w:r w:rsidR="00A97EEA" w:rsidRPr="00B87CC5">
        <w:t>–</w:t>
      </w:r>
      <w:r w:rsidR="005A1024" w:rsidRPr="00B87CC5">
        <w:t xml:space="preserve">22 average </w:t>
      </w:r>
      <w:r w:rsidR="005B08F9" w:rsidRPr="00B87CC5">
        <w:t xml:space="preserve">to 2030, 2035 and 2050 </w:t>
      </w:r>
      <w:r w:rsidRPr="00B87CC5">
        <w:t>by sector</w:t>
      </w:r>
      <w:r w:rsidR="00294F8F" w:rsidRPr="00B87CC5">
        <w:br/>
      </w:r>
      <w:r w:rsidR="005B08F9" w:rsidRPr="00B87CC5">
        <w:t>(</w:t>
      </w:r>
      <w:r w:rsidR="00A97EEA" w:rsidRPr="00B87CC5">
        <w:t>M</w:t>
      </w:r>
      <w:r w:rsidR="00D6405D" w:rsidRPr="00B87CC5">
        <w:t>t CO</w:t>
      </w:r>
      <w:r w:rsidR="00D6405D" w:rsidRPr="00B87CC5">
        <w:rPr>
          <w:vertAlign w:val="subscript"/>
        </w:rPr>
        <w:t>2</w:t>
      </w:r>
      <w:r w:rsidR="00D6405D" w:rsidRPr="00B87CC5">
        <w:t xml:space="preserve">-e and </w:t>
      </w:r>
      <w:r w:rsidR="00A97EEA" w:rsidRPr="00B87CC5">
        <w:t>percentage</w:t>
      </w:r>
      <w:r w:rsidR="00D6405D" w:rsidRPr="00B87CC5">
        <w:t xml:space="preserve"> change)</w:t>
      </w:r>
      <w:bookmarkEnd w:id="36"/>
    </w:p>
    <w:tbl>
      <w:tblPr>
        <w:tblStyle w:val="LightList-Accent1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261"/>
        <w:gridCol w:w="794"/>
        <w:gridCol w:w="794"/>
        <w:gridCol w:w="794"/>
        <w:gridCol w:w="842"/>
        <w:gridCol w:w="798"/>
        <w:gridCol w:w="793"/>
        <w:gridCol w:w="840"/>
        <w:gridCol w:w="793"/>
        <w:gridCol w:w="796"/>
      </w:tblGrid>
      <w:tr w:rsidR="00BC1541" w:rsidRPr="00B87CC5" w14:paraId="4C470A18" w14:textId="77777777" w:rsidTr="00BC154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41" w:type="pct"/>
            <w:shd w:val="clear" w:color="auto" w:fill="1B556B" w:themeFill="text2"/>
            <w:vAlign w:val="bottom"/>
            <w:hideMark/>
          </w:tcPr>
          <w:p w14:paraId="1AEF3473" w14:textId="7A928E9F" w:rsidR="005A1024" w:rsidRPr="00B87CC5" w:rsidRDefault="005A1024" w:rsidP="00C419C4">
            <w:pPr>
              <w:pStyle w:val="TableTextbold"/>
              <w:keepNext/>
              <w:spacing w:before="40" w:after="40"/>
              <w:rPr>
                <w:rFonts w:cs="Calibri"/>
                <w:b/>
                <w:szCs w:val="18"/>
              </w:rPr>
            </w:pPr>
            <w:r w:rsidRPr="00B87CC5">
              <w:rPr>
                <w:rFonts w:cs="Calibri"/>
                <w:b/>
                <w:szCs w:val="18"/>
              </w:rPr>
              <w:t>Sector</w:t>
            </w:r>
          </w:p>
        </w:tc>
        <w:tc>
          <w:tcPr>
            <w:tcW w:w="467" w:type="pct"/>
            <w:shd w:val="clear" w:color="auto" w:fill="1B556B" w:themeFill="text2"/>
            <w:vAlign w:val="bottom"/>
          </w:tcPr>
          <w:p w14:paraId="65BBE8E8" w14:textId="75E8E39B" w:rsidR="005A1024" w:rsidRPr="00B87CC5" w:rsidRDefault="005A1024" w:rsidP="00C419C4">
            <w:pPr>
              <w:pStyle w:val="TableTextbold"/>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b/>
                <w:szCs w:val="18"/>
              </w:rPr>
            </w:pPr>
            <w:r w:rsidRPr="00B87CC5">
              <w:rPr>
                <w:rFonts w:cs="Calibri"/>
                <w:b/>
                <w:szCs w:val="18"/>
              </w:rPr>
              <w:t>Change to 2030</w:t>
            </w:r>
          </w:p>
        </w:tc>
        <w:tc>
          <w:tcPr>
            <w:tcW w:w="467" w:type="pct"/>
            <w:shd w:val="clear" w:color="auto" w:fill="1B556B" w:themeFill="text2"/>
            <w:vAlign w:val="bottom"/>
          </w:tcPr>
          <w:p w14:paraId="739CAE9E" w14:textId="34BEE9B9" w:rsidR="005A1024" w:rsidRPr="00B87CC5" w:rsidRDefault="005A1024" w:rsidP="00C419C4">
            <w:pPr>
              <w:pStyle w:val="TableTextbold"/>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b/>
                <w:szCs w:val="18"/>
              </w:rPr>
            </w:pPr>
            <w:r w:rsidRPr="00B87CC5">
              <w:rPr>
                <w:rFonts w:cs="Calibri"/>
                <w:b/>
                <w:szCs w:val="18"/>
              </w:rPr>
              <w:t>% change</w:t>
            </w:r>
          </w:p>
        </w:tc>
        <w:tc>
          <w:tcPr>
            <w:tcW w:w="467" w:type="pct"/>
            <w:shd w:val="clear" w:color="auto" w:fill="1B556B" w:themeFill="text2"/>
            <w:vAlign w:val="bottom"/>
          </w:tcPr>
          <w:p w14:paraId="4EC4DAF3" w14:textId="2EEA4B2B" w:rsidR="005A1024" w:rsidRPr="00B87CC5" w:rsidRDefault="005A1024" w:rsidP="00C419C4">
            <w:pPr>
              <w:pStyle w:val="TableTextbold"/>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b/>
                <w:szCs w:val="18"/>
              </w:rPr>
            </w:pPr>
            <w:r w:rsidRPr="00B87CC5">
              <w:rPr>
                <w:rFonts w:cs="Calibri"/>
                <w:b/>
                <w:szCs w:val="18"/>
              </w:rPr>
              <w:t>% of total</w:t>
            </w:r>
          </w:p>
        </w:tc>
        <w:tc>
          <w:tcPr>
            <w:tcW w:w="495" w:type="pct"/>
            <w:shd w:val="clear" w:color="auto" w:fill="1B556B" w:themeFill="text2"/>
            <w:vAlign w:val="bottom"/>
          </w:tcPr>
          <w:p w14:paraId="71106D0C" w14:textId="1154B107" w:rsidR="005A1024" w:rsidRPr="00B87CC5" w:rsidRDefault="005A1024" w:rsidP="00C419C4">
            <w:pPr>
              <w:pStyle w:val="TableTextbold"/>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b/>
                <w:szCs w:val="18"/>
              </w:rPr>
            </w:pPr>
            <w:r w:rsidRPr="00B87CC5">
              <w:rPr>
                <w:rFonts w:cs="Calibri"/>
                <w:b/>
                <w:szCs w:val="18"/>
              </w:rPr>
              <w:t>Change to 2035</w:t>
            </w:r>
          </w:p>
        </w:tc>
        <w:tc>
          <w:tcPr>
            <w:tcW w:w="469" w:type="pct"/>
            <w:shd w:val="clear" w:color="auto" w:fill="1B556B" w:themeFill="text2"/>
            <w:vAlign w:val="bottom"/>
          </w:tcPr>
          <w:p w14:paraId="5CE3CF25" w14:textId="2ADAC8F0" w:rsidR="005A1024" w:rsidRPr="00B87CC5" w:rsidRDefault="005A1024" w:rsidP="00C419C4">
            <w:pPr>
              <w:pStyle w:val="TableTextbold"/>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b/>
                <w:szCs w:val="18"/>
              </w:rPr>
            </w:pPr>
            <w:r w:rsidRPr="00B87CC5">
              <w:rPr>
                <w:rFonts w:cs="Calibri"/>
                <w:b/>
                <w:szCs w:val="18"/>
              </w:rPr>
              <w:t>% change</w:t>
            </w:r>
          </w:p>
        </w:tc>
        <w:tc>
          <w:tcPr>
            <w:tcW w:w="466" w:type="pct"/>
            <w:shd w:val="clear" w:color="auto" w:fill="1B556B" w:themeFill="text2"/>
            <w:vAlign w:val="bottom"/>
          </w:tcPr>
          <w:p w14:paraId="2A8EA013" w14:textId="1C89E6E0" w:rsidR="005A1024" w:rsidRPr="00B87CC5" w:rsidRDefault="005A1024" w:rsidP="00C419C4">
            <w:pPr>
              <w:pStyle w:val="TableTextbold"/>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b/>
                <w:szCs w:val="18"/>
              </w:rPr>
            </w:pPr>
            <w:r w:rsidRPr="00B87CC5">
              <w:rPr>
                <w:rFonts w:cs="Calibri"/>
                <w:b/>
                <w:szCs w:val="18"/>
              </w:rPr>
              <w:t>% of total</w:t>
            </w:r>
          </w:p>
        </w:tc>
        <w:tc>
          <w:tcPr>
            <w:tcW w:w="494" w:type="pct"/>
            <w:shd w:val="clear" w:color="auto" w:fill="1B556B" w:themeFill="text2"/>
            <w:vAlign w:val="bottom"/>
          </w:tcPr>
          <w:p w14:paraId="3C9FC661" w14:textId="2BF971EB" w:rsidR="005A1024" w:rsidRPr="00B87CC5" w:rsidRDefault="005A1024" w:rsidP="00C419C4">
            <w:pPr>
              <w:pStyle w:val="TableTextbold"/>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b/>
                <w:szCs w:val="18"/>
              </w:rPr>
            </w:pPr>
            <w:r w:rsidRPr="00B87CC5">
              <w:rPr>
                <w:rFonts w:cs="Calibri"/>
                <w:b/>
                <w:szCs w:val="18"/>
              </w:rPr>
              <w:t>Change to 2050</w:t>
            </w:r>
          </w:p>
        </w:tc>
        <w:tc>
          <w:tcPr>
            <w:tcW w:w="466" w:type="pct"/>
            <w:shd w:val="clear" w:color="auto" w:fill="1B556B" w:themeFill="text2"/>
            <w:vAlign w:val="bottom"/>
          </w:tcPr>
          <w:p w14:paraId="7EE448C4" w14:textId="19F66AB5" w:rsidR="005A1024" w:rsidRPr="00B87CC5" w:rsidRDefault="005A1024" w:rsidP="00C419C4">
            <w:pPr>
              <w:pStyle w:val="TableTextbold"/>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b/>
                <w:szCs w:val="18"/>
              </w:rPr>
            </w:pPr>
            <w:r w:rsidRPr="00B87CC5">
              <w:rPr>
                <w:rFonts w:cs="Calibri"/>
                <w:b/>
                <w:szCs w:val="18"/>
              </w:rPr>
              <w:t>% change</w:t>
            </w:r>
          </w:p>
        </w:tc>
        <w:tc>
          <w:tcPr>
            <w:tcW w:w="469" w:type="pct"/>
            <w:shd w:val="clear" w:color="auto" w:fill="1B556B" w:themeFill="text2"/>
            <w:vAlign w:val="bottom"/>
          </w:tcPr>
          <w:p w14:paraId="588A4A08" w14:textId="4AFB97AB" w:rsidR="005A1024" w:rsidRPr="00B87CC5" w:rsidRDefault="005A1024" w:rsidP="00C419C4">
            <w:pPr>
              <w:pStyle w:val="TableTextbold"/>
              <w:keepNext/>
              <w:spacing w:before="40" w:after="40"/>
              <w:jc w:val="right"/>
              <w:cnfStyle w:val="100000000000" w:firstRow="1" w:lastRow="0" w:firstColumn="0" w:lastColumn="0" w:oddVBand="0" w:evenVBand="0" w:oddHBand="0" w:evenHBand="0" w:firstRowFirstColumn="0" w:firstRowLastColumn="0" w:lastRowFirstColumn="0" w:lastRowLastColumn="0"/>
              <w:rPr>
                <w:rFonts w:cs="Calibri"/>
                <w:b/>
                <w:szCs w:val="18"/>
              </w:rPr>
            </w:pPr>
            <w:r w:rsidRPr="00B87CC5">
              <w:rPr>
                <w:rFonts w:cs="Calibri"/>
                <w:b/>
                <w:szCs w:val="18"/>
              </w:rPr>
              <w:t>% of total</w:t>
            </w:r>
          </w:p>
        </w:tc>
      </w:tr>
      <w:tr w:rsidR="00BC1541" w:rsidRPr="00B87CC5" w14:paraId="19933C97" w14:textId="77777777" w:rsidTr="00BC154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41" w:type="pct"/>
            <w:tcBorders>
              <w:top w:val="none" w:sz="0" w:space="0" w:color="auto"/>
              <w:left w:val="none" w:sz="0" w:space="0" w:color="auto"/>
              <w:bottom w:val="none" w:sz="0" w:space="0" w:color="auto"/>
            </w:tcBorders>
            <w:vAlign w:val="bottom"/>
          </w:tcPr>
          <w:p w14:paraId="18478E93" w14:textId="3C8D69E5" w:rsidR="00E33EE8" w:rsidRPr="00B87CC5" w:rsidRDefault="00E33EE8" w:rsidP="00C419C4">
            <w:pPr>
              <w:pStyle w:val="TableText"/>
              <w:keepNext/>
              <w:spacing w:before="40" w:after="40"/>
              <w:rPr>
                <w:rFonts w:cs="Calibri"/>
                <w:b w:val="0"/>
                <w:bCs w:val="0"/>
                <w:szCs w:val="18"/>
              </w:rPr>
            </w:pPr>
            <w:r w:rsidRPr="00B87CC5">
              <w:rPr>
                <w:rFonts w:cs="Calibri"/>
                <w:b w:val="0"/>
                <w:bCs w:val="0"/>
                <w:szCs w:val="18"/>
              </w:rPr>
              <w:t xml:space="preserve">Transport </w:t>
            </w:r>
            <w:r w:rsidR="00A97EEA" w:rsidRPr="00B87CC5">
              <w:rPr>
                <w:rFonts w:cs="Calibri"/>
                <w:b w:val="0"/>
                <w:bCs w:val="0"/>
                <w:szCs w:val="18"/>
              </w:rPr>
              <w:t>e</w:t>
            </w:r>
            <w:r w:rsidRPr="00B87CC5">
              <w:rPr>
                <w:rFonts w:cs="Calibri"/>
                <w:b w:val="0"/>
                <w:bCs w:val="0"/>
                <w:szCs w:val="18"/>
              </w:rPr>
              <w:t>nergy</w:t>
            </w:r>
          </w:p>
        </w:tc>
        <w:tc>
          <w:tcPr>
            <w:tcW w:w="467" w:type="pct"/>
            <w:tcBorders>
              <w:top w:val="none" w:sz="0" w:space="0" w:color="auto"/>
              <w:bottom w:val="none" w:sz="0" w:space="0" w:color="auto"/>
            </w:tcBorders>
            <w:shd w:val="clear" w:color="auto" w:fill="D2DDE1" w:themeFill="background2"/>
            <w:noWrap/>
          </w:tcPr>
          <w:p w14:paraId="0C356736" w14:textId="1824380E" w:rsidR="00E33EE8" w:rsidRPr="00B87CC5" w:rsidRDefault="00A97EEA" w:rsidP="00C419C4">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w:t>
            </w:r>
            <w:r w:rsidR="00AF2D33" w:rsidRPr="00B87CC5">
              <w:rPr>
                <w:rFonts w:cs="Calibri"/>
                <w:szCs w:val="18"/>
              </w:rPr>
              <w:t>469</w:t>
            </w:r>
          </w:p>
        </w:tc>
        <w:tc>
          <w:tcPr>
            <w:tcW w:w="467" w:type="pct"/>
            <w:tcBorders>
              <w:top w:val="none" w:sz="0" w:space="0" w:color="auto"/>
              <w:bottom w:val="none" w:sz="0" w:space="0" w:color="auto"/>
            </w:tcBorders>
            <w:shd w:val="clear" w:color="auto" w:fill="D2DDE1" w:themeFill="background2"/>
            <w:noWrap/>
          </w:tcPr>
          <w:p w14:paraId="46AFF47E" w14:textId="40873DF6" w:rsidR="00E33EE8" w:rsidRPr="00B87CC5" w:rsidRDefault="00A97EEA" w:rsidP="00C419C4">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w:t>
            </w:r>
            <w:r w:rsidR="00AF2D33" w:rsidRPr="00B87CC5">
              <w:rPr>
                <w:rFonts w:cs="Calibri"/>
                <w:szCs w:val="18"/>
              </w:rPr>
              <w:t>3%</w:t>
            </w:r>
          </w:p>
        </w:tc>
        <w:tc>
          <w:tcPr>
            <w:tcW w:w="467" w:type="pct"/>
            <w:tcBorders>
              <w:top w:val="none" w:sz="0" w:space="0" w:color="auto"/>
              <w:bottom w:val="none" w:sz="0" w:space="0" w:color="auto"/>
            </w:tcBorders>
            <w:shd w:val="clear" w:color="auto" w:fill="D2DDE1" w:themeFill="background2"/>
          </w:tcPr>
          <w:p w14:paraId="7D4B6D6E" w14:textId="666E3A49" w:rsidR="00E33EE8" w:rsidRPr="00B87CC5" w:rsidRDefault="00AF2D33" w:rsidP="00C419C4">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5%</w:t>
            </w:r>
          </w:p>
        </w:tc>
        <w:tc>
          <w:tcPr>
            <w:tcW w:w="495" w:type="pct"/>
            <w:tcBorders>
              <w:top w:val="none" w:sz="0" w:space="0" w:color="auto"/>
              <w:bottom w:val="none" w:sz="0" w:space="0" w:color="auto"/>
            </w:tcBorders>
          </w:tcPr>
          <w:p w14:paraId="51B2074D" w14:textId="1F60EE25" w:rsidR="00E33EE8" w:rsidRPr="00B87CC5" w:rsidRDefault="00A97EEA" w:rsidP="00C419C4">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w:t>
            </w:r>
            <w:r w:rsidR="00AF2D33" w:rsidRPr="00B87CC5">
              <w:rPr>
                <w:rFonts w:cs="Calibri"/>
                <w:szCs w:val="18"/>
              </w:rPr>
              <w:t>1,437</w:t>
            </w:r>
          </w:p>
        </w:tc>
        <w:tc>
          <w:tcPr>
            <w:tcW w:w="469" w:type="pct"/>
            <w:tcBorders>
              <w:top w:val="none" w:sz="0" w:space="0" w:color="auto"/>
              <w:bottom w:val="none" w:sz="0" w:space="0" w:color="auto"/>
            </w:tcBorders>
            <w:noWrap/>
          </w:tcPr>
          <w:p w14:paraId="67437138" w14:textId="649CCADF" w:rsidR="00E33EE8" w:rsidRPr="00B87CC5" w:rsidRDefault="00A97EEA" w:rsidP="00C419C4">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w:t>
            </w:r>
            <w:r w:rsidR="00AF2D33" w:rsidRPr="00B87CC5">
              <w:rPr>
                <w:rFonts w:cs="Calibri"/>
                <w:szCs w:val="18"/>
              </w:rPr>
              <w:t>10%</w:t>
            </w:r>
          </w:p>
        </w:tc>
        <w:tc>
          <w:tcPr>
            <w:tcW w:w="466" w:type="pct"/>
            <w:tcBorders>
              <w:top w:val="none" w:sz="0" w:space="0" w:color="auto"/>
              <w:bottom w:val="none" w:sz="0" w:space="0" w:color="auto"/>
            </w:tcBorders>
            <w:noWrap/>
          </w:tcPr>
          <w:p w14:paraId="215B5D51" w14:textId="64C7491A" w:rsidR="00E33EE8" w:rsidRPr="00B87CC5" w:rsidRDefault="00AF2D33" w:rsidP="00C419C4">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11%</w:t>
            </w:r>
          </w:p>
        </w:tc>
        <w:tc>
          <w:tcPr>
            <w:tcW w:w="494" w:type="pct"/>
            <w:tcBorders>
              <w:top w:val="none" w:sz="0" w:space="0" w:color="auto"/>
              <w:bottom w:val="none" w:sz="0" w:space="0" w:color="auto"/>
            </w:tcBorders>
            <w:shd w:val="clear" w:color="auto" w:fill="D2DDE1" w:themeFill="background2"/>
            <w:noWrap/>
          </w:tcPr>
          <w:p w14:paraId="4917BC73" w14:textId="6E1FA726" w:rsidR="00E33EE8" w:rsidRPr="00B87CC5" w:rsidRDefault="00A97EEA" w:rsidP="00C419C4">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w:t>
            </w:r>
            <w:r w:rsidR="00AF2D33" w:rsidRPr="00B87CC5">
              <w:rPr>
                <w:rFonts w:cs="Calibri"/>
                <w:szCs w:val="18"/>
              </w:rPr>
              <w:t>7,367</w:t>
            </w:r>
          </w:p>
        </w:tc>
        <w:tc>
          <w:tcPr>
            <w:tcW w:w="466" w:type="pct"/>
            <w:tcBorders>
              <w:top w:val="none" w:sz="0" w:space="0" w:color="auto"/>
              <w:bottom w:val="none" w:sz="0" w:space="0" w:color="auto"/>
            </w:tcBorders>
            <w:shd w:val="clear" w:color="auto" w:fill="D2DDE1" w:themeFill="background2"/>
          </w:tcPr>
          <w:p w14:paraId="051F6541" w14:textId="4F5C4A59" w:rsidR="00E33EE8" w:rsidRPr="00B87CC5" w:rsidRDefault="00A97EEA" w:rsidP="00C419C4">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w:t>
            </w:r>
            <w:r w:rsidR="00AF2D33" w:rsidRPr="00B87CC5">
              <w:rPr>
                <w:rFonts w:cs="Calibri"/>
                <w:szCs w:val="18"/>
              </w:rPr>
              <w:t>52%</w:t>
            </w:r>
          </w:p>
        </w:tc>
        <w:tc>
          <w:tcPr>
            <w:tcW w:w="469" w:type="pct"/>
            <w:tcBorders>
              <w:top w:val="none" w:sz="0" w:space="0" w:color="auto"/>
              <w:bottom w:val="none" w:sz="0" w:space="0" w:color="auto"/>
              <w:right w:val="none" w:sz="0" w:space="0" w:color="auto"/>
            </w:tcBorders>
            <w:shd w:val="clear" w:color="auto" w:fill="D2DDE1" w:themeFill="background2"/>
            <w:noWrap/>
          </w:tcPr>
          <w:p w14:paraId="2EA56151" w14:textId="19435EA2" w:rsidR="00E33EE8" w:rsidRPr="00B87CC5" w:rsidRDefault="00AF2D33" w:rsidP="00C419C4">
            <w:pPr>
              <w:pStyle w:val="TableText"/>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32%</w:t>
            </w:r>
          </w:p>
        </w:tc>
      </w:tr>
      <w:tr w:rsidR="00BC1541" w:rsidRPr="00B87CC5" w14:paraId="1EB909BC" w14:textId="77777777" w:rsidTr="00BC1541">
        <w:trPr>
          <w:trHeight w:val="290"/>
        </w:trPr>
        <w:tc>
          <w:tcPr>
            <w:cnfStyle w:val="001000000000" w:firstRow="0" w:lastRow="0" w:firstColumn="1" w:lastColumn="0" w:oddVBand="0" w:evenVBand="0" w:oddHBand="0" w:evenHBand="0" w:firstRowFirstColumn="0" w:firstRowLastColumn="0" w:lastRowFirstColumn="0" w:lastRowLastColumn="0"/>
            <w:tcW w:w="741" w:type="pct"/>
            <w:vAlign w:val="bottom"/>
          </w:tcPr>
          <w:p w14:paraId="4088305E" w14:textId="020ACE6A" w:rsidR="00E33EE8" w:rsidRPr="00B87CC5" w:rsidRDefault="00E33EE8" w:rsidP="00C419C4">
            <w:pPr>
              <w:pStyle w:val="TableTextbold"/>
              <w:keepNext/>
              <w:spacing w:before="40" w:after="40"/>
              <w:rPr>
                <w:rFonts w:cs="Calibri"/>
                <w:szCs w:val="18"/>
              </w:rPr>
            </w:pPr>
            <w:r w:rsidRPr="00B87CC5">
              <w:rPr>
                <w:rFonts w:cs="Calibri"/>
                <w:color w:val="000000"/>
                <w:szCs w:val="18"/>
              </w:rPr>
              <w:t>Non-</w:t>
            </w:r>
            <w:r w:rsidR="00A97EEA" w:rsidRPr="00B87CC5">
              <w:rPr>
                <w:rFonts w:cs="Calibri"/>
                <w:color w:val="000000"/>
                <w:szCs w:val="18"/>
              </w:rPr>
              <w:t>t</w:t>
            </w:r>
            <w:r w:rsidRPr="00B87CC5">
              <w:rPr>
                <w:rFonts w:cs="Calibri"/>
                <w:color w:val="000000"/>
                <w:szCs w:val="18"/>
              </w:rPr>
              <w:t xml:space="preserve">ransport </w:t>
            </w:r>
            <w:r w:rsidR="00A97EEA" w:rsidRPr="00B87CC5">
              <w:rPr>
                <w:rFonts w:cs="Calibri"/>
                <w:color w:val="000000"/>
                <w:szCs w:val="18"/>
              </w:rPr>
              <w:t>e</w:t>
            </w:r>
            <w:r w:rsidRPr="00B87CC5">
              <w:rPr>
                <w:rFonts w:cs="Calibri"/>
                <w:color w:val="000000"/>
                <w:szCs w:val="18"/>
              </w:rPr>
              <w:t>nergy</w:t>
            </w:r>
          </w:p>
        </w:tc>
        <w:tc>
          <w:tcPr>
            <w:tcW w:w="467" w:type="pct"/>
            <w:shd w:val="clear" w:color="auto" w:fill="D2DDE1" w:themeFill="background2"/>
            <w:noWrap/>
          </w:tcPr>
          <w:p w14:paraId="43B452E0" w14:textId="739D6DEE" w:rsidR="00E33EE8" w:rsidRPr="00B87CC5" w:rsidRDefault="00A97EEA" w:rsidP="00C419C4">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3,617</w:t>
            </w:r>
          </w:p>
        </w:tc>
        <w:tc>
          <w:tcPr>
            <w:tcW w:w="467" w:type="pct"/>
            <w:shd w:val="clear" w:color="auto" w:fill="D2DDE1" w:themeFill="background2"/>
            <w:noWrap/>
          </w:tcPr>
          <w:p w14:paraId="4C0CF035" w14:textId="798F30DB" w:rsidR="00E33EE8" w:rsidRPr="00B87CC5" w:rsidRDefault="00A97EEA" w:rsidP="00C419C4">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21%</w:t>
            </w:r>
          </w:p>
        </w:tc>
        <w:tc>
          <w:tcPr>
            <w:tcW w:w="467" w:type="pct"/>
            <w:shd w:val="clear" w:color="auto" w:fill="D2DDE1" w:themeFill="background2"/>
          </w:tcPr>
          <w:p w14:paraId="5FD87920" w14:textId="70F79526" w:rsidR="00E33EE8" w:rsidRPr="00B87CC5" w:rsidRDefault="00AF2D33" w:rsidP="00C419C4">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37%</w:t>
            </w:r>
          </w:p>
        </w:tc>
        <w:tc>
          <w:tcPr>
            <w:tcW w:w="495" w:type="pct"/>
          </w:tcPr>
          <w:p w14:paraId="0EABB9F0" w14:textId="055239F9" w:rsidR="00E33EE8" w:rsidRPr="00B87CC5" w:rsidRDefault="00A97EEA" w:rsidP="00C419C4">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4,744</w:t>
            </w:r>
          </w:p>
        </w:tc>
        <w:tc>
          <w:tcPr>
            <w:tcW w:w="469" w:type="pct"/>
            <w:noWrap/>
          </w:tcPr>
          <w:p w14:paraId="2767FD6B" w14:textId="3E86B509" w:rsidR="00E33EE8" w:rsidRPr="00B87CC5" w:rsidRDefault="00A97EEA" w:rsidP="00C419C4">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28%</w:t>
            </w:r>
          </w:p>
        </w:tc>
        <w:tc>
          <w:tcPr>
            <w:tcW w:w="466" w:type="pct"/>
            <w:noWrap/>
          </w:tcPr>
          <w:p w14:paraId="5B71B561" w14:textId="559E71A0" w:rsidR="00E33EE8" w:rsidRPr="00B87CC5" w:rsidRDefault="00AF2D33" w:rsidP="00C419C4">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37%</w:t>
            </w:r>
          </w:p>
        </w:tc>
        <w:tc>
          <w:tcPr>
            <w:tcW w:w="494" w:type="pct"/>
            <w:shd w:val="clear" w:color="auto" w:fill="D2DDE1" w:themeFill="background2"/>
            <w:noWrap/>
          </w:tcPr>
          <w:p w14:paraId="34483D54" w14:textId="50DC0138" w:rsidR="00E33EE8" w:rsidRPr="00B87CC5" w:rsidRDefault="00A97EEA" w:rsidP="00C419C4">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7,614</w:t>
            </w:r>
          </w:p>
        </w:tc>
        <w:tc>
          <w:tcPr>
            <w:tcW w:w="466" w:type="pct"/>
            <w:shd w:val="clear" w:color="auto" w:fill="D2DDE1" w:themeFill="background2"/>
          </w:tcPr>
          <w:p w14:paraId="51A99117" w14:textId="2327B137" w:rsidR="00E33EE8" w:rsidRPr="00B87CC5" w:rsidRDefault="00A97EEA" w:rsidP="00C419C4">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44%</w:t>
            </w:r>
          </w:p>
        </w:tc>
        <w:tc>
          <w:tcPr>
            <w:tcW w:w="469" w:type="pct"/>
            <w:shd w:val="clear" w:color="auto" w:fill="D2DDE1" w:themeFill="background2"/>
            <w:noWrap/>
          </w:tcPr>
          <w:p w14:paraId="5265995B" w14:textId="06176577" w:rsidR="00E33EE8" w:rsidRPr="00B87CC5" w:rsidRDefault="00AF2D33" w:rsidP="00C419C4">
            <w:pPr>
              <w:pStyle w:val="TableTextbold"/>
              <w:keepNext/>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33%</w:t>
            </w:r>
          </w:p>
        </w:tc>
      </w:tr>
      <w:tr w:rsidR="00851655" w:rsidRPr="00B87CC5" w14:paraId="7A9D1EDB" w14:textId="77777777" w:rsidTr="00BC154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41" w:type="pct"/>
            <w:tcBorders>
              <w:top w:val="none" w:sz="0" w:space="0" w:color="auto"/>
              <w:left w:val="none" w:sz="0" w:space="0" w:color="auto"/>
              <w:bottom w:val="none" w:sz="0" w:space="0" w:color="auto"/>
            </w:tcBorders>
            <w:vAlign w:val="bottom"/>
          </w:tcPr>
          <w:p w14:paraId="3BB72453" w14:textId="51FB99CA" w:rsidR="00E33EE8" w:rsidRPr="00B87CC5" w:rsidRDefault="00E33EE8" w:rsidP="00C419C4">
            <w:pPr>
              <w:pStyle w:val="TableTextbold"/>
              <w:keepNext/>
              <w:spacing w:before="40" w:after="40"/>
              <w:rPr>
                <w:rFonts w:cs="Calibri"/>
                <w:szCs w:val="18"/>
              </w:rPr>
            </w:pPr>
            <w:r w:rsidRPr="00B87CC5">
              <w:rPr>
                <w:rFonts w:cs="Calibri"/>
                <w:color w:val="000000"/>
                <w:szCs w:val="18"/>
              </w:rPr>
              <w:t>IPPU</w:t>
            </w:r>
          </w:p>
        </w:tc>
        <w:tc>
          <w:tcPr>
            <w:tcW w:w="467" w:type="pct"/>
            <w:tcBorders>
              <w:top w:val="none" w:sz="0" w:space="0" w:color="auto"/>
              <w:bottom w:val="none" w:sz="0" w:space="0" w:color="auto"/>
            </w:tcBorders>
            <w:shd w:val="clear" w:color="auto" w:fill="D2DDE1" w:themeFill="background2"/>
            <w:noWrap/>
          </w:tcPr>
          <w:p w14:paraId="7BF95260" w14:textId="44C645B9" w:rsidR="00E33EE8" w:rsidRPr="00B87CC5" w:rsidRDefault="00A97EEA" w:rsidP="00C419C4">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1,272</w:t>
            </w:r>
          </w:p>
        </w:tc>
        <w:tc>
          <w:tcPr>
            <w:tcW w:w="467" w:type="pct"/>
            <w:tcBorders>
              <w:top w:val="none" w:sz="0" w:space="0" w:color="auto"/>
              <w:bottom w:val="none" w:sz="0" w:space="0" w:color="auto"/>
            </w:tcBorders>
            <w:shd w:val="clear" w:color="auto" w:fill="D2DDE1" w:themeFill="background2"/>
            <w:noWrap/>
          </w:tcPr>
          <w:p w14:paraId="74A2D200" w14:textId="056DB3A3" w:rsidR="00E33EE8" w:rsidRPr="00B87CC5" w:rsidRDefault="00A97EEA" w:rsidP="00C419C4">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28%</w:t>
            </w:r>
          </w:p>
        </w:tc>
        <w:tc>
          <w:tcPr>
            <w:tcW w:w="467" w:type="pct"/>
            <w:tcBorders>
              <w:top w:val="none" w:sz="0" w:space="0" w:color="auto"/>
              <w:bottom w:val="none" w:sz="0" w:space="0" w:color="auto"/>
            </w:tcBorders>
            <w:shd w:val="clear" w:color="auto" w:fill="D2DDE1" w:themeFill="background2"/>
          </w:tcPr>
          <w:p w14:paraId="37D781B3" w14:textId="35DD620E" w:rsidR="00E33EE8" w:rsidRPr="00B87CC5" w:rsidRDefault="00AF2D33" w:rsidP="00C419C4">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13%</w:t>
            </w:r>
          </w:p>
        </w:tc>
        <w:tc>
          <w:tcPr>
            <w:tcW w:w="495" w:type="pct"/>
            <w:tcBorders>
              <w:top w:val="none" w:sz="0" w:space="0" w:color="auto"/>
              <w:bottom w:val="none" w:sz="0" w:space="0" w:color="auto"/>
            </w:tcBorders>
          </w:tcPr>
          <w:p w14:paraId="619787C4" w14:textId="5C911721" w:rsidR="00E33EE8" w:rsidRPr="00B87CC5" w:rsidRDefault="00A97EEA" w:rsidP="00C419C4">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1,528</w:t>
            </w:r>
          </w:p>
        </w:tc>
        <w:tc>
          <w:tcPr>
            <w:tcW w:w="469" w:type="pct"/>
            <w:tcBorders>
              <w:top w:val="none" w:sz="0" w:space="0" w:color="auto"/>
              <w:bottom w:val="none" w:sz="0" w:space="0" w:color="auto"/>
            </w:tcBorders>
            <w:noWrap/>
          </w:tcPr>
          <w:p w14:paraId="255F40C3" w14:textId="45313F8E" w:rsidR="00E33EE8" w:rsidRPr="00B87CC5" w:rsidRDefault="00A97EEA" w:rsidP="00C419C4">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33%</w:t>
            </w:r>
          </w:p>
        </w:tc>
        <w:tc>
          <w:tcPr>
            <w:tcW w:w="466" w:type="pct"/>
            <w:tcBorders>
              <w:top w:val="none" w:sz="0" w:space="0" w:color="auto"/>
              <w:bottom w:val="none" w:sz="0" w:space="0" w:color="auto"/>
            </w:tcBorders>
            <w:noWrap/>
          </w:tcPr>
          <w:p w14:paraId="52444EEF" w14:textId="0BCB5D6E" w:rsidR="00E33EE8" w:rsidRPr="00B87CC5" w:rsidRDefault="00AF2D33" w:rsidP="00C419C4">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12%</w:t>
            </w:r>
          </w:p>
        </w:tc>
        <w:tc>
          <w:tcPr>
            <w:tcW w:w="494" w:type="pct"/>
            <w:tcBorders>
              <w:top w:val="none" w:sz="0" w:space="0" w:color="auto"/>
              <w:bottom w:val="none" w:sz="0" w:space="0" w:color="auto"/>
            </w:tcBorders>
            <w:shd w:val="clear" w:color="auto" w:fill="D2DDE1" w:themeFill="background2"/>
            <w:noWrap/>
          </w:tcPr>
          <w:p w14:paraId="2194F55A" w14:textId="0D5FFA03" w:rsidR="00E33EE8" w:rsidRPr="00B87CC5" w:rsidRDefault="00A97EEA" w:rsidP="00C419C4">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1,993</w:t>
            </w:r>
          </w:p>
        </w:tc>
        <w:tc>
          <w:tcPr>
            <w:tcW w:w="466" w:type="pct"/>
            <w:tcBorders>
              <w:top w:val="none" w:sz="0" w:space="0" w:color="auto"/>
              <w:bottom w:val="none" w:sz="0" w:space="0" w:color="auto"/>
            </w:tcBorders>
            <w:shd w:val="clear" w:color="auto" w:fill="D2DDE1" w:themeFill="background2"/>
          </w:tcPr>
          <w:p w14:paraId="73121402" w14:textId="36070D3F" w:rsidR="00E33EE8" w:rsidRPr="00B87CC5" w:rsidRDefault="00A97EEA" w:rsidP="00C419C4">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43%</w:t>
            </w:r>
          </w:p>
        </w:tc>
        <w:tc>
          <w:tcPr>
            <w:tcW w:w="469" w:type="pct"/>
            <w:tcBorders>
              <w:top w:val="none" w:sz="0" w:space="0" w:color="auto"/>
              <w:bottom w:val="none" w:sz="0" w:space="0" w:color="auto"/>
              <w:right w:val="none" w:sz="0" w:space="0" w:color="auto"/>
            </w:tcBorders>
            <w:shd w:val="clear" w:color="auto" w:fill="D2DDE1" w:themeFill="background2"/>
            <w:noWrap/>
          </w:tcPr>
          <w:p w14:paraId="6A953EF5" w14:textId="7CFCEC16" w:rsidR="00E33EE8" w:rsidRPr="00B87CC5" w:rsidRDefault="00AF2D33" w:rsidP="00C419C4">
            <w:pPr>
              <w:pStyle w:val="TableTextbold"/>
              <w:keepNext/>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9%</w:t>
            </w:r>
          </w:p>
        </w:tc>
      </w:tr>
      <w:tr w:rsidR="00BC1541" w:rsidRPr="00B87CC5" w14:paraId="7CF837F6" w14:textId="77777777" w:rsidTr="00BC1541">
        <w:trPr>
          <w:trHeight w:val="290"/>
        </w:trPr>
        <w:tc>
          <w:tcPr>
            <w:cnfStyle w:val="001000000000" w:firstRow="0" w:lastRow="0" w:firstColumn="1" w:lastColumn="0" w:oddVBand="0" w:evenVBand="0" w:oddHBand="0" w:evenHBand="0" w:firstRowFirstColumn="0" w:firstRowLastColumn="0" w:lastRowFirstColumn="0" w:lastRowLastColumn="0"/>
            <w:tcW w:w="741" w:type="pct"/>
            <w:tcBorders>
              <w:bottom w:val="single" w:sz="8" w:space="0" w:color="1C556C" w:themeColor="accent1"/>
            </w:tcBorders>
            <w:vAlign w:val="bottom"/>
          </w:tcPr>
          <w:p w14:paraId="78B5C04D" w14:textId="3C47BECA" w:rsidR="00E33EE8" w:rsidRPr="00B87CC5" w:rsidRDefault="00E33EE8" w:rsidP="00D10778">
            <w:pPr>
              <w:pStyle w:val="TableTextbold"/>
              <w:spacing w:before="40" w:after="40"/>
              <w:rPr>
                <w:rFonts w:cs="Calibri"/>
                <w:szCs w:val="18"/>
              </w:rPr>
            </w:pPr>
            <w:r w:rsidRPr="00B87CC5">
              <w:rPr>
                <w:rFonts w:cs="Calibri"/>
                <w:color w:val="000000"/>
                <w:szCs w:val="18"/>
              </w:rPr>
              <w:t>Agriculture</w:t>
            </w:r>
          </w:p>
        </w:tc>
        <w:tc>
          <w:tcPr>
            <w:tcW w:w="467" w:type="pct"/>
            <w:tcBorders>
              <w:bottom w:val="single" w:sz="8" w:space="0" w:color="1C556C" w:themeColor="accent1"/>
            </w:tcBorders>
            <w:shd w:val="clear" w:color="auto" w:fill="D2DDE1" w:themeFill="background2"/>
            <w:noWrap/>
          </w:tcPr>
          <w:p w14:paraId="6F9F36D7" w14:textId="479400A7" w:rsidR="00E33EE8" w:rsidRPr="00B87CC5" w:rsidRDefault="00A97EEA"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4,237</w:t>
            </w:r>
          </w:p>
        </w:tc>
        <w:tc>
          <w:tcPr>
            <w:tcW w:w="467" w:type="pct"/>
            <w:tcBorders>
              <w:bottom w:val="single" w:sz="8" w:space="0" w:color="1C556C" w:themeColor="accent1"/>
            </w:tcBorders>
            <w:shd w:val="clear" w:color="auto" w:fill="D2DDE1" w:themeFill="background2"/>
            <w:noWrap/>
          </w:tcPr>
          <w:p w14:paraId="50B44BED" w14:textId="13E9ED8C" w:rsidR="00E33EE8" w:rsidRPr="00B87CC5" w:rsidRDefault="00A97EEA"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10%</w:t>
            </w:r>
          </w:p>
        </w:tc>
        <w:tc>
          <w:tcPr>
            <w:tcW w:w="467" w:type="pct"/>
            <w:tcBorders>
              <w:bottom w:val="single" w:sz="8" w:space="0" w:color="1C556C" w:themeColor="accent1"/>
            </w:tcBorders>
            <w:shd w:val="clear" w:color="auto" w:fill="D2DDE1" w:themeFill="background2"/>
          </w:tcPr>
          <w:p w14:paraId="06ACA09D" w14:textId="1E55EC3D" w:rsidR="00E33EE8" w:rsidRPr="00B87CC5" w:rsidRDefault="00AF2D33"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43%</w:t>
            </w:r>
          </w:p>
        </w:tc>
        <w:tc>
          <w:tcPr>
            <w:tcW w:w="495" w:type="pct"/>
            <w:tcBorders>
              <w:bottom w:val="single" w:sz="8" w:space="0" w:color="1C556C" w:themeColor="accent1"/>
            </w:tcBorders>
          </w:tcPr>
          <w:p w14:paraId="279A4E26" w14:textId="104AD666" w:rsidR="00E33EE8" w:rsidRPr="00B87CC5" w:rsidRDefault="00A97EEA"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4,796</w:t>
            </w:r>
          </w:p>
        </w:tc>
        <w:tc>
          <w:tcPr>
            <w:tcW w:w="469" w:type="pct"/>
            <w:tcBorders>
              <w:bottom w:val="single" w:sz="8" w:space="0" w:color="1C556C" w:themeColor="accent1"/>
            </w:tcBorders>
            <w:noWrap/>
          </w:tcPr>
          <w:p w14:paraId="2FD1A554" w14:textId="220FC5EC" w:rsidR="00E33EE8" w:rsidRPr="00B87CC5" w:rsidRDefault="00A97EEA"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11%</w:t>
            </w:r>
          </w:p>
        </w:tc>
        <w:tc>
          <w:tcPr>
            <w:tcW w:w="466" w:type="pct"/>
            <w:tcBorders>
              <w:bottom w:val="single" w:sz="8" w:space="0" w:color="1C556C" w:themeColor="accent1"/>
            </w:tcBorders>
            <w:noWrap/>
          </w:tcPr>
          <w:p w14:paraId="18C06661" w14:textId="7D9B9C6D" w:rsidR="00E33EE8" w:rsidRPr="00B87CC5" w:rsidRDefault="00AF2D33"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37%</w:t>
            </w:r>
          </w:p>
        </w:tc>
        <w:tc>
          <w:tcPr>
            <w:tcW w:w="494" w:type="pct"/>
            <w:tcBorders>
              <w:bottom w:val="single" w:sz="8" w:space="0" w:color="1C556C" w:themeColor="accent1"/>
            </w:tcBorders>
            <w:shd w:val="clear" w:color="auto" w:fill="D2DDE1" w:themeFill="background2"/>
            <w:noWrap/>
          </w:tcPr>
          <w:p w14:paraId="28244911" w14:textId="5228B16B" w:rsidR="00E33EE8" w:rsidRPr="00B87CC5" w:rsidRDefault="00A97EEA"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5,445</w:t>
            </w:r>
          </w:p>
        </w:tc>
        <w:tc>
          <w:tcPr>
            <w:tcW w:w="466" w:type="pct"/>
            <w:tcBorders>
              <w:bottom w:val="single" w:sz="8" w:space="0" w:color="1C556C" w:themeColor="accent1"/>
            </w:tcBorders>
            <w:shd w:val="clear" w:color="auto" w:fill="D2DDE1" w:themeFill="background2"/>
          </w:tcPr>
          <w:p w14:paraId="2B78363C" w14:textId="7E2B4908" w:rsidR="00E33EE8" w:rsidRPr="00B87CC5" w:rsidRDefault="00A97EEA"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13%</w:t>
            </w:r>
          </w:p>
        </w:tc>
        <w:tc>
          <w:tcPr>
            <w:tcW w:w="469" w:type="pct"/>
            <w:tcBorders>
              <w:bottom w:val="single" w:sz="8" w:space="0" w:color="1C556C" w:themeColor="accent1"/>
            </w:tcBorders>
            <w:shd w:val="clear" w:color="auto" w:fill="D2DDE1" w:themeFill="background2"/>
            <w:noWrap/>
          </w:tcPr>
          <w:p w14:paraId="1313E300" w14:textId="4F557DD0" w:rsidR="00E33EE8" w:rsidRPr="00B87CC5" w:rsidRDefault="00AF2D33"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b w:val="0"/>
                <w:bCs/>
                <w:szCs w:val="18"/>
              </w:rPr>
            </w:pPr>
            <w:r w:rsidRPr="00B87CC5">
              <w:rPr>
                <w:rFonts w:cs="Calibri"/>
                <w:b w:val="0"/>
                <w:bCs/>
                <w:szCs w:val="18"/>
              </w:rPr>
              <w:t>24%</w:t>
            </w:r>
          </w:p>
        </w:tc>
      </w:tr>
      <w:tr w:rsidR="00BC1541" w:rsidRPr="00B87CC5" w14:paraId="528713D3" w14:textId="77777777" w:rsidTr="00BC154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41" w:type="pct"/>
            <w:tcBorders>
              <w:left w:val="nil"/>
            </w:tcBorders>
            <w:vAlign w:val="bottom"/>
          </w:tcPr>
          <w:p w14:paraId="5987C4B6" w14:textId="276F2526" w:rsidR="00E33EE8" w:rsidRPr="00B87CC5" w:rsidRDefault="00E33EE8" w:rsidP="00D10778">
            <w:pPr>
              <w:pStyle w:val="TableTextbold"/>
              <w:spacing w:before="40" w:after="40"/>
              <w:rPr>
                <w:rFonts w:cs="Calibri"/>
                <w:szCs w:val="18"/>
              </w:rPr>
            </w:pPr>
            <w:r w:rsidRPr="00B87CC5">
              <w:rPr>
                <w:rFonts w:cs="Calibri"/>
                <w:color w:val="000000"/>
                <w:szCs w:val="18"/>
              </w:rPr>
              <w:t>Waste</w:t>
            </w:r>
          </w:p>
        </w:tc>
        <w:tc>
          <w:tcPr>
            <w:tcW w:w="467" w:type="pct"/>
            <w:shd w:val="clear" w:color="auto" w:fill="D2DDE1" w:themeFill="background2"/>
            <w:noWrap/>
          </w:tcPr>
          <w:p w14:paraId="48926D22" w14:textId="5D9DBF13" w:rsidR="00E33EE8" w:rsidRPr="00B87CC5" w:rsidRDefault="00A97EEA" w:rsidP="00D10778">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310</w:t>
            </w:r>
          </w:p>
        </w:tc>
        <w:tc>
          <w:tcPr>
            <w:tcW w:w="467" w:type="pct"/>
            <w:shd w:val="clear" w:color="auto" w:fill="D2DDE1" w:themeFill="background2"/>
            <w:noWrap/>
          </w:tcPr>
          <w:p w14:paraId="15B88B85" w14:textId="07B82FD2" w:rsidR="00E33EE8" w:rsidRPr="00B87CC5" w:rsidRDefault="00A97EEA" w:rsidP="00D10778">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9%</w:t>
            </w:r>
          </w:p>
        </w:tc>
        <w:tc>
          <w:tcPr>
            <w:tcW w:w="467" w:type="pct"/>
            <w:shd w:val="clear" w:color="auto" w:fill="D2DDE1" w:themeFill="background2"/>
          </w:tcPr>
          <w:p w14:paraId="23F818C4" w14:textId="254E884D" w:rsidR="00E33EE8" w:rsidRPr="00B87CC5" w:rsidRDefault="00AF2D33" w:rsidP="00D10778">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3%</w:t>
            </w:r>
          </w:p>
        </w:tc>
        <w:tc>
          <w:tcPr>
            <w:tcW w:w="495" w:type="pct"/>
          </w:tcPr>
          <w:p w14:paraId="7FDAD4B7" w14:textId="400F3EB1" w:rsidR="00E33EE8" w:rsidRPr="00B87CC5" w:rsidRDefault="00A97EEA" w:rsidP="00D10778">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375</w:t>
            </w:r>
          </w:p>
        </w:tc>
        <w:tc>
          <w:tcPr>
            <w:tcW w:w="469" w:type="pct"/>
            <w:noWrap/>
          </w:tcPr>
          <w:p w14:paraId="63CD18B3" w14:textId="23E4D702" w:rsidR="00E33EE8" w:rsidRPr="00B87CC5" w:rsidRDefault="00A97EEA" w:rsidP="00D10778">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10%</w:t>
            </w:r>
          </w:p>
        </w:tc>
        <w:tc>
          <w:tcPr>
            <w:tcW w:w="466" w:type="pct"/>
            <w:noWrap/>
          </w:tcPr>
          <w:p w14:paraId="4E398263" w14:textId="1C76CEE3" w:rsidR="00E33EE8" w:rsidRPr="00B87CC5" w:rsidRDefault="00AF2D33" w:rsidP="00D10778">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3%</w:t>
            </w:r>
          </w:p>
        </w:tc>
        <w:tc>
          <w:tcPr>
            <w:tcW w:w="494" w:type="pct"/>
            <w:shd w:val="clear" w:color="auto" w:fill="D2DDE1" w:themeFill="background2"/>
            <w:noWrap/>
          </w:tcPr>
          <w:p w14:paraId="0F4BF75F" w14:textId="1D191EE0" w:rsidR="00E33EE8" w:rsidRPr="00B87CC5" w:rsidRDefault="00A97EEA" w:rsidP="00D10778">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465</w:t>
            </w:r>
          </w:p>
        </w:tc>
        <w:tc>
          <w:tcPr>
            <w:tcW w:w="466" w:type="pct"/>
            <w:tcBorders>
              <w:right w:val="single" w:sz="4" w:space="0" w:color="1C556C" w:themeColor="accent1"/>
            </w:tcBorders>
            <w:shd w:val="clear" w:color="auto" w:fill="D2DDE1" w:themeFill="background2"/>
          </w:tcPr>
          <w:p w14:paraId="406B56C5" w14:textId="67C24539" w:rsidR="00E33EE8" w:rsidRPr="00B87CC5" w:rsidRDefault="00A97EEA" w:rsidP="00D10778">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w:t>
            </w:r>
            <w:r w:rsidR="00AF2D33" w:rsidRPr="00B87CC5">
              <w:rPr>
                <w:rFonts w:cs="Calibri"/>
                <w:b w:val="0"/>
                <w:bCs/>
                <w:szCs w:val="18"/>
              </w:rPr>
              <w:t>13%</w:t>
            </w:r>
          </w:p>
        </w:tc>
        <w:tc>
          <w:tcPr>
            <w:tcW w:w="469" w:type="pct"/>
            <w:tcBorders>
              <w:left w:val="single" w:sz="4" w:space="0" w:color="1C556C" w:themeColor="accent1"/>
              <w:right w:val="nil"/>
            </w:tcBorders>
            <w:shd w:val="clear" w:color="auto" w:fill="D2DDE1" w:themeFill="background2"/>
            <w:noWrap/>
          </w:tcPr>
          <w:p w14:paraId="705D9E19" w14:textId="4875F1F2" w:rsidR="00E33EE8" w:rsidRPr="00B87CC5" w:rsidRDefault="00AF2D33" w:rsidP="00D10778">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bCs/>
                <w:szCs w:val="18"/>
              </w:rPr>
            </w:pPr>
            <w:r w:rsidRPr="00B87CC5">
              <w:rPr>
                <w:rFonts w:cs="Calibri"/>
                <w:b w:val="0"/>
                <w:bCs/>
                <w:szCs w:val="18"/>
              </w:rPr>
              <w:t>2%</w:t>
            </w:r>
          </w:p>
        </w:tc>
      </w:tr>
      <w:tr w:rsidR="00B87CC5" w:rsidRPr="00B87CC5" w14:paraId="359593CC" w14:textId="77777777" w:rsidTr="00BC1541">
        <w:trPr>
          <w:trHeight w:val="290"/>
        </w:trPr>
        <w:tc>
          <w:tcPr>
            <w:cnfStyle w:val="001000000000" w:firstRow="0" w:lastRow="0" w:firstColumn="1" w:lastColumn="0" w:oddVBand="0" w:evenVBand="0" w:oddHBand="0" w:evenHBand="0" w:firstRowFirstColumn="0" w:firstRowLastColumn="0" w:lastRowFirstColumn="0" w:lastRowLastColumn="0"/>
            <w:tcW w:w="741" w:type="pct"/>
          </w:tcPr>
          <w:p w14:paraId="23BA9AC3" w14:textId="2F3ABC22" w:rsidR="00BA5F38" w:rsidRPr="00B87CC5" w:rsidRDefault="00BA5F38" w:rsidP="00D10778">
            <w:pPr>
              <w:pStyle w:val="TableTextbold"/>
              <w:spacing w:before="40" w:after="40"/>
              <w:rPr>
                <w:rFonts w:cs="Calibri"/>
                <w:b/>
                <w:szCs w:val="18"/>
              </w:rPr>
            </w:pPr>
            <w:r w:rsidRPr="00B87CC5">
              <w:rPr>
                <w:rFonts w:cs="Calibri"/>
                <w:b/>
                <w:szCs w:val="18"/>
              </w:rPr>
              <w:t xml:space="preserve">Total </w:t>
            </w:r>
          </w:p>
        </w:tc>
        <w:tc>
          <w:tcPr>
            <w:tcW w:w="467" w:type="pct"/>
            <w:shd w:val="clear" w:color="auto" w:fill="D2DDE1" w:themeFill="background2"/>
            <w:noWrap/>
          </w:tcPr>
          <w:p w14:paraId="48CFE057" w14:textId="22E69159" w:rsidR="00BA5F38" w:rsidRPr="00B87CC5" w:rsidRDefault="00A97EEA"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w:t>
            </w:r>
            <w:r w:rsidR="00AF2D33" w:rsidRPr="00B87CC5">
              <w:rPr>
                <w:rFonts w:cs="Calibri"/>
                <w:szCs w:val="18"/>
              </w:rPr>
              <w:t>9,906</w:t>
            </w:r>
          </w:p>
        </w:tc>
        <w:tc>
          <w:tcPr>
            <w:tcW w:w="467" w:type="pct"/>
            <w:shd w:val="clear" w:color="auto" w:fill="D2DDE1" w:themeFill="background2"/>
            <w:noWrap/>
          </w:tcPr>
          <w:p w14:paraId="09BB50A9" w14:textId="0262BD8E" w:rsidR="00BA5F38" w:rsidRPr="00B87CC5" w:rsidRDefault="00A97EEA"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w:t>
            </w:r>
            <w:r w:rsidR="00AF2D33" w:rsidRPr="00B87CC5">
              <w:rPr>
                <w:rFonts w:cs="Calibri"/>
                <w:szCs w:val="18"/>
              </w:rPr>
              <w:t>12%</w:t>
            </w:r>
          </w:p>
        </w:tc>
        <w:tc>
          <w:tcPr>
            <w:tcW w:w="467" w:type="pct"/>
            <w:shd w:val="clear" w:color="auto" w:fill="D2DDE1" w:themeFill="background2"/>
          </w:tcPr>
          <w:p w14:paraId="7E708432" w14:textId="14C55DDD" w:rsidR="00BA5F38" w:rsidRPr="00B87CC5" w:rsidRDefault="00AF2D33"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100%</w:t>
            </w:r>
          </w:p>
        </w:tc>
        <w:tc>
          <w:tcPr>
            <w:tcW w:w="495" w:type="pct"/>
          </w:tcPr>
          <w:p w14:paraId="3D8C658E" w14:textId="210EA93C" w:rsidR="00BA5F38" w:rsidRPr="00B87CC5" w:rsidRDefault="00A97EEA"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w:t>
            </w:r>
            <w:r w:rsidR="00AF2D33" w:rsidRPr="00B87CC5">
              <w:rPr>
                <w:rFonts w:cs="Calibri"/>
                <w:szCs w:val="18"/>
              </w:rPr>
              <w:t>12,880</w:t>
            </w:r>
          </w:p>
        </w:tc>
        <w:tc>
          <w:tcPr>
            <w:tcW w:w="469" w:type="pct"/>
            <w:noWrap/>
          </w:tcPr>
          <w:p w14:paraId="72121CC9" w14:textId="4A7F2290" w:rsidR="00BA5F38" w:rsidRPr="00B87CC5" w:rsidRDefault="00A97EEA"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w:t>
            </w:r>
            <w:r w:rsidR="00AF2D33" w:rsidRPr="00B87CC5">
              <w:rPr>
                <w:rFonts w:cs="Calibri"/>
                <w:szCs w:val="18"/>
              </w:rPr>
              <w:t>16%</w:t>
            </w:r>
          </w:p>
        </w:tc>
        <w:tc>
          <w:tcPr>
            <w:tcW w:w="466" w:type="pct"/>
            <w:noWrap/>
          </w:tcPr>
          <w:p w14:paraId="3BE75078" w14:textId="3E686E8D" w:rsidR="00BA5F38" w:rsidRPr="00B87CC5" w:rsidRDefault="00AF2D33"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100%</w:t>
            </w:r>
          </w:p>
        </w:tc>
        <w:tc>
          <w:tcPr>
            <w:tcW w:w="494" w:type="pct"/>
            <w:shd w:val="clear" w:color="auto" w:fill="D2DDE1" w:themeFill="background2"/>
            <w:noWrap/>
          </w:tcPr>
          <w:p w14:paraId="3406D267" w14:textId="0A5DCEE6" w:rsidR="00BA5F38" w:rsidRPr="00B87CC5" w:rsidRDefault="00A97EEA"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w:t>
            </w:r>
            <w:r w:rsidR="00AF2D33" w:rsidRPr="00B87CC5">
              <w:rPr>
                <w:rFonts w:cs="Calibri"/>
                <w:szCs w:val="18"/>
              </w:rPr>
              <w:t>22,884</w:t>
            </w:r>
          </w:p>
        </w:tc>
        <w:tc>
          <w:tcPr>
            <w:tcW w:w="466" w:type="pct"/>
            <w:shd w:val="clear" w:color="auto" w:fill="D2DDE1" w:themeFill="background2"/>
          </w:tcPr>
          <w:p w14:paraId="125AE7BE" w14:textId="4BD70633" w:rsidR="00BA5F38" w:rsidRPr="00B87CC5" w:rsidRDefault="00A97EEA"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w:t>
            </w:r>
            <w:r w:rsidR="00AF2D33" w:rsidRPr="00B87CC5">
              <w:rPr>
                <w:rFonts w:cs="Calibri"/>
                <w:szCs w:val="18"/>
              </w:rPr>
              <w:t>28%</w:t>
            </w:r>
          </w:p>
        </w:tc>
        <w:tc>
          <w:tcPr>
            <w:tcW w:w="469" w:type="pct"/>
            <w:shd w:val="clear" w:color="auto" w:fill="D2DDE1" w:themeFill="background2"/>
            <w:noWrap/>
          </w:tcPr>
          <w:p w14:paraId="04C285D9" w14:textId="60F1AAA1" w:rsidR="00BA5F38" w:rsidRPr="00B87CC5" w:rsidRDefault="00AF2D33" w:rsidP="00D10778">
            <w:pPr>
              <w:pStyle w:val="TableTextbold"/>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100%</w:t>
            </w:r>
          </w:p>
        </w:tc>
      </w:tr>
    </w:tbl>
    <w:p w14:paraId="76289E87" w14:textId="7EECBB25" w:rsidR="00813551" w:rsidRPr="00B87CC5" w:rsidRDefault="00813551" w:rsidP="00CF57BC">
      <w:pPr>
        <w:pStyle w:val="Note"/>
        <w:spacing w:after="0"/>
      </w:pPr>
      <w:r w:rsidRPr="00B87CC5">
        <w:t>Note: IPPU = industrial processes and product use.</w:t>
      </w:r>
    </w:p>
    <w:p w14:paraId="745C755B" w14:textId="7EFC5544" w:rsidR="00F27D84" w:rsidRPr="00B87CC5" w:rsidRDefault="00B94D71" w:rsidP="0082470E">
      <w:pPr>
        <w:pStyle w:val="Heading3"/>
      </w:pPr>
      <w:r w:rsidRPr="00B87CC5">
        <w:t>Transport</w:t>
      </w:r>
      <w:r w:rsidR="003964C8" w:rsidRPr="00B87CC5">
        <w:t xml:space="preserve"> energy</w:t>
      </w:r>
    </w:p>
    <w:p w14:paraId="4E8881DA" w14:textId="4C071AA2" w:rsidR="00C36CB6" w:rsidRPr="00B87CC5" w:rsidRDefault="009F21B8" w:rsidP="00983811">
      <w:pPr>
        <w:pStyle w:val="BodyText"/>
        <w:rPr>
          <w:lang w:eastAsia="en-US"/>
        </w:rPr>
      </w:pPr>
      <w:r w:rsidRPr="00B87CC5">
        <w:rPr>
          <w:lang w:eastAsia="en-US"/>
        </w:rPr>
        <w:t xml:space="preserve">Transport emissions </w:t>
      </w:r>
      <w:r w:rsidR="003C51BE" w:rsidRPr="00B87CC5">
        <w:rPr>
          <w:lang w:eastAsia="en-US"/>
        </w:rPr>
        <w:t xml:space="preserve">peaked in 2018 at </w:t>
      </w:r>
      <w:r w:rsidR="007E5315" w:rsidRPr="00B87CC5">
        <w:rPr>
          <w:lang w:eastAsia="en-US"/>
        </w:rPr>
        <w:t>15 Mt</w:t>
      </w:r>
      <w:r w:rsidR="00813551" w:rsidRPr="00B87CC5">
        <w:rPr>
          <w:lang w:eastAsia="en-US"/>
        </w:rPr>
        <w:t xml:space="preserve"> CO</w:t>
      </w:r>
      <w:r w:rsidR="00813551" w:rsidRPr="00B87CC5">
        <w:rPr>
          <w:vertAlign w:val="subscript"/>
          <w:lang w:eastAsia="en-US"/>
        </w:rPr>
        <w:t>2</w:t>
      </w:r>
      <w:r w:rsidR="00813551" w:rsidRPr="00B87CC5">
        <w:t>-e</w:t>
      </w:r>
      <w:r w:rsidR="006C5434" w:rsidRPr="00B87CC5">
        <w:rPr>
          <w:lang w:eastAsia="en-US"/>
        </w:rPr>
        <w:t xml:space="preserve"> but </w:t>
      </w:r>
      <w:r w:rsidR="00564FD2" w:rsidRPr="00B87CC5">
        <w:rPr>
          <w:lang w:eastAsia="en-US"/>
        </w:rPr>
        <w:t xml:space="preserve">fell to </w:t>
      </w:r>
      <w:r w:rsidR="00117761" w:rsidRPr="00B87CC5">
        <w:rPr>
          <w:lang w:eastAsia="en-US"/>
        </w:rPr>
        <w:t xml:space="preserve">13.1 </w:t>
      </w:r>
      <w:r w:rsidR="003C6700" w:rsidRPr="00B87CC5">
        <w:rPr>
          <w:lang w:eastAsia="en-US"/>
        </w:rPr>
        <w:t>Mt</w:t>
      </w:r>
      <w:r w:rsidR="00813551" w:rsidRPr="00B87CC5">
        <w:rPr>
          <w:lang w:eastAsia="en-US"/>
        </w:rPr>
        <w:t xml:space="preserve"> CO</w:t>
      </w:r>
      <w:r w:rsidR="00813551" w:rsidRPr="00B87CC5">
        <w:rPr>
          <w:vertAlign w:val="subscript"/>
          <w:lang w:eastAsia="en-US"/>
        </w:rPr>
        <w:t>2</w:t>
      </w:r>
      <w:r w:rsidR="00813551" w:rsidRPr="00B87CC5">
        <w:t>-e</w:t>
      </w:r>
      <w:r w:rsidR="003C6700" w:rsidRPr="00B87CC5">
        <w:rPr>
          <w:lang w:eastAsia="en-US"/>
        </w:rPr>
        <w:t xml:space="preserve"> in 2020</w:t>
      </w:r>
      <w:r w:rsidR="00A223B1" w:rsidRPr="00B87CC5">
        <w:rPr>
          <w:lang w:eastAsia="en-US"/>
        </w:rPr>
        <w:t xml:space="preserve"> during the </w:t>
      </w:r>
      <w:r w:rsidR="002045BD" w:rsidRPr="00B87CC5">
        <w:rPr>
          <w:lang w:eastAsia="en-US"/>
        </w:rPr>
        <w:t xml:space="preserve">COVID-19 </w:t>
      </w:r>
      <w:r w:rsidR="00032145" w:rsidRPr="00B87CC5">
        <w:rPr>
          <w:lang w:eastAsia="en-US"/>
        </w:rPr>
        <w:t>pandemic</w:t>
      </w:r>
      <w:r w:rsidR="00813551" w:rsidRPr="00B87CC5">
        <w:rPr>
          <w:lang w:eastAsia="en-US"/>
        </w:rPr>
        <w:t>,</w:t>
      </w:r>
      <w:r w:rsidR="004C6F35" w:rsidRPr="00B87CC5">
        <w:rPr>
          <w:lang w:eastAsia="en-US"/>
        </w:rPr>
        <w:t xml:space="preserve"> which saw a drop in total vehicle travel</w:t>
      </w:r>
      <w:r w:rsidR="00243782" w:rsidRPr="00B87CC5">
        <w:rPr>
          <w:lang w:eastAsia="en-US"/>
        </w:rPr>
        <w:t xml:space="preserve">. </w:t>
      </w:r>
      <w:r w:rsidR="00A7049A" w:rsidRPr="00B87CC5">
        <w:rPr>
          <w:lang w:eastAsia="en-US"/>
        </w:rPr>
        <w:t xml:space="preserve">Emissions are projected to </w:t>
      </w:r>
      <w:r w:rsidR="00520734" w:rsidRPr="00B87CC5">
        <w:rPr>
          <w:lang w:eastAsia="en-US"/>
        </w:rPr>
        <w:t xml:space="preserve">stay relatively </w:t>
      </w:r>
      <w:r w:rsidR="005E3BCB" w:rsidRPr="00B87CC5">
        <w:rPr>
          <w:lang w:eastAsia="en-US"/>
        </w:rPr>
        <w:t xml:space="preserve">constant </w:t>
      </w:r>
      <w:r w:rsidR="00E55A4E" w:rsidRPr="00B87CC5">
        <w:rPr>
          <w:lang w:eastAsia="en-US"/>
        </w:rPr>
        <w:t xml:space="preserve">over the next </w:t>
      </w:r>
      <w:r w:rsidR="00813551" w:rsidRPr="00B87CC5">
        <w:rPr>
          <w:lang w:eastAsia="en-US"/>
        </w:rPr>
        <w:t xml:space="preserve">10 </w:t>
      </w:r>
      <w:r w:rsidR="00E55A4E" w:rsidRPr="00B87CC5">
        <w:rPr>
          <w:lang w:eastAsia="en-US"/>
        </w:rPr>
        <w:t xml:space="preserve">years </w:t>
      </w:r>
      <w:r w:rsidR="00161214" w:rsidRPr="00B87CC5">
        <w:rPr>
          <w:lang w:eastAsia="en-US"/>
        </w:rPr>
        <w:t>or so</w:t>
      </w:r>
      <w:r w:rsidR="005A6DCC" w:rsidRPr="00B87CC5">
        <w:rPr>
          <w:lang w:eastAsia="en-US"/>
        </w:rPr>
        <w:t xml:space="preserve"> (</w:t>
      </w:r>
      <w:proofErr w:type="spellStart"/>
      <w:r w:rsidR="00632C02" w:rsidRPr="00B87CC5">
        <w:rPr>
          <w:lang w:eastAsia="en-US"/>
        </w:rPr>
        <w:t>eg</w:t>
      </w:r>
      <w:proofErr w:type="spellEnd"/>
      <w:r w:rsidR="00813551" w:rsidRPr="00B87CC5">
        <w:rPr>
          <w:lang w:eastAsia="en-US"/>
        </w:rPr>
        <w:t>,</w:t>
      </w:r>
      <w:r w:rsidR="00632C02" w:rsidRPr="00B87CC5">
        <w:rPr>
          <w:lang w:eastAsia="en-US"/>
        </w:rPr>
        <w:t xml:space="preserve"> </w:t>
      </w:r>
      <w:r w:rsidR="0026760B" w:rsidRPr="00B87CC5">
        <w:rPr>
          <w:lang w:eastAsia="en-US"/>
        </w:rPr>
        <w:t xml:space="preserve">reaching </w:t>
      </w:r>
      <w:r w:rsidR="005D1261" w:rsidRPr="00B87CC5">
        <w:rPr>
          <w:lang w:eastAsia="en-US"/>
        </w:rPr>
        <w:t>12.9</w:t>
      </w:r>
      <w:r w:rsidR="00813551" w:rsidRPr="00B87CC5">
        <w:rPr>
          <w:lang w:eastAsia="en-US"/>
        </w:rPr>
        <w:t xml:space="preserve"> CO</w:t>
      </w:r>
      <w:r w:rsidR="00813551" w:rsidRPr="00B87CC5">
        <w:rPr>
          <w:vertAlign w:val="subscript"/>
          <w:lang w:eastAsia="en-US"/>
        </w:rPr>
        <w:t>2</w:t>
      </w:r>
      <w:r w:rsidR="00813551" w:rsidRPr="00B87CC5">
        <w:t>-e</w:t>
      </w:r>
      <w:r w:rsidR="005D1261" w:rsidRPr="00B87CC5">
        <w:rPr>
          <w:lang w:eastAsia="en-US"/>
        </w:rPr>
        <w:t xml:space="preserve"> Mt in </w:t>
      </w:r>
      <w:r w:rsidR="00C137BC" w:rsidRPr="00B87CC5">
        <w:rPr>
          <w:lang w:eastAsia="en-US"/>
        </w:rPr>
        <w:t xml:space="preserve">2034) before falling </w:t>
      </w:r>
      <w:r w:rsidR="00665111" w:rsidRPr="00B87CC5">
        <w:rPr>
          <w:lang w:eastAsia="en-US"/>
        </w:rPr>
        <w:t xml:space="preserve">to </w:t>
      </w:r>
      <w:r w:rsidR="00957956" w:rsidRPr="00B87CC5">
        <w:rPr>
          <w:lang w:eastAsia="en-US"/>
        </w:rPr>
        <w:t>just under</w:t>
      </w:r>
      <w:r w:rsidR="00B202E8" w:rsidRPr="00B87CC5">
        <w:rPr>
          <w:lang w:eastAsia="en-US"/>
        </w:rPr>
        <w:t xml:space="preserve"> </w:t>
      </w:r>
      <w:r w:rsidR="00957956" w:rsidRPr="00B87CC5">
        <w:rPr>
          <w:lang w:eastAsia="en-US"/>
        </w:rPr>
        <w:t>7 Mt</w:t>
      </w:r>
      <w:r w:rsidR="00813551" w:rsidRPr="00B87CC5">
        <w:rPr>
          <w:lang w:eastAsia="en-US"/>
        </w:rPr>
        <w:t xml:space="preserve"> CO</w:t>
      </w:r>
      <w:r w:rsidR="00813551" w:rsidRPr="00B87CC5">
        <w:rPr>
          <w:vertAlign w:val="subscript"/>
          <w:lang w:eastAsia="en-US"/>
        </w:rPr>
        <w:t>2</w:t>
      </w:r>
      <w:r w:rsidR="00813551" w:rsidRPr="00B87CC5">
        <w:t>-e</w:t>
      </w:r>
      <w:r w:rsidR="00957956" w:rsidRPr="00B87CC5">
        <w:rPr>
          <w:lang w:eastAsia="en-US"/>
        </w:rPr>
        <w:t xml:space="preserve"> by 2050. </w:t>
      </w:r>
    </w:p>
    <w:p w14:paraId="5A438FB8" w14:textId="343BF957" w:rsidR="001C7355" w:rsidRPr="00B87CC5" w:rsidRDefault="00C36CB6" w:rsidP="00983811">
      <w:pPr>
        <w:pStyle w:val="BodyText"/>
        <w:rPr>
          <w:lang w:eastAsia="en-US"/>
        </w:rPr>
      </w:pPr>
      <w:r w:rsidRPr="00B87CC5">
        <w:rPr>
          <w:lang w:eastAsia="en-US"/>
        </w:rPr>
        <w:t xml:space="preserve">The reductions in emissions are dominated by </w:t>
      </w:r>
      <w:r w:rsidR="00F84A73" w:rsidRPr="00B87CC5">
        <w:rPr>
          <w:lang w:eastAsia="en-US"/>
        </w:rPr>
        <w:t>the change in light passenger vehicle emissions (</w:t>
      </w:r>
      <w:r w:rsidR="002045BD" w:rsidRPr="00B87CC5">
        <w:t>f</w:t>
      </w:r>
      <w:r w:rsidR="001B6E3F" w:rsidRPr="00B87CC5">
        <w:t>igure 8</w:t>
      </w:r>
      <w:r w:rsidR="00F84A73" w:rsidRPr="00B87CC5">
        <w:rPr>
          <w:lang w:eastAsia="en-US"/>
        </w:rPr>
        <w:t>)</w:t>
      </w:r>
      <w:r w:rsidR="00C45175" w:rsidRPr="00B87CC5">
        <w:rPr>
          <w:lang w:eastAsia="en-US"/>
        </w:rPr>
        <w:t>. In contrast</w:t>
      </w:r>
      <w:r w:rsidR="004A6264" w:rsidRPr="00B87CC5">
        <w:rPr>
          <w:lang w:eastAsia="en-US"/>
        </w:rPr>
        <w:t>,</w:t>
      </w:r>
      <w:r w:rsidR="00C45175" w:rsidRPr="00B87CC5">
        <w:rPr>
          <w:lang w:eastAsia="en-US"/>
        </w:rPr>
        <w:t xml:space="preserve"> domestic air emissions are projected to</w:t>
      </w:r>
      <w:r w:rsidR="00BB31A1" w:rsidRPr="00B87CC5">
        <w:rPr>
          <w:lang w:eastAsia="en-US"/>
        </w:rPr>
        <w:t xml:space="preserve"> rise</w:t>
      </w:r>
      <w:r w:rsidR="004A6264" w:rsidRPr="00B87CC5">
        <w:rPr>
          <w:lang w:eastAsia="en-US"/>
        </w:rPr>
        <w:t>, while</w:t>
      </w:r>
      <w:r w:rsidR="00786804" w:rsidRPr="00B87CC5" w:rsidDel="004A6264">
        <w:rPr>
          <w:lang w:eastAsia="en-US"/>
        </w:rPr>
        <w:t xml:space="preserve"> </w:t>
      </w:r>
      <w:r w:rsidR="007215FD" w:rsidRPr="00B87CC5">
        <w:rPr>
          <w:lang w:eastAsia="en-US"/>
        </w:rPr>
        <w:t>commercial</w:t>
      </w:r>
      <w:r w:rsidR="004A6264" w:rsidRPr="00B87CC5">
        <w:rPr>
          <w:lang w:eastAsia="en-US"/>
        </w:rPr>
        <w:t xml:space="preserve"> emissions</w:t>
      </w:r>
      <w:r w:rsidR="007215FD" w:rsidRPr="00B87CC5">
        <w:rPr>
          <w:lang w:eastAsia="en-US"/>
        </w:rPr>
        <w:t xml:space="preserve"> </w:t>
      </w:r>
      <w:r w:rsidR="008012B1" w:rsidRPr="00B87CC5">
        <w:rPr>
          <w:lang w:eastAsia="en-US"/>
        </w:rPr>
        <w:t xml:space="preserve">and </w:t>
      </w:r>
      <w:r w:rsidR="007215FD" w:rsidRPr="00B87CC5">
        <w:rPr>
          <w:lang w:eastAsia="en-US"/>
        </w:rPr>
        <w:t xml:space="preserve">truck </w:t>
      </w:r>
      <w:r w:rsidR="0058083D" w:rsidRPr="00B87CC5">
        <w:rPr>
          <w:lang w:eastAsia="en-US"/>
        </w:rPr>
        <w:t xml:space="preserve">and </w:t>
      </w:r>
      <w:r w:rsidR="007215FD" w:rsidRPr="00B87CC5">
        <w:rPr>
          <w:lang w:eastAsia="en-US"/>
        </w:rPr>
        <w:t>bus</w:t>
      </w:r>
      <w:r w:rsidR="008012B1" w:rsidRPr="00B87CC5">
        <w:rPr>
          <w:lang w:eastAsia="en-US"/>
        </w:rPr>
        <w:t xml:space="preserve"> emissions </w:t>
      </w:r>
      <w:r w:rsidR="004A6264" w:rsidRPr="00B87CC5">
        <w:rPr>
          <w:lang w:eastAsia="en-US"/>
        </w:rPr>
        <w:t xml:space="preserve">are projected </w:t>
      </w:r>
      <w:r w:rsidR="008012B1" w:rsidRPr="00B87CC5">
        <w:rPr>
          <w:lang w:eastAsia="en-US"/>
        </w:rPr>
        <w:t xml:space="preserve">to reduce later and more modestly. </w:t>
      </w:r>
      <w:r w:rsidR="00324991" w:rsidRPr="00B87CC5">
        <w:rPr>
          <w:lang w:eastAsia="en-US"/>
        </w:rPr>
        <w:t xml:space="preserve">Despite increases in total vehicle </w:t>
      </w:r>
      <w:r w:rsidRPr="00B87CC5">
        <w:rPr>
          <w:lang w:eastAsia="en-US"/>
        </w:rPr>
        <w:t>t</w:t>
      </w:r>
      <w:r w:rsidR="00324991" w:rsidRPr="00B87CC5">
        <w:rPr>
          <w:lang w:eastAsia="en-US"/>
        </w:rPr>
        <w:t>ravel, t</w:t>
      </w:r>
      <w:r w:rsidR="00956EE2" w:rsidRPr="00B87CC5">
        <w:rPr>
          <w:lang w:eastAsia="en-US"/>
        </w:rPr>
        <w:t>he transport emission</w:t>
      </w:r>
      <w:r w:rsidR="00DB0D7C" w:rsidRPr="00B87CC5">
        <w:rPr>
          <w:lang w:eastAsia="en-US"/>
        </w:rPr>
        <w:t>s</w:t>
      </w:r>
      <w:r w:rsidR="00956EE2" w:rsidRPr="00B87CC5">
        <w:rPr>
          <w:lang w:eastAsia="en-US"/>
        </w:rPr>
        <w:t xml:space="preserve"> reductions reflect the </w:t>
      </w:r>
      <w:r w:rsidR="0027630C" w:rsidRPr="00B87CC5">
        <w:rPr>
          <w:lang w:eastAsia="en-US"/>
        </w:rPr>
        <w:t xml:space="preserve">projected </w:t>
      </w:r>
      <w:r w:rsidR="00956EE2" w:rsidRPr="00B87CC5">
        <w:rPr>
          <w:lang w:eastAsia="en-US"/>
        </w:rPr>
        <w:t xml:space="preserve">shift to </w:t>
      </w:r>
      <w:r w:rsidR="004A6264" w:rsidRPr="00B87CC5">
        <w:rPr>
          <w:lang w:eastAsia="en-US"/>
        </w:rPr>
        <w:t>EV</w:t>
      </w:r>
      <w:r w:rsidR="00956EE2" w:rsidRPr="00B87CC5">
        <w:rPr>
          <w:lang w:eastAsia="en-US"/>
        </w:rPr>
        <w:t>s</w:t>
      </w:r>
      <w:r w:rsidR="00B33D94" w:rsidRPr="00B87CC5">
        <w:rPr>
          <w:lang w:eastAsia="en-US"/>
        </w:rPr>
        <w:t xml:space="preserve"> (</w:t>
      </w:r>
      <w:r w:rsidR="004A6264" w:rsidRPr="00B87CC5">
        <w:t>f</w:t>
      </w:r>
      <w:r w:rsidR="001B6E3F" w:rsidRPr="00B87CC5">
        <w:t>igure 9</w:t>
      </w:r>
      <w:r w:rsidR="00B33D94" w:rsidRPr="00B87CC5">
        <w:rPr>
          <w:lang w:eastAsia="en-US"/>
        </w:rPr>
        <w:t>)</w:t>
      </w:r>
      <w:r w:rsidR="001E5ECE" w:rsidRPr="00B87CC5">
        <w:rPr>
          <w:lang w:eastAsia="en-US"/>
        </w:rPr>
        <w:t xml:space="preserve">. </w:t>
      </w:r>
      <w:r w:rsidR="00F04C4C" w:rsidRPr="00B87CC5">
        <w:rPr>
          <w:lang w:eastAsia="en-US"/>
        </w:rPr>
        <w:t xml:space="preserve">This shift is </w:t>
      </w:r>
      <w:r w:rsidR="00013849" w:rsidRPr="00B87CC5">
        <w:rPr>
          <w:lang w:eastAsia="en-US"/>
        </w:rPr>
        <w:t xml:space="preserve">greater and faster </w:t>
      </w:r>
      <w:r w:rsidR="000A6682" w:rsidRPr="00B87CC5">
        <w:rPr>
          <w:lang w:eastAsia="en-US"/>
        </w:rPr>
        <w:t xml:space="preserve">for light passenger vehicles than for other vehicle types. </w:t>
      </w:r>
      <w:r w:rsidR="00C269E0" w:rsidRPr="00B87CC5">
        <w:rPr>
          <w:lang w:eastAsia="en-US"/>
        </w:rPr>
        <w:t>Some of th</w:t>
      </w:r>
      <w:r w:rsidR="00B40DB2" w:rsidRPr="00B87CC5">
        <w:rPr>
          <w:lang w:eastAsia="en-US"/>
        </w:rPr>
        <w:t>is</w:t>
      </w:r>
      <w:r w:rsidR="00C269E0" w:rsidRPr="00B87CC5">
        <w:rPr>
          <w:lang w:eastAsia="en-US"/>
        </w:rPr>
        <w:t xml:space="preserve"> emission</w:t>
      </w:r>
      <w:r w:rsidR="004A6264" w:rsidRPr="00B87CC5">
        <w:rPr>
          <w:lang w:eastAsia="en-US"/>
        </w:rPr>
        <w:t>s</w:t>
      </w:r>
      <w:r w:rsidR="00C269E0" w:rsidRPr="00B87CC5">
        <w:rPr>
          <w:lang w:eastAsia="en-US"/>
        </w:rPr>
        <w:t xml:space="preserve"> reduction </w:t>
      </w:r>
      <w:r w:rsidR="004A6264" w:rsidRPr="00B87CC5">
        <w:rPr>
          <w:lang w:eastAsia="en-US"/>
        </w:rPr>
        <w:t>occurs through</w:t>
      </w:r>
      <w:r w:rsidR="00C269E0" w:rsidRPr="00B87CC5">
        <w:rPr>
          <w:lang w:eastAsia="en-US"/>
        </w:rPr>
        <w:t xml:space="preserve"> a </w:t>
      </w:r>
      <w:r w:rsidR="00914BF4" w:rsidRPr="00B87CC5">
        <w:rPr>
          <w:lang w:eastAsia="en-US"/>
        </w:rPr>
        <w:t xml:space="preserve">sectoral </w:t>
      </w:r>
      <w:r w:rsidR="00C269E0" w:rsidRPr="00B87CC5">
        <w:rPr>
          <w:lang w:eastAsia="en-US"/>
        </w:rPr>
        <w:t xml:space="preserve">shift </w:t>
      </w:r>
      <w:r w:rsidR="00914BF4" w:rsidRPr="00B87CC5">
        <w:rPr>
          <w:lang w:eastAsia="en-US"/>
        </w:rPr>
        <w:t xml:space="preserve">as there will be </w:t>
      </w:r>
      <w:r w:rsidR="00F9208B" w:rsidRPr="00B87CC5">
        <w:rPr>
          <w:lang w:eastAsia="en-US"/>
        </w:rPr>
        <w:t xml:space="preserve">reduced vehicle emissions and </w:t>
      </w:r>
      <w:r w:rsidR="00676CD2" w:rsidRPr="00B87CC5">
        <w:rPr>
          <w:lang w:eastAsia="en-US"/>
        </w:rPr>
        <w:t xml:space="preserve">an </w:t>
      </w:r>
      <w:r w:rsidR="00914BF4" w:rsidRPr="00B87CC5">
        <w:rPr>
          <w:lang w:eastAsia="en-US"/>
        </w:rPr>
        <w:t xml:space="preserve">associated </w:t>
      </w:r>
      <w:r w:rsidR="001E5ECE" w:rsidRPr="00B87CC5">
        <w:rPr>
          <w:lang w:eastAsia="en-US"/>
        </w:rPr>
        <w:t xml:space="preserve">increase in emissions from electricity generation </w:t>
      </w:r>
      <w:r w:rsidR="002D0F31" w:rsidRPr="00B87CC5">
        <w:rPr>
          <w:lang w:eastAsia="en-US"/>
        </w:rPr>
        <w:t>(see below).</w:t>
      </w:r>
    </w:p>
    <w:p w14:paraId="65633E79" w14:textId="2D53F982" w:rsidR="00354E52" w:rsidRDefault="00354E52" w:rsidP="00574499">
      <w:pPr>
        <w:pStyle w:val="Figureheading"/>
        <w:spacing w:after="0"/>
      </w:pPr>
      <w:bookmarkStart w:id="37" w:name="_Ref167912535"/>
      <w:bookmarkStart w:id="38" w:name="_Toc171609783"/>
      <w:r w:rsidRPr="00B87CC5">
        <w:t xml:space="preserve">Figure </w:t>
      </w:r>
      <w:r w:rsidR="00385111">
        <w:fldChar w:fldCharType="begin"/>
      </w:r>
      <w:r w:rsidR="00385111">
        <w:instrText xml:space="preserve"> SEQ Figure \* ARABIC </w:instrText>
      </w:r>
      <w:r w:rsidR="00385111">
        <w:fldChar w:fldCharType="separate"/>
      </w:r>
      <w:r w:rsidR="001B6E3F" w:rsidRPr="00B87CC5">
        <w:t>8</w:t>
      </w:r>
      <w:r w:rsidR="00385111">
        <w:fldChar w:fldCharType="end"/>
      </w:r>
      <w:bookmarkEnd w:id="37"/>
      <w:r w:rsidR="005E1D91" w:rsidRPr="00B87CC5">
        <w:t>:</w:t>
      </w:r>
      <w:r w:rsidR="005E1D91" w:rsidRPr="00B87CC5">
        <w:tab/>
      </w:r>
      <w:r w:rsidR="00317F64" w:rsidRPr="00B87CC5">
        <w:t>Historical and projected transport e</w:t>
      </w:r>
      <w:r w:rsidR="00E62E6A" w:rsidRPr="00B87CC5">
        <w:t xml:space="preserve">missions by </w:t>
      </w:r>
      <w:r w:rsidR="00DB0D7C" w:rsidRPr="00B87CC5">
        <w:t>sub</w:t>
      </w:r>
      <w:r w:rsidR="00E62E6A" w:rsidRPr="00B87CC5">
        <w:t>sector</w:t>
      </w:r>
      <w:r w:rsidR="00674F22" w:rsidRPr="00B87CC5">
        <w:t>, 1990–2050</w:t>
      </w:r>
      <w:bookmarkEnd w:id="38"/>
    </w:p>
    <w:p w14:paraId="62ED7F8E" w14:textId="231FDEEC" w:rsidR="007958E5" w:rsidRPr="007958E5" w:rsidRDefault="003E0E65" w:rsidP="007958E5">
      <w:pPr>
        <w:pStyle w:val="BodyText"/>
      </w:pPr>
      <w:r>
        <w:rPr>
          <w:noProof/>
        </w:rPr>
        <w:drawing>
          <wp:inline distT="0" distB="0" distL="0" distR="0" wp14:anchorId="44173451" wp14:editId="76D65E18">
            <wp:extent cx="5399405" cy="3378485"/>
            <wp:effectExtent l="0" t="0" r="0" b="0"/>
            <wp:docPr id="1681610313" name="Picture 57" descr="A line graph showing transport emissions for light passenger road, light commercial road, trucks and buses, domestic air, and rail and mar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10313" name="Picture 57" descr="A line graph showing transport emissions for light passenger road, light commercial road, trucks and buses, domestic air, and rail and marine. "/>
                    <pic:cNvPicPr>
                      <a:picLocks noChangeAspect="1" noChangeArrowheads="1"/>
                    </pic:cNvPicPr>
                  </pic:nvPicPr>
                  <pic:blipFill rotWithShape="1">
                    <a:blip r:embed="rId31">
                      <a:extLst>
                        <a:ext uri="{28A0092B-C50C-407E-A947-70E740481C1C}">
                          <a14:useLocalDpi xmlns:a14="http://schemas.microsoft.com/office/drawing/2010/main" val="0"/>
                        </a:ext>
                      </a:extLst>
                    </a:blip>
                    <a:srcRect l="4797" t="2326" r="3022" b="9368"/>
                    <a:stretch/>
                  </pic:blipFill>
                  <pic:spPr bwMode="auto">
                    <a:xfrm>
                      <a:off x="0" y="0"/>
                      <a:ext cx="5400000" cy="3378857"/>
                    </a:xfrm>
                    <a:prstGeom prst="rect">
                      <a:avLst/>
                    </a:prstGeom>
                    <a:noFill/>
                    <a:ln>
                      <a:noFill/>
                    </a:ln>
                    <a:extLst>
                      <a:ext uri="{53640926-AAD7-44D8-BBD7-CCE9431645EC}">
                        <a14:shadowObscured xmlns:a14="http://schemas.microsoft.com/office/drawing/2010/main"/>
                      </a:ext>
                    </a:extLst>
                  </pic:spPr>
                </pic:pic>
              </a:graphicData>
            </a:graphic>
          </wp:inline>
        </w:drawing>
      </w:r>
    </w:p>
    <w:p w14:paraId="1F97EE52" w14:textId="60068F9D" w:rsidR="00354E52" w:rsidRDefault="00354E52" w:rsidP="002A01AE">
      <w:pPr>
        <w:pStyle w:val="Figureheading"/>
        <w:spacing w:before="240" w:after="80"/>
      </w:pPr>
      <w:bookmarkStart w:id="39" w:name="_Ref170313145"/>
      <w:bookmarkStart w:id="40" w:name="_Toc171609784"/>
      <w:r w:rsidRPr="00B87CC5">
        <w:lastRenderedPageBreak/>
        <w:t xml:space="preserve">Figure </w:t>
      </w:r>
      <w:r w:rsidR="00385111">
        <w:fldChar w:fldCharType="begin"/>
      </w:r>
      <w:r w:rsidR="00385111">
        <w:instrText xml:space="preserve"> SEQ Figure \* ARABIC </w:instrText>
      </w:r>
      <w:r w:rsidR="00385111">
        <w:fldChar w:fldCharType="separate"/>
      </w:r>
      <w:r w:rsidR="001B6E3F" w:rsidRPr="00B87CC5">
        <w:t>9</w:t>
      </w:r>
      <w:r w:rsidR="00385111">
        <w:fldChar w:fldCharType="end"/>
      </w:r>
      <w:bookmarkEnd w:id="39"/>
      <w:r w:rsidR="005E1D91" w:rsidRPr="00B87CC5">
        <w:t>:</w:t>
      </w:r>
      <w:r w:rsidR="005E1D91" w:rsidRPr="00B87CC5">
        <w:tab/>
      </w:r>
      <w:r w:rsidRPr="00B87CC5">
        <w:t xml:space="preserve">Travel distance by vehicle type </w:t>
      </w:r>
      <w:r w:rsidR="004A6264" w:rsidRPr="00B87CC5">
        <w:t xml:space="preserve">– </w:t>
      </w:r>
      <w:r w:rsidRPr="00B87CC5">
        <w:t>all road vehicles</w:t>
      </w:r>
      <w:r w:rsidR="004A6264" w:rsidRPr="00B87CC5">
        <w:t>, 2020–50</w:t>
      </w:r>
      <w:bookmarkEnd w:id="40"/>
    </w:p>
    <w:p w14:paraId="76E21E6F" w14:textId="660D4E20" w:rsidR="00834C73" w:rsidRPr="00834C73" w:rsidRDefault="003D6590" w:rsidP="00834C73">
      <w:pPr>
        <w:pStyle w:val="BodyText"/>
      </w:pPr>
      <w:r>
        <w:rPr>
          <w:noProof/>
        </w:rPr>
        <w:drawing>
          <wp:inline distT="0" distB="0" distL="0" distR="0" wp14:anchorId="2C14B865" wp14:editId="30356EDA">
            <wp:extent cx="5399093" cy="3498737"/>
            <wp:effectExtent l="0" t="0" r="0" b="6985"/>
            <wp:docPr id="783864894" name="Picture 55" descr="An area graph showing the contribution to road transport emissions by fuel type. The fuel categories are petrol, diesel, battery electric, plug-in hybrid, and hydro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64894" name="Picture 55" descr="An area graph showing the contribution to road transport emissions by fuel type. The fuel categories are petrol, diesel, battery electric, plug-in hybrid, and hydrogen. "/>
                    <pic:cNvPicPr>
                      <a:picLocks noChangeAspect="1" noChangeArrowheads="1"/>
                    </pic:cNvPicPr>
                  </pic:nvPicPr>
                  <pic:blipFill rotWithShape="1">
                    <a:blip r:embed="rId32">
                      <a:extLst>
                        <a:ext uri="{28A0092B-C50C-407E-A947-70E740481C1C}">
                          <a14:useLocalDpi xmlns:a14="http://schemas.microsoft.com/office/drawing/2010/main" val="0"/>
                        </a:ext>
                      </a:extLst>
                    </a:blip>
                    <a:srcRect l="2100" t="2392" r="3177" b="3596"/>
                    <a:stretch/>
                  </pic:blipFill>
                  <pic:spPr bwMode="auto">
                    <a:xfrm>
                      <a:off x="0" y="0"/>
                      <a:ext cx="5400000" cy="3499325"/>
                    </a:xfrm>
                    <a:prstGeom prst="rect">
                      <a:avLst/>
                    </a:prstGeom>
                    <a:noFill/>
                    <a:ln>
                      <a:noFill/>
                    </a:ln>
                    <a:extLst>
                      <a:ext uri="{53640926-AAD7-44D8-BBD7-CCE9431645EC}">
                        <a14:shadowObscured xmlns:a14="http://schemas.microsoft.com/office/drawing/2010/main"/>
                      </a:ext>
                    </a:extLst>
                  </pic:spPr>
                </pic:pic>
              </a:graphicData>
            </a:graphic>
          </wp:inline>
        </w:drawing>
      </w:r>
    </w:p>
    <w:p w14:paraId="765818F7" w14:textId="78274E73" w:rsidR="00951FFC" w:rsidRPr="00B87CC5" w:rsidRDefault="00951FFC" w:rsidP="0049137C">
      <w:pPr>
        <w:pStyle w:val="Note"/>
        <w:spacing w:before="80"/>
        <w:rPr>
          <w:lang w:eastAsia="en-US"/>
        </w:rPr>
      </w:pPr>
      <w:r w:rsidRPr="00B87CC5">
        <w:rPr>
          <w:lang w:eastAsia="en-US"/>
        </w:rPr>
        <w:t>Note: BEV = battery electric vehicle; PHEV = plug-in hybrid electric vehicle.</w:t>
      </w:r>
    </w:p>
    <w:p w14:paraId="1BDD25B9" w14:textId="53DAA008" w:rsidR="00B1666F" w:rsidRPr="00B87CC5" w:rsidRDefault="003964C8" w:rsidP="0084548F">
      <w:pPr>
        <w:pStyle w:val="Heading3"/>
      </w:pPr>
      <w:r w:rsidRPr="00B87CC5">
        <w:t>Non-transport e</w:t>
      </w:r>
      <w:r w:rsidR="00B1666F" w:rsidRPr="00B87CC5">
        <w:t>nergy</w:t>
      </w:r>
    </w:p>
    <w:p w14:paraId="595BA3D1" w14:textId="6C9ED84A" w:rsidR="00B1666F" w:rsidRPr="00B87CC5" w:rsidRDefault="00D27331" w:rsidP="0084548F">
      <w:pPr>
        <w:pStyle w:val="BodyText"/>
        <w:rPr>
          <w:lang w:eastAsia="en-US"/>
        </w:rPr>
      </w:pPr>
      <w:r w:rsidRPr="00B87CC5">
        <w:rPr>
          <w:lang w:eastAsia="en-US"/>
        </w:rPr>
        <w:t xml:space="preserve">Historical and </w:t>
      </w:r>
      <w:r w:rsidR="00A84864" w:rsidRPr="00B87CC5">
        <w:rPr>
          <w:lang w:eastAsia="en-US"/>
        </w:rPr>
        <w:t>ENZ interim</w:t>
      </w:r>
      <w:r w:rsidRPr="00B87CC5">
        <w:rPr>
          <w:lang w:eastAsia="en-US"/>
        </w:rPr>
        <w:t xml:space="preserve"> projected energy emissions</w:t>
      </w:r>
      <w:r w:rsidR="00ED68B3" w:rsidRPr="00B87CC5">
        <w:rPr>
          <w:lang w:eastAsia="en-US"/>
        </w:rPr>
        <w:t xml:space="preserve"> by subsector</w:t>
      </w:r>
      <w:r w:rsidRPr="00B87CC5">
        <w:rPr>
          <w:lang w:eastAsia="en-US"/>
        </w:rPr>
        <w:t xml:space="preserve"> </w:t>
      </w:r>
      <w:r w:rsidR="009C54C3" w:rsidRPr="00B87CC5">
        <w:rPr>
          <w:lang w:eastAsia="en-US"/>
        </w:rPr>
        <w:t xml:space="preserve">are </w:t>
      </w:r>
      <w:r w:rsidR="00ED68B3" w:rsidRPr="00B87CC5">
        <w:rPr>
          <w:lang w:eastAsia="en-US"/>
        </w:rPr>
        <w:t>shown</w:t>
      </w:r>
      <w:r w:rsidR="00F720C6" w:rsidRPr="00B87CC5">
        <w:rPr>
          <w:lang w:eastAsia="en-US"/>
        </w:rPr>
        <w:t xml:space="preserve"> in </w:t>
      </w:r>
      <w:r w:rsidR="00966010" w:rsidRPr="00B87CC5">
        <w:t>f</w:t>
      </w:r>
      <w:r w:rsidR="001B6E3F" w:rsidRPr="00B87CC5">
        <w:t>igure 10</w:t>
      </w:r>
      <w:r w:rsidR="00F720C6" w:rsidRPr="00B87CC5">
        <w:rPr>
          <w:lang w:eastAsia="en-US"/>
        </w:rPr>
        <w:t>.</w:t>
      </w:r>
      <w:r w:rsidR="00ED68B3" w:rsidRPr="00B87CC5">
        <w:rPr>
          <w:lang w:eastAsia="en-US"/>
        </w:rPr>
        <w:t xml:space="preserve"> </w:t>
      </w:r>
      <w:r w:rsidR="006541A7" w:rsidRPr="00B87CC5">
        <w:rPr>
          <w:lang w:eastAsia="en-US"/>
        </w:rPr>
        <w:t>Historically</w:t>
      </w:r>
      <w:r w:rsidR="00966010" w:rsidRPr="00B87CC5">
        <w:rPr>
          <w:lang w:eastAsia="en-US"/>
        </w:rPr>
        <w:t>,</w:t>
      </w:r>
      <w:r w:rsidR="006541A7" w:rsidRPr="00B87CC5">
        <w:rPr>
          <w:lang w:eastAsia="en-US"/>
        </w:rPr>
        <w:t xml:space="preserve"> </w:t>
      </w:r>
      <w:r w:rsidR="00117499" w:rsidRPr="00B87CC5">
        <w:rPr>
          <w:lang w:eastAsia="en-US"/>
        </w:rPr>
        <w:t xml:space="preserve">manufacturing and electricity generation have been the </w:t>
      </w:r>
      <w:r w:rsidR="00940FD3" w:rsidRPr="00B87CC5">
        <w:rPr>
          <w:lang w:eastAsia="en-US"/>
        </w:rPr>
        <w:t>largest emission sources</w:t>
      </w:r>
      <w:r w:rsidR="005D2118" w:rsidRPr="00B87CC5">
        <w:rPr>
          <w:lang w:eastAsia="en-US"/>
        </w:rPr>
        <w:t xml:space="preserve">, followed by </w:t>
      </w:r>
      <w:r w:rsidR="006E5EDC" w:rsidRPr="00B87CC5">
        <w:rPr>
          <w:lang w:eastAsia="en-US"/>
        </w:rPr>
        <w:t>‘</w:t>
      </w:r>
      <w:r w:rsidR="005D2118" w:rsidRPr="00B87CC5">
        <w:rPr>
          <w:lang w:eastAsia="en-US"/>
        </w:rPr>
        <w:t>residential, commercial and agriculture</w:t>
      </w:r>
      <w:r w:rsidR="006E5EDC" w:rsidRPr="00B87CC5">
        <w:rPr>
          <w:lang w:eastAsia="en-US"/>
        </w:rPr>
        <w:t>’</w:t>
      </w:r>
      <w:r w:rsidR="00E65379" w:rsidRPr="00B87CC5">
        <w:rPr>
          <w:lang w:eastAsia="en-US"/>
        </w:rPr>
        <w:t>.</w:t>
      </w:r>
      <w:r w:rsidR="005D2118" w:rsidRPr="00B87CC5">
        <w:rPr>
          <w:lang w:eastAsia="en-US"/>
        </w:rPr>
        <w:t xml:space="preserve"> </w:t>
      </w:r>
      <w:r w:rsidR="00553379" w:rsidRPr="00B87CC5">
        <w:rPr>
          <w:lang w:eastAsia="en-US"/>
        </w:rPr>
        <w:t>Other energy indust</w:t>
      </w:r>
      <w:r w:rsidR="003D2FAC" w:rsidRPr="00B87CC5">
        <w:rPr>
          <w:lang w:eastAsia="en-US"/>
        </w:rPr>
        <w:t xml:space="preserve">ries include petrochemicals, such as oil refining that </w:t>
      </w:r>
      <w:r w:rsidR="000F519D" w:rsidRPr="00B87CC5">
        <w:rPr>
          <w:lang w:eastAsia="en-US"/>
        </w:rPr>
        <w:t>finished in 2022 with the closure of the Marsden Point</w:t>
      </w:r>
      <w:r w:rsidR="00CF57BC" w:rsidRPr="00B87CC5">
        <w:rPr>
          <w:lang w:eastAsia="en-US"/>
        </w:rPr>
        <w:t> </w:t>
      </w:r>
      <w:r w:rsidR="000F519D" w:rsidRPr="00B87CC5">
        <w:rPr>
          <w:lang w:eastAsia="en-US"/>
        </w:rPr>
        <w:t>refinery</w:t>
      </w:r>
      <w:r w:rsidR="005C5DD9" w:rsidRPr="00B87CC5">
        <w:rPr>
          <w:lang w:eastAsia="en-US"/>
        </w:rPr>
        <w:t>.</w:t>
      </w:r>
      <w:r w:rsidR="00F36EC6" w:rsidRPr="00B87CC5">
        <w:rPr>
          <w:lang w:eastAsia="en-US"/>
        </w:rPr>
        <w:t xml:space="preserve"> Fugitive emissions </w:t>
      </w:r>
      <w:r w:rsidR="009D2772" w:rsidRPr="00B87CC5">
        <w:rPr>
          <w:lang w:eastAsia="en-US"/>
        </w:rPr>
        <w:t xml:space="preserve">arise from </w:t>
      </w:r>
      <w:r w:rsidR="00C0629C" w:rsidRPr="00B87CC5">
        <w:rPr>
          <w:lang w:eastAsia="en-US"/>
        </w:rPr>
        <w:t xml:space="preserve">sources including </w:t>
      </w:r>
      <w:r w:rsidR="009D2772" w:rsidRPr="00B87CC5">
        <w:rPr>
          <w:lang w:eastAsia="en-US"/>
        </w:rPr>
        <w:t xml:space="preserve">the </w:t>
      </w:r>
      <w:r w:rsidR="00711898" w:rsidRPr="00B87CC5">
        <w:rPr>
          <w:lang w:eastAsia="en-US"/>
        </w:rPr>
        <w:t xml:space="preserve">production, </w:t>
      </w:r>
      <w:r w:rsidR="002F70AF" w:rsidRPr="00B87CC5">
        <w:rPr>
          <w:lang w:eastAsia="en-US"/>
        </w:rPr>
        <w:t>transmission</w:t>
      </w:r>
      <w:r w:rsidR="00711898" w:rsidRPr="00B87CC5">
        <w:rPr>
          <w:lang w:eastAsia="en-US"/>
        </w:rPr>
        <w:t xml:space="preserve"> and storage of fuels, </w:t>
      </w:r>
      <w:r w:rsidR="0065457A" w:rsidRPr="00B87CC5">
        <w:rPr>
          <w:lang w:eastAsia="en-US"/>
        </w:rPr>
        <w:t>such as</w:t>
      </w:r>
      <w:r w:rsidR="00711898" w:rsidRPr="00B87CC5">
        <w:rPr>
          <w:lang w:eastAsia="en-US"/>
        </w:rPr>
        <w:t xml:space="preserve"> gas </w:t>
      </w:r>
      <w:r w:rsidR="00F36EC6" w:rsidRPr="00B87CC5">
        <w:rPr>
          <w:lang w:eastAsia="en-US"/>
        </w:rPr>
        <w:t>leaks</w:t>
      </w:r>
      <w:r w:rsidR="00711898" w:rsidRPr="00B87CC5">
        <w:rPr>
          <w:lang w:eastAsia="en-US"/>
        </w:rPr>
        <w:t>,</w:t>
      </w:r>
      <w:r w:rsidR="003878D1" w:rsidRPr="00B87CC5">
        <w:rPr>
          <w:lang w:eastAsia="en-US"/>
        </w:rPr>
        <w:t xml:space="preserve"> and</w:t>
      </w:r>
      <w:r w:rsidR="00711898" w:rsidRPr="00B87CC5">
        <w:rPr>
          <w:lang w:eastAsia="en-US"/>
        </w:rPr>
        <w:t xml:space="preserve"> </w:t>
      </w:r>
      <w:r w:rsidR="003878D1" w:rsidRPr="00B87CC5">
        <w:rPr>
          <w:lang w:eastAsia="en-US"/>
        </w:rPr>
        <w:t xml:space="preserve">carbon dioxide </w:t>
      </w:r>
      <w:r w:rsidR="00C0629C" w:rsidRPr="00B87CC5">
        <w:rPr>
          <w:lang w:eastAsia="en-US"/>
        </w:rPr>
        <w:t>venting at gas treatment plants and</w:t>
      </w:r>
      <w:r w:rsidR="00CF57BC" w:rsidRPr="00B87CC5">
        <w:rPr>
          <w:lang w:eastAsia="en-US"/>
        </w:rPr>
        <w:t> </w:t>
      </w:r>
      <w:r w:rsidR="00C0629C" w:rsidRPr="00B87CC5">
        <w:rPr>
          <w:lang w:eastAsia="en-US"/>
        </w:rPr>
        <w:t>from geothermal fields.</w:t>
      </w:r>
    </w:p>
    <w:p w14:paraId="433783F5" w14:textId="02BCFED1" w:rsidR="00451CA3" w:rsidRDefault="00451CA3" w:rsidP="00C64711">
      <w:pPr>
        <w:pStyle w:val="Figureheading"/>
        <w:spacing w:before="0" w:after="80"/>
      </w:pPr>
      <w:bookmarkStart w:id="41" w:name="_Ref170214632"/>
      <w:bookmarkStart w:id="42" w:name="_Toc171609785"/>
      <w:r w:rsidRPr="00B87CC5">
        <w:lastRenderedPageBreak/>
        <w:t xml:space="preserve">Figure </w:t>
      </w:r>
      <w:r w:rsidR="00385111">
        <w:fldChar w:fldCharType="begin"/>
      </w:r>
      <w:r w:rsidR="00385111">
        <w:instrText xml:space="preserve"> SEQ Figure \* ARABIC </w:instrText>
      </w:r>
      <w:r w:rsidR="00385111">
        <w:fldChar w:fldCharType="separate"/>
      </w:r>
      <w:r w:rsidR="001B6E3F" w:rsidRPr="00B87CC5">
        <w:t>10</w:t>
      </w:r>
      <w:r w:rsidR="00385111">
        <w:fldChar w:fldCharType="end"/>
      </w:r>
      <w:bookmarkEnd w:id="41"/>
      <w:r w:rsidR="005E1D91" w:rsidRPr="00B87CC5">
        <w:t>:</w:t>
      </w:r>
      <w:r w:rsidR="005E1D91" w:rsidRPr="00B87CC5">
        <w:tab/>
      </w:r>
      <w:r w:rsidRPr="00B87CC5">
        <w:t>Historical and projected energy emissions</w:t>
      </w:r>
      <w:r w:rsidR="00A86CDD" w:rsidRPr="00B87CC5">
        <w:t xml:space="preserve"> by subsector, 1990–2050</w:t>
      </w:r>
      <w:bookmarkEnd w:id="42"/>
    </w:p>
    <w:p w14:paraId="19BD667B" w14:textId="06B67CF6" w:rsidR="00664B75" w:rsidRPr="00664B75" w:rsidRDefault="00664B75" w:rsidP="00664B75">
      <w:pPr>
        <w:pStyle w:val="BodyText"/>
      </w:pPr>
      <w:r>
        <w:rPr>
          <w:noProof/>
        </w:rPr>
        <w:drawing>
          <wp:inline distT="0" distB="0" distL="0" distR="0" wp14:anchorId="6B642283" wp14:editId="38B69586">
            <wp:extent cx="5400000" cy="3022794"/>
            <wp:effectExtent l="0" t="0" r="0" b="6350"/>
            <wp:docPr id="417792727" name="Picture 54" descr="A line chart showing non-transport energy emissions by category. The categories are electricity generation, manufacturing and construction, other energy industries, fugitive, and residential, commercial and agri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92727" name="Picture 54" descr="A line chart showing non-transport energy emissions by category. The categories are electricity generation, manufacturing and construction, other energy industries, fugitive, and residential, commercial and agriculture.  "/>
                    <pic:cNvPicPr>
                      <a:picLocks noChangeAspect="1" noChangeArrowheads="1"/>
                    </pic:cNvPicPr>
                  </pic:nvPicPr>
                  <pic:blipFill rotWithShape="1">
                    <a:blip r:embed="rId33">
                      <a:extLst>
                        <a:ext uri="{28A0092B-C50C-407E-A947-70E740481C1C}">
                          <a14:useLocalDpi xmlns:a14="http://schemas.microsoft.com/office/drawing/2010/main" val="0"/>
                        </a:ext>
                      </a:extLst>
                    </a:blip>
                    <a:srcRect r="2279" b="16221"/>
                    <a:stretch/>
                  </pic:blipFill>
                  <pic:spPr bwMode="auto">
                    <a:xfrm>
                      <a:off x="0" y="0"/>
                      <a:ext cx="5400000" cy="3022794"/>
                    </a:xfrm>
                    <a:prstGeom prst="rect">
                      <a:avLst/>
                    </a:prstGeom>
                    <a:noFill/>
                    <a:ln>
                      <a:noFill/>
                    </a:ln>
                    <a:extLst>
                      <a:ext uri="{53640926-AAD7-44D8-BBD7-CCE9431645EC}">
                        <a14:shadowObscured xmlns:a14="http://schemas.microsoft.com/office/drawing/2010/main"/>
                      </a:ext>
                    </a:extLst>
                  </pic:spPr>
                </pic:pic>
              </a:graphicData>
            </a:graphic>
          </wp:inline>
        </w:drawing>
      </w:r>
    </w:p>
    <w:p w14:paraId="37789ABB" w14:textId="3F78C636" w:rsidR="00A56A9B" w:rsidRPr="00B87CC5" w:rsidRDefault="00A56A9B" w:rsidP="0049137C">
      <w:pPr>
        <w:pStyle w:val="Note"/>
        <w:spacing w:before="0"/>
        <w:rPr>
          <w:lang w:eastAsia="en-US"/>
        </w:rPr>
      </w:pPr>
      <w:bookmarkStart w:id="43" w:name="_Ref167288646"/>
      <w:r w:rsidRPr="00B87CC5">
        <w:rPr>
          <w:lang w:eastAsia="en-US"/>
        </w:rPr>
        <w:t xml:space="preserve">Note: </w:t>
      </w:r>
      <w:r w:rsidR="00A86CDD" w:rsidRPr="00B87CC5">
        <w:rPr>
          <w:lang w:eastAsia="en-US"/>
        </w:rPr>
        <w:t>S</w:t>
      </w:r>
      <w:r w:rsidRPr="00B87CC5">
        <w:rPr>
          <w:lang w:eastAsia="en-US"/>
        </w:rPr>
        <w:t>olid lines = historical data; dashed lines = projections</w:t>
      </w:r>
      <w:r w:rsidR="00A86CDD" w:rsidRPr="00B87CC5">
        <w:rPr>
          <w:lang w:eastAsia="en-US"/>
        </w:rPr>
        <w:t>.</w:t>
      </w:r>
    </w:p>
    <w:bookmarkEnd w:id="43"/>
    <w:p w14:paraId="6ABB04BE" w14:textId="023C52F5" w:rsidR="0069766B" w:rsidRPr="00B87CC5" w:rsidRDefault="00663E79" w:rsidP="00DF2694">
      <w:pPr>
        <w:pStyle w:val="BodyText"/>
        <w:spacing w:before="100" w:after="100"/>
      </w:pPr>
      <w:r w:rsidRPr="00B87CC5">
        <w:t xml:space="preserve">The largest projected </w:t>
      </w:r>
      <w:r w:rsidR="002F6ADC" w:rsidRPr="00B87CC5">
        <w:t xml:space="preserve">contribution to total </w:t>
      </w:r>
      <w:r w:rsidRPr="00B87CC5">
        <w:t xml:space="preserve">reductions </w:t>
      </w:r>
      <w:r w:rsidR="00F2087D" w:rsidRPr="00B87CC5">
        <w:t>is</w:t>
      </w:r>
      <w:r w:rsidRPr="00B87CC5">
        <w:t xml:space="preserve"> from manufacturing and construction sectors</w:t>
      </w:r>
      <w:r w:rsidR="000A7C47" w:rsidRPr="00B87CC5">
        <w:t xml:space="preserve"> (</w:t>
      </w:r>
      <w:r w:rsidR="003878D1" w:rsidRPr="00B87CC5">
        <w:t>t</w:t>
      </w:r>
      <w:r w:rsidR="001B6E3F" w:rsidRPr="00B87CC5">
        <w:t>able 7</w:t>
      </w:r>
      <w:r w:rsidR="000A7C47" w:rsidRPr="00B87CC5">
        <w:t>)</w:t>
      </w:r>
      <w:r w:rsidR="00BC7128" w:rsidRPr="00B87CC5">
        <w:t xml:space="preserve">, </w:t>
      </w:r>
      <w:r w:rsidR="00B71B16" w:rsidRPr="00B87CC5">
        <w:t>reflecting the shift aw</w:t>
      </w:r>
      <w:r w:rsidR="00C00F17" w:rsidRPr="00B87CC5">
        <w:t xml:space="preserve">ay from </w:t>
      </w:r>
      <w:r w:rsidR="00F75C6E" w:rsidRPr="00B87CC5">
        <w:t>fossil fuels to electricity for industrial heat</w:t>
      </w:r>
      <w:r w:rsidR="0010409D" w:rsidRPr="00B87CC5">
        <w:t xml:space="preserve">, </w:t>
      </w:r>
      <w:r w:rsidR="000D7B86" w:rsidRPr="00B87CC5">
        <w:t>particularly in food processing</w:t>
      </w:r>
      <w:r w:rsidR="003878D1" w:rsidRPr="00B87CC5">
        <w:t xml:space="preserve"> </w:t>
      </w:r>
      <w:r w:rsidR="000D7B86" w:rsidRPr="00B87CC5">
        <w:t>(</w:t>
      </w:r>
      <w:r w:rsidR="0010409D" w:rsidRPr="00B87CC5">
        <w:t xml:space="preserve">including </w:t>
      </w:r>
      <w:r w:rsidR="009826FB" w:rsidRPr="00B87CC5">
        <w:t xml:space="preserve">the response to the </w:t>
      </w:r>
      <w:r w:rsidR="009826FB" w:rsidRPr="00B87CC5">
        <w:rPr>
          <w:i/>
        </w:rPr>
        <w:t>National Policy Statement</w:t>
      </w:r>
      <w:r w:rsidR="00201DCC" w:rsidRPr="00B87CC5">
        <w:rPr>
          <w:i/>
        </w:rPr>
        <w:t xml:space="preserve"> </w:t>
      </w:r>
      <w:r w:rsidR="005F28E6" w:rsidRPr="00B87CC5">
        <w:rPr>
          <w:i/>
        </w:rPr>
        <w:t xml:space="preserve">for Greenhous Gas Emissions from </w:t>
      </w:r>
      <w:r w:rsidR="00201DCC" w:rsidRPr="00B87CC5">
        <w:rPr>
          <w:i/>
        </w:rPr>
        <w:t>Industrial</w:t>
      </w:r>
      <w:r w:rsidR="003878D1" w:rsidRPr="00B87CC5">
        <w:rPr>
          <w:i/>
        </w:rPr>
        <w:t xml:space="preserve"> Process</w:t>
      </w:r>
      <w:r w:rsidR="00201DCC" w:rsidRPr="00B87CC5">
        <w:rPr>
          <w:i/>
        </w:rPr>
        <w:t xml:space="preserve"> Heat</w:t>
      </w:r>
      <w:r w:rsidR="006B2F12" w:rsidRPr="00B87CC5">
        <w:t>)</w:t>
      </w:r>
      <w:r w:rsidR="009826FB" w:rsidRPr="00B87CC5">
        <w:rPr>
          <w:rStyle w:val="FootnoteReference"/>
        </w:rPr>
        <w:footnoteReference w:id="20"/>
      </w:r>
      <w:r w:rsidRPr="00B87CC5">
        <w:t xml:space="preserve"> </w:t>
      </w:r>
      <w:r w:rsidR="00D06F83" w:rsidRPr="00B87CC5">
        <w:t xml:space="preserve">and the </w:t>
      </w:r>
      <w:r w:rsidR="00AF39BE" w:rsidRPr="00B87CC5">
        <w:t xml:space="preserve">reductions in output from petrochemical production with projected closures of </w:t>
      </w:r>
      <w:r w:rsidR="002856E4" w:rsidRPr="00B87CC5">
        <w:t>methanol trains</w:t>
      </w:r>
      <w:r w:rsidR="002F2115" w:rsidRPr="00B87CC5">
        <w:t xml:space="preserve"> (see</w:t>
      </w:r>
      <w:r w:rsidR="00A32798" w:rsidRPr="00B87CC5">
        <w:t xml:space="preserve"> </w:t>
      </w:r>
      <w:r w:rsidR="003878D1" w:rsidRPr="00B87CC5">
        <w:t>f</w:t>
      </w:r>
      <w:r w:rsidR="001B6E3F" w:rsidRPr="00B87CC5">
        <w:t>igure 11</w:t>
      </w:r>
      <w:r w:rsidR="002F2115" w:rsidRPr="00B87CC5">
        <w:t>)</w:t>
      </w:r>
      <w:r w:rsidR="002856E4" w:rsidRPr="00B87CC5">
        <w:t xml:space="preserve">. </w:t>
      </w:r>
      <w:r w:rsidR="009C2B50" w:rsidRPr="00B87CC5">
        <w:t>Electricity generation emission</w:t>
      </w:r>
      <w:r w:rsidR="00527B58" w:rsidRPr="00B87CC5">
        <w:t>s</w:t>
      </w:r>
      <w:r w:rsidR="009C2B50" w:rsidRPr="00B87CC5">
        <w:t xml:space="preserve"> are forecast </w:t>
      </w:r>
      <w:r w:rsidR="000A7C47" w:rsidRPr="00B87CC5">
        <w:t xml:space="preserve">to </w:t>
      </w:r>
      <w:r w:rsidR="00527B58" w:rsidRPr="00B87CC5">
        <w:t xml:space="preserve">fall </w:t>
      </w:r>
      <w:r w:rsidR="00F511D6" w:rsidRPr="00B87CC5">
        <w:t xml:space="preserve">significantly also </w:t>
      </w:r>
      <w:r w:rsidR="00335B7D" w:rsidRPr="00B87CC5">
        <w:t xml:space="preserve">as fossil fuel generation </w:t>
      </w:r>
      <w:r w:rsidR="00827E8A" w:rsidRPr="00B87CC5">
        <w:t xml:space="preserve">is </w:t>
      </w:r>
      <w:r w:rsidR="00335B7D" w:rsidRPr="00B87CC5">
        <w:t>replaced by renewables</w:t>
      </w:r>
      <w:r w:rsidR="007767D9" w:rsidRPr="00B87CC5">
        <w:t xml:space="preserve"> but </w:t>
      </w:r>
      <w:r w:rsidR="00474BDF" w:rsidRPr="00B87CC5">
        <w:t>with total generation increasing to meet higher electricity demand</w:t>
      </w:r>
      <w:r w:rsidR="00335B7D" w:rsidRPr="00B87CC5">
        <w:t>.</w:t>
      </w:r>
      <w:r w:rsidR="00D220D6" w:rsidRPr="00B87CC5">
        <w:t xml:space="preserve"> </w:t>
      </w:r>
    </w:p>
    <w:p w14:paraId="7C60CDB0" w14:textId="4E77924D" w:rsidR="00566438" w:rsidRPr="00B87CC5" w:rsidRDefault="00566438" w:rsidP="00DF2694">
      <w:pPr>
        <w:pStyle w:val="BodyText"/>
        <w:spacing w:before="100" w:after="100"/>
      </w:pPr>
      <w:r w:rsidRPr="00B87CC5">
        <w:t>The energy emissions estimates have not been updated to take account of known factors changing since 2022, such as levels of production/output from major industries</w:t>
      </w:r>
      <w:r w:rsidRPr="00B87CC5" w:rsidDel="005F28E6">
        <w:t xml:space="preserve"> </w:t>
      </w:r>
      <w:r w:rsidR="005F28E6" w:rsidRPr="00B87CC5">
        <w:t xml:space="preserve">and </w:t>
      </w:r>
      <w:r w:rsidRPr="00B87CC5">
        <w:t>the quantity of fossil fuels used in electricity generation. Rather, the approach is to use historical data up to the end of calendar year 2022 and modelled projections from that date.</w:t>
      </w:r>
    </w:p>
    <w:p w14:paraId="7164FB6C" w14:textId="0D0E2CB1" w:rsidR="00B138B2" w:rsidRPr="00B87CC5" w:rsidRDefault="00B138B2" w:rsidP="00DF2694">
      <w:pPr>
        <w:pStyle w:val="Tableheading"/>
        <w:spacing w:line="260" w:lineRule="atLeast"/>
      </w:pPr>
      <w:bookmarkStart w:id="44" w:name="_Ref167289735"/>
      <w:bookmarkStart w:id="45" w:name="_Toc171609766"/>
      <w:r w:rsidRPr="00B87CC5">
        <w:t xml:space="preserve">Table </w:t>
      </w:r>
      <w:r w:rsidR="00385111">
        <w:fldChar w:fldCharType="begin"/>
      </w:r>
      <w:r w:rsidR="00385111">
        <w:instrText xml:space="preserve"> SEQ Table \* ARABIC </w:instrText>
      </w:r>
      <w:r w:rsidR="00385111">
        <w:fldChar w:fldCharType="separate"/>
      </w:r>
      <w:r w:rsidR="001B6E3F" w:rsidRPr="00B87CC5">
        <w:t>7</w:t>
      </w:r>
      <w:r w:rsidR="00385111">
        <w:fldChar w:fldCharType="end"/>
      </w:r>
      <w:bookmarkEnd w:id="44"/>
      <w:r w:rsidR="00D5796B" w:rsidRPr="00B87CC5">
        <w:t>:</w:t>
      </w:r>
      <w:r w:rsidR="00D5796B" w:rsidRPr="00B87CC5">
        <w:tab/>
      </w:r>
      <w:r w:rsidRPr="00B87CC5">
        <w:t xml:space="preserve">Changes in </w:t>
      </w:r>
      <w:r w:rsidR="00E3610B" w:rsidRPr="00B87CC5">
        <w:t xml:space="preserve">energy </w:t>
      </w:r>
      <w:r w:rsidRPr="00B87CC5">
        <w:t xml:space="preserve">emissions </w:t>
      </w:r>
      <w:r w:rsidR="00E506DE" w:rsidRPr="00B87CC5">
        <w:t xml:space="preserve">from </w:t>
      </w:r>
      <w:r w:rsidR="00FE2083" w:rsidRPr="00B87CC5">
        <w:t>2018</w:t>
      </w:r>
      <w:r w:rsidR="005F28E6" w:rsidRPr="00B87CC5">
        <w:t>–</w:t>
      </w:r>
      <w:r w:rsidR="00FE2083" w:rsidRPr="00B87CC5">
        <w:t xml:space="preserve">22 average </w:t>
      </w:r>
      <w:r w:rsidRPr="00B87CC5">
        <w:t>to 2030, 2035 and 2050 by</w:t>
      </w:r>
      <w:r w:rsidR="0049137C" w:rsidRPr="00B87CC5">
        <w:t> </w:t>
      </w:r>
      <w:r w:rsidR="00E3610B" w:rsidRPr="00B87CC5">
        <w:t>subsector</w:t>
      </w:r>
      <w:r w:rsidR="0049137C" w:rsidRPr="00B87CC5">
        <w:t> </w:t>
      </w:r>
      <w:r w:rsidRPr="00B87CC5">
        <w:t>(</w:t>
      </w:r>
      <w:r w:rsidR="005F28E6" w:rsidRPr="00B87CC5">
        <w:t>M</w:t>
      </w:r>
      <w:r w:rsidRPr="00B87CC5">
        <w:t>t CO</w:t>
      </w:r>
      <w:r w:rsidRPr="00B87CC5">
        <w:rPr>
          <w:vertAlign w:val="subscript"/>
        </w:rPr>
        <w:t>2</w:t>
      </w:r>
      <w:r w:rsidRPr="00B87CC5">
        <w:t xml:space="preserve">-e and </w:t>
      </w:r>
      <w:r w:rsidR="005F28E6" w:rsidRPr="00B87CC5">
        <w:t xml:space="preserve">percentage </w:t>
      </w:r>
      <w:r w:rsidRPr="00B87CC5">
        <w:t>change)</w:t>
      </w:r>
      <w:bookmarkEnd w:id="45"/>
    </w:p>
    <w:tbl>
      <w:tblPr>
        <w:tblStyle w:val="LightList-Accent11"/>
        <w:tblW w:w="8505" w:type="dxa"/>
        <w:tblBorders>
          <w:top w:val="single" w:sz="4" w:space="0" w:color="1C556C" w:themeColor="accent1"/>
          <w:left w:val="none" w:sz="0" w:space="0" w:color="auto"/>
          <w:bottom w:val="single" w:sz="4" w:space="0" w:color="1C556C" w:themeColor="accent1"/>
          <w:right w:val="none" w:sz="0" w:space="0" w:color="auto"/>
          <w:insideH w:val="single" w:sz="8" w:space="0" w:color="1C556C" w:themeColor="accent1"/>
          <w:insideV w:val="single" w:sz="4" w:space="0" w:color="1C556C" w:themeColor="accent1"/>
        </w:tblBorders>
        <w:tblLayout w:type="fixed"/>
        <w:tblCellMar>
          <w:left w:w="85" w:type="dxa"/>
          <w:right w:w="85" w:type="dxa"/>
        </w:tblCellMar>
        <w:tblLook w:val="04A0" w:firstRow="1" w:lastRow="0" w:firstColumn="1" w:lastColumn="0" w:noHBand="0" w:noVBand="1"/>
      </w:tblPr>
      <w:tblGrid>
        <w:gridCol w:w="1839"/>
        <w:gridCol w:w="740"/>
        <w:gridCol w:w="742"/>
        <w:gridCol w:w="740"/>
        <w:gridCol w:w="742"/>
        <w:gridCol w:w="740"/>
        <w:gridCol w:w="742"/>
        <w:gridCol w:w="740"/>
        <w:gridCol w:w="742"/>
        <w:gridCol w:w="738"/>
      </w:tblGrid>
      <w:tr w:rsidR="00B87CC5" w:rsidRPr="00B87CC5" w14:paraId="36B2AF56" w14:textId="77777777" w:rsidTr="00491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vAlign w:val="bottom"/>
            <w:hideMark/>
          </w:tcPr>
          <w:p w14:paraId="4A0E5A8A" w14:textId="77777777" w:rsidR="00B138B2" w:rsidRPr="00B87CC5" w:rsidRDefault="00B138B2" w:rsidP="00F83424">
            <w:pPr>
              <w:pStyle w:val="TableTextbold"/>
              <w:spacing w:before="40" w:after="40"/>
              <w:rPr>
                <w:b/>
              </w:rPr>
            </w:pPr>
            <w:r w:rsidRPr="00B87CC5">
              <w:rPr>
                <w:b/>
              </w:rPr>
              <w:t>Sector</w:t>
            </w:r>
          </w:p>
        </w:tc>
        <w:tc>
          <w:tcPr>
            <w:tcW w:w="435" w:type="pct"/>
            <w:vAlign w:val="bottom"/>
          </w:tcPr>
          <w:p w14:paraId="23B44729" w14:textId="438732DC" w:rsidR="00B138B2" w:rsidRPr="00B87CC5" w:rsidRDefault="00B138B2" w:rsidP="00F83424">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87CC5">
              <w:rPr>
                <w:b/>
              </w:rPr>
              <w:t xml:space="preserve">Change </w:t>
            </w:r>
            <w:r w:rsidR="00E506DE" w:rsidRPr="00B87CC5">
              <w:rPr>
                <w:b/>
              </w:rPr>
              <w:t xml:space="preserve">to </w:t>
            </w:r>
            <w:r w:rsidRPr="00B87CC5">
              <w:rPr>
                <w:b/>
              </w:rPr>
              <w:t>2030</w:t>
            </w:r>
          </w:p>
        </w:tc>
        <w:tc>
          <w:tcPr>
            <w:tcW w:w="436" w:type="pct"/>
            <w:vAlign w:val="bottom"/>
          </w:tcPr>
          <w:p w14:paraId="561AC05E" w14:textId="77777777" w:rsidR="00B138B2" w:rsidRPr="00B87CC5" w:rsidRDefault="00B138B2" w:rsidP="00F83424">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87CC5">
              <w:rPr>
                <w:b/>
              </w:rPr>
              <w:t>% change</w:t>
            </w:r>
          </w:p>
        </w:tc>
        <w:tc>
          <w:tcPr>
            <w:tcW w:w="435" w:type="pct"/>
            <w:vAlign w:val="bottom"/>
          </w:tcPr>
          <w:p w14:paraId="5B52B322" w14:textId="77777777" w:rsidR="00B138B2" w:rsidRPr="00B87CC5" w:rsidRDefault="00B138B2" w:rsidP="00F83424">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87CC5">
              <w:rPr>
                <w:b/>
              </w:rPr>
              <w:t>% of total</w:t>
            </w:r>
          </w:p>
        </w:tc>
        <w:tc>
          <w:tcPr>
            <w:tcW w:w="436" w:type="pct"/>
            <w:vAlign w:val="bottom"/>
          </w:tcPr>
          <w:p w14:paraId="0EAF0927" w14:textId="2B0DD9EE" w:rsidR="00B138B2" w:rsidRPr="00B87CC5" w:rsidRDefault="00B138B2" w:rsidP="00F83424">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87CC5">
              <w:rPr>
                <w:b/>
              </w:rPr>
              <w:t xml:space="preserve">Change </w:t>
            </w:r>
            <w:r w:rsidR="00E506DE" w:rsidRPr="00B87CC5">
              <w:rPr>
                <w:b/>
              </w:rPr>
              <w:t xml:space="preserve">to </w:t>
            </w:r>
            <w:r w:rsidRPr="00B87CC5">
              <w:rPr>
                <w:b/>
              </w:rPr>
              <w:t>2035</w:t>
            </w:r>
          </w:p>
        </w:tc>
        <w:tc>
          <w:tcPr>
            <w:tcW w:w="435" w:type="pct"/>
            <w:vAlign w:val="bottom"/>
          </w:tcPr>
          <w:p w14:paraId="6BFEE2ED" w14:textId="77777777" w:rsidR="00B138B2" w:rsidRPr="00B87CC5" w:rsidRDefault="00B138B2" w:rsidP="00F83424">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87CC5">
              <w:rPr>
                <w:b/>
              </w:rPr>
              <w:t>% change</w:t>
            </w:r>
          </w:p>
        </w:tc>
        <w:tc>
          <w:tcPr>
            <w:tcW w:w="436" w:type="pct"/>
            <w:vAlign w:val="bottom"/>
          </w:tcPr>
          <w:p w14:paraId="2C547C0F" w14:textId="77777777" w:rsidR="00B138B2" w:rsidRPr="00B87CC5" w:rsidRDefault="00B138B2" w:rsidP="00F83424">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87CC5">
              <w:rPr>
                <w:b/>
              </w:rPr>
              <w:t>% of total</w:t>
            </w:r>
          </w:p>
        </w:tc>
        <w:tc>
          <w:tcPr>
            <w:tcW w:w="435" w:type="pct"/>
            <w:vAlign w:val="bottom"/>
          </w:tcPr>
          <w:p w14:paraId="40281CE6" w14:textId="27411860" w:rsidR="00B138B2" w:rsidRPr="00B87CC5" w:rsidRDefault="00B138B2" w:rsidP="00F83424">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87CC5">
              <w:rPr>
                <w:b/>
              </w:rPr>
              <w:t xml:space="preserve">Change </w:t>
            </w:r>
            <w:r w:rsidR="00E506DE" w:rsidRPr="00B87CC5">
              <w:rPr>
                <w:b/>
              </w:rPr>
              <w:t xml:space="preserve">to </w:t>
            </w:r>
            <w:r w:rsidRPr="00B87CC5">
              <w:rPr>
                <w:b/>
              </w:rPr>
              <w:t>2050</w:t>
            </w:r>
          </w:p>
        </w:tc>
        <w:tc>
          <w:tcPr>
            <w:tcW w:w="436" w:type="pct"/>
            <w:vAlign w:val="bottom"/>
          </w:tcPr>
          <w:p w14:paraId="5DE9680A" w14:textId="77777777" w:rsidR="00B138B2" w:rsidRPr="00B87CC5" w:rsidRDefault="00B138B2" w:rsidP="00F83424">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87CC5">
              <w:rPr>
                <w:b/>
              </w:rPr>
              <w:t>% change</w:t>
            </w:r>
          </w:p>
        </w:tc>
        <w:tc>
          <w:tcPr>
            <w:tcW w:w="434" w:type="pct"/>
            <w:vAlign w:val="bottom"/>
          </w:tcPr>
          <w:p w14:paraId="5E492238" w14:textId="77777777" w:rsidR="00B138B2" w:rsidRPr="00B87CC5" w:rsidRDefault="00B138B2" w:rsidP="00F83424">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rPr>
            </w:pPr>
            <w:r w:rsidRPr="00B87CC5">
              <w:rPr>
                <w:b/>
              </w:rPr>
              <w:t>% of total</w:t>
            </w:r>
          </w:p>
        </w:tc>
      </w:tr>
      <w:tr w:rsidR="0049137C" w:rsidRPr="00B87CC5" w14:paraId="51EB91C6" w14:textId="77777777" w:rsidTr="00491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tcBorders>
              <w:top w:val="none" w:sz="0" w:space="0" w:color="auto"/>
              <w:left w:val="none" w:sz="0" w:space="0" w:color="auto"/>
              <w:bottom w:val="none" w:sz="0" w:space="0" w:color="auto"/>
            </w:tcBorders>
            <w:vAlign w:val="center"/>
          </w:tcPr>
          <w:p w14:paraId="7FFD4CC8" w14:textId="56479701" w:rsidR="00E506DE" w:rsidRPr="00B87CC5" w:rsidRDefault="00E506DE" w:rsidP="00F83424">
            <w:pPr>
              <w:pStyle w:val="TableTextbold"/>
              <w:spacing w:before="40" w:after="40" w:line="240" w:lineRule="auto"/>
              <w:rPr>
                <w:rFonts w:asciiTheme="minorHAnsi" w:hAnsiTheme="minorHAnsi" w:cstheme="minorHAnsi"/>
                <w:szCs w:val="18"/>
              </w:rPr>
            </w:pPr>
            <w:r w:rsidRPr="00B87CC5">
              <w:t>Electricity generation</w:t>
            </w:r>
          </w:p>
        </w:tc>
        <w:tc>
          <w:tcPr>
            <w:tcW w:w="435" w:type="pct"/>
            <w:tcBorders>
              <w:top w:val="none" w:sz="0" w:space="0" w:color="auto"/>
              <w:bottom w:val="none" w:sz="0" w:space="0" w:color="auto"/>
            </w:tcBorders>
            <w:shd w:val="clear" w:color="auto" w:fill="D2DDE1" w:themeFill="background2"/>
            <w:noWrap/>
            <w:vAlign w:val="bottom"/>
          </w:tcPr>
          <w:p w14:paraId="33778CFE" w14:textId="66335E34"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878</w:t>
            </w:r>
          </w:p>
        </w:tc>
        <w:tc>
          <w:tcPr>
            <w:tcW w:w="436" w:type="pct"/>
            <w:tcBorders>
              <w:top w:val="none" w:sz="0" w:space="0" w:color="auto"/>
              <w:bottom w:val="none" w:sz="0" w:space="0" w:color="auto"/>
            </w:tcBorders>
            <w:shd w:val="clear" w:color="auto" w:fill="D2DDE1" w:themeFill="background2"/>
            <w:noWrap/>
            <w:vAlign w:val="bottom"/>
          </w:tcPr>
          <w:p w14:paraId="0C68BB54" w14:textId="5BB1DF42"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153DE7" w:rsidRPr="00B87CC5">
              <w:rPr>
                <w:rFonts w:asciiTheme="minorHAnsi" w:hAnsiTheme="minorHAnsi" w:cstheme="minorHAnsi"/>
                <w:b w:val="0"/>
                <w:bCs/>
                <w:color w:val="000000"/>
                <w:szCs w:val="18"/>
              </w:rPr>
              <w:t>23</w:t>
            </w:r>
            <w:r w:rsidR="00E506DE" w:rsidRPr="00B87CC5">
              <w:rPr>
                <w:rFonts w:asciiTheme="minorHAnsi" w:hAnsiTheme="minorHAnsi" w:cstheme="minorHAnsi"/>
                <w:b w:val="0"/>
                <w:color w:val="000000"/>
                <w:szCs w:val="18"/>
              </w:rPr>
              <w:t>%</w:t>
            </w:r>
          </w:p>
        </w:tc>
        <w:tc>
          <w:tcPr>
            <w:tcW w:w="435" w:type="pct"/>
            <w:tcBorders>
              <w:top w:val="none" w:sz="0" w:space="0" w:color="auto"/>
              <w:bottom w:val="none" w:sz="0" w:space="0" w:color="auto"/>
            </w:tcBorders>
            <w:shd w:val="clear" w:color="auto" w:fill="D2DDE1" w:themeFill="background2"/>
            <w:vAlign w:val="bottom"/>
          </w:tcPr>
          <w:p w14:paraId="28E72AD5" w14:textId="7484A282" w:rsidR="00E506DE" w:rsidRPr="00B87CC5" w:rsidRDefault="00E506DE"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24%</w:t>
            </w:r>
          </w:p>
        </w:tc>
        <w:tc>
          <w:tcPr>
            <w:tcW w:w="436" w:type="pct"/>
            <w:tcBorders>
              <w:top w:val="none" w:sz="0" w:space="0" w:color="auto"/>
              <w:bottom w:val="none" w:sz="0" w:space="0" w:color="auto"/>
            </w:tcBorders>
            <w:vAlign w:val="bottom"/>
          </w:tcPr>
          <w:p w14:paraId="4762F263" w14:textId="51CED62B"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1,147</w:t>
            </w:r>
          </w:p>
        </w:tc>
        <w:tc>
          <w:tcPr>
            <w:tcW w:w="435" w:type="pct"/>
            <w:tcBorders>
              <w:top w:val="none" w:sz="0" w:space="0" w:color="auto"/>
              <w:bottom w:val="none" w:sz="0" w:space="0" w:color="auto"/>
            </w:tcBorders>
            <w:noWrap/>
            <w:vAlign w:val="bottom"/>
          </w:tcPr>
          <w:p w14:paraId="39F9A4F8" w14:textId="06FB1EBE"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153DE7" w:rsidRPr="00B87CC5">
              <w:rPr>
                <w:rFonts w:asciiTheme="minorHAnsi" w:hAnsiTheme="minorHAnsi" w:cstheme="minorHAnsi"/>
                <w:b w:val="0"/>
                <w:bCs/>
                <w:color w:val="000000"/>
                <w:szCs w:val="18"/>
              </w:rPr>
              <w:t>30</w:t>
            </w:r>
            <w:r w:rsidR="00E506DE" w:rsidRPr="00B87CC5">
              <w:rPr>
                <w:rFonts w:asciiTheme="minorHAnsi" w:hAnsiTheme="minorHAnsi" w:cstheme="minorHAnsi"/>
                <w:b w:val="0"/>
                <w:color w:val="000000"/>
                <w:szCs w:val="18"/>
              </w:rPr>
              <w:t>%</w:t>
            </w:r>
          </w:p>
        </w:tc>
        <w:tc>
          <w:tcPr>
            <w:tcW w:w="436" w:type="pct"/>
            <w:tcBorders>
              <w:top w:val="none" w:sz="0" w:space="0" w:color="auto"/>
              <w:bottom w:val="none" w:sz="0" w:space="0" w:color="auto"/>
            </w:tcBorders>
            <w:noWrap/>
            <w:vAlign w:val="bottom"/>
          </w:tcPr>
          <w:p w14:paraId="393A923D" w14:textId="005F0AE4" w:rsidR="00E506DE" w:rsidRPr="00B87CC5" w:rsidRDefault="00E506DE"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24%</w:t>
            </w:r>
          </w:p>
        </w:tc>
        <w:tc>
          <w:tcPr>
            <w:tcW w:w="435" w:type="pct"/>
            <w:tcBorders>
              <w:top w:val="none" w:sz="0" w:space="0" w:color="auto"/>
              <w:bottom w:val="none" w:sz="0" w:space="0" w:color="auto"/>
            </w:tcBorders>
            <w:shd w:val="clear" w:color="auto" w:fill="D2DDE1" w:themeFill="background2"/>
            <w:noWrap/>
            <w:vAlign w:val="bottom"/>
          </w:tcPr>
          <w:p w14:paraId="17090754" w14:textId="6AD720CF"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2,451</w:t>
            </w:r>
          </w:p>
        </w:tc>
        <w:tc>
          <w:tcPr>
            <w:tcW w:w="436" w:type="pct"/>
            <w:tcBorders>
              <w:top w:val="none" w:sz="0" w:space="0" w:color="auto"/>
              <w:bottom w:val="none" w:sz="0" w:space="0" w:color="auto"/>
            </w:tcBorders>
            <w:shd w:val="clear" w:color="auto" w:fill="D2DDE1" w:themeFill="background2"/>
            <w:vAlign w:val="bottom"/>
          </w:tcPr>
          <w:p w14:paraId="506ADAD6" w14:textId="5A129178"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153DE7" w:rsidRPr="00B87CC5">
              <w:rPr>
                <w:rFonts w:asciiTheme="minorHAnsi" w:hAnsiTheme="minorHAnsi" w:cstheme="minorHAnsi"/>
                <w:b w:val="0"/>
                <w:bCs/>
                <w:color w:val="000000"/>
                <w:szCs w:val="18"/>
              </w:rPr>
              <w:t>64</w:t>
            </w:r>
            <w:r w:rsidR="00E506DE" w:rsidRPr="00B87CC5">
              <w:rPr>
                <w:rFonts w:asciiTheme="minorHAnsi" w:hAnsiTheme="minorHAnsi" w:cstheme="minorHAnsi"/>
                <w:b w:val="0"/>
                <w:color w:val="000000"/>
                <w:szCs w:val="18"/>
              </w:rPr>
              <w:t>%</w:t>
            </w:r>
          </w:p>
        </w:tc>
        <w:tc>
          <w:tcPr>
            <w:tcW w:w="434" w:type="pct"/>
            <w:tcBorders>
              <w:top w:val="none" w:sz="0" w:space="0" w:color="auto"/>
              <w:bottom w:val="none" w:sz="0" w:space="0" w:color="auto"/>
              <w:right w:val="none" w:sz="0" w:space="0" w:color="auto"/>
            </w:tcBorders>
            <w:shd w:val="clear" w:color="auto" w:fill="D2DDE1" w:themeFill="background2"/>
            <w:noWrap/>
            <w:vAlign w:val="bottom"/>
          </w:tcPr>
          <w:p w14:paraId="2E5A1BDC" w14:textId="22F7DD26" w:rsidR="00E506DE" w:rsidRPr="00B87CC5" w:rsidRDefault="00E506DE"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32%</w:t>
            </w:r>
          </w:p>
        </w:tc>
      </w:tr>
      <w:tr w:rsidR="0049137C" w:rsidRPr="00B87CC5" w14:paraId="0C88A874" w14:textId="77777777" w:rsidTr="0049137C">
        <w:tc>
          <w:tcPr>
            <w:cnfStyle w:val="001000000000" w:firstRow="0" w:lastRow="0" w:firstColumn="1" w:lastColumn="0" w:oddVBand="0" w:evenVBand="0" w:oddHBand="0" w:evenHBand="0" w:firstRowFirstColumn="0" w:firstRowLastColumn="0" w:lastRowFirstColumn="0" w:lastRowLastColumn="0"/>
            <w:tcW w:w="1081" w:type="pct"/>
            <w:vAlign w:val="center"/>
          </w:tcPr>
          <w:p w14:paraId="55444460" w14:textId="20DCB047" w:rsidR="00E506DE" w:rsidRPr="00B87CC5" w:rsidRDefault="00E506DE" w:rsidP="00F83424">
            <w:pPr>
              <w:pStyle w:val="TableTextbold"/>
              <w:spacing w:before="40" w:after="40" w:line="240" w:lineRule="auto"/>
              <w:rPr>
                <w:rFonts w:asciiTheme="minorHAnsi" w:hAnsiTheme="minorHAnsi" w:cstheme="minorHAnsi"/>
                <w:szCs w:val="18"/>
              </w:rPr>
            </w:pPr>
            <w:r w:rsidRPr="00B87CC5">
              <w:t>Other energy industries</w:t>
            </w:r>
          </w:p>
        </w:tc>
        <w:tc>
          <w:tcPr>
            <w:tcW w:w="435" w:type="pct"/>
            <w:shd w:val="clear" w:color="auto" w:fill="D2DDE1" w:themeFill="background2"/>
            <w:noWrap/>
            <w:vAlign w:val="bottom"/>
          </w:tcPr>
          <w:p w14:paraId="370002D9" w14:textId="15639491"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752</w:t>
            </w:r>
          </w:p>
        </w:tc>
        <w:tc>
          <w:tcPr>
            <w:tcW w:w="436" w:type="pct"/>
            <w:shd w:val="clear" w:color="auto" w:fill="D2DDE1" w:themeFill="background2"/>
            <w:noWrap/>
            <w:vAlign w:val="bottom"/>
          </w:tcPr>
          <w:p w14:paraId="167A0EDC" w14:textId="28474EB3"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153DE7" w:rsidRPr="00B87CC5">
              <w:rPr>
                <w:rFonts w:asciiTheme="minorHAnsi" w:hAnsiTheme="minorHAnsi" w:cstheme="minorHAnsi"/>
                <w:b w:val="0"/>
                <w:bCs/>
                <w:color w:val="000000"/>
                <w:szCs w:val="18"/>
              </w:rPr>
              <w:t>79</w:t>
            </w:r>
            <w:r w:rsidR="00E506DE" w:rsidRPr="00B87CC5">
              <w:rPr>
                <w:rFonts w:asciiTheme="minorHAnsi" w:hAnsiTheme="minorHAnsi" w:cstheme="minorHAnsi"/>
                <w:b w:val="0"/>
                <w:color w:val="000000"/>
                <w:szCs w:val="18"/>
              </w:rPr>
              <w:t>%</w:t>
            </w:r>
          </w:p>
        </w:tc>
        <w:tc>
          <w:tcPr>
            <w:tcW w:w="435" w:type="pct"/>
            <w:shd w:val="clear" w:color="auto" w:fill="D2DDE1" w:themeFill="background2"/>
            <w:vAlign w:val="bottom"/>
          </w:tcPr>
          <w:p w14:paraId="6398C119" w14:textId="779EF822" w:rsidR="00E506DE" w:rsidRPr="00B87CC5" w:rsidRDefault="00E506DE"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21%</w:t>
            </w:r>
          </w:p>
        </w:tc>
        <w:tc>
          <w:tcPr>
            <w:tcW w:w="436" w:type="pct"/>
            <w:vAlign w:val="bottom"/>
          </w:tcPr>
          <w:p w14:paraId="7634B83E" w14:textId="52A30291"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757</w:t>
            </w:r>
          </w:p>
        </w:tc>
        <w:tc>
          <w:tcPr>
            <w:tcW w:w="435" w:type="pct"/>
            <w:noWrap/>
            <w:vAlign w:val="bottom"/>
          </w:tcPr>
          <w:p w14:paraId="5F8D0C65" w14:textId="52A650D6"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153DE7" w:rsidRPr="00B87CC5">
              <w:rPr>
                <w:rFonts w:asciiTheme="minorHAnsi" w:hAnsiTheme="minorHAnsi" w:cstheme="minorHAnsi"/>
                <w:b w:val="0"/>
                <w:bCs/>
                <w:color w:val="000000"/>
                <w:szCs w:val="18"/>
              </w:rPr>
              <w:t>79</w:t>
            </w:r>
            <w:r w:rsidR="00E506DE" w:rsidRPr="00B87CC5">
              <w:rPr>
                <w:rFonts w:asciiTheme="minorHAnsi" w:hAnsiTheme="minorHAnsi" w:cstheme="minorHAnsi"/>
                <w:b w:val="0"/>
                <w:color w:val="000000"/>
                <w:szCs w:val="18"/>
              </w:rPr>
              <w:t>%</w:t>
            </w:r>
          </w:p>
        </w:tc>
        <w:tc>
          <w:tcPr>
            <w:tcW w:w="436" w:type="pct"/>
            <w:noWrap/>
            <w:vAlign w:val="bottom"/>
          </w:tcPr>
          <w:p w14:paraId="412171DB" w14:textId="4299F58A" w:rsidR="00E506DE" w:rsidRPr="00B87CC5" w:rsidRDefault="00E506DE"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16%</w:t>
            </w:r>
          </w:p>
        </w:tc>
        <w:tc>
          <w:tcPr>
            <w:tcW w:w="435" w:type="pct"/>
            <w:shd w:val="clear" w:color="auto" w:fill="D2DDE1" w:themeFill="background2"/>
            <w:noWrap/>
            <w:vAlign w:val="bottom"/>
          </w:tcPr>
          <w:p w14:paraId="3B19BF5E" w14:textId="51780B9D"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840</w:t>
            </w:r>
          </w:p>
        </w:tc>
        <w:tc>
          <w:tcPr>
            <w:tcW w:w="436" w:type="pct"/>
            <w:shd w:val="clear" w:color="auto" w:fill="D2DDE1" w:themeFill="background2"/>
            <w:vAlign w:val="bottom"/>
          </w:tcPr>
          <w:p w14:paraId="65CF46B2" w14:textId="05627921"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153DE7" w:rsidRPr="00B87CC5">
              <w:rPr>
                <w:rFonts w:asciiTheme="minorHAnsi" w:hAnsiTheme="minorHAnsi" w:cstheme="minorHAnsi"/>
                <w:b w:val="0"/>
                <w:bCs/>
                <w:color w:val="000000"/>
                <w:szCs w:val="18"/>
              </w:rPr>
              <w:t>88</w:t>
            </w:r>
            <w:r w:rsidR="00E506DE" w:rsidRPr="00B87CC5">
              <w:rPr>
                <w:rFonts w:asciiTheme="minorHAnsi" w:hAnsiTheme="minorHAnsi" w:cstheme="minorHAnsi"/>
                <w:b w:val="0"/>
                <w:color w:val="000000"/>
                <w:szCs w:val="18"/>
              </w:rPr>
              <w:t>%</w:t>
            </w:r>
          </w:p>
        </w:tc>
        <w:tc>
          <w:tcPr>
            <w:tcW w:w="434" w:type="pct"/>
            <w:shd w:val="clear" w:color="auto" w:fill="D2DDE1" w:themeFill="background2"/>
            <w:noWrap/>
            <w:vAlign w:val="bottom"/>
          </w:tcPr>
          <w:p w14:paraId="5BD81ACA" w14:textId="6DBEEDD2" w:rsidR="00E506DE" w:rsidRPr="00B87CC5" w:rsidRDefault="00E506DE"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11%</w:t>
            </w:r>
          </w:p>
        </w:tc>
      </w:tr>
      <w:tr w:rsidR="0049137C" w:rsidRPr="00B87CC5" w14:paraId="6E5F38C1" w14:textId="77777777" w:rsidTr="00491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tcBorders>
              <w:top w:val="none" w:sz="0" w:space="0" w:color="auto"/>
              <w:left w:val="none" w:sz="0" w:space="0" w:color="auto"/>
              <w:bottom w:val="none" w:sz="0" w:space="0" w:color="auto"/>
            </w:tcBorders>
            <w:vAlign w:val="center"/>
          </w:tcPr>
          <w:p w14:paraId="71B32149" w14:textId="2DCD9A77" w:rsidR="00E506DE" w:rsidRPr="00B87CC5" w:rsidRDefault="00E506DE" w:rsidP="00F83424">
            <w:pPr>
              <w:pStyle w:val="TableTextbold"/>
              <w:spacing w:before="40" w:after="40" w:line="240" w:lineRule="auto"/>
              <w:rPr>
                <w:rFonts w:asciiTheme="minorHAnsi" w:hAnsiTheme="minorHAnsi" w:cstheme="minorHAnsi"/>
                <w:szCs w:val="18"/>
              </w:rPr>
            </w:pPr>
            <w:r w:rsidRPr="00B87CC5">
              <w:t xml:space="preserve">Manufacturing </w:t>
            </w:r>
            <w:r w:rsidR="005F28E6" w:rsidRPr="00B87CC5">
              <w:t xml:space="preserve">and </w:t>
            </w:r>
            <w:r w:rsidRPr="00B87CC5">
              <w:t>construction</w:t>
            </w:r>
          </w:p>
        </w:tc>
        <w:tc>
          <w:tcPr>
            <w:tcW w:w="435" w:type="pct"/>
            <w:tcBorders>
              <w:top w:val="none" w:sz="0" w:space="0" w:color="auto"/>
              <w:bottom w:val="none" w:sz="0" w:space="0" w:color="auto"/>
            </w:tcBorders>
            <w:shd w:val="clear" w:color="auto" w:fill="D2DDE1" w:themeFill="background2"/>
            <w:noWrap/>
            <w:vAlign w:val="bottom"/>
          </w:tcPr>
          <w:p w14:paraId="0010E1BD" w14:textId="43AB98E7"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1,488</w:t>
            </w:r>
          </w:p>
        </w:tc>
        <w:tc>
          <w:tcPr>
            <w:tcW w:w="436" w:type="pct"/>
            <w:tcBorders>
              <w:top w:val="none" w:sz="0" w:space="0" w:color="auto"/>
              <w:bottom w:val="none" w:sz="0" w:space="0" w:color="auto"/>
            </w:tcBorders>
            <w:shd w:val="clear" w:color="auto" w:fill="D2DDE1" w:themeFill="background2"/>
            <w:noWrap/>
            <w:vAlign w:val="bottom"/>
          </w:tcPr>
          <w:p w14:paraId="22B0B8A6" w14:textId="2915AF4F"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153DE7" w:rsidRPr="00B87CC5">
              <w:rPr>
                <w:rFonts w:asciiTheme="minorHAnsi" w:hAnsiTheme="minorHAnsi" w:cstheme="minorHAnsi"/>
                <w:b w:val="0"/>
                <w:bCs/>
                <w:color w:val="000000"/>
                <w:szCs w:val="18"/>
              </w:rPr>
              <w:t>22</w:t>
            </w:r>
            <w:r w:rsidR="00E506DE" w:rsidRPr="00B87CC5">
              <w:rPr>
                <w:rFonts w:asciiTheme="minorHAnsi" w:hAnsiTheme="minorHAnsi" w:cstheme="minorHAnsi"/>
                <w:b w:val="0"/>
                <w:color w:val="000000"/>
                <w:szCs w:val="18"/>
              </w:rPr>
              <w:t>%</w:t>
            </w:r>
          </w:p>
        </w:tc>
        <w:tc>
          <w:tcPr>
            <w:tcW w:w="435" w:type="pct"/>
            <w:tcBorders>
              <w:top w:val="none" w:sz="0" w:space="0" w:color="auto"/>
              <w:bottom w:val="none" w:sz="0" w:space="0" w:color="auto"/>
            </w:tcBorders>
            <w:shd w:val="clear" w:color="auto" w:fill="D2DDE1" w:themeFill="background2"/>
            <w:vAlign w:val="bottom"/>
          </w:tcPr>
          <w:p w14:paraId="70A8797E" w14:textId="37CC0395" w:rsidR="00E506DE" w:rsidRPr="00B87CC5" w:rsidRDefault="00E506DE"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41%</w:t>
            </w:r>
          </w:p>
        </w:tc>
        <w:tc>
          <w:tcPr>
            <w:tcW w:w="436" w:type="pct"/>
            <w:tcBorders>
              <w:top w:val="none" w:sz="0" w:space="0" w:color="auto"/>
              <w:bottom w:val="none" w:sz="0" w:space="0" w:color="auto"/>
            </w:tcBorders>
            <w:vAlign w:val="bottom"/>
          </w:tcPr>
          <w:p w14:paraId="0A49BF4D" w14:textId="3FF337ED"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2,150</w:t>
            </w:r>
          </w:p>
        </w:tc>
        <w:tc>
          <w:tcPr>
            <w:tcW w:w="435" w:type="pct"/>
            <w:tcBorders>
              <w:top w:val="none" w:sz="0" w:space="0" w:color="auto"/>
              <w:bottom w:val="none" w:sz="0" w:space="0" w:color="auto"/>
            </w:tcBorders>
            <w:noWrap/>
            <w:vAlign w:val="bottom"/>
          </w:tcPr>
          <w:p w14:paraId="4A3CAF6F" w14:textId="70B54AD9"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153DE7" w:rsidRPr="00B87CC5">
              <w:rPr>
                <w:rFonts w:asciiTheme="minorHAnsi" w:hAnsiTheme="minorHAnsi" w:cstheme="minorHAnsi"/>
                <w:b w:val="0"/>
                <w:bCs/>
                <w:color w:val="000000"/>
                <w:szCs w:val="18"/>
              </w:rPr>
              <w:t>32</w:t>
            </w:r>
            <w:r w:rsidR="00E506DE" w:rsidRPr="00B87CC5">
              <w:rPr>
                <w:rFonts w:asciiTheme="minorHAnsi" w:hAnsiTheme="minorHAnsi" w:cstheme="minorHAnsi"/>
                <w:b w:val="0"/>
                <w:color w:val="000000"/>
                <w:szCs w:val="18"/>
              </w:rPr>
              <w:t>%</w:t>
            </w:r>
          </w:p>
        </w:tc>
        <w:tc>
          <w:tcPr>
            <w:tcW w:w="436" w:type="pct"/>
            <w:tcBorders>
              <w:top w:val="none" w:sz="0" w:space="0" w:color="auto"/>
              <w:bottom w:val="none" w:sz="0" w:space="0" w:color="auto"/>
            </w:tcBorders>
            <w:noWrap/>
            <w:vAlign w:val="bottom"/>
          </w:tcPr>
          <w:p w14:paraId="15231396" w14:textId="538BFCD7" w:rsidR="00E506DE" w:rsidRPr="00B87CC5" w:rsidRDefault="00E506DE"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45%</w:t>
            </w:r>
          </w:p>
        </w:tc>
        <w:tc>
          <w:tcPr>
            <w:tcW w:w="435" w:type="pct"/>
            <w:tcBorders>
              <w:top w:val="none" w:sz="0" w:space="0" w:color="auto"/>
              <w:bottom w:val="none" w:sz="0" w:space="0" w:color="auto"/>
            </w:tcBorders>
            <w:shd w:val="clear" w:color="auto" w:fill="D2DDE1" w:themeFill="background2"/>
            <w:noWrap/>
            <w:vAlign w:val="bottom"/>
          </w:tcPr>
          <w:p w14:paraId="7DB3284C" w14:textId="7605592B"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3,148</w:t>
            </w:r>
          </w:p>
        </w:tc>
        <w:tc>
          <w:tcPr>
            <w:tcW w:w="436" w:type="pct"/>
            <w:tcBorders>
              <w:top w:val="none" w:sz="0" w:space="0" w:color="auto"/>
              <w:bottom w:val="none" w:sz="0" w:space="0" w:color="auto"/>
            </w:tcBorders>
            <w:shd w:val="clear" w:color="auto" w:fill="D2DDE1" w:themeFill="background2"/>
            <w:vAlign w:val="bottom"/>
          </w:tcPr>
          <w:p w14:paraId="5D1DDE66" w14:textId="463ACE04"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153DE7" w:rsidRPr="00B87CC5">
              <w:rPr>
                <w:rFonts w:asciiTheme="minorHAnsi" w:hAnsiTheme="minorHAnsi" w:cstheme="minorHAnsi"/>
                <w:b w:val="0"/>
                <w:bCs/>
                <w:color w:val="000000"/>
                <w:szCs w:val="18"/>
              </w:rPr>
              <w:t>48</w:t>
            </w:r>
            <w:r w:rsidR="00E506DE" w:rsidRPr="00B87CC5">
              <w:rPr>
                <w:rFonts w:asciiTheme="minorHAnsi" w:hAnsiTheme="minorHAnsi" w:cstheme="minorHAnsi"/>
                <w:b w:val="0"/>
                <w:color w:val="000000"/>
                <w:szCs w:val="18"/>
              </w:rPr>
              <w:t>%</w:t>
            </w:r>
          </w:p>
        </w:tc>
        <w:tc>
          <w:tcPr>
            <w:tcW w:w="434" w:type="pct"/>
            <w:tcBorders>
              <w:top w:val="none" w:sz="0" w:space="0" w:color="auto"/>
              <w:bottom w:val="none" w:sz="0" w:space="0" w:color="auto"/>
              <w:right w:val="none" w:sz="0" w:space="0" w:color="auto"/>
            </w:tcBorders>
            <w:shd w:val="clear" w:color="auto" w:fill="D2DDE1" w:themeFill="background2"/>
            <w:noWrap/>
            <w:vAlign w:val="bottom"/>
          </w:tcPr>
          <w:p w14:paraId="5DE9D362" w14:textId="7405FAAD" w:rsidR="00E506DE" w:rsidRPr="00B87CC5" w:rsidRDefault="00E506DE"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41%</w:t>
            </w:r>
          </w:p>
        </w:tc>
      </w:tr>
      <w:tr w:rsidR="0049137C" w:rsidRPr="00B87CC5" w14:paraId="5C7FE561" w14:textId="77777777" w:rsidTr="0049137C">
        <w:tc>
          <w:tcPr>
            <w:cnfStyle w:val="001000000000" w:firstRow="0" w:lastRow="0" w:firstColumn="1" w:lastColumn="0" w:oddVBand="0" w:evenVBand="0" w:oddHBand="0" w:evenHBand="0" w:firstRowFirstColumn="0" w:firstRowLastColumn="0" w:lastRowFirstColumn="0" w:lastRowLastColumn="0"/>
            <w:tcW w:w="1081" w:type="pct"/>
            <w:vAlign w:val="center"/>
          </w:tcPr>
          <w:p w14:paraId="5611425E" w14:textId="02DA398F" w:rsidR="00E506DE" w:rsidRPr="00B87CC5" w:rsidRDefault="00E506DE" w:rsidP="00F83424">
            <w:pPr>
              <w:pStyle w:val="TableTextbold"/>
              <w:spacing w:before="40" w:after="40" w:line="240" w:lineRule="auto"/>
              <w:rPr>
                <w:rFonts w:asciiTheme="minorHAnsi" w:hAnsiTheme="minorHAnsi" w:cstheme="minorHAnsi"/>
                <w:szCs w:val="18"/>
              </w:rPr>
            </w:pPr>
            <w:r w:rsidRPr="00B87CC5">
              <w:t>Residential, commercial, agriculture</w:t>
            </w:r>
          </w:p>
        </w:tc>
        <w:tc>
          <w:tcPr>
            <w:tcW w:w="435" w:type="pct"/>
            <w:shd w:val="clear" w:color="auto" w:fill="D2DDE1" w:themeFill="background2"/>
            <w:noWrap/>
            <w:vAlign w:val="bottom"/>
          </w:tcPr>
          <w:p w14:paraId="6F2BEC88" w14:textId="58FE51FC"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262</w:t>
            </w:r>
          </w:p>
        </w:tc>
        <w:tc>
          <w:tcPr>
            <w:tcW w:w="436" w:type="pct"/>
            <w:shd w:val="clear" w:color="auto" w:fill="D2DDE1" w:themeFill="background2"/>
            <w:noWrap/>
            <w:vAlign w:val="bottom"/>
          </w:tcPr>
          <w:p w14:paraId="031E1C30" w14:textId="2F9C04EB"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6%</w:t>
            </w:r>
          </w:p>
        </w:tc>
        <w:tc>
          <w:tcPr>
            <w:tcW w:w="435" w:type="pct"/>
            <w:shd w:val="clear" w:color="auto" w:fill="D2DDE1" w:themeFill="background2"/>
            <w:vAlign w:val="bottom"/>
          </w:tcPr>
          <w:p w14:paraId="352C1DCD" w14:textId="78D6B462" w:rsidR="00E506DE" w:rsidRPr="00B87CC5" w:rsidRDefault="00E506DE"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7%</w:t>
            </w:r>
          </w:p>
        </w:tc>
        <w:tc>
          <w:tcPr>
            <w:tcW w:w="436" w:type="pct"/>
            <w:vAlign w:val="bottom"/>
          </w:tcPr>
          <w:p w14:paraId="78801C6F" w14:textId="0F757315"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423</w:t>
            </w:r>
          </w:p>
        </w:tc>
        <w:tc>
          <w:tcPr>
            <w:tcW w:w="435" w:type="pct"/>
            <w:noWrap/>
            <w:vAlign w:val="bottom"/>
          </w:tcPr>
          <w:p w14:paraId="65CFD2CC" w14:textId="27CC9996"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9%</w:t>
            </w:r>
          </w:p>
        </w:tc>
        <w:tc>
          <w:tcPr>
            <w:tcW w:w="436" w:type="pct"/>
            <w:noWrap/>
            <w:vAlign w:val="bottom"/>
          </w:tcPr>
          <w:p w14:paraId="70D6BB57" w14:textId="18CBD00C" w:rsidR="00E506DE" w:rsidRPr="00B87CC5" w:rsidRDefault="00E506DE"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9%</w:t>
            </w:r>
          </w:p>
        </w:tc>
        <w:tc>
          <w:tcPr>
            <w:tcW w:w="435" w:type="pct"/>
            <w:shd w:val="clear" w:color="auto" w:fill="D2DDE1" w:themeFill="background2"/>
            <w:noWrap/>
            <w:vAlign w:val="bottom"/>
          </w:tcPr>
          <w:p w14:paraId="78DDF3A2" w14:textId="6F2CE8BB"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771</w:t>
            </w:r>
          </w:p>
        </w:tc>
        <w:tc>
          <w:tcPr>
            <w:tcW w:w="436" w:type="pct"/>
            <w:shd w:val="clear" w:color="auto" w:fill="D2DDE1" w:themeFill="background2"/>
            <w:vAlign w:val="bottom"/>
          </w:tcPr>
          <w:p w14:paraId="75D897F1" w14:textId="28E93496"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17%</w:t>
            </w:r>
          </w:p>
        </w:tc>
        <w:tc>
          <w:tcPr>
            <w:tcW w:w="434" w:type="pct"/>
            <w:shd w:val="clear" w:color="auto" w:fill="D2DDE1" w:themeFill="background2"/>
            <w:noWrap/>
            <w:vAlign w:val="bottom"/>
          </w:tcPr>
          <w:p w14:paraId="1149EFC4" w14:textId="4F2425BE" w:rsidR="00E506DE" w:rsidRPr="00B87CC5" w:rsidRDefault="00E506DE"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10%</w:t>
            </w:r>
          </w:p>
        </w:tc>
      </w:tr>
      <w:tr w:rsidR="0049137C" w:rsidRPr="00B87CC5" w14:paraId="6C428A62" w14:textId="77777777" w:rsidTr="00491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tcBorders>
              <w:top w:val="none" w:sz="0" w:space="0" w:color="auto"/>
              <w:left w:val="none" w:sz="0" w:space="0" w:color="auto"/>
              <w:bottom w:val="none" w:sz="0" w:space="0" w:color="auto"/>
            </w:tcBorders>
            <w:vAlign w:val="center"/>
          </w:tcPr>
          <w:p w14:paraId="318F9667" w14:textId="66FA6F19" w:rsidR="00E506DE" w:rsidRPr="00B87CC5" w:rsidRDefault="00E506DE" w:rsidP="00F83424">
            <w:pPr>
              <w:pStyle w:val="TableTextbold"/>
              <w:spacing w:before="40" w:after="40" w:line="240" w:lineRule="auto"/>
              <w:rPr>
                <w:rFonts w:asciiTheme="minorHAnsi" w:hAnsiTheme="minorHAnsi" w:cstheme="minorHAnsi"/>
                <w:szCs w:val="18"/>
              </w:rPr>
            </w:pPr>
            <w:r w:rsidRPr="00B87CC5">
              <w:t>Fugitive</w:t>
            </w:r>
          </w:p>
        </w:tc>
        <w:tc>
          <w:tcPr>
            <w:tcW w:w="435" w:type="pct"/>
            <w:tcBorders>
              <w:top w:val="none" w:sz="0" w:space="0" w:color="auto"/>
              <w:bottom w:val="none" w:sz="0" w:space="0" w:color="auto"/>
            </w:tcBorders>
            <w:shd w:val="clear" w:color="auto" w:fill="D2DDE1" w:themeFill="background2"/>
            <w:noWrap/>
            <w:vAlign w:val="bottom"/>
          </w:tcPr>
          <w:p w14:paraId="6C89B0ED" w14:textId="159332A4"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237</w:t>
            </w:r>
          </w:p>
        </w:tc>
        <w:tc>
          <w:tcPr>
            <w:tcW w:w="436" w:type="pct"/>
            <w:tcBorders>
              <w:top w:val="none" w:sz="0" w:space="0" w:color="auto"/>
              <w:bottom w:val="none" w:sz="0" w:space="0" w:color="auto"/>
            </w:tcBorders>
            <w:shd w:val="clear" w:color="auto" w:fill="D2DDE1" w:themeFill="background2"/>
            <w:noWrap/>
            <w:vAlign w:val="bottom"/>
          </w:tcPr>
          <w:p w14:paraId="7955672F" w14:textId="4B0A7061"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18%</w:t>
            </w:r>
          </w:p>
        </w:tc>
        <w:tc>
          <w:tcPr>
            <w:tcW w:w="435" w:type="pct"/>
            <w:tcBorders>
              <w:top w:val="none" w:sz="0" w:space="0" w:color="auto"/>
              <w:bottom w:val="none" w:sz="0" w:space="0" w:color="auto"/>
            </w:tcBorders>
            <w:shd w:val="clear" w:color="auto" w:fill="D2DDE1" w:themeFill="background2"/>
            <w:vAlign w:val="bottom"/>
          </w:tcPr>
          <w:p w14:paraId="5C647646" w14:textId="2639CBA7" w:rsidR="00E506DE" w:rsidRPr="00B87CC5" w:rsidRDefault="00E506DE"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7%</w:t>
            </w:r>
          </w:p>
        </w:tc>
        <w:tc>
          <w:tcPr>
            <w:tcW w:w="436" w:type="pct"/>
            <w:tcBorders>
              <w:top w:val="none" w:sz="0" w:space="0" w:color="auto"/>
              <w:bottom w:val="none" w:sz="0" w:space="0" w:color="auto"/>
            </w:tcBorders>
            <w:vAlign w:val="bottom"/>
          </w:tcPr>
          <w:p w14:paraId="151A538B" w14:textId="6A8618EB"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265</w:t>
            </w:r>
          </w:p>
        </w:tc>
        <w:tc>
          <w:tcPr>
            <w:tcW w:w="435" w:type="pct"/>
            <w:tcBorders>
              <w:top w:val="none" w:sz="0" w:space="0" w:color="auto"/>
              <w:bottom w:val="none" w:sz="0" w:space="0" w:color="auto"/>
            </w:tcBorders>
            <w:noWrap/>
            <w:vAlign w:val="bottom"/>
          </w:tcPr>
          <w:p w14:paraId="2E03B57E" w14:textId="3576EDDA"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153DE7" w:rsidRPr="00B87CC5">
              <w:rPr>
                <w:rFonts w:asciiTheme="minorHAnsi" w:hAnsiTheme="minorHAnsi" w:cstheme="minorHAnsi"/>
                <w:b w:val="0"/>
                <w:bCs/>
                <w:color w:val="000000"/>
                <w:szCs w:val="18"/>
              </w:rPr>
              <w:t>20</w:t>
            </w:r>
            <w:r w:rsidR="00E506DE" w:rsidRPr="00B87CC5">
              <w:rPr>
                <w:rFonts w:asciiTheme="minorHAnsi" w:hAnsiTheme="minorHAnsi" w:cstheme="minorHAnsi"/>
                <w:b w:val="0"/>
                <w:color w:val="000000"/>
                <w:szCs w:val="18"/>
              </w:rPr>
              <w:t>%</w:t>
            </w:r>
          </w:p>
        </w:tc>
        <w:tc>
          <w:tcPr>
            <w:tcW w:w="436" w:type="pct"/>
            <w:tcBorders>
              <w:top w:val="none" w:sz="0" w:space="0" w:color="auto"/>
              <w:bottom w:val="none" w:sz="0" w:space="0" w:color="auto"/>
            </w:tcBorders>
            <w:noWrap/>
            <w:vAlign w:val="bottom"/>
          </w:tcPr>
          <w:p w14:paraId="5F566CE0" w14:textId="2208D922" w:rsidR="00E506DE" w:rsidRPr="00B87CC5" w:rsidRDefault="00E506DE"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6%</w:t>
            </w:r>
          </w:p>
        </w:tc>
        <w:tc>
          <w:tcPr>
            <w:tcW w:w="435" w:type="pct"/>
            <w:tcBorders>
              <w:top w:val="none" w:sz="0" w:space="0" w:color="auto"/>
              <w:bottom w:val="none" w:sz="0" w:space="0" w:color="auto"/>
            </w:tcBorders>
            <w:shd w:val="clear" w:color="auto" w:fill="D2DDE1" w:themeFill="background2"/>
            <w:noWrap/>
            <w:vAlign w:val="bottom"/>
          </w:tcPr>
          <w:p w14:paraId="119BBFDE" w14:textId="2E8F8F0D"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403</w:t>
            </w:r>
          </w:p>
        </w:tc>
        <w:tc>
          <w:tcPr>
            <w:tcW w:w="436" w:type="pct"/>
            <w:tcBorders>
              <w:top w:val="none" w:sz="0" w:space="0" w:color="auto"/>
              <w:bottom w:val="none" w:sz="0" w:space="0" w:color="auto"/>
            </w:tcBorders>
            <w:shd w:val="clear" w:color="auto" w:fill="D2DDE1" w:themeFill="background2"/>
            <w:vAlign w:val="bottom"/>
          </w:tcPr>
          <w:p w14:paraId="1F1C701B" w14:textId="546FAACE" w:rsidR="00E506DE" w:rsidRPr="00B87CC5" w:rsidRDefault="005F28E6"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w:t>
            </w:r>
            <w:r w:rsidR="00E506DE" w:rsidRPr="00B87CC5">
              <w:rPr>
                <w:rFonts w:asciiTheme="minorHAnsi" w:hAnsiTheme="minorHAnsi" w:cstheme="minorHAnsi"/>
                <w:b w:val="0"/>
                <w:color w:val="000000"/>
                <w:szCs w:val="18"/>
              </w:rPr>
              <w:t>31%</w:t>
            </w:r>
          </w:p>
        </w:tc>
        <w:tc>
          <w:tcPr>
            <w:tcW w:w="434" w:type="pct"/>
            <w:tcBorders>
              <w:top w:val="none" w:sz="0" w:space="0" w:color="auto"/>
              <w:bottom w:val="none" w:sz="0" w:space="0" w:color="auto"/>
              <w:right w:val="none" w:sz="0" w:space="0" w:color="auto"/>
            </w:tcBorders>
            <w:shd w:val="clear" w:color="auto" w:fill="D2DDE1" w:themeFill="background2"/>
            <w:noWrap/>
            <w:vAlign w:val="bottom"/>
          </w:tcPr>
          <w:p w14:paraId="21058816" w14:textId="36C1C928" w:rsidR="00E506DE" w:rsidRPr="00B87CC5" w:rsidRDefault="00E506DE" w:rsidP="00F83424">
            <w:pPr>
              <w:pStyle w:val="TableTextbold"/>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szCs w:val="18"/>
              </w:rPr>
            </w:pPr>
            <w:r w:rsidRPr="00B87CC5">
              <w:rPr>
                <w:rFonts w:asciiTheme="minorHAnsi" w:hAnsiTheme="minorHAnsi" w:cstheme="minorHAnsi"/>
                <w:b w:val="0"/>
                <w:color w:val="000000"/>
                <w:szCs w:val="18"/>
              </w:rPr>
              <w:t>5%</w:t>
            </w:r>
          </w:p>
        </w:tc>
      </w:tr>
      <w:tr w:rsidR="0049137C" w:rsidRPr="00B87CC5" w14:paraId="3FAD8CE9" w14:textId="77777777" w:rsidTr="0049137C">
        <w:tc>
          <w:tcPr>
            <w:cnfStyle w:val="001000000000" w:firstRow="0" w:lastRow="0" w:firstColumn="1" w:lastColumn="0" w:oddVBand="0" w:evenVBand="0" w:oddHBand="0" w:evenHBand="0" w:firstRowFirstColumn="0" w:firstRowLastColumn="0" w:lastRowFirstColumn="0" w:lastRowLastColumn="0"/>
            <w:tcW w:w="1081" w:type="pct"/>
            <w:vAlign w:val="center"/>
          </w:tcPr>
          <w:p w14:paraId="4FC3BC00" w14:textId="7AADE09A" w:rsidR="00E506DE" w:rsidRPr="00B87CC5" w:rsidRDefault="00E506DE" w:rsidP="00F83424">
            <w:pPr>
              <w:pStyle w:val="TableTextbold"/>
              <w:spacing w:before="40" w:after="40" w:line="240" w:lineRule="auto"/>
              <w:rPr>
                <w:rFonts w:asciiTheme="minorHAnsi" w:hAnsiTheme="minorHAnsi" w:cstheme="minorHAnsi"/>
                <w:b/>
                <w:bCs w:val="0"/>
                <w:szCs w:val="18"/>
              </w:rPr>
            </w:pPr>
            <w:r w:rsidRPr="00B87CC5">
              <w:rPr>
                <w:b/>
                <w:bCs w:val="0"/>
              </w:rPr>
              <w:t>Total</w:t>
            </w:r>
          </w:p>
        </w:tc>
        <w:tc>
          <w:tcPr>
            <w:tcW w:w="435" w:type="pct"/>
            <w:shd w:val="clear" w:color="auto" w:fill="D2DDE1" w:themeFill="background2"/>
            <w:noWrap/>
            <w:vAlign w:val="bottom"/>
          </w:tcPr>
          <w:p w14:paraId="23102325" w14:textId="5AF88CCE"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87CC5">
              <w:rPr>
                <w:rFonts w:asciiTheme="minorHAnsi" w:hAnsiTheme="minorHAnsi" w:cstheme="minorHAnsi"/>
                <w:color w:val="000000"/>
                <w:szCs w:val="18"/>
              </w:rPr>
              <w:t>–</w:t>
            </w:r>
            <w:r w:rsidR="00E506DE" w:rsidRPr="00B87CC5">
              <w:rPr>
                <w:rFonts w:asciiTheme="minorHAnsi" w:hAnsiTheme="minorHAnsi" w:cstheme="minorHAnsi"/>
                <w:color w:val="000000"/>
                <w:szCs w:val="18"/>
              </w:rPr>
              <w:t>3,617</w:t>
            </w:r>
          </w:p>
        </w:tc>
        <w:tc>
          <w:tcPr>
            <w:tcW w:w="436" w:type="pct"/>
            <w:shd w:val="clear" w:color="auto" w:fill="D2DDE1" w:themeFill="background2"/>
            <w:noWrap/>
            <w:vAlign w:val="bottom"/>
          </w:tcPr>
          <w:p w14:paraId="3D20FF6F" w14:textId="0C3EB13A"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87CC5">
              <w:rPr>
                <w:rFonts w:asciiTheme="minorHAnsi" w:hAnsiTheme="minorHAnsi" w:cstheme="minorHAnsi"/>
                <w:color w:val="000000"/>
                <w:szCs w:val="18"/>
              </w:rPr>
              <w:t>–</w:t>
            </w:r>
            <w:r w:rsidR="00153DE7" w:rsidRPr="00B87CC5">
              <w:rPr>
                <w:rFonts w:asciiTheme="minorHAnsi" w:hAnsiTheme="minorHAnsi" w:cstheme="minorHAnsi"/>
                <w:color w:val="000000"/>
                <w:szCs w:val="18"/>
              </w:rPr>
              <w:t>21</w:t>
            </w:r>
            <w:r w:rsidR="00E506DE" w:rsidRPr="00B87CC5">
              <w:rPr>
                <w:rFonts w:asciiTheme="minorHAnsi" w:hAnsiTheme="minorHAnsi" w:cstheme="minorHAnsi"/>
                <w:color w:val="000000"/>
                <w:szCs w:val="18"/>
              </w:rPr>
              <w:t>%</w:t>
            </w:r>
          </w:p>
        </w:tc>
        <w:tc>
          <w:tcPr>
            <w:tcW w:w="435" w:type="pct"/>
            <w:shd w:val="clear" w:color="auto" w:fill="D2DDE1" w:themeFill="background2"/>
            <w:vAlign w:val="bottom"/>
          </w:tcPr>
          <w:p w14:paraId="35F4199F" w14:textId="58540A0A" w:rsidR="00E506DE" w:rsidRPr="00B87CC5" w:rsidRDefault="00E506DE"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87CC5">
              <w:rPr>
                <w:rFonts w:asciiTheme="minorHAnsi" w:hAnsiTheme="minorHAnsi" w:cstheme="minorHAnsi"/>
                <w:color w:val="000000"/>
                <w:szCs w:val="18"/>
              </w:rPr>
              <w:t>100%</w:t>
            </w:r>
          </w:p>
        </w:tc>
        <w:tc>
          <w:tcPr>
            <w:tcW w:w="436" w:type="pct"/>
            <w:vAlign w:val="bottom"/>
          </w:tcPr>
          <w:p w14:paraId="7087A97F" w14:textId="5C21B13F"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87CC5">
              <w:rPr>
                <w:rFonts w:asciiTheme="minorHAnsi" w:hAnsiTheme="minorHAnsi" w:cstheme="minorHAnsi"/>
                <w:color w:val="000000"/>
                <w:szCs w:val="18"/>
              </w:rPr>
              <w:t>–</w:t>
            </w:r>
            <w:r w:rsidR="00E506DE" w:rsidRPr="00B87CC5">
              <w:rPr>
                <w:rFonts w:asciiTheme="minorHAnsi" w:hAnsiTheme="minorHAnsi" w:cstheme="minorHAnsi"/>
                <w:color w:val="000000"/>
                <w:szCs w:val="18"/>
              </w:rPr>
              <w:t>4,743</w:t>
            </w:r>
          </w:p>
        </w:tc>
        <w:tc>
          <w:tcPr>
            <w:tcW w:w="435" w:type="pct"/>
            <w:noWrap/>
            <w:vAlign w:val="bottom"/>
          </w:tcPr>
          <w:p w14:paraId="1F7E6AF2" w14:textId="13999A0D"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87CC5">
              <w:rPr>
                <w:rFonts w:asciiTheme="minorHAnsi" w:hAnsiTheme="minorHAnsi" w:cstheme="minorHAnsi"/>
                <w:color w:val="000000"/>
                <w:szCs w:val="18"/>
              </w:rPr>
              <w:t>–</w:t>
            </w:r>
            <w:r w:rsidR="00153DE7" w:rsidRPr="00B87CC5">
              <w:rPr>
                <w:rFonts w:asciiTheme="minorHAnsi" w:hAnsiTheme="minorHAnsi" w:cstheme="minorHAnsi"/>
                <w:color w:val="000000"/>
                <w:szCs w:val="18"/>
              </w:rPr>
              <w:t>28</w:t>
            </w:r>
            <w:r w:rsidR="00E506DE" w:rsidRPr="00B87CC5">
              <w:rPr>
                <w:rFonts w:asciiTheme="minorHAnsi" w:hAnsiTheme="minorHAnsi" w:cstheme="minorHAnsi"/>
                <w:color w:val="000000"/>
                <w:szCs w:val="18"/>
              </w:rPr>
              <w:t>%</w:t>
            </w:r>
          </w:p>
        </w:tc>
        <w:tc>
          <w:tcPr>
            <w:tcW w:w="436" w:type="pct"/>
            <w:noWrap/>
            <w:vAlign w:val="bottom"/>
          </w:tcPr>
          <w:p w14:paraId="4FD9787D" w14:textId="5084078B" w:rsidR="00E506DE" w:rsidRPr="00B87CC5" w:rsidRDefault="00E506DE"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87CC5">
              <w:rPr>
                <w:rFonts w:asciiTheme="minorHAnsi" w:hAnsiTheme="minorHAnsi" w:cstheme="minorHAnsi"/>
                <w:color w:val="000000"/>
                <w:szCs w:val="18"/>
              </w:rPr>
              <w:t>100%</w:t>
            </w:r>
          </w:p>
        </w:tc>
        <w:tc>
          <w:tcPr>
            <w:tcW w:w="435" w:type="pct"/>
            <w:shd w:val="clear" w:color="auto" w:fill="D2DDE1" w:themeFill="background2"/>
            <w:noWrap/>
            <w:vAlign w:val="bottom"/>
          </w:tcPr>
          <w:p w14:paraId="64F0448D" w14:textId="06B7A83D"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87CC5">
              <w:rPr>
                <w:rFonts w:asciiTheme="minorHAnsi" w:hAnsiTheme="minorHAnsi" w:cstheme="minorHAnsi"/>
                <w:color w:val="000000"/>
                <w:szCs w:val="18"/>
              </w:rPr>
              <w:t>–</w:t>
            </w:r>
            <w:r w:rsidR="00E506DE" w:rsidRPr="00B87CC5">
              <w:rPr>
                <w:rFonts w:asciiTheme="minorHAnsi" w:hAnsiTheme="minorHAnsi" w:cstheme="minorHAnsi"/>
                <w:color w:val="000000"/>
                <w:szCs w:val="18"/>
              </w:rPr>
              <w:t>7,613</w:t>
            </w:r>
          </w:p>
        </w:tc>
        <w:tc>
          <w:tcPr>
            <w:tcW w:w="436" w:type="pct"/>
            <w:shd w:val="clear" w:color="auto" w:fill="D2DDE1" w:themeFill="background2"/>
            <w:vAlign w:val="bottom"/>
          </w:tcPr>
          <w:p w14:paraId="7082B9B3" w14:textId="4EBDD286" w:rsidR="00E506DE" w:rsidRPr="00B87CC5" w:rsidRDefault="005F28E6"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87CC5">
              <w:rPr>
                <w:rFonts w:asciiTheme="minorHAnsi" w:hAnsiTheme="minorHAnsi" w:cstheme="minorHAnsi"/>
                <w:color w:val="000000"/>
                <w:szCs w:val="18"/>
              </w:rPr>
              <w:t>–</w:t>
            </w:r>
            <w:r w:rsidR="00153DE7" w:rsidRPr="00B87CC5">
              <w:rPr>
                <w:rFonts w:asciiTheme="minorHAnsi" w:hAnsiTheme="minorHAnsi" w:cstheme="minorHAnsi"/>
                <w:color w:val="000000"/>
                <w:szCs w:val="18"/>
              </w:rPr>
              <w:t>44</w:t>
            </w:r>
            <w:r w:rsidR="00E506DE" w:rsidRPr="00B87CC5">
              <w:rPr>
                <w:rFonts w:asciiTheme="minorHAnsi" w:hAnsiTheme="minorHAnsi" w:cstheme="minorHAnsi"/>
                <w:color w:val="000000"/>
                <w:szCs w:val="18"/>
              </w:rPr>
              <w:t>%</w:t>
            </w:r>
          </w:p>
        </w:tc>
        <w:tc>
          <w:tcPr>
            <w:tcW w:w="434" w:type="pct"/>
            <w:shd w:val="clear" w:color="auto" w:fill="D2DDE1" w:themeFill="background2"/>
            <w:noWrap/>
            <w:vAlign w:val="bottom"/>
          </w:tcPr>
          <w:p w14:paraId="621AF81E" w14:textId="72EF84E7" w:rsidR="00E506DE" w:rsidRPr="00B87CC5" w:rsidRDefault="00E506DE" w:rsidP="00F83424">
            <w:pPr>
              <w:pStyle w:val="TableTextbold"/>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87CC5">
              <w:rPr>
                <w:rFonts w:asciiTheme="minorHAnsi" w:hAnsiTheme="minorHAnsi" w:cstheme="minorHAnsi"/>
                <w:color w:val="000000"/>
                <w:szCs w:val="18"/>
              </w:rPr>
              <w:t>100%</w:t>
            </w:r>
          </w:p>
        </w:tc>
      </w:tr>
    </w:tbl>
    <w:p w14:paraId="0692D8F8" w14:textId="53A0C545" w:rsidR="00451CA3" w:rsidRDefault="00451CA3" w:rsidP="00693A85">
      <w:pPr>
        <w:pStyle w:val="Figureheading"/>
      </w:pPr>
      <w:bookmarkStart w:id="46" w:name="_Ref170313197"/>
      <w:bookmarkStart w:id="47" w:name="_Toc171609786"/>
      <w:bookmarkStart w:id="48" w:name="_Ref167291768"/>
      <w:r w:rsidRPr="00B87CC5">
        <w:lastRenderedPageBreak/>
        <w:t xml:space="preserve">Figure </w:t>
      </w:r>
      <w:r w:rsidR="00385111">
        <w:fldChar w:fldCharType="begin"/>
      </w:r>
      <w:r w:rsidR="00385111">
        <w:instrText xml:space="preserve"> SEQ Figure \* ARABIC </w:instrText>
      </w:r>
      <w:r w:rsidR="00385111">
        <w:fldChar w:fldCharType="separate"/>
      </w:r>
      <w:r w:rsidR="001B6E3F" w:rsidRPr="00B87CC5">
        <w:t>11</w:t>
      </w:r>
      <w:r w:rsidR="00385111">
        <w:fldChar w:fldCharType="end"/>
      </w:r>
      <w:bookmarkEnd w:id="46"/>
      <w:r w:rsidR="005E1D91" w:rsidRPr="00B87CC5">
        <w:t>:</w:t>
      </w:r>
      <w:r w:rsidR="005E1D91" w:rsidRPr="00B87CC5">
        <w:tab/>
      </w:r>
      <w:r w:rsidRPr="00B87CC5">
        <w:t>Historical and projected manufacturing and construction emissions</w:t>
      </w:r>
      <w:r w:rsidR="005F28E6" w:rsidRPr="00B87CC5">
        <w:t>, 1990–2050</w:t>
      </w:r>
      <w:bookmarkEnd w:id="47"/>
    </w:p>
    <w:p w14:paraId="04A798AF" w14:textId="5887666A" w:rsidR="00920C9C" w:rsidRPr="00920C9C" w:rsidRDefault="00920C9C" w:rsidP="00920C9C">
      <w:pPr>
        <w:pStyle w:val="BodyText"/>
      </w:pPr>
      <w:r>
        <w:rPr>
          <w:noProof/>
        </w:rPr>
        <w:drawing>
          <wp:inline distT="0" distB="0" distL="0" distR="0" wp14:anchorId="09CD79CC" wp14:editId="2CCA11CC">
            <wp:extent cx="5400000" cy="3507030"/>
            <wp:effectExtent l="0" t="0" r="0" b="0"/>
            <wp:docPr id="755042759" name="Picture 53" descr="A line graph showing industrial processes and product use emissions for the sub-categories food processing, petrochemicals, and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42759" name="Picture 53" descr="A line graph showing industrial processes and product use emissions for the sub-categories food processing, petrochemicals, and other. "/>
                    <pic:cNvPicPr>
                      <a:picLocks noChangeAspect="1" noChangeArrowheads="1"/>
                    </pic:cNvPicPr>
                  </pic:nvPicPr>
                  <pic:blipFill rotWithShape="1">
                    <a:blip r:embed="rId34">
                      <a:extLst>
                        <a:ext uri="{28A0092B-C50C-407E-A947-70E740481C1C}">
                          <a14:useLocalDpi xmlns:a14="http://schemas.microsoft.com/office/drawing/2010/main" val="0"/>
                        </a:ext>
                      </a:extLst>
                    </a:blip>
                    <a:srcRect r="1233" b="1753"/>
                    <a:stretch/>
                  </pic:blipFill>
                  <pic:spPr bwMode="auto">
                    <a:xfrm>
                      <a:off x="0" y="0"/>
                      <a:ext cx="5400000" cy="3507030"/>
                    </a:xfrm>
                    <a:prstGeom prst="rect">
                      <a:avLst/>
                    </a:prstGeom>
                    <a:noFill/>
                    <a:ln>
                      <a:noFill/>
                    </a:ln>
                    <a:extLst>
                      <a:ext uri="{53640926-AAD7-44D8-BBD7-CCE9431645EC}">
                        <a14:shadowObscured xmlns:a14="http://schemas.microsoft.com/office/drawing/2010/main"/>
                      </a:ext>
                    </a:extLst>
                  </pic:spPr>
                </pic:pic>
              </a:graphicData>
            </a:graphic>
          </wp:inline>
        </w:drawing>
      </w:r>
    </w:p>
    <w:p w14:paraId="6450931F" w14:textId="6BC3320F" w:rsidR="009A4971" w:rsidRPr="00B87CC5" w:rsidRDefault="009A4971" w:rsidP="00D71E47">
      <w:pPr>
        <w:pStyle w:val="Note"/>
        <w:spacing w:before="80" w:after="0"/>
        <w:rPr>
          <w:lang w:eastAsia="en-US"/>
        </w:rPr>
      </w:pPr>
      <w:r w:rsidRPr="00B87CC5">
        <w:rPr>
          <w:lang w:eastAsia="en-US"/>
        </w:rPr>
        <w:t xml:space="preserve">Note: </w:t>
      </w:r>
      <w:r w:rsidR="00D1360E" w:rsidRPr="00B87CC5">
        <w:rPr>
          <w:lang w:eastAsia="en-US"/>
        </w:rPr>
        <w:t>S</w:t>
      </w:r>
      <w:r w:rsidRPr="00B87CC5">
        <w:rPr>
          <w:lang w:eastAsia="en-US"/>
        </w:rPr>
        <w:t>olid lines = historical data; dashed lines = projections</w:t>
      </w:r>
      <w:r w:rsidR="0096234F" w:rsidRPr="00B87CC5">
        <w:rPr>
          <w:lang w:eastAsia="en-US"/>
        </w:rPr>
        <w:t>.</w:t>
      </w:r>
    </w:p>
    <w:bookmarkEnd w:id="48"/>
    <w:p w14:paraId="1ABE9F3C" w14:textId="473F892A" w:rsidR="00914BF4" w:rsidRPr="00B87CC5" w:rsidRDefault="006F572C" w:rsidP="00D72582">
      <w:pPr>
        <w:pStyle w:val="Heading3"/>
      </w:pPr>
      <w:r w:rsidRPr="00B87CC5">
        <w:t>Agriculture</w:t>
      </w:r>
    </w:p>
    <w:p w14:paraId="579EDD5C" w14:textId="78CC1005" w:rsidR="006F572C" w:rsidRPr="00B87CC5" w:rsidRDefault="00E1635C" w:rsidP="00B54DB6">
      <w:pPr>
        <w:pStyle w:val="BodyText"/>
        <w:rPr>
          <w:lang w:eastAsia="en-US"/>
        </w:rPr>
      </w:pPr>
      <w:r w:rsidRPr="00B87CC5">
        <w:rPr>
          <w:lang w:eastAsia="en-US"/>
        </w:rPr>
        <w:t>Overall trends in agricultur</w:t>
      </w:r>
      <w:r w:rsidR="00317F64" w:rsidRPr="00B87CC5">
        <w:rPr>
          <w:lang w:eastAsia="en-US"/>
        </w:rPr>
        <w:t>e</w:t>
      </w:r>
      <w:r w:rsidRPr="00B87CC5">
        <w:rPr>
          <w:lang w:eastAsia="en-US"/>
        </w:rPr>
        <w:t xml:space="preserve"> emissions are shown in </w:t>
      </w:r>
      <w:r w:rsidR="00D1360E" w:rsidRPr="00B87CC5">
        <w:t>f</w:t>
      </w:r>
      <w:r w:rsidR="001B6E3F" w:rsidRPr="00B87CC5">
        <w:t>igure 12</w:t>
      </w:r>
      <w:r w:rsidR="00FD2230" w:rsidRPr="00B87CC5">
        <w:rPr>
          <w:lang w:eastAsia="en-US"/>
        </w:rPr>
        <w:t xml:space="preserve">. </w:t>
      </w:r>
      <w:r w:rsidR="005631BB" w:rsidRPr="00B87CC5">
        <w:rPr>
          <w:lang w:eastAsia="en-US"/>
        </w:rPr>
        <w:t xml:space="preserve">The major change in the projections is from the reduction </w:t>
      </w:r>
      <w:r w:rsidR="00CC3596" w:rsidRPr="00B87CC5">
        <w:rPr>
          <w:lang w:eastAsia="en-US"/>
        </w:rPr>
        <w:t>in modelled methane</w:t>
      </w:r>
      <w:r w:rsidR="00CC3596" w:rsidRPr="00B87CC5" w:rsidDel="00D1360E">
        <w:rPr>
          <w:lang w:eastAsia="en-US"/>
        </w:rPr>
        <w:t xml:space="preserve"> </w:t>
      </w:r>
      <w:r w:rsidR="00CC3596" w:rsidRPr="00B87CC5">
        <w:rPr>
          <w:lang w:eastAsia="en-US"/>
        </w:rPr>
        <w:t xml:space="preserve">emissions. </w:t>
      </w:r>
      <w:r w:rsidR="00FE2185" w:rsidRPr="00B87CC5">
        <w:rPr>
          <w:lang w:eastAsia="en-US"/>
        </w:rPr>
        <w:t xml:space="preserve">The </w:t>
      </w:r>
      <w:r w:rsidR="002733FC" w:rsidRPr="00B87CC5">
        <w:rPr>
          <w:lang w:eastAsia="en-US"/>
        </w:rPr>
        <w:t>major contribut</w:t>
      </w:r>
      <w:r w:rsidR="00D1360E" w:rsidRPr="00B87CC5">
        <w:rPr>
          <w:lang w:eastAsia="en-US"/>
        </w:rPr>
        <w:t>ion</w:t>
      </w:r>
      <w:r w:rsidR="002733FC" w:rsidRPr="00B87CC5">
        <w:rPr>
          <w:lang w:eastAsia="en-US"/>
        </w:rPr>
        <w:t xml:space="preserve"> to</w:t>
      </w:r>
      <w:r w:rsidR="00B54DB6" w:rsidRPr="00B87CC5">
        <w:rPr>
          <w:lang w:eastAsia="en-US"/>
        </w:rPr>
        <w:t> </w:t>
      </w:r>
      <w:r w:rsidR="002733FC" w:rsidRPr="00B87CC5">
        <w:rPr>
          <w:lang w:eastAsia="en-US"/>
        </w:rPr>
        <w:t xml:space="preserve">the overall downward projection </w:t>
      </w:r>
      <w:r w:rsidR="00D1360E" w:rsidRPr="00B87CC5">
        <w:rPr>
          <w:lang w:eastAsia="en-US"/>
        </w:rPr>
        <w:t xml:space="preserve">comes </w:t>
      </w:r>
      <w:r w:rsidR="002733FC" w:rsidRPr="00B87CC5">
        <w:rPr>
          <w:lang w:eastAsia="en-US"/>
        </w:rPr>
        <w:t xml:space="preserve">from the </w:t>
      </w:r>
      <w:r w:rsidR="00460077" w:rsidRPr="00B87CC5">
        <w:rPr>
          <w:lang w:eastAsia="en-US"/>
        </w:rPr>
        <w:t xml:space="preserve">ongoing fall in </w:t>
      </w:r>
      <w:r w:rsidR="00797900" w:rsidRPr="00B87CC5">
        <w:rPr>
          <w:lang w:eastAsia="en-US"/>
        </w:rPr>
        <w:t xml:space="preserve">enteric </w:t>
      </w:r>
      <w:r w:rsidR="00613DCD" w:rsidRPr="00B87CC5">
        <w:rPr>
          <w:lang w:eastAsia="en-US"/>
        </w:rPr>
        <w:t xml:space="preserve">fermentation emissions from sheep </w:t>
      </w:r>
      <w:r w:rsidR="00A21A93" w:rsidRPr="00B87CC5">
        <w:rPr>
          <w:lang w:eastAsia="en-US"/>
        </w:rPr>
        <w:t xml:space="preserve">and </w:t>
      </w:r>
      <w:r w:rsidR="00613DCD" w:rsidRPr="00B87CC5">
        <w:rPr>
          <w:lang w:eastAsia="en-US"/>
        </w:rPr>
        <w:t>beef</w:t>
      </w:r>
      <w:r w:rsidR="00A5231A" w:rsidRPr="00B87CC5">
        <w:rPr>
          <w:lang w:eastAsia="en-US"/>
        </w:rPr>
        <w:t xml:space="preserve"> accompanied by a flattening out in </w:t>
      </w:r>
      <w:r w:rsidR="00A6447F" w:rsidRPr="00B87CC5">
        <w:rPr>
          <w:lang w:eastAsia="en-US"/>
        </w:rPr>
        <w:t>dairy enteric emissions (</w:t>
      </w:r>
      <w:r w:rsidR="00D1360E" w:rsidRPr="00B87CC5">
        <w:t>f</w:t>
      </w:r>
      <w:r w:rsidR="001B6E3F" w:rsidRPr="00B87CC5">
        <w:t>igure 13</w:t>
      </w:r>
      <w:r w:rsidR="00A6447F" w:rsidRPr="00B87CC5">
        <w:rPr>
          <w:lang w:eastAsia="en-US"/>
        </w:rPr>
        <w:t>).</w:t>
      </w:r>
      <w:r w:rsidR="00A753B3" w:rsidRPr="00B87CC5">
        <w:rPr>
          <w:lang w:eastAsia="en-US"/>
        </w:rPr>
        <w:t xml:space="preserve"> These trends are associated with </w:t>
      </w:r>
      <w:r w:rsidR="007025A8" w:rsidRPr="00B87CC5">
        <w:rPr>
          <w:lang w:eastAsia="en-US"/>
        </w:rPr>
        <w:t xml:space="preserve">projected </w:t>
      </w:r>
      <w:r w:rsidR="00C93D3D" w:rsidRPr="00B87CC5">
        <w:rPr>
          <w:lang w:eastAsia="en-US"/>
        </w:rPr>
        <w:t xml:space="preserve">downward </w:t>
      </w:r>
      <w:r w:rsidR="007025A8" w:rsidRPr="00B87CC5">
        <w:rPr>
          <w:lang w:eastAsia="en-US"/>
        </w:rPr>
        <w:t>trends in animal numbers (</w:t>
      </w:r>
      <w:r w:rsidR="00D1360E" w:rsidRPr="00B87CC5">
        <w:t>f</w:t>
      </w:r>
      <w:r w:rsidR="001B6E3F" w:rsidRPr="00B87CC5">
        <w:t>igure 14</w:t>
      </w:r>
      <w:r w:rsidR="007025A8" w:rsidRPr="00B87CC5">
        <w:rPr>
          <w:lang w:eastAsia="en-US"/>
        </w:rPr>
        <w:t>).</w:t>
      </w:r>
    </w:p>
    <w:p w14:paraId="5FE80C7C" w14:textId="712BF76F" w:rsidR="00451CA3" w:rsidRDefault="00451CA3" w:rsidP="00D71E47">
      <w:pPr>
        <w:pStyle w:val="Figureheading"/>
        <w:spacing w:after="80"/>
      </w:pPr>
      <w:bookmarkStart w:id="49" w:name="_Ref170313305"/>
      <w:bookmarkStart w:id="50" w:name="_Toc171609787"/>
      <w:r w:rsidRPr="00B87CC5">
        <w:lastRenderedPageBreak/>
        <w:t xml:space="preserve">Figure </w:t>
      </w:r>
      <w:r w:rsidR="00385111">
        <w:fldChar w:fldCharType="begin"/>
      </w:r>
      <w:r w:rsidR="00385111">
        <w:instrText xml:space="preserve"> SEQ Figure \* ARABIC </w:instrText>
      </w:r>
      <w:r w:rsidR="00385111">
        <w:fldChar w:fldCharType="separate"/>
      </w:r>
      <w:r w:rsidR="001B6E3F" w:rsidRPr="00B87CC5">
        <w:t>12</w:t>
      </w:r>
      <w:r w:rsidR="00385111">
        <w:fldChar w:fldCharType="end"/>
      </w:r>
      <w:bookmarkEnd w:id="49"/>
      <w:r w:rsidR="005E1D91" w:rsidRPr="00B87CC5">
        <w:t>:</w:t>
      </w:r>
      <w:r w:rsidR="005E1D91" w:rsidRPr="00B87CC5">
        <w:tab/>
      </w:r>
      <w:r w:rsidRPr="00B87CC5">
        <w:t xml:space="preserve">Historical and </w:t>
      </w:r>
      <w:r w:rsidR="00145CC9" w:rsidRPr="00B87CC5">
        <w:t xml:space="preserve">ENZ interim </w:t>
      </w:r>
      <w:r w:rsidRPr="00B87CC5">
        <w:t>projected agricultur</w:t>
      </w:r>
      <w:r w:rsidR="00317F64" w:rsidRPr="00B87CC5">
        <w:t>e</w:t>
      </w:r>
      <w:r w:rsidRPr="00B87CC5">
        <w:t xml:space="preserve"> emissions by gas</w:t>
      </w:r>
      <w:r w:rsidR="00D1360E" w:rsidRPr="00B87CC5">
        <w:t>, 1990–2050</w:t>
      </w:r>
      <w:bookmarkEnd w:id="50"/>
    </w:p>
    <w:p w14:paraId="26D8C970" w14:textId="18CCD402" w:rsidR="00C81020" w:rsidRPr="00C81020" w:rsidRDefault="002C4CF7" w:rsidP="003C1BF6">
      <w:pPr>
        <w:pStyle w:val="BodyText"/>
        <w:spacing w:after="60"/>
      </w:pPr>
      <w:r>
        <w:rPr>
          <w:noProof/>
        </w:rPr>
        <w:drawing>
          <wp:inline distT="0" distB="0" distL="0" distR="0" wp14:anchorId="6362E797" wp14:editId="318218BE">
            <wp:extent cx="5599111" cy="3646967"/>
            <wp:effectExtent l="0" t="0" r="1905" b="0"/>
            <wp:docPr id="1236735814" name="Picture 23" descr="An area graph showing the contribution to agricultural emissions by the gases CO2, N2O, and CH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35814" name="Picture 23" descr="An area graph showing the contribution to agricultural emissions by the gases CO2, N2O, and CH4.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4789" cy="3657179"/>
                    </a:xfrm>
                    <a:prstGeom prst="rect">
                      <a:avLst/>
                    </a:prstGeom>
                    <a:noFill/>
                  </pic:spPr>
                </pic:pic>
              </a:graphicData>
            </a:graphic>
          </wp:inline>
        </w:drawing>
      </w:r>
    </w:p>
    <w:p w14:paraId="151EBFE1" w14:textId="56731A6E" w:rsidR="00317F64" w:rsidRPr="00B87CC5" w:rsidRDefault="00317F64" w:rsidP="00317F64">
      <w:pPr>
        <w:pStyle w:val="Note"/>
        <w:rPr>
          <w:lang w:eastAsia="en-US"/>
        </w:rPr>
      </w:pPr>
      <w:bookmarkStart w:id="51" w:name="_Ref167350074"/>
      <w:r w:rsidRPr="00B87CC5">
        <w:rPr>
          <w:lang w:eastAsia="en-US"/>
        </w:rPr>
        <w:t>Note: Darker shade = historical data; lighter shade = projections.</w:t>
      </w:r>
    </w:p>
    <w:p w14:paraId="030BF98A" w14:textId="0A3563B8" w:rsidR="00451CA3" w:rsidRDefault="001E0FE0" w:rsidP="00445693">
      <w:pPr>
        <w:pStyle w:val="Figureheading"/>
      </w:pPr>
      <w:bookmarkStart w:id="52" w:name="_Toc171609788"/>
      <w:r w:rsidRPr="00B87CC5">
        <w:t xml:space="preserve">Figure </w:t>
      </w:r>
      <w:r w:rsidR="00385111">
        <w:fldChar w:fldCharType="begin"/>
      </w:r>
      <w:r w:rsidR="00385111">
        <w:instrText xml:space="preserve"> SEQ Figure \* ARABIC </w:instrText>
      </w:r>
      <w:r w:rsidR="00385111">
        <w:fldChar w:fldCharType="separate"/>
      </w:r>
      <w:r w:rsidR="001B6E3F" w:rsidRPr="00B87CC5">
        <w:t>13</w:t>
      </w:r>
      <w:r w:rsidR="00385111">
        <w:fldChar w:fldCharType="end"/>
      </w:r>
      <w:bookmarkEnd w:id="51"/>
      <w:r w:rsidR="005E1D91" w:rsidRPr="00B87CC5">
        <w:t>:</w:t>
      </w:r>
      <w:r w:rsidR="005E1D91" w:rsidRPr="00B87CC5">
        <w:tab/>
      </w:r>
      <w:r w:rsidR="00451CA3" w:rsidRPr="00B87CC5">
        <w:t xml:space="preserve">Historical and </w:t>
      </w:r>
      <w:r w:rsidR="00145CC9" w:rsidRPr="00B87CC5">
        <w:t xml:space="preserve">ENZ interim </w:t>
      </w:r>
      <w:r w:rsidR="00451CA3" w:rsidRPr="00B87CC5">
        <w:t>projected agriculture emissions by source</w:t>
      </w:r>
      <w:r w:rsidR="0053202E" w:rsidRPr="00B87CC5">
        <w:t>, 1990–2050</w:t>
      </w:r>
      <w:bookmarkEnd w:id="52"/>
    </w:p>
    <w:p w14:paraId="16E464CE" w14:textId="2DADED21" w:rsidR="008419C6" w:rsidRPr="008419C6" w:rsidRDefault="008419C6" w:rsidP="008419C6">
      <w:pPr>
        <w:pStyle w:val="BodyText"/>
      </w:pPr>
      <w:r>
        <w:rPr>
          <w:noProof/>
        </w:rPr>
        <w:drawing>
          <wp:inline distT="0" distB="0" distL="0" distR="0" wp14:anchorId="271541D6" wp14:editId="79AFE284">
            <wp:extent cx="5556727" cy="3455581"/>
            <wp:effectExtent l="0" t="0" r="6350" b="0"/>
            <wp:docPr id="16113683" name="Picture 52" descr="A line graph showing historical and ENZ interim projected agriculture emissions. It covers emissions from manure management; ag soils – excreta; fertiliser, urea and lime; sheep and beef enteric; dairy cattle enteric; and other from 1990 to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683" name="Picture 52" descr="A line graph showing historical and ENZ interim projected agriculture emissions. It covers emissions from manure management; ag soils – excreta; fertiliser, urea and lime; sheep and beef enteric; dairy cattle enteric; and other from 1990 to 2050."/>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l="1649" t="3214" r="1954" b="4966"/>
                    <a:stretch/>
                  </pic:blipFill>
                  <pic:spPr bwMode="auto">
                    <a:xfrm>
                      <a:off x="0" y="0"/>
                      <a:ext cx="5572049" cy="3465110"/>
                    </a:xfrm>
                    <a:prstGeom prst="rect">
                      <a:avLst/>
                    </a:prstGeom>
                    <a:noFill/>
                    <a:ln>
                      <a:noFill/>
                    </a:ln>
                    <a:extLst>
                      <a:ext uri="{53640926-AAD7-44D8-BBD7-CCE9431645EC}">
                        <a14:shadowObscured xmlns:a14="http://schemas.microsoft.com/office/drawing/2010/main"/>
                      </a:ext>
                    </a:extLst>
                  </pic:spPr>
                </pic:pic>
              </a:graphicData>
            </a:graphic>
          </wp:inline>
        </w:drawing>
      </w:r>
    </w:p>
    <w:p w14:paraId="6FEC015C" w14:textId="09D73800" w:rsidR="009A4971" w:rsidRPr="00B87CC5" w:rsidRDefault="009A4971" w:rsidP="00FC692B">
      <w:pPr>
        <w:pStyle w:val="Note"/>
        <w:rPr>
          <w:lang w:eastAsia="en-US"/>
        </w:rPr>
      </w:pPr>
      <w:bookmarkStart w:id="53" w:name="_Ref170313237"/>
      <w:r w:rsidRPr="00B87CC5">
        <w:rPr>
          <w:lang w:eastAsia="en-US"/>
        </w:rPr>
        <w:t xml:space="preserve">Note: </w:t>
      </w:r>
      <w:r w:rsidR="0053202E" w:rsidRPr="00B87CC5">
        <w:rPr>
          <w:lang w:eastAsia="en-US"/>
        </w:rPr>
        <w:t>S</w:t>
      </w:r>
      <w:r w:rsidRPr="00B87CC5">
        <w:rPr>
          <w:lang w:eastAsia="en-US"/>
        </w:rPr>
        <w:t>olid lines = historical data; dashed lines = projections</w:t>
      </w:r>
      <w:r w:rsidR="0053202E" w:rsidRPr="00B87CC5">
        <w:rPr>
          <w:lang w:eastAsia="en-US"/>
        </w:rPr>
        <w:t>.</w:t>
      </w:r>
    </w:p>
    <w:p w14:paraId="68898106" w14:textId="1D87B9B0" w:rsidR="00460790" w:rsidRDefault="00942D9A" w:rsidP="00460790">
      <w:pPr>
        <w:pStyle w:val="Figureheading"/>
      </w:pPr>
      <w:bookmarkStart w:id="54" w:name="_Ref167350842"/>
      <w:bookmarkStart w:id="55" w:name="_Toc171609789"/>
      <w:r w:rsidRPr="00B87CC5">
        <w:lastRenderedPageBreak/>
        <w:t xml:space="preserve">Figure </w:t>
      </w:r>
      <w:r w:rsidR="00385111">
        <w:fldChar w:fldCharType="begin"/>
      </w:r>
      <w:r w:rsidR="00385111">
        <w:instrText xml:space="preserve"> SEQ Figure \* ARABIC </w:instrText>
      </w:r>
      <w:r w:rsidR="00385111">
        <w:fldChar w:fldCharType="separate"/>
      </w:r>
      <w:r w:rsidR="001B6E3F" w:rsidRPr="00B87CC5">
        <w:t>14</w:t>
      </w:r>
      <w:r w:rsidR="00385111">
        <w:fldChar w:fldCharType="end"/>
      </w:r>
      <w:bookmarkEnd w:id="53"/>
      <w:bookmarkEnd w:id="54"/>
      <w:r w:rsidR="005E1D91" w:rsidRPr="00B87CC5">
        <w:t>:</w:t>
      </w:r>
      <w:r w:rsidR="005E1D91" w:rsidRPr="00B87CC5">
        <w:tab/>
      </w:r>
      <w:r w:rsidR="00451CA3" w:rsidRPr="00B87CC5">
        <w:t xml:space="preserve">Historical and </w:t>
      </w:r>
      <w:r w:rsidR="00DC2311" w:rsidRPr="00B87CC5">
        <w:t xml:space="preserve">ENZ interim </w:t>
      </w:r>
      <w:r w:rsidR="00451CA3" w:rsidRPr="00B87CC5">
        <w:t>projected stock numbers</w:t>
      </w:r>
      <w:r w:rsidR="001D684E" w:rsidRPr="00B87CC5">
        <w:t xml:space="preserve"> by stock type</w:t>
      </w:r>
      <w:r w:rsidR="0053202E" w:rsidRPr="00B87CC5">
        <w:t>, 1990–2050</w:t>
      </w:r>
      <w:bookmarkEnd w:id="55"/>
      <w:r w:rsidR="00460790" w:rsidRPr="00B87CC5">
        <w:t xml:space="preserve"> </w:t>
      </w:r>
    </w:p>
    <w:p w14:paraId="2CF4CAD9" w14:textId="21EFE051" w:rsidR="000759B6" w:rsidRPr="000759B6" w:rsidRDefault="000759B6" w:rsidP="000759B6">
      <w:pPr>
        <w:pStyle w:val="BodyText"/>
      </w:pPr>
      <w:r>
        <w:rPr>
          <w:noProof/>
        </w:rPr>
        <w:drawing>
          <wp:inline distT="0" distB="0" distL="0" distR="0" wp14:anchorId="289163A5" wp14:editId="4903CD3B">
            <wp:extent cx="5403850" cy="3277259"/>
            <wp:effectExtent l="0" t="0" r="6350" b="0"/>
            <wp:docPr id="18194161" name="Picture 49" descr="A line graph showing historical and ENZ interim projected stock numbers by stock type from 1990 to 2050. It covers beef cattle, dairy cattle and she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161" name="Picture 49" descr="A line graph showing historical and ENZ interim projected stock numbers by stock type from 1990 to 2050. It covers beef cattle, dairy cattle and sheep. "/>
                    <pic:cNvPicPr>
                      <a:picLocks noChangeAspect="1" noChangeArrowheads="1"/>
                    </pic:cNvPicPr>
                  </pic:nvPicPr>
                  <pic:blipFill rotWithShape="1">
                    <a:blip r:embed="rId37">
                      <a:extLst>
                        <a:ext uri="{28A0092B-C50C-407E-A947-70E740481C1C}">
                          <a14:useLocalDpi xmlns:a14="http://schemas.microsoft.com/office/drawing/2010/main" val="0"/>
                        </a:ext>
                      </a:extLst>
                    </a:blip>
                    <a:srcRect l="2099" t="2984" r="2267" b="8181"/>
                    <a:stretch/>
                  </pic:blipFill>
                  <pic:spPr bwMode="auto">
                    <a:xfrm>
                      <a:off x="0" y="0"/>
                      <a:ext cx="5413457" cy="3283085"/>
                    </a:xfrm>
                    <a:prstGeom prst="rect">
                      <a:avLst/>
                    </a:prstGeom>
                    <a:noFill/>
                    <a:ln>
                      <a:noFill/>
                    </a:ln>
                    <a:extLst>
                      <a:ext uri="{53640926-AAD7-44D8-BBD7-CCE9431645EC}">
                        <a14:shadowObscured xmlns:a14="http://schemas.microsoft.com/office/drawing/2010/main"/>
                      </a:ext>
                    </a:extLst>
                  </pic:spPr>
                </pic:pic>
              </a:graphicData>
            </a:graphic>
          </wp:inline>
        </w:drawing>
      </w:r>
    </w:p>
    <w:p w14:paraId="19B20D61" w14:textId="634A86A9" w:rsidR="009A4971" w:rsidRPr="00B87CC5" w:rsidRDefault="009A4971" w:rsidP="00354E52">
      <w:pPr>
        <w:pStyle w:val="Note"/>
        <w:rPr>
          <w:lang w:eastAsia="en-US"/>
        </w:rPr>
      </w:pPr>
      <w:r w:rsidRPr="00B87CC5">
        <w:rPr>
          <w:lang w:eastAsia="en-US"/>
        </w:rPr>
        <w:t xml:space="preserve">Note: </w:t>
      </w:r>
      <w:r w:rsidR="0053202E" w:rsidRPr="00B87CC5">
        <w:rPr>
          <w:lang w:eastAsia="en-US"/>
        </w:rPr>
        <w:t>S</w:t>
      </w:r>
      <w:r w:rsidRPr="00B87CC5">
        <w:rPr>
          <w:lang w:eastAsia="en-US"/>
        </w:rPr>
        <w:t>olid lines = historical data; dashed lines = projections</w:t>
      </w:r>
      <w:r w:rsidR="0053202E" w:rsidRPr="00B87CC5">
        <w:rPr>
          <w:lang w:eastAsia="en-US"/>
        </w:rPr>
        <w:t>.</w:t>
      </w:r>
    </w:p>
    <w:p w14:paraId="63B4B588" w14:textId="39BADAD5" w:rsidR="00C93D3D" w:rsidRPr="00B87CC5" w:rsidRDefault="00FB6DBD" w:rsidP="0027541B">
      <w:pPr>
        <w:pStyle w:val="BodyText"/>
        <w:rPr>
          <w:lang w:eastAsia="en-US"/>
        </w:rPr>
      </w:pPr>
      <w:r w:rsidRPr="00B87CC5">
        <w:rPr>
          <w:lang w:eastAsia="en-US"/>
        </w:rPr>
        <w:t xml:space="preserve">Dairy emissions stabilise, despite the </w:t>
      </w:r>
      <w:r w:rsidR="00D54AF4" w:rsidRPr="00B87CC5">
        <w:rPr>
          <w:lang w:eastAsia="en-US"/>
        </w:rPr>
        <w:t>falling animal numbers</w:t>
      </w:r>
      <w:r w:rsidR="001D684E" w:rsidRPr="00B87CC5">
        <w:rPr>
          <w:lang w:eastAsia="en-US"/>
        </w:rPr>
        <w:t>,</w:t>
      </w:r>
      <w:r w:rsidR="00D54AF4" w:rsidRPr="00B87CC5">
        <w:rPr>
          <w:lang w:eastAsia="en-US"/>
        </w:rPr>
        <w:t xml:space="preserve"> because of the projected increase in </w:t>
      </w:r>
      <w:r w:rsidR="00940628" w:rsidRPr="00B87CC5">
        <w:rPr>
          <w:lang w:eastAsia="en-US"/>
        </w:rPr>
        <w:t>dry matter consumption and milk solids production per head.</w:t>
      </w:r>
    </w:p>
    <w:p w14:paraId="0CC89DA1" w14:textId="4FC8C6EC" w:rsidR="002D5419" w:rsidRPr="00B87CC5" w:rsidRDefault="002D5419" w:rsidP="0027541B">
      <w:pPr>
        <w:pStyle w:val="Heading3"/>
      </w:pPr>
      <w:r w:rsidRPr="00B87CC5">
        <w:t>Waste</w:t>
      </w:r>
    </w:p>
    <w:p w14:paraId="406835A0" w14:textId="2573E27B" w:rsidR="002D5419" w:rsidRPr="00B87CC5" w:rsidRDefault="002D5419" w:rsidP="0027541B">
      <w:pPr>
        <w:pStyle w:val="BodyText"/>
        <w:rPr>
          <w:lang w:eastAsia="en-US"/>
        </w:rPr>
      </w:pPr>
      <w:r w:rsidRPr="00B87CC5">
        <w:rPr>
          <w:lang w:eastAsia="en-US"/>
        </w:rPr>
        <w:t xml:space="preserve">Historical and </w:t>
      </w:r>
      <w:r w:rsidR="00E15D64" w:rsidRPr="00B87CC5">
        <w:rPr>
          <w:lang w:eastAsia="en-US"/>
        </w:rPr>
        <w:t>ENZ interim</w:t>
      </w:r>
      <w:r w:rsidRPr="00B87CC5">
        <w:rPr>
          <w:lang w:eastAsia="en-US"/>
        </w:rPr>
        <w:t xml:space="preserve"> </w:t>
      </w:r>
      <w:r w:rsidR="00E15D64" w:rsidRPr="00B87CC5">
        <w:rPr>
          <w:lang w:eastAsia="en-US"/>
        </w:rPr>
        <w:t xml:space="preserve">projections of </w:t>
      </w:r>
      <w:r w:rsidR="00562A73" w:rsidRPr="00B87CC5">
        <w:rPr>
          <w:lang w:eastAsia="en-US"/>
        </w:rPr>
        <w:t>waste emiss</w:t>
      </w:r>
      <w:r w:rsidR="008421BA" w:rsidRPr="00B87CC5">
        <w:rPr>
          <w:lang w:eastAsia="en-US"/>
        </w:rPr>
        <w:t>i</w:t>
      </w:r>
      <w:r w:rsidR="00562A73" w:rsidRPr="00B87CC5">
        <w:rPr>
          <w:lang w:eastAsia="en-US"/>
        </w:rPr>
        <w:t>ons are shown in</w:t>
      </w:r>
      <w:r w:rsidR="00460790" w:rsidRPr="00B87CC5">
        <w:rPr>
          <w:lang w:eastAsia="en-US"/>
        </w:rPr>
        <w:t xml:space="preserve"> </w:t>
      </w:r>
      <w:r w:rsidR="0053202E" w:rsidRPr="00B87CC5">
        <w:t>f</w:t>
      </w:r>
      <w:r w:rsidR="001B6E3F" w:rsidRPr="00B87CC5">
        <w:t>igure 15</w:t>
      </w:r>
      <w:r w:rsidR="008421BA" w:rsidRPr="00B87CC5">
        <w:rPr>
          <w:lang w:eastAsia="en-US"/>
        </w:rPr>
        <w:t>.</w:t>
      </w:r>
      <w:r w:rsidR="002E2B58" w:rsidRPr="00B87CC5" w:rsidDel="0077481B">
        <w:rPr>
          <w:lang w:eastAsia="en-US"/>
        </w:rPr>
        <w:t xml:space="preserve"> </w:t>
      </w:r>
      <w:r w:rsidR="0083609D" w:rsidRPr="00B87CC5">
        <w:rPr>
          <w:lang w:eastAsia="en-US"/>
        </w:rPr>
        <w:t xml:space="preserve">Emissions peaked around 2002 </w:t>
      </w:r>
      <w:r w:rsidR="002E2B58" w:rsidRPr="00B87CC5">
        <w:rPr>
          <w:lang w:eastAsia="en-US"/>
        </w:rPr>
        <w:t>but have been falling since</w:t>
      </w:r>
      <w:r w:rsidR="002126DB" w:rsidRPr="00B87CC5">
        <w:rPr>
          <w:lang w:eastAsia="en-US"/>
        </w:rPr>
        <w:t xml:space="preserve"> </w:t>
      </w:r>
      <w:r w:rsidR="0053202E" w:rsidRPr="00B87CC5">
        <w:rPr>
          <w:lang w:eastAsia="en-US"/>
        </w:rPr>
        <w:t xml:space="preserve">then </w:t>
      </w:r>
      <w:r w:rsidR="002126DB" w:rsidRPr="00B87CC5">
        <w:rPr>
          <w:lang w:eastAsia="en-US"/>
        </w:rPr>
        <w:t xml:space="preserve">and are expected to continue to do so </w:t>
      </w:r>
      <w:r w:rsidR="0053202E" w:rsidRPr="00B87CC5">
        <w:rPr>
          <w:lang w:eastAsia="en-US"/>
        </w:rPr>
        <w:t>at</w:t>
      </w:r>
      <w:r w:rsidR="002126DB" w:rsidRPr="00B87CC5">
        <w:rPr>
          <w:lang w:eastAsia="en-US"/>
        </w:rPr>
        <w:t xml:space="preserve"> a </w:t>
      </w:r>
      <w:r w:rsidR="00FA1B76" w:rsidRPr="00B87CC5">
        <w:rPr>
          <w:lang w:eastAsia="en-US"/>
        </w:rPr>
        <w:t>reduced</w:t>
      </w:r>
      <w:r w:rsidR="00AC79CF" w:rsidRPr="00B87CC5">
        <w:rPr>
          <w:lang w:eastAsia="en-US"/>
        </w:rPr>
        <w:t xml:space="preserve"> rate.</w:t>
      </w:r>
    </w:p>
    <w:p w14:paraId="3B19FAE3" w14:textId="1831CDE2" w:rsidR="004377CF" w:rsidRDefault="004377CF" w:rsidP="00AE39FA">
      <w:pPr>
        <w:pStyle w:val="Figureheading"/>
        <w:spacing w:after="0"/>
      </w:pPr>
      <w:bookmarkStart w:id="56" w:name="_Ref170313364"/>
      <w:bookmarkStart w:id="57" w:name="_Toc171609790"/>
      <w:r w:rsidRPr="00B87CC5">
        <w:lastRenderedPageBreak/>
        <w:t xml:space="preserve">Figure </w:t>
      </w:r>
      <w:r w:rsidR="00385111">
        <w:fldChar w:fldCharType="begin"/>
      </w:r>
      <w:r w:rsidR="00385111">
        <w:instrText xml:space="preserve"> SEQ Figure \* ARABIC </w:instrText>
      </w:r>
      <w:r w:rsidR="00385111">
        <w:fldChar w:fldCharType="separate"/>
      </w:r>
      <w:r w:rsidR="001B6E3F" w:rsidRPr="00B87CC5">
        <w:t>15</w:t>
      </w:r>
      <w:r w:rsidR="00385111">
        <w:fldChar w:fldCharType="end"/>
      </w:r>
      <w:bookmarkEnd w:id="56"/>
      <w:r w:rsidR="005E1D91" w:rsidRPr="00B87CC5">
        <w:t>:</w:t>
      </w:r>
      <w:r w:rsidR="005E1D91" w:rsidRPr="00B87CC5">
        <w:tab/>
      </w:r>
      <w:r w:rsidRPr="00B87CC5">
        <w:t xml:space="preserve">Historical and </w:t>
      </w:r>
      <w:r w:rsidR="005B3BE1" w:rsidRPr="00B87CC5">
        <w:t xml:space="preserve">ENZ interim </w:t>
      </w:r>
      <w:r w:rsidRPr="00B87CC5">
        <w:t>projected waste emissions</w:t>
      </w:r>
      <w:r w:rsidR="0053202E" w:rsidRPr="00B87CC5">
        <w:t>, 1990–2050</w:t>
      </w:r>
      <w:bookmarkEnd w:id="57"/>
    </w:p>
    <w:p w14:paraId="14E4D697" w14:textId="0A814B2B" w:rsidR="004307B0" w:rsidRPr="004307B0" w:rsidRDefault="004307B0" w:rsidP="004307B0">
      <w:pPr>
        <w:pStyle w:val="BodyText"/>
      </w:pPr>
      <w:r>
        <w:rPr>
          <w:noProof/>
        </w:rPr>
        <w:drawing>
          <wp:inline distT="0" distB="0" distL="0" distR="0" wp14:anchorId="39983279" wp14:editId="5FE53A27">
            <wp:extent cx="5184475" cy="3384862"/>
            <wp:effectExtent l="0" t="0" r="3810" b="7620"/>
            <wp:docPr id="1077479903" name="Picture 48" descr="A line graph showing historical and ENZ interim projected waste emissions from 1990 to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79903" name="Picture 48" descr="A line graph showing historical and ENZ interim projected waste emissions from 1990 to 2050.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4475" cy="3384862"/>
                    </a:xfrm>
                    <a:prstGeom prst="rect">
                      <a:avLst/>
                    </a:prstGeom>
                    <a:noFill/>
                  </pic:spPr>
                </pic:pic>
              </a:graphicData>
            </a:graphic>
          </wp:inline>
        </w:drawing>
      </w:r>
    </w:p>
    <w:p w14:paraId="51E246DD" w14:textId="19B95684" w:rsidR="009A4971" w:rsidRPr="00B87CC5" w:rsidRDefault="009A4971" w:rsidP="00500195">
      <w:pPr>
        <w:pStyle w:val="Note"/>
        <w:spacing w:before="60"/>
        <w:rPr>
          <w:lang w:eastAsia="en-US"/>
        </w:rPr>
      </w:pPr>
      <w:r w:rsidRPr="00B87CC5">
        <w:rPr>
          <w:lang w:eastAsia="en-US"/>
        </w:rPr>
        <w:t xml:space="preserve">Note: </w:t>
      </w:r>
      <w:r w:rsidR="0053202E" w:rsidRPr="00B87CC5">
        <w:rPr>
          <w:lang w:eastAsia="en-US"/>
        </w:rPr>
        <w:t>S</w:t>
      </w:r>
      <w:r w:rsidRPr="00B87CC5">
        <w:rPr>
          <w:lang w:eastAsia="en-US"/>
        </w:rPr>
        <w:t>olid lines = historical data; dashed lines = projections</w:t>
      </w:r>
      <w:r w:rsidR="0053202E" w:rsidRPr="00B87CC5">
        <w:rPr>
          <w:lang w:eastAsia="en-US"/>
        </w:rPr>
        <w:t>.</w:t>
      </w:r>
    </w:p>
    <w:p w14:paraId="75E27F32" w14:textId="4045E577" w:rsidR="009B7623" w:rsidRPr="00B87CC5" w:rsidRDefault="009B7623" w:rsidP="00500195">
      <w:pPr>
        <w:pStyle w:val="BodyText"/>
        <w:rPr>
          <w:lang w:eastAsia="en-US"/>
        </w:rPr>
      </w:pPr>
      <w:r w:rsidRPr="00B87CC5">
        <w:rPr>
          <w:lang w:eastAsia="en-US"/>
        </w:rPr>
        <w:t xml:space="preserve">There are some </w:t>
      </w:r>
      <w:r w:rsidR="003B6873" w:rsidRPr="00B87CC5">
        <w:rPr>
          <w:lang w:eastAsia="en-US"/>
        </w:rPr>
        <w:t xml:space="preserve">small projected </w:t>
      </w:r>
      <w:r w:rsidRPr="00B87CC5">
        <w:rPr>
          <w:lang w:eastAsia="en-US"/>
        </w:rPr>
        <w:t xml:space="preserve">reductions </w:t>
      </w:r>
      <w:r w:rsidR="003B6873" w:rsidRPr="00B87CC5">
        <w:rPr>
          <w:lang w:eastAsia="en-US"/>
        </w:rPr>
        <w:t xml:space="preserve">in </w:t>
      </w:r>
      <w:r w:rsidR="007A6594" w:rsidRPr="00B87CC5">
        <w:rPr>
          <w:lang w:eastAsia="en-US"/>
        </w:rPr>
        <w:t>waste tonnages going to landfill (</w:t>
      </w:r>
      <w:r w:rsidR="0053202E" w:rsidRPr="00B87CC5">
        <w:t>f</w:t>
      </w:r>
      <w:r w:rsidR="001B6E3F" w:rsidRPr="00B87CC5">
        <w:t xml:space="preserve">igure </w:t>
      </w:r>
      <w:r w:rsidR="009F3512" w:rsidRPr="00B87CC5" w:rsidDel="001B6E3F">
        <w:t>16</w:t>
      </w:r>
      <w:r w:rsidR="007A6594" w:rsidRPr="00B87CC5">
        <w:rPr>
          <w:lang w:eastAsia="en-US"/>
        </w:rPr>
        <w:t>)</w:t>
      </w:r>
      <w:r w:rsidR="00855570" w:rsidRPr="00B87CC5">
        <w:rPr>
          <w:lang w:eastAsia="en-US"/>
        </w:rPr>
        <w:t>, with some volumes going to compost or anaerobic digestion</w:t>
      </w:r>
      <w:r w:rsidR="001D684E" w:rsidRPr="00B87CC5">
        <w:rPr>
          <w:lang w:eastAsia="en-US"/>
        </w:rPr>
        <w:t>. However,</w:t>
      </w:r>
      <w:r w:rsidR="007A6594" w:rsidRPr="00B87CC5">
        <w:rPr>
          <w:lang w:eastAsia="en-US"/>
        </w:rPr>
        <w:t xml:space="preserve"> the more significant </w:t>
      </w:r>
      <w:r w:rsidR="007A6594" w:rsidRPr="00B87CC5">
        <w:rPr>
          <w:spacing w:val="-2"/>
          <w:lang w:eastAsia="en-US"/>
        </w:rPr>
        <w:t xml:space="preserve">changes are occurring from </w:t>
      </w:r>
      <w:r w:rsidR="4C8284D8" w:rsidRPr="00B87CC5">
        <w:rPr>
          <w:spacing w:val="-2"/>
          <w:lang w:eastAsia="en-US"/>
        </w:rPr>
        <w:t>anticipated</w:t>
      </w:r>
      <w:r w:rsidR="05185DA2" w:rsidRPr="00B87CC5">
        <w:rPr>
          <w:spacing w:val="-2"/>
          <w:lang w:eastAsia="en-US"/>
        </w:rPr>
        <w:t xml:space="preserve"> </w:t>
      </w:r>
      <w:r w:rsidR="378A11F9" w:rsidRPr="00B87CC5">
        <w:rPr>
          <w:spacing w:val="-2"/>
          <w:lang w:eastAsia="en-US"/>
        </w:rPr>
        <w:t xml:space="preserve">improvements </w:t>
      </w:r>
      <w:r w:rsidR="001D684E" w:rsidRPr="00B87CC5">
        <w:rPr>
          <w:spacing w:val="-2"/>
          <w:lang w:eastAsia="en-US"/>
        </w:rPr>
        <w:t xml:space="preserve">to </w:t>
      </w:r>
      <w:r w:rsidR="378A11F9" w:rsidRPr="00B87CC5">
        <w:rPr>
          <w:spacing w:val="-2"/>
          <w:lang w:eastAsia="en-US"/>
        </w:rPr>
        <w:t xml:space="preserve">and </w:t>
      </w:r>
      <w:r w:rsidR="007A6594" w:rsidRPr="00B87CC5">
        <w:rPr>
          <w:spacing w:val="-2"/>
          <w:lang w:eastAsia="en-US"/>
        </w:rPr>
        <w:t xml:space="preserve">greater </w:t>
      </w:r>
      <w:r w:rsidR="00855570" w:rsidRPr="00B87CC5">
        <w:rPr>
          <w:spacing w:val="-2"/>
          <w:lang w:eastAsia="en-US"/>
        </w:rPr>
        <w:t>use of landfill gas capture</w:t>
      </w:r>
      <w:r w:rsidR="00855570" w:rsidRPr="00B87CC5">
        <w:rPr>
          <w:lang w:eastAsia="en-US"/>
        </w:rPr>
        <w:t>.</w:t>
      </w:r>
    </w:p>
    <w:p w14:paraId="50ECD305" w14:textId="64E095D8" w:rsidR="004377CF" w:rsidRDefault="004377CF" w:rsidP="004377CF">
      <w:pPr>
        <w:pStyle w:val="Figureheading"/>
      </w:pPr>
      <w:bookmarkStart w:id="58" w:name="_Ref170313426"/>
      <w:bookmarkStart w:id="59" w:name="_Toc171609791"/>
      <w:r w:rsidRPr="00B87CC5">
        <w:t xml:space="preserve">Figure </w:t>
      </w:r>
      <w:r w:rsidR="00385111">
        <w:fldChar w:fldCharType="begin"/>
      </w:r>
      <w:r w:rsidR="00385111">
        <w:instrText xml:space="preserve"> SEQ Figure \* ARABIC </w:instrText>
      </w:r>
      <w:r w:rsidR="00385111">
        <w:fldChar w:fldCharType="separate"/>
      </w:r>
      <w:r w:rsidR="001B6E3F" w:rsidRPr="00B87CC5">
        <w:t>16</w:t>
      </w:r>
      <w:r w:rsidR="00385111">
        <w:fldChar w:fldCharType="end"/>
      </w:r>
      <w:bookmarkEnd w:id="58"/>
      <w:r w:rsidR="005E1D91" w:rsidRPr="00B87CC5">
        <w:t>:</w:t>
      </w:r>
      <w:r w:rsidR="005E1D91" w:rsidRPr="00B87CC5">
        <w:tab/>
      </w:r>
      <w:r w:rsidRPr="00B87CC5">
        <w:t xml:space="preserve">Historical and </w:t>
      </w:r>
      <w:r w:rsidR="000D3DDF" w:rsidRPr="00B87CC5">
        <w:t xml:space="preserve">ENZ interim </w:t>
      </w:r>
      <w:r w:rsidRPr="00B87CC5">
        <w:t>projected waste tonnages</w:t>
      </w:r>
      <w:r w:rsidR="001D684E" w:rsidRPr="00B87CC5">
        <w:t xml:space="preserve"> by destination of waste</w:t>
      </w:r>
      <w:r w:rsidR="00FC15D8" w:rsidRPr="00B87CC5">
        <w:t>, 1990–2050</w:t>
      </w:r>
      <w:bookmarkEnd w:id="59"/>
    </w:p>
    <w:p w14:paraId="0A094187" w14:textId="2CE1B38A" w:rsidR="00A34BA2" w:rsidRPr="00A34BA2" w:rsidRDefault="00A34BA2" w:rsidP="00A34BA2">
      <w:pPr>
        <w:pStyle w:val="BodyText"/>
        <w:spacing w:after="80"/>
      </w:pPr>
      <w:r>
        <w:rPr>
          <w:noProof/>
        </w:rPr>
        <w:drawing>
          <wp:inline distT="0" distB="0" distL="0" distR="0" wp14:anchorId="0E02A69F" wp14:editId="7E552D7C">
            <wp:extent cx="5399405" cy="3463391"/>
            <wp:effectExtent l="0" t="0" r="0" b="3810"/>
            <wp:docPr id="2027492220" name="Picture 41" descr="An area graph showing historical and ENZ interim project waste tonnages by destination of waste from 1990 to 2050. It covers waste sent to anaerobic digestion, waste to landfill and waste to com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92220" name="Picture 41" descr="An area graph showing historical and ENZ interim project waste tonnages by destination of waste from 1990 to 2050. It covers waste sent to anaerobic digestion, waste to landfill and waste to compost. "/>
                    <pic:cNvPicPr>
                      <a:picLocks noChangeAspect="1" noChangeArrowheads="1"/>
                    </pic:cNvPicPr>
                  </pic:nvPicPr>
                  <pic:blipFill rotWithShape="1">
                    <a:blip r:embed="rId39">
                      <a:extLst>
                        <a:ext uri="{28A0092B-C50C-407E-A947-70E740481C1C}">
                          <a14:useLocalDpi xmlns:a14="http://schemas.microsoft.com/office/drawing/2010/main" val="0"/>
                        </a:ext>
                      </a:extLst>
                    </a:blip>
                    <a:srcRect b="1760"/>
                    <a:stretch/>
                  </pic:blipFill>
                  <pic:spPr bwMode="auto">
                    <a:xfrm>
                      <a:off x="0" y="0"/>
                      <a:ext cx="5400000" cy="3463773"/>
                    </a:xfrm>
                    <a:prstGeom prst="rect">
                      <a:avLst/>
                    </a:prstGeom>
                    <a:noFill/>
                    <a:ln>
                      <a:noFill/>
                    </a:ln>
                    <a:extLst>
                      <a:ext uri="{53640926-AAD7-44D8-BBD7-CCE9431645EC}">
                        <a14:shadowObscured xmlns:a14="http://schemas.microsoft.com/office/drawing/2010/main"/>
                      </a:ext>
                    </a:extLst>
                  </pic:spPr>
                </pic:pic>
              </a:graphicData>
            </a:graphic>
          </wp:inline>
        </w:drawing>
      </w:r>
    </w:p>
    <w:p w14:paraId="0EE9CA4A" w14:textId="59DBDFDA" w:rsidR="0053202E" w:rsidRPr="00B87CC5" w:rsidRDefault="0053202E" w:rsidP="00C2159C">
      <w:pPr>
        <w:pStyle w:val="Note"/>
        <w:rPr>
          <w:lang w:eastAsia="en-US"/>
        </w:rPr>
      </w:pPr>
      <w:r w:rsidRPr="00B87CC5">
        <w:rPr>
          <w:lang w:eastAsia="en-US"/>
        </w:rPr>
        <w:t xml:space="preserve">Note: </w:t>
      </w:r>
      <w:r w:rsidR="001D684E" w:rsidRPr="00B87CC5">
        <w:rPr>
          <w:lang w:eastAsia="en-US"/>
        </w:rPr>
        <w:t xml:space="preserve">Darker shade = historical data; lighter shade = projections. </w:t>
      </w:r>
      <w:r w:rsidRPr="00B87CC5">
        <w:rPr>
          <w:lang w:eastAsia="en-US"/>
        </w:rPr>
        <w:t>AD = anaerobic digestion.</w:t>
      </w:r>
    </w:p>
    <w:p w14:paraId="57166C7E" w14:textId="6303DBE4" w:rsidR="00AC79CF" w:rsidRPr="00B87CC5" w:rsidRDefault="003964C8" w:rsidP="00AC79CF">
      <w:pPr>
        <w:pStyle w:val="Heading3"/>
      </w:pPr>
      <w:r w:rsidRPr="00B87CC5">
        <w:lastRenderedPageBreak/>
        <w:t>Forestry removals</w:t>
      </w:r>
    </w:p>
    <w:p w14:paraId="2D0FBC35" w14:textId="3ECF936F" w:rsidR="00E93320" w:rsidRPr="00B87CC5" w:rsidRDefault="001B6E3F" w:rsidP="009A4487">
      <w:pPr>
        <w:pStyle w:val="BodyText"/>
        <w:spacing w:before="100"/>
      </w:pPr>
      <w:r w:rsidRPr="00B87CC5">
        <w:t>Figure 17</w:t>
      </w:r>
      <w:r w:rsidR="00460790" w:rsidRPr="00B87CC5">
        <w:t xml:space="preserve"> </w:t>
      </w:r>
      <w:r w:rsidR="002642E7" w:rsidRPr="00B87CC5">
        <w:t xml:space="preserve">shows the historical and projected </w:t>
      </w:r>
      <w:r w:rsidR="00BD2DFD" w:rsidRPr="00B87CC5">
        <w:t>forestry removals</w:t>
      </w:r>
      <w:r w:rsidR="00694E98" w:rsidRPr="00B87CC5">
        <w:t>, including</w:t>
      </w:r>
      <w:r w:rsidR="001D684E" w:rsidRPr="00B87CC5">
        <w:t xml:space="preserve"> under</w:t>
      </w:r>
      <w:r w:rsidR="00694E98" w:rsidRPr="00B87CC5">
        <w:t xml:space="preserve"> central, low and high </w:t>
      </w:r>
      <w:r w:rsidR="007A639B" w:rsidRPr="00B87CC5">
        <w:t>scenarios</w:t>
      </w:r>
      <w:r w:rsidR="001D684E" w:rsidRPr="00B87CC5">
        <w:t xml:space="preserve"> for the future</w:t>
      </w:r>
      <w:r w:rsidR="00BD2DFD" w:rsidRPr="00B87CC5">
        <w:t xml:space="preserve">. </w:t>
      </w:r>
      <w:r w:rsidR="003F4FA5" w:rsidRPr="00B87CC5">
        <w:t xml:space="preserve">The data are based on </w:t>
      </w:r>
      <w:r w:rsidR="00375A37" w:rsidRPr="00B87CC5">
        <w:t xml:space="preserve">2024 </w:t>
      </w:r>
      <w:r w:rsidR="001D6C80" w:rsidRPr="00B87CC5">
        <w:t>afforestation and deforestation projections</w:t>
      </w:r>
      <w:r w:rsidR="00BC6AE2" w:rsidRPr="00B87CC5">
        <w:t xml:space="preserve">. </w:t>
      </w:r>
      <w:r w:rsidR="00F523F7" w:rsidRPr="00B87CC5">
        <w:t xml:space="preserve">The </w:t>
      </w:r>
      <w:r w:rsidR="000042A1" w:rsidRPr="00B87CC5">
        <w:t xml:space="preserve">increasing </w:t>
      </w:r>
      <w:r w:rsidR="000B6F3B" w:rsidRPr="00B87CC5">
        <w:t>contribution of removals reflects the ongoing extent of land</w:t>
      </w:r>
      <w:r w:rsidR="00FC15D8" w:rsidRPr="00B87CC5">
        <w:t>-</w:t>
      </w:r>
      <w:r w:rsidR="000B6F3B" w:rsidRPr="00B87CC5">
        <w:t>use change</w:t>
      </w:r>
      <w:r w:rsidR="003115E5" w:rsidRPr="00B87CC5">
        <w:t>, chiefly to exotic forestry a</w:t>
      </w:r>
      <w:r w:rsidR="0024382F" w:rsidRPr="00B87CC5">
        <w:t xml:space="preserve">t the expense of sheep </w:t>
      </w:r>
      <w:r w:rsidR="00FC15D8" w:rsidRPr="00B87CC5">
        <w:t xml:space="preserve">and </w:t>
      </w:r>
      <w:r w:rsidR="0024382F" w:rsidRPr="00B87CC5">
        <w:t>beef farming (</w:t>
      </w:r>
      <w:r w:rsidR="00FC15D8" w:rsidRPr="00B87CC5">
        <w:t>f</w:t>
      </w:r>
      <w:r w:rsidRPr="00B87CC5">
        <w:t>igure 18</w:t>
      </w:r>
      <w:r w:rsidR="008E1164" w:rsidRPr="00B87CC5">
        <w:t>).</w:t>
      </w:r>
    </w:p>
    <w:p w14:paraId="33034917" w14:textId="038680F9" w:rsidR="004377CF" w:rsidRDefault="004377CF" w:rsidP="00AE39FA">
      <w:pPr>
        <w:pStyle w:val="Figureheading"/>
        <w:spacing w:line="260" w:lineRule="atLeast"/>
      </w:pPr>
      <w:bookmarkStart w:id="60" w:name="_Ref170313464"/>
      <w:bookmarkStart w:id="61" w:name="_Toc171609792"/>
      <w:r w:rsidRPr="00B87CC5">
        <w:t xml:space="preserve">Figure </w:t>
      </w:r>
      <w:r w:rsidR="00385111">
        <w:fldChar w:fldCharType="begin"/>
      </w:r>
      <w:r w:rsidR="00385111">
        <w:instrText xml:space="preserve"> SEQ Figure \* ARABIC </w:instrText>
      </w:r>
      <w:r w:rsidR="00385111">
        <w:fldChar w:fldCharType="separate"/>
      </w:r>
      <w:r w:rsidR="001B6E3F" w:rsidRPr="00B87CC5">
        <w:t>17</w:t>
      </w:r>
      <w:r w:rsidR="00385111">
        <w:fldChar w:fldCharType="end"/>
      </w:r>
      <w:bookmarkEnd w:id="60"/>
      <w:r w:rsidR="005E1D91" w:rsidRPr="00B87CC5">
        <w:t>:</w:t>
      </w:r>
      <w:r w:rsidR="005E1D91" w:rsidRPr="00B87CC5">
        <w:tab/>
      </w:r>
      <w:r w:rsidRPr="00B87CC5">
        <w:t>Historical and projected forestry removals</w:t>
      </w:r>
      <w:r w:rsidR="00FC15D8" w:rsidRPr="00B87CC5">
        <w:t>, 1990–2050</w:t>
      </w:r>
      <w:bookmarkEnd w:id="61"/>
    </w:p>
    <w:p w14:paraId="0A2D7F9E" w14:textId="7FF85FCC" w:rsidR="00E33A73" w:rsidRPr="00E33A73" w:rsidRDefault="00145CE6" w:rsidP="00AE39FA">
      <w:pPr>
        <w:pStyle w:val="BodyText"/>
        <w:spacing w:before="80" w:after="60"/>
      </w:pPr>
      <w:r>
        <w:rPr>
          <w:noProof/>
        </w:rPr>
        <w:drawing>
          <wp:inline distT="0" distB="0" distL="0" distR="0" wp14:anchorId="46CB502F" wp14:editId="7BB6321F">
            <wp:extent cx="5227455" cy="3522126"/>
            <wp:effectExtent l="0" t="0" r="0" b="2540"/>
            <wp:docPr id="1203642359" name="Picture 43" descr="A line graph showing historical and projected forestry removals from 1990 to 2050. It covers central, low and high proj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42359" name="Picture 43" descr="A line graph showing historical and projected forestry removals from 1990 to 2050. It covers central, low and high projections. "/>
                    <pic:cNvPicPr>
                      <a:picLocks noChangeAspect="1" noChangeArrowheads="1"/>
                    </pic:cNvPicPr>
                  </pic:nvPicPr>
                  <pic:blipFill rotWithShape="1">
                    <a:blip r:embed="rId40">
                      <a:extLst>
                        <a:ext uri="{28A0092B-C50C-407E-A947-70E740481C1C}">
                          <a14:useLocalDpi xmlns:a14="http://schemas.microsoft.com/office/drawing/2010/main" val="0"/>
                        </a:ext>
                      </a:extLst>
                    </a:blip>
                    <a:srcRect t="2526" r="7023" b="1523"/>
                    <a:stretch/>
                  </pic:blipFill>
                  <pic:spPr bwMode="auto">
                    <a:xfrm>
                      <a:off x="0" y="0"/>
                      <a:ext cx="5250256" cy="3537489"/>
                    </a:xfrm>
                    <a:prstGeom prst="rect">
                      <a:avLst/>
                    </a:prstGeom>
                    <a:noFill/>
                    <a:ln>
                      <a:noFill/>
                    </a:ln>
                    <a:extLst>
                      <a:ext uri="{53640926-AAD7-44D8-BBD7-CCE9431645EC}">
                        <a14:shadowObscured xmlns:a14="http://schemas.microsoft.com/office/drawing/2010/main"/>
                      </a:ext>
                    </a:extLst>
                  </pic:spPr>
                </pic:pic>
              </a:graphicData>
            </a:graphic>
          </wp:inline>
        </w:drawing>
      </w:r>
    </w:p>
    <w:p w14:paraId="425ED6A7" w14:textId="0F4EE8FC" w:rsidR="009A4971" w:rsidRPr="00B87CC5" w:rsidRDefault="009A4971" w:rsidP="009A4487">
      <w:pPr>
        <w:pStyle w:val="Note"/>
        <w:spacing w:before="0"/>
        <w:rPr>
          <w:lang w:eastAsia="en-US"/>
        </w:rPr>
      </w:pPr>
      <w:r w:rsidRPr="00B87CC5">
        <w:rPr>
          <w:lang w:eastAsia="en-US"/>
        </w:rPr>
        <w:t xml:space="preserve">Note: </w:t>
      </w:r>
      <w:r w:rsidR="004D09DA" w:rsidRPr="00B87CC5">
        <w:rPr>
          <w:lang w:eastAsia="en-US"/>
        </w:rPr>
        <w:t>S</w:t>
      </w:r>
      <w:r w:rsidRPr="00B87CC5">
        <w:rPr>
          <w:lang w:eastAsia="en-US"/>
        </w:rPr>
        <w:t>olid lines = historical data; dashed lines = projections</w:t>
      </w:r>
      <w:r w:rsidR="004D09DA" w:rsidRPr="00B87CC5">
        <w:rPr>
          <w:lang w:eastAsia="en-US"/>
        </w:rPr>
        <w:t>.</w:t>
      </w:r>
    </w:p>
    <w:p w14:paraId="7B3D8D1E" w14:textId="45A0A509" w:rsidR="004377CF" w:rsidRDefault="002642E7" w:rsidP="00AE39FA">
      <w:pPr>
        <w:pStyle w:val="Figureheading"/>
        <w:spacing w:line="260" w:lineRule="atLeast"/>
      </w:pPr>
      <w:bookmarkStart w:id="62" w:name="_Ref167364106"/>
      <w:bookmarkStart w:id="63" w:name="_Toc171609793"/>
      <w:r w:rsidRPr="00B87CC5">
        <w:t xml:space="preserve">Figure </w:t>
      </w:r>
      <w:r w:rsidR="00385111">
        <w:fldChar w:fldCharType="begin"/>
      </w:r>
      <w:r w:rsidR="00385111">
        <w:instrText xml:space="preserve"> SEQ Figure \* ARABIC </w:instrText>
      </w:r>
      <w:r w:rsidR="00385111">
        <w:fldChar w:fldCharType="separate"/>
      </w:r>
      <w:r w:rsidR="001B6E3F" w:rsidRPr="00B87CC5">
        <w:t>18</w:t>
      </w:r>
      <w:r w:rsidR="00385111">
        <w:fldChar w:fldCharType="end"/>
      </w:r>
      <w:bookmarkEnd w:id="62"/>
      <w:r w:rsidR="005E1D91" w:rsidRPr="00B87CC5">
        <w:t>:</w:t>
      </w:r>
      <w:r w:rsidR="005E1D91" w:rsidRPr="00B87CC5">
        <w:tab/>
      </w:r>
      <w:r w:rsidR="004377CF" w:rsidRPr="00B87CC5">
        <w:t xml:space="preserve">Historical and projected land area in forestry and sheep </w:t>
      </w:r>
      <w:r w:rsidR="004D09DA" w:rsidRPr="00B87CC5">
        <w:t xml:space="preserve">and </w:t>
      </w:r>
      <w:r w:rsidR="004377CF" w:rsidRPr="00B87CC5">
        <w:t>beef farms</w:t>
      </w:r>
      <w:r w:rsidR="004D09DA" w:rsidRPr="00B87CC5">
        <w:t>, 1990–2050</w:t>
      </w:r>
      <w:bookmarkEnd w:id="63"/>
    </w:p>
    <w:p w14:paraId="4C45116E" w14:textId="49DECCA9" w:rsidR="00B72606" w:rsidRPr="00B72606" w:rsidRDefault="00B72606" w:rsidP="00AE39FA">
      <w:pPr>
        <w:pStyle w:val="BodyText"/>
        <w:spacing w:before="80" w:after="100"/>
      </w:pPr>
      <w:r>
        <w:rPr>
          <w:noProof/>
        </w:rPr>
        <w:drawing>
          <wp:inline distT="0" distB="0" distL="0" distR="0" wp14:anchorId="5C41BAC6" wp14:editId="5595BFE7">
            <wp:extent cx="5154626" cy="3253216"/>
            <wp:effectExtent l="0" t="0" r="8255" b="4445"/>
            <wp:docPr id="120348298" name="Picture 46" descr="A line graph showing historical and projected land area in forestry and sheep and beef farms from 1990 to 2050. It covers exotic forestry, native forestry and sheep and be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8298" name="Picture 46" descr="A line graph showing historical and projected land area in forestry and sheep and beef farms from 1990 to 2050. It covers exotic forestry, native forestry and sheep and beef. "/>
                    <pic:cNvPicPr>
                      <a:picLocks noChangeAspect="1" noChangeArrowheads="1"/>
                    </pic:cNvPicPr>
                  </pic:nvPicPr>
                  <pic:blipFill rotWithShape="1">
                    <a:blip r:embed="rId41">
                      <a:extLst>
                        <a:ext uri="{28A0092B-C50C-407E-A947-70E740481C1C}">
                          <a14:useLocalDpi xmlns:a14="http://schemas.microsoft.com/office/drawing/2010/main" val="0"/>
                        </a:ext>
                      </a:extLst>
                    </a:blip>
                    <a:srcRect t="1128" b="2205"/>
                    <a:stretch/>
                  </pic:blipFill>
                  <pic:spPr bwMode="auto">
                    <a:xfrm>
                      <a:off x="0" y="0"/>
                      <a:ext cx="5180809" cy="3269741"/>
                    </a:xfrm>
                    <a:prstGeom prst="rect">
                      <a:avLst/>
                    </a:prstGeom>
                    <a:noFill/>
                    <a:ln>
                      <a:noFill/>
                    </a:ln>
                    <a:extLst>
                      <a:ext uri="{53640926-AAD7-44D8-BBD7-CCE9431645EC}">
                        <a14:shadowObscured xmlns:a14="http://schemas.microsoft.com/office/drawing/2010/main"/>
                      </a:ext>
                    </a:extLst>
                  </pic:spPr>
                </pic:pic>
              </a:graphicData>
            </a:graphic>
          </wp:inline>
        </w:drawing>
      </w:r>
    </w:p>
    <w:p w14:paraId="400CFF25" w14:textId="6221199C" w:rsidR="009A4971" w:rsidRPr="00B87CC5" w:rsidRDefault="009A4971" w:rsidP="00AE39FA">
      <w:pPr>
        <w:pStyle w:val="Note"/>
        <w:spacing w:before="0" w:line="240" w:lineRule="auto"/>
        <w:rPr>
          <w:lang w:eastAsia="en-US"/>
        </w:rPr>
      </w:pPr>
      <w:r w:rsidRPr="00B87CC5">
        <w:rPr>
          <w:lang w:eastAsia="en-US"/>
        </w:rPr>
        <w:t>Note: 1</w:t>
      </w:r>
      <w:r w:rsidR="004D09DA" w:rsidRPr="00B87CC5">
        <w:rPr>
          <w:lang w:eastAsia="en-US"/>
        </w:rPr>
        <w:t>.</w:t>
      </w:r>
      <w:r w:rsidRPr="00B87CC5">
        <w:rPr>
          <w:lang w:eastAsia="en-US"/>
        </w:rPr>
        <w:t xml:space="preserve"> </w:t>
      </w:r>
      <w:r w:rsidR="004D09DA" w:rsidRPr="00B87CC5">
        <w:rPr>
          <w:lang w:eastAsia="en-US"/>
        </w:rPr>
        <w:t>A</w:t>
      </w:r>
      <w:r w:rsidRPr="00B87CC5">
        <w:rPr>
          <w:lang w:eastAsia="en-US"/>
        </w:rPr>
        <w:t xml:space="preserve">rea in forestry is net forest area, </w:t>
      </w:r>
      <w:proofErr w:type="spellStart"/>
      <w:r w:rsidRPr="00B87CC5">
        <w:rPr>
          <w:lang w:eastAsia="en-US"/>
        </w:rPr>
        <w:t>ie</w:t>
      </w:r>
      <w:proofErr w:type="spellEnd"/>
      <w:r w:rsidR="004D09DA" w:rsidRPr="00B87CC5">
        <w:rPr>
          <w:lang w:eastAsia="en-US"/>
        </w:rPr>
        <w:t>,</w:t>
      </w:r>
      <w:r w:rsidRPr="00B87CC5">
        <w:rPr>
          <w:lang w:eastAsia="en-US"/>
        </w:rPr>
        <w:t xml:space="preserve"> only the area forested and excluding land taken up by roads, gullies and streams within the forest estate</w:t>
      </w:r>
      <w:r w:rsidR="004D09DA" w:rsidRPr="00B87CC5">
        <w:rPr>
          <w:lang w:eastAsia="en-US"/>
        </w:rPr>
        <w:t>.</w:t>
      </w:r>
      <w:r w:rsidRPr="00B87CC5">
        <w:rPr>
          <w:lang w:eastAsia="en-US"/>
        </w:rPr>
        <w:t xml:space="preserve"> 2</w:t>
      </w:r>
      <w:r w:rsidR="004D09DA" w:rsidRPr="00B87CC5">
        <w:rPr>
          <w:lang w:eastAsia="en-US"/>
        </w:rPr>
        <w:t>.</w:t>
      </w:r>
      <w:r w:rsidRPr="00B87CC5">
        <w:rPr>
          <w:lang w:eastAsia="en-US"/>
        </w:rPr>
        <w:t xml:space="preserve"> </w:t>
      </w:r>
      <w:r w:rsidR="004D09DA" w:rsidRPr="00B87CC5">
        <w:rPr>
          <w:lang w:eastAsia="en-US"/>
        </w:rPr>
        <w:t>S</w:t>
      </w:r>
      <w:r w:rsidRPr="00B87CC5">
        <w:rPr>
          <w:lang w:eastAsia="en-US"/>
        </w:rPr>
        <w:t>olid lines = historical data; dashed lines = projections</w:t>
      </w:r>
      <w:r w:rsidR="004D09DA" w:rsidRPr="00B87CC5">
        <w:rPr>
          <w:lang w:eastAsia="en-US"/>
        </w:rPr>
        <w:t>.</w:t>
      </w:r>
    </w:p>
    <w:p w14:paraId="2D9B2657" w14:textId="10D293B3" w:rsidR="004377CF" w:rsidRDefault="00A3334D" w:rsidP="004377CF">
      <w:pPr>
        <w:pStyle w:val="Figureheading"/>
      </w:pPr>
      <w:bookmarkStart w:id="64" w:name="_Ref167364718"/>
      <w:bookmarkStart w:id="65" w:name="_Toc171609794"/>
      <w:r w:rsidRPr="00B87CC5">
        <w:lastRenderedPageBreak/>
        <w:t xml:space="preserve">Figure </w:t>
      </w:r>
      <w:r w:rsidR="00385111">
        <w:fldChar w:fldCharType="begin"/>
      </w:r>
      <w:r w:rsidR="00385111">
        <w:instrText xml:space="preserve"> SEQ Figure \* ARABIC </w:instrText>
      </w:r>
      <w:r w:rsidR="00385111">
        <w:fldChar w:fldCharType="separate"/>
      </w:r>
      <w:r w:rsidR="001B6E3F" w:rsidRPr="00B87CC5">
        <w:t>19</w:t>
      </w:r>
      <w:r w:rsidR="00385111">
        <w:fldChar w:fldCharType="end"/>
      </w:r>
      <w:bookmarkEnd w:id="64"/>
      <w:r w:rsidR="005E1D91" w:rsidRPr="00B87CC5">
        <w:t>:</w:t>
      </w:r>
      <w:r w:rsidR="005E1D91" w:rsidRPr="00B87CC5">
        <w:tab/>
      </w:r>
      <w:r w:rsidR="004377CF" w:rsidRPr="00B87CC5">
        <w:t>Historical and projected afforestation rates for exotic (high, medium, low)</w:t>
      </w:r>
      <w:r w:rsidR="00A56382" w:rsidRPr="00B87CC5">
        <w:br/>
      </w:r>
      <w:r w:rsidR="004377CF" w:rsidRPr="00B87CC5">
        <w:t>and native forests</w:t>
      </w:r>
      <w:r w:rsidR="00246768" w:rsidRPr="00B87CC5">
        <w:t>, 1990–2050</w:t>
      </w:r>
      <w:bookmarkEnd w:id="65"/>
    </w:p>
    <w:p w14:paraId="287104DB" w14:textId="6EF1B0CF" w:rsidR="00337162" w:rsidRPr="00337162" w:rsidRDefault="00337162" w:rsidP="00337162">
      <w:pPr>
        <w:pStyle w:val="BodyText"/>
      </w:pPr>
      <w:r>
        <w:rPr>
          <w:noProof/>
        </w:rPr>
        <w:drawing>
          <wp:inline distT="0" distB="0" distL="0" distR="0" wp14:anchorId="572D5B2C" wp14:editId="26F773B8">
            <wp:extent cx="5400000" cy="3525574"/>
            <wp:effectExtent l="0" t="0" r="0" b="0"/>
            <wp:docPr id="1181077130" name="Picture 60" descr="A line graph showing historical and projected afforestation rates for exotic (high, medium, low)&#10;and native forests from 1990 to 20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77130" name="Picture 60" descr="A line graph showing historical and projected afforestation rates for exotic (high, medium, low)&#10;and native forests from 1990 to 205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3525574"/>
                    </a:xfrm>
                    <a:prstGeom prst="rect">
                      <a:avLst/>
                    </a:prstGeom>
                    <a:noFill/>
                  </pic:spPr>
                </pic:pic>
              </a:graphicData>
            </a:graphic>
          </wp:inline>
        </w:drawing>
      </w:r>
    </w:p>
    <w:p w14:paraId="56AA7AD1" w14:textId="797D461D" w:rsidR="009A4971" w:rsidRPr="00B87CC5" w:rsidRDefault="009A4971" w:rsidP="00845534">
      <w:pPr>
        <w:pStyle w:val="Note"/>
        <w:spacing w:before="0"/>
      </w:pPr>
      <w:r w:rsidRPr="00B87CC5">
        <w:rPr>
          <w:lang w:eastAsia="en-US"/>
        </w:rPr>
        <w:t xml:space="preserve">Note: </w:t>
      </w:r>
      <w:r w:rsidR="00246768" w:rsidRPr="00B87CC5">
        <w:rPr>
          <w:lang w:eastAsia="en-US"/>
        </w:rPr>
        <w:t>S</w:t>
      </w:r>
      <w:r w:rsidRPr="00B87CC5">
        <w:rPr>
          <w:lang w:eastAsia="en-US"/>
        </w:rPr>
        <w:t>olid lines = historical data; dashed lines = projections</w:t>
      </w:r>
      <w:r w:rsidR="00246768" w:rsidRPr="00B87CC5">
        <w:rPr>
          <w:lang w:eastAsia="en-US"/>
        </w:rPr>
        <w:t>.</w:t>
      </w:r>
    </w:p>
    <w:p w14:paraId="000AF454" w14:textId="253BA15A" w:rsidR="004377CF" w:rsidRPr="00B87CC5" w:rsidRDefault="009A4971" w:rsidP="00C2159C">
      <w:pPr>
        <w:pStyle w:val="Note"/>
        <w:spacing w:before="0"/>
        <w:rPr>
          <w:lang w:eastAsia="en-US"/>
        </w:rPr>
      </w:pPr>
      <w:r w:rsidRPr="00B87CC5">
        <w:rPr>
          <w:lang w:eastAsia="en-US"/>
        </w:rPr>
        <w:t>Source: Ministry for Primary Industries</w:t>
      </w:r>
      <w:r w:rsidR="00246768" w:rsidRPr="00B87CC5">
        <w:rPr>
          <w:lang w:eastAsia="en-US"/>
        </w:rPr>
        <w:t>.</w:t>
      </w:r>
      <w:r w:rsidRPr="00B87CC5">
        <w:rPr>
          <w:lang w:eastAsia="en-US"/>
        </w:rPr>
        <w:t xml:space="preserve"> 2024</w:t>
      </w:r>
      <w:r w:rsidR="00246768" w:rsidRPr="00B87CC5">
        <w:rPr>
          <w:lang w:eastAsia="en-US"/>
        </w:rPr>
        <w:t>.</w:t>
      </w:r>
      <w:r w:rsidR="00246768" w:rsidRPr="00B87CC5">
        <w:rPr>
          <w:i/>
          <w:iCs/>
          <w:lang w:eastAsia="en-US"/>
        </w:rPr>
        <w:t xml:space="preserve"> 2023 LULUCF Accounting Projections</w:t>
      </w:r>
      <w:r w:rsidR="00246768" w:rsidRPr="00B87CC5">
        <w:rPr>
          <w:lang w:eastAsia="en-US"/>
        </w:rPr>
        <w:t>. MPI Technical Background Paper no: 2024/13.</w:t>
      </w:r>
    </w:p>
    <w:p w14:paraId="42819917" w14:textId="2FC95C25" w:rsidR="00D1348D" w:rsidRPr="00B87CC5" w:rsidRDefault="00510E22" w:rsidP="0069513D">
      <w:pPr>
        <w:pStyle w:val="Heading1"/>
      </w:pPr>
      <w:bookmarkStart w:id="66" w:name="_Toc171609748"/>
      <w:r w:rsidRPr="00B87CC5">
        <w:lastRenderedPageBreak/>
        <w:t xml:space="preserve">Proposed </w:t>
      </w:r>
      <w:r w:rsidR="00483952" w:rsidRPr="00B87CC5">
        <w:t>n</w:t>
      </w:r>
      <w:r w:rsidR="00D1348D" w:rsidRPr="00B87CC5">
        <w:t xml:space="preserve">ew </w:t>
      </w:r>
      <w:r w:rsidR="00483952" w:rsidRPr="00B87CC5">
        <w:t>p</w:t>
      </w:r>
      <w:r w:rsidR="00D1348D" w:rsidRPr="00B87CC5">
        <w:t>olicies</w:t>
      </w:r>
      <w:bookmarkEnd w:id="66"/>
    </w:p>
    <w:p w14:paraId="32682EDE" w14:textId="2350C958" w:rsidR="00CA168D" w:rsidRPr="00B87CC5" w:rsidRDefault="008D7FA8" w:rsidP="00565333">
      <w:pPr>
        <w:pStyle w:val="Heading2"/>
        <w:spacing w:before="240"/>
      </w:pPr>
      <w:bookmarkStart w:id="67" w:name="_Toc171609749"/>
      <w:r w:rsidRPr="00B87CC5">
        <w:t xml:space="preserve">Policy </w:t>
      </w:r>
      <w:r w:rsidR="00893143" w:rsidRPr="00B87CC5">
        <w:t>o</w:t>
      </w:r>
      <w:r w:rsidRPr="00B87CC5">
        <w:t>ptions</w:t>
      </w:r>
      <w:bookmarkEnd w:id="67"/>
    </w:p>
    <w:p w14:paraId="13DC5DA0" w14:textId="6DB97A47" w:rsidR="00AB1E4D" w:rsidRPr="00B87CC5" w:rsidRDefault="00246768" w:rsidP="00565333">
      <w:pPr>
        <w:pStyle w:val="BodyText"/>
      </w:pPr>
      <w:r w:rsidRPr="00B87CC5">
        <w:t xml:space="preserve">Although </w:t>
      </w:r>
      <w:r w:rsidR="003B7449" w:rsidRPr="00B87CC5">
        <w:t>ENZ interim</w:t>
      </w:r>
      <w:r w:rsidR="00C400C0" w:rsidRPr="00B87CC5">
        <w:t xml:space="preserve"> projections suggest emissions are </w:t>
      </w:r>
      <w:r w:rsidR="0005334A" w:rsidRPr="00B87CC5">
        <w:t xml:space="preserve">close to </w:t>
      </w:r>
      <w:r w:rsidR="00FC2802" w:rsidRPr="00B87CC5">
        <w:t xml:space="preserve">being </w:t>
      </w:r>
      <w:r w:rsidR="00C400C0" w:rsidRPr="00B87CC5">
        <w:t xml:space="preserve">on track to meet the requirements of </w:t>
      </w:r>
      <w:r w:rsidRPr="00B87CC5">
        <w:t>the second emissions budget</w:t>
      </w:r>
      <w:r w:rsidR="00C400C0" w:rsidRPr="00B87CC5">
        <w:t xml:space="preserve">, </w:t>
      </w:r>
      <w:r w:rsidR="00161B9F" w:rsidRPr="00B87CC5">
        <w:t xml:space="preserve">the </w:t>
      </w:r>
      <w:r w:rsidR="00E25FBE" w:rsidRPr="00B87CC5">
        <w:t xml:space="preserve">projections </w:t>
      </w:r>
      <w:r w:rsidR="00161B9F" w:rsidRPr="00B87CC5">
        <w:t xml:space="preserve">have significant </w:t>
      </w:r>
      <w:r w:rsidR="00A85183" w:rsidRPr="00B87CC5">
        <w:t>uncertainty bands</w:t>
      </w:r>
      <w:r w:rsidR="00C9197F" w:rsidRPr="00B87CC5">
        <w:t>. This means</w:t>
      </w:r>
      <w:r w:rsidR="00A85183" w:rsidRPr="00B87CC5">
        <w:t xml:space="preserve"> that </w:t>
      </w:r>
      <w:r w:rsidR="000A7540" w:rsidRPr="00B87CC5">
        <w:t xml:space="preserve">the introduction of policies to reduce emissions further </w:t>
      </w:r>
      <w:r w:rsidR="00A123AA" w:rsidRPr="00B87CC5">
        <w:t xml:space="preserve">can </w:t>
      </w:r>
      <w:r w:rsidRPr="00B87CC5">
        <w:t xml:space="preserve">increase </w:t>
      </w:r>
      <w:r w:rsidR="000A7540" w:rsidRPr="00B87CC5">
        <w:t xml:space="preserve">confidence </w:t>
      </w:r>
      <w:r w:rsidRPr="00B87CC5">
        <w:t xml:space="preserve">that New Zealand will </w:t>
      </w:r>
      <w:r w:rsidR="00A03F03" w:rsidRPr="00B87CC5">
        <w:t xml:space="preserve">meet the budget. In addition, </w:t>
      </w:r>
      <w:r w:rsidR="007B42C6" w:rsidRPr="00B87CC5">
        <w:t>the</w:t>
      </w:r>
      <w:r w:rsidR="00F31A86" w:rsidRPr="00B87CC5">
        <w:t xml:space="preserve"> interim</w:t>
      </w:r>
      <w:r w:rsidR="007B42C6" w:rsidRPr="00B87CC5">
        <w:t xml:space="preserve"> projections suggest</w:t>
      </w:r>
      <w:r w:rsidRPr="00B87CC5">
        <w:t xml:space="preserve"> that</w:t>
      </w:r>
      <w:r w:rsidR="00FC178C" w:rsidRPr="00B87CC5">
        <w:t>, despite emissions tracking downwards,</w:t>
      </w:r>
      <w:r w:rsidR="007B42C6" w:rsidRPr="00B87CC5">
        <w:t xml:space="preserve"> </w:t>
      </w:r>
      <w:r w:rsidR="00E25FBE" w:rsidRPr="00B87CC5">
        <w:t xml:space="preserve">additional measures </w:t>
      </w:r>
      <w:r w:rsidR="00B76D3F" w:rsidRPr="00B87CC5">
        <w:t xml:space="preserve">are likely to </w:t>
      </w:r>
      <w:r w:rsidR="007B42C6" w:rsidRPr="00B87CC5">
        <w:t xml:space="preserve">be </w:t>
      </w:r>
      <w:r w:rsidR="00E25FBE" w:rsidRPr="00B87CC5">
        <w:t xml:space="preserve">required to meet </w:t>
      </w:r>
      <w:r w:rsidRPr="00B87CC5">
        <w:t xml:space="preserve">the third emissions budget </w:t>
      </w:r>
      <w:r w:rsidR="00123DC8" w:rsidRPr="00B87CC5">
        <w:t xml:space="preserve">and to put us on track for </w:t>
      </w:r>
      <w:r w:rsidR="00407707" w:rsidRPr="00B87CC5">
        <w:t>net zero in 2050.</w:t>
      </w:r>
      <w:r w:rsidR="00F65319" w:rsidRPr="00B87CC5">
        <w:t xml:space="preserve"> Several policies have been proposed </w:t>
      </w:r>
      <w:r w:rsidR="00C2282E" w:rsidRPr="00B87CC5">
        <w:t xml:space="preserve">as potential additions to those currently in place. </w:t>
      </w:r>
      <w:r w:rsidR="001B6E3F" w:rsidRPr="00B87CC5">
        <w:t>Table 8</w:t>
      </w:r>
      <w:r w:rsidRPr="00B87CC5">
        <w:t xml:space="preserve"> sets out some </w:t>
      </w:r>
      <w:r w:rsidR="009A75EC" w:rsidRPr="00B87CC5">
        <w:t xml:space="preserve">of those </w:t>
      </w:r>
      <w:r w:rsidRPr="00B87CC5">
        <w:t>potential new policies</w:t>
      </w:r>
      <w:r w:rsidR="00CA168D" w:rsidRPr="00B87CC5">
        <w:t>.</w:t>
      </w:r>
    </w:p>
    <w:p w14:paraId="78755554" w14:textId="2967C346" w:rsidR="006E730E" w:rsidRPr="00B87CC5" w:rsidRDefault="00927D26" w:rsidP="00F406B7">
      <w:pPr>
        <w:pStyle w:val="Tableheading"/>
      </w:pPr>
      <w:bookmarkStart w:id="68" w:name="_Ref169536304"/>
      <w:bookmarkStart w:id="69" w:name="_Toc171609767"/>
      <w:r w:rsidRPr="00B87CC5">
        <w:t xml:space="preserve">Table </w:t>
      </w:r>
      <w:r w:rsidR="00385111">
        <w:fldChar w:fldCharType="begin"/>
      </w:r>
      <w:r w:rsidR="00385111">
        <w:instrText xml:space="preserve"> SEQ Table \* ARABIC </w:instrText>
      </w:r>
      <w:r w:rsidR="00385111">
        <w:fldChar w:fldCharType="separate"/>
      </w:r>
      <w:r w:rsidR="001B6E3F" w:rsidRPr="00B87CC5">
        <w:t>8</w:t>
      </w:r>
      <w:r w:rsidR="00385111">
        <w:fldChar w:fldCharType="end"/>
      </w:r>
      <w:bookmarkEnd w:id="68"/>
      <w:r w:rsidR="005E1D91" w:rsidRPr="00B87CC5">
        <w:t>:</w:t>
      </w:r>
      <w:r w:rsidR="005E1D91" w:rsidRPr="00B87CC5">
        <w:tab/>
      </w:r>
      <w:r w:rsidRPr="00B87CC5">
        <w:t>Potential new policies for inclusion in ERP2</w:t>
      </w:r>
      <w:bookmarkEnd w:id="69"/>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CellMar>
          <w:left w:w="85" w:type="dxa"/>
          <w:right w:w="28" w:type="dxa"/>
        </w:tblCellMar>
        <w:tblLook w:val="04A0" w:firstRow="1" w:lastRow="0" w:firstColumn="1" w:lastColumn="0" w:noHBand="0" w:noVBand="1"/>
      </w:tblPr>
      <w:tblGrid>
        <w:gridCol w:w="1031"/>
        <w:gridCol w:w="1806"/>
        <w:gridCol w:w="5668"/>
      </w:tblGrid>
      <w:tr w:rsidR="00DA016E" w:rsidRPr="00B87CC5" w14:paraId="7580BEED" w14:textId="373AC084" w:rsidTr="00E26C7A">
        <w:trPr>
          <w:tblHeader/>
        </w:trPr>
        <w:tc>
          <w:tcPr>
            <w:tcW w:w="606" w:type="pct"/>
            <w:tcBorders>
              <w:right w:val="single" w:sz="4" w:space="0" w:color="1B556B" w:themeColor="text2"/>
            </w:tcBorders>
            <w:shd w:val="clear" w:color="auto" w:fill="1B556B" w:themeFill="text2"/>
          </w:tcPr>
          <w:p w14:paraId="48575E78" w14:textId="6387BE3F" w:rsidR="006E730E" w:rsidRPr="00B87CC5" w:rsidRDefault="006E730E" w:rsidP="00B45B9F">
            <w:pPr>
              <w:pStyle w:val="TableTextbold"/>
              <w:spacing w:before="40" w:after="40"/>
              <w:rPr>
                <w:color w:val="FFFFFF" w:themeColor="background1"/>
              </w:rPr>
            </w:pPr>
            <w:r w:rsidRPr="00B87CC5">
              <w:rPr>
                <w:color w:val="FFFFFF" w:themeColor="background1"/>
              </w:rPr>
              <w:t xml:space="preserve">Sector </w:t>
            </w:r>
          </w:p>
        </w:tc>
        <w:tc>
          <w:tcPr>
            <w:tcW w:w="1062" w:type="pct"/>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1B556B" w:themeFill="text2"/>
          </w:tcPr>
          <w:p w14:paraId="5ACFEB3F" w14:textId="7F34584D" w:rsidR="006E730E" w:rsidRPr="00B87CC5" w:rsidRDefault="00DA016E" w:rsidP="00B45B9F">
            <w:pPr>
              <w:pStyle w:val="TableTextbold"/>
              <w:spacing w:before="40" w:after="40"/>
              <w:rPr>
                <w:color w:val="FFFFFF" w:themeColor="background1"/>
              </w:rPr>
            </w:pPr>
            <w:r w:rsidRPr="00B87CC5">
              <w:rPr>
                <w:color w:val="FFFFFF" w:themeColor="background1"/>
              </w:rPr>
              <w:t>Policy</w:t>
            </w:r>
          </w:p>
        </w:tc>
        <w:tc>
          <w:tcPr>
            <w:tcW w:w="3333" w:type="pct"/>
            <w:tcBorders>
              <w:left w:val="single" w:sz="4" w:space="0" w:color="1B556B" w:themeColor="text2"/>
            </w:tcBorders>
            <w:shd w:val="clear" w:color="auto" w:fill="1B556B" w:themeFill="text2"/>
          </w:tcPr>
          <w:p w14:paraId="63F847B7" w14:textId="2082D958" w:rsidR="006E730E" w:rsidRPr="00B87CC5" w:rsidRDefault="00DA016E" w:rsidP="00B45B9F">
            <w:pPr>
              <w:pStyle w:val="TableTextbold"/>
              <w:spacing w:before="40" w:after="40"/>
              <w:rPr>
                <w:color w:val="FFFFFF" w:themeColor="background1"/>
              </w:rPr>
            </w:pPr>
            <w:r w:rsidRPr="00B87CC5">
              <w:rPr>
                <w:color w:val="FFFFFF" w:themeColor="background1"/>
              </w:rPr>
              <w:t>Explanation</w:t>
            </w:r>
          </w:p>
        </w:tc>
      </w:tr>
      <w:tr w:rsidR="00D441CC" w:rsidRPr="00B87CC5" w14:paraId="67F7657C" w14:textId="7901B600" w:rsidTr="00E26C7A">
        <w:tc>
          <w:tcPr>
            <w:tcW w:w="606" w:type="pct"/>
            <w:tcBorders>
              <w:right w:val="single" w:sz="4" w:space="0" w:color="1B556B" w:themeColor="text2"/>
            </w:tcBorders>
            <w:shd w:val="clear" w:color="auto" w:fill="auto"/>
          </w:tcPr>
          <w:p w14:paraId="672991A4" w14:textId="271E161A" w:rsidR="006E730E" w:rsidRPr="00B87CC5" w:rsidRDefault="006E730E" w:rsidP="00B45B9F">
            <w:pPr>
              <w:pStyle w:val="TableText"/>
              <w:spacing w:before="40" w:after="40"/>
            </w:pPr>
            <w:r w:rsidRPr="00B87CC5">
              <w:t>Energy</w:t>
            </w:r>
          </w:p>
        </w:tc>
        <w:tc>
          <w:tcPr>
            <w:tcW w:w="1062" w:type="pct"/>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0C5310C" w14:textId="4842A5E8" w:rsidR="006E730E" w:rsidRPr="00B87CC5" w:rsidRDefault="006E730E" w:rsidP="00B45B9F">
            <w:pPr>
              <w:pStyle w:val="TableText"/>
              <w:spacing w:before="40" w:after="40"/>
            </w:pPr>
            <w:r w:rsidRPr="00B87CC5">
              <w:t>Electrify NZ</w:t>
            </w:r>
          </w:p>
        </w:tc>
        <w:tc>
          <w:tcPr>
            <w:tcW w:w="3333" w:type="pct"/>
            <w:tcBorders>
              <w:left w:val="single" w:sz="4" w:space="0" w:color="1B556B" w:themeColor="text2"/>
            </w:tcBorders>
          </w:tcPr>
          <w:p w14:paraId="51B00E04" w14:textId="2EEFC4F3" w:rsidR="006E730E" w:rsidRPr="00B87CC5" w:rsidRDefault="004871DA" w:rsidP="00B45B9F">
            <w:pPr>
              <w:pStyle w:val="TableText"/>
              <w:spacing w:before="40" w:after="40"/>
            </w:pPr>
            <w:r w:rsidRPr="00B87CC5">
              <w:t>Create a more enabling consenting environment for renewable energy projects</w:t>
            </w:r>
          </w:p>
        </w:tc>
      </w:tr>
      <w:tr w:rsidR="00D441CC" w:rsidRPr="00B87CC5" w14:paraId="2B7DFE7E" w14:textId="00F530B7" w:rsidTr="00E26C7A">
        <w:tc>
          <w:tcPr>
            <w:tcW w:w="606" w:type="pct"/>
            <w:tcBorders>
              <w:bottom w:val="single" w:sz="4" w:space="0" w:color="1B556B"/>
              <w:right w:val="single" w:sz="4" w:space="0" w:color="1B556B" w:themeColor="text2"/>
            </w:tcBorders>
            <w:shd w:val="clear" w:color="auto" w:fill="auto"/>
          </w:tcPr>
          <w:p w14:paraId="18FD34DE" w14:textId="7BEB8FE1" w:rsidR="006E730E" w:rsidRPr="00B87CC5" w:rsidRDefault="006E730E" w:rsidP="00B45B9F">
            <w:pPr>
              <w:pStyle w:val="TableText"/>
              <w:spacing w:before="40" w:after="40"/>
            </w:pPr>
          </w:p>
        </w:tc>
        <w:tc>
          <w:tcPr>
            <w:tcW w:w="1062" w:type="pct"/>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4E1F4ED" w14:textId="4D8536C3" w:rsidR="006E730E" w:rsidRPr="00B87CC5" w:rsidRDefault="006E730E" w:rsidP="00B45B9F">
            <w:pPr>
              <w:pStyle w:val="TableText"/>
              <w:spacing w:before="40" w:after="40"/>
            </w:pPr>
            <w:r w:rsidRPr="00B87CC5">
              <w:t>Incentivise carbon capture, utilisation and storage (CCUS)</w:t>
            </w:r>
          </w:p>
        </w:tc>
        <w:tc>
          <w:tcPr>
            <w:tcW w:w="3333" w:type="pct"/>
            <w:tcBorders>
              <w:left w:val="single" w:sz="4" w:space="0" w:color="1B556B" w:themeColor="text2"/>
            </w:tcBorders>
          </w:tcPr>
          <w:p w14:paraId="595A7BA7" w14:textId="025EF83D" w:rsidR="006E730E" w:rsidRPr="00B87CC5" w:rsidRDefault="006E730E" w:rsidP="00B45B9F">
            <w:pPr>
              <w:pStyle w:val="TableText"/>
              <w:spacing w:before="40" w:after="40"/>
            </w:pPr>
            <w:r w:rsidRPr="00B87CC5">
              <w:t xml:space="preserve">Allow CCUS in </w:t>
            </w:r>
            <w:r w:rsidR="00246768" w:rsidRPr="00B87CC5">
              <w:t xml:space="preserve">NZ </w:t>
            </w:r>
            <w:r w:rsidRPr="00B87CC5">
              <w:t>ETS, plus creat</w:t>
            </w:r>
            <w:r w:rsidR="00246768" w:rsidRPr="00B87CC5">
              <w:t>e</w:t>
            </w:r>
            <w:r w:rsidRPr="00B87CC5">
              <w:t xml:space="preserve"> a regulatory regime for permitting, consenting and monitoring individual projects</w:t>
            </w:r>
          </w:p>
        </w:tc>
      </w:tr>
      <w:tr w:rsidR="00D441CC" w:rsidRPr="00B87CC5" w14:paraId="62405BF5" w14:textId="1657025E" w:rsidTr="00E26C7A">
        <w:tc>
          <w:tcPr>
            <w:tcW w:w="606" w:type="pct"/>
            <w:tcBorders>
              <w:bottom w:val="nil"/>
              <w:right w:val="single" w:sz="4" w:space="0" w:color="1B556B" w:themeColor="text2"/>
            </w:tcBorders>
          </w:tcPr>
          <w:p w14:paraId="1B98EBD0" w14:textId="3A2342C7" w:rsidR="006E730E" w:rsidRPr="00B87CC5" w:rsidRDefault="006E730E" w:rsidP="00B45B9F">
            <w:pPr>
              <w:pStyle w:val="TableText"/>
              <w:spacing w:before="40" w:after="40"/>
            </w:pPr>
            <w:r w:rsidRPr="00B87CC5">
              <w:t>Transport</w:t>
            </w:r>
          </w:p>
        </w:tc>
        <w:tc>
          <w:tcPr>
            <w:tcW w:w="1062" w:type="pct"/>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49B3B57" w14:textId="75C5A42E" w:rsidR="006E730E" w:rsidRPr="00B87CC5" w:rsidRDefault="006E730E" w:rsidP="00B45B9F">
            <w:pPr>
              <w:pStyle w:val="TableText"/>
              <w:spacing w:before="40" w:after="40"/>
            </w:pPr>
            <w:r w:rsidRPr="00B87CC5">
              <w:t>10,000 public EV chargers</w:t>
            </w:r>
          </w:p>
        </w:tc>
        <w:tc>
          <w:tcPr>
            <w:tcW w:w="3333" w:type="pct"/>
            <w:tcBorders>
              <w:left w:val="single" w:sz="4" w:space="0" w:color="1B556B" w:themeColor="text2"/>
            </w:tcBorders>
          </w:tcPr>
          <w:p w14:paraId="23029B3B" w14:textId="2D38436B" w:rsidR="006E730E" w:rsidRPr="00B87CC5" w:rsidRDefault="00EF4997" w:rsidP="00B45B9F">
            <w:pPr>
              <w:pStyle w:val="TableText"/>
              <w:spacing w:before="40" w:after="40"/>
            </w:pPr>
            <w:r w:rsidRPr="00B87CC5">
              <w:t>Enable a network of 10,000 EV charge points by 2030</w:t>
            </w:r>
          </w:p>
        </w:tc>
      </w:tr>
      <w:tr w:rsidR="00D441CC" w:rsidRPr="00B87CC5" w14:paraId="4AB01333" w14:textId="07D57D9A" w:rsidTr="00E26C7A">
        <w:tc>
          <w:tcPr>
            <w:tcW w:w="606" w:type="pct"/>
            <w:tcBorders>
              <w:top w:val="nil"/>
              <w:bottom w:val="nil"/>
              <w:right w:val="single" w:sz="4" w:space="0" w:color="1B556B" w:themeColor="text2"/>
            </w:tcBorders>
          </w:tcPr>
          <w:p w14:paraId="3FCBCA09" w14:textId="16FBA1CD" w:rsidR="006E730E" w:rsidRPr="00B87CC5" w:rsidRDefault="006E730E" w:rsidP="00B45B9F">
            <w:pPr>
              <w:pStyle w:val="TableText"/>
              <w:spacing w:before="40" w:after="40"/>
            </w:pPr>
          </w:p>
        </w:tc>
        <w:tc>
          <w:tcPr>
            <w:tcW w:w="1062" w:type="pct"/>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8128CCC" w14:textId="1065E4A5" w:rsidR="006E730E" w:rsidRPr="00B87CC5" w:rsidRDefault="006E730E" w:rsidP="00B45B9F">
            <w:pPr>
              <w:pStyle w:val="TableText"/>
              <w:spacing w:before="40" w:after="40"/>
            </w:pPr>
            <w:r w:rsidRPr="00B87CC5">
              <w:t>Clean Car Standard</w:t>
            </w:r>
          </w:p>
        </w:tc>
        <w:tc>
          <w:tcPr>
            <w:tcW w:w="3333" w:type="pct"/>
            <w:tcBorders>
              <w:left w:val="single" w:sz="4" w:space="0" w:color="1B556B" w:themeColor="text2"/>
            </w:tcBorders>
          </w:tcPr>
          <w:p w14:paraId="2440258F" w14:textId="3A88EE67" w:rsidR="006E730E" w:rsidRPr="00B87CC5" w:rsidRDefault="006E730E" w:rsidP="00B45B9F">
            <w:pPr>
              <w:pStyle w:val="TableText"/>
              <w:spacing w:before="40" w:after="40"/>
            </w:pPr>
            <w:r w:rsidRPr="00B87CC5">
              <w:t>Revis</w:t>
            </w:r>
            <w:r w:rsidR="00246768" w:rsidRPr="00B87CC5">
              <w:t>e</w:t>
            </w:r>
            <w:r w:rsidRPr="00B87CC5">
              <w:t xml:space="preserve"> the standard</w:t>
            </w:r>
          </w:p>
        </w:tc>
      </w:tr>
      <w:tr w:rsidR="00D441CC" w:rsidRPr="00B87CC5" w14:paraId="2340EC9A" w14:textId="4C0D204F" w:rsidTr="00E26C7A">
        <w:tc>
          <w:tcPr>
            <w:tcW w:w="606" w:type="pct"/>
            <w:tcBorders>
              <w:top w:val="nil"/>
              <w:right w:val="single" w:sz="4" w:space="0" w:color="1B556B" w:themeColor="text2"/>
            </w:tcBorders>
          </w:tcPr>
          <w:p w14:paraId="5FDD61FE" w14:textId="4E7B0113" w:rsidR="006E730E" w:rsidRPr="00B87CC5" w:rsidRDefault="006E730E" w:rsidP="00B45B9F">
            <w:pPr>
              <w:pStyle w:val="TableText"/>
              <w:spacing w:before="40" w:after="40"/>
            </w:pPr>
          </w:p>
        </w:tc>
        <w:tc>
          <w:tcPr>
            <w:tcW w:w="1062" w:type="pct"/>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B053EA4" w14:textId="2AAA5D8D" w:rsidR="006E730E" w:rsidRPr="00B87CC5" w:rsidRDefault="006E730E" w:rsidP="00B45B9F">
            <w:pPr>
              <w:pStyle w:val="TableText"/>
              <w:spacing w:before="40" w:after="40"/>
            </w:pPr>
            <w:r w:rsidRPr="00B87CC5">
              <w:t>Better public transport</w:t>
            </w:r>
          </w:p>
        </w:tc>
        <w:tc>
          <w:tcPr>
            <w:tcW w:w="3333" w:type="pct"/>
            <w:tcBorders>
              <w:left w:val="single" w:sz="4" w:space="0" w:color="1B556B" w:themeColor="text2"/>
            </w:tcBorders>
          </w:tcPr>
          <w:p w14:paraId="2E9D4E71" w14:textId="43D43C2A" w:rsidR="006E730E" w:rsidRPr="00B87CC5" w:rsidRDefault="00880085" w:rsidP="00B45B9F">
            <w:pPr>
              <w:pStyle w:val="TableText"/>
              <w:spacing w:before="40" w:after="40"/>
            </w:pPr>
            <w:r w:rsidRPr="00B87CC5">
              <w:t>Make n</w:t>
            </w:r>
            <w:r w:rsidR="00B80B72" w:rsidRPr="00B87CC5">
              <w:t>ew investments in major public transport projects in Auckland and the lower North Island to be completed over the next decade</w:t>
            </w:r>
          </w:p>
        </w:tc>
      </w:tr>
      <w:tr w:rsidR="00D441CC" w:rsidRPr="00B87CC5" w14:paraId="3DAE123D" w14:textId="2390D89F" w:rsidTr="00E26C7A">
        <w:tc>
          <w:tcPr>
            <w:tcW w:w="606" w:type="pct"/>
            <w:tcBorders>
              <w:right w:val="single" w:sz="4" w:space="0" w:color="1B556B" w:themeColor="text2"/>
            </w:tcBorders>
          </w:tcPr>
          <w:p w14:paraId="0CC18D51" w14:textId="29E79911" w:rsidR="006E730E" w:rsidRPr="00B87CC5" w:rsidRDefault="006E730E" w:rsidP="00B45B9F">
            <w:pPr>
              <w:pStyle w:val="TableText"/>
              <w:spacing w:before="40" w:after="40"/>
            </w:pPr>
            <w:r w:rsidRPr="00B87CC5">
              <w:t>Agriculture</w:t>
            </w:r>
          </w:p>
        </w:tc>
        <w:tc>
          <w:tcPr>
            <w:tcW w:w="1062" w:type="pct"/>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85706D5" w14:textId="4014EABA" w:rsidR="006E730E" w:rsidRPr="00B87CC5" w:rsidRDefault="006E730E" w:rsidP="00B45B9F">
            <w:pPr>
              <w:pStyle w:val="TableText"/>
              <w:spacing w:before="40" w:after="40"/>
            </w:pPr>
            <w:r w:rsidRPr="00B87CC5">
              <w:t xml:space="preserve">Agricultural emissions pricing </w:t>
            </w:r>
            <w:r w:rsidR="00880085" w:rsidRPr="00B87CC5">
              <w:t>and</w:t>
            </w:r>
            <w:r w:rsidRPr="00B87CC5">
              <w:t xml:space="preserve"> mitigation technologies</w:t>
            </w:r>
          </w:p>
        </w:tc>
        <w:tc>
          <w:tcPr>
            <w:tcW w:w="3333" w:type="pct"/>
            <w:tcBorders>
              <w:left w:val="single" w:sz="4" w:space="0" w:color="1B556B" w:themeColor="text2"/>
            </w:tcBorders>
          </w:tcPr>
          <w:p w14:paraId="06D30709" w14:textId="32A6B0BF" w:rsidR="006E730E" w:rsidRPr="00B87CC5" w:rsidRDefault="00880085" w:rsidP="00B45B9F">
            <w:pPr>
              <w:pStyle w:val="TableText"/>
              <w:spacing w:before="40" w:after="40"/>
            </w:pPr>
            <w:r w:rsidRPr="00B87CC5">
              <w:t>Introduce e</w:t>
            </w:r>
            <w:r w:rsidR="006E730E" w:rsidRPr="00B87CC5">
              <w:t>missions pricing from 2030</w:t>
            </w:r>
          </w:p>
        </w:tc>
      </w:tr>
      <w:tr w:rsidR="00D441CC" w:rsidRPr="00B87CC5" w14:paraId="382B7A5F" w14:textId="61FB74E1" w:rsidTr="00E26C7A">
        <w:tc>
          <w:tcPr>
            <w:tcW w:w="606" w:type="pct"/>
            <w:tcBorders>
              <w:right w:val="single" w:sz="4" w:space="0" w:color="1B556B" w:themeColor="text2"/>
            </w:tcBorders>
          </w:tcPr>
          <w:p w14:paraId="150989FA" w14:textId="77217A03" w:rsidR="006E730E" w:rsidRPr="00B87CC5" w:rsidRDefault="006E730E" w:rsidP="00B45B9F">
            <w:pPr>
              <w:pStyle w:val="TableText"/>
              <w:spacing w:before="40" w:after="40"/>
            </w:pPr>
            <w:r w:rsidRPr="00B87CC5">
              <w:t>Forestry</w:t>
            </w:r>
          </w:p>
        </w:tc>
        <w:tc>
          <w:tcPr>
            <w:tcW w:w="1062" w:type="pct"/>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9FF09E6" w14:textId="41DC168F" w:rsidR="006E730E" w:rsidRPr="00B87CC5" w:rsidRDefault="006E730E" w:rsidP="00B45B9F">
            <w:pPr>
              <w:pStyle w:val="TableText"/>
              <w:spacing w:before="40" w:after="40"/>
            </w:pPr>
            <w:r w:rsidRPr="00B87CC5">
              <w:t>Limits to land</w:t>
            </w:r>
            <w:r w:rsidR="00880085" w:rsidRPr="00B87CC5">
              <w:t>-</w:t>
            </w:r>
            <w:r w:rsidRPr="00B87CC5">
              <w:t>use change to forestry on high</w:t>
            </w:r>
            <w:r w:rsidR="00880085" w:rsidRPr="00B87CC5">
              <w:t>-</w:t>
            </w:r>
            <w:r w:rsidRPr="00B87CC5">
              <w:t>value land uses</w:t>
            </w:r>
          </w:p>
        </w:tc>
        <w:tc>
          <w:tcPr>
            <w:tcW w:w="3333" w:type="pct"/>
            <w:tcBorders>
              <w:left w:val="single" w:sz="4" w:space="0" w:color="1B556B" w:themeColor="text2"/>
            </w:tcBorders>
          </w:tcPr>
          <w:p w14:paraId="06BFB8E1" w14:textId="4525B6FF" w:rsidR="006E730E" w:rsidRPr="00B87CC5" w:rsidRDefault="00880085" w:rsidP="00B45B9F">
            <w:pPr>
              <w:pStyle w:val="TableText"/>
              <w:spacing w:before="40" w:after="40"/>
            </w:pPr>
            <w:r w:rsidRPr="00B87CC5">
              <w:t>Place a t</w:t>
            </w:r>
            <w:r w:rsidR="006E730E" w:rsidRPr="00B87CC5">
              <w:t xml:space="preserve">hree-year moratorium on whole-farm conversions to exotic forestry registering for the </w:t>
            </w:r>
            <w:r w:rsidRPr="00B87CC5">
              <w:t xml:space="preserve">NZ </w:t>
            </w:r>
            <w:r w:rsidR="006E730E" w:rsidRPr="00B87CC5">
              <w:t>ETS from land</w:t>
            </w:r>
            <w:r w:rsidRPr="00B87CC5">
              <w:t>-</w:t>
            </w:r>
            <w:r w:rsidR="006E730E" w:rsidRPr="00B87CC5">
              <w:t>use class</w:t>
            </w:r>
            <w:r w:rsidRPr="00B87CC5">
              <w:t>es</w:t>
            </w:r>
            <w:r w:rsidR="006E730E" w:rsidRPr="00B87CC5">
              <w:t xml:space="preserve"> (LUC) 1</w:t>
            </w:r>
            <w:r w:rsidRPr="00B87CC5">
              <w:t>–</w:t>
            </w:r>
            <w:r w:rsidR="006E730E" w:rsidRPr="00B87CC5">
              <w:t>5; a 15,000 ha p</w:t>
            </w:r>
            <w:r w:rsidRPr="00B87CC5">
              <w:t>er year</w:t>
            </w:r>
            <w:r w:rsidR="006E730E" w:rsidRPr="00B87CC5">
              <w:t xml:space="preserve"> limit for LUC 6; no limit on LUC 7</w:t>
            </w:r>
          </w:p>
        </w:tc>
      </w:tr>
      <w:tr w:rsidR="00106253" w:rsidRPr="00B87CC5" w14:paraId="5C47E7D0" w14:textId="67E13069" w:rsidTr="00E26C7A">
        <w:tc>
          <w:tcPr>
            <w:tcW w:w="606" w:type="pct"/>
            <w:tcBorders>
              <w:right w:val="single" w:sz="4" w:space="0" w:color="1B556B" w:themeColor="text2"/>
            </w:tcBorders>
          </w:tcPr>
          <w:p w14:paraId="770262BA" w14:textId="476525AA" w:rsidR="006E730E" w:rsidRPr="00B87CC5" w:rsidRDefault="006E730E" w:rsidP="00B45B9F">
            <w:pPr>
              <w:pStyle w:val="TableText"/>
              <w:spacing w:before="40" w:after="40"/>
            </w:pPr>
            <w:r w:rsidRPr="00B87CC5">
              <w:t>Waste</w:t>
            </w:r>
          </w:p>
        </w:tc>
        <w:tc>
          <w:tcPr>
            <w:tcW w:w="1062" w:type="pct"/>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1928011" w14:textId="0E62BB9C" w:rsidR="006E730E" w:rsidRPr="00B87CC5" w:rsidRDefault="006E730E" w:rsidP="00B45B9F">
            <w:pPr>
              <w:pStyle w:val="TableText"/>
              <w:spacing w:before="40" w:after="40"/>
            </w:pPr>
            <w:r w:rsidRPr="00B87CC5">
              <w:t>Waste Minimisation Fund</w:t>
            </w:r>
          </w:p>
        </w:tc>
        <w:tc>
          <w:tcPr>
            <w:tcW w:w="3333" w:type="pct"/>
            <w:tcBorders>
              <w:left w:val="single" w:sz="4" w:space="0" w:color="1B556B" w:themeColor="text2"/>
            </w:tcBorders>
          </w:tcPr>
          <w:p w14:paraId="450B1CC3" w14:textId="52EA2F00" w:rsidR="006E730E" w:rsidRPr="00B87CC5" w:rsidRDefault="006E730E" w:rsidP="00B45B9F">
            <w:pPr>
              <w:pStyle w:val="TableText"/>
              <w:spacing w:before="40" w:after="40"/>
            </w:pPr>
            <w:r w:rsidRPr="00B87CC5">
              <w:t>Invest a portion of the forecast levy revenue (through to 2030) into resource recovery systems and infrastructure that processes organic waste</w:t>
            </w:r>
          </w:p>
        </w:tc>
      </w:tr>
      <w:tr w:rsidR="00D441CC" w:rsidRPr="00B87CC5" w14:paraId="63BB5E8B" w14:textId="75647729" w:rsidTr="00E26C7A">
        <w:tc>
          <w:tcPr>
            <w:tcW w:w="606" w:type="pct"/>
            <w:tcBorders>
              <w:right w:val="single" w:sz="4" w:space="0" w:color="1B556B" w:themeColor="text2"/>
            </w:tcBorders>
          </w:tcPr>
          <w:p w14:paraId="4D94F605" w14:textId="5FE51A4E" w:rsidR="006E730E" w:rsidRPr="00B87CC5" w:rsidRDefault="006E730E" w:rsidP="00B45B9F">
            <w:pPr>
              <w:pStyle w:val="TableText"/>
              <w:spacing w:before="40" w:after="40"/>
            </w:pPr>
          </w:p>
        </w:tc>
        <w:tc>
          <w:tcPr>
            <w:tcW w:w="1062" w:type="pct"/>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6AF0763" w14:textId="72080254" w:rsidR="006E730E" w:rsidRPr="00B87CC5" w:rsidRDefault="006E730E" w:rsidP="00B45B9F">
            <w:pPr>
              <w:pStyle w:val="TableText"/>
              <w:spacing w:before="40" w:after="40"/>
            </w:pPr>
            <w:r w:rsidRPr="00B87CC5">
              <w:t>Organic waste and landfill gas capture</w:t>
            </w:r>
          </w:p>
        </w:tc>
        <w:tc>
          <w:tcPr>
            <w:tcW w:w="3333" w:type="pct"/>
            <w:tcBorders>
              <w:left w:val="single" w:sz="4" w:space="0" w:color="1B556B" w:themeColor="text2"/>
            </w:tcBorders>
          </w:tcPr>
          <w:p w14:paraId="2A3C559C" w14:textId="3F62B0A4" w:rsidR="006E730E" w:rsidRPr="00B87CC5" w:rsidRDefault="00880085" w:rsidP="00B45B9F">
            <w:pPr>
              <w:pStyle w:val="TableText"/>
              <w:spacing w:before="40" w:after="40"/>
            </w:pPr>
            <w:r w:rsidRPr="00B87CC5">
              <w:t>Extend l</w:t>
            </w:r>
            <w:r w:rsidR="006E730E" w:rsidRPr="00B87CC5">
              <w:t xml:space="preserve">andfill gas capture </w:t>
            </w:r>
            <w:r w:rsidR="002C5A94" w:rsidRPr="00B87CC5">
              <w:t xml:space="preserve">systems </w:t>
            </w:r>
            <w:r w:rsidR="006E730E" w:rsidRPr="00B87CC5">
              <w:t xml:space="preserve">to all </w:t>
            </w:r>
            <w:r w:rsidRPr="00B87CC5">
              <w:t>c</w:t>
            </w:r>
            <w:r w:rsidR="006E730E" w:rsidRPr="00B87CC5">
              <w:t xml:space="preserve">lass 1 </w:t>
            </w:r>
            <w:r w:rsidR="002C5A94" w:rsidRPr="00B87CC5">
              <w:t xml:space="preserve">(municipal waste) </w:t>
            </w:r>
            <w:r w:rsidR="006E730E" w:rsidRPr="00B87CC5">
              <w:t>facilities</w:t>
            </w:r>
            <w:r w:rsidR="007574E6" w:rsidRPr="00B87CC5">
              <w:t>. Regulatory changes resulting in up to a 7% increase in landfill gas recovery rates</w:t>
            </w:r>
          </w:p>
        </w:tc>
      </w:tr>
    </w:tbl>
    <w:p w14:paraId="595A4E12" w14:textId="4E9CACA9" w:rsidR="00F010C8" w:rsidRPr="00B87CC5" w:rsidRDefault="00F010C8" w:rsidP="00B45B9F">
      <w:pPr>
        <w:pStyle w:val="BodyText"/>
        <w:spacing w:before="240"/>
      </w:pPr>
      <w:r w:rsidRPr="00B87CC5">
        <w:t xml:space="preserve">There is the potential for abatement from additional measures that have not </w:t>
      </w:r>
      <w:r w:rsidR="009D3E27" w:rsidRPr="00B87CC5">
        <w:t>had the same level of analysis</w:t>
      </w:r>
      <w:r w:rsidR="00880085" w:rsidRPr="00B87CC5">
        <w:t xml:space="preserve"> as the potential policies noted in table 8</w:t>
      </w:r>
      <w:r w:rsidR="009D3E27" w:rsidRPr="00B87CC5">
        <w:t>. Some</w:t>
      </w:r>
      <w:r w:rsidR="00880085" w:rsidRPr="00B87CC5">
        <w:t xml:space="preserve"> of those additional measures</w:t>
      </w:r>
      <w:r w:rsidR="009D3E27" w:rsidRPr="00B87CC5">
        <w:t xml:space="preserve"> are listed in </w:t>
      </w:r>
      <w:r w:rsidR="00880085" w:rsidRPr="00B87CC5">
        <w:t>t</w:t>
      </w:r>
      <w:r w:rsidR="001B6E3F" w:rsidRPr="00B87CC5">
        <w:t xml:space="preserve">able </w:t>
      </w:r>
      <w:r w:rsidR="001B6E3F" w:rsidRPr="00B87CC5">
        <w:rPr>
          <w:bCs/>
        </w:rPr>
        <w:t>9</w:t>
      </w:r>
      <w:r w:rsidR="009D3E27" w:rsidRPr="00B87CC5">
        <w:t>.</w:t>
      </w:r>
    </w:p>
    <w:p w14:paraId="018223E8" w14:textId="6592B1F1" w:rsidR="00655160" w:rsidRPr="00B87CC5" w:rsidRDefault="00655160" w:rsidP="0018027D">
      <w:pPr>
        <w:pStyle w:val="Tableheading"/>
      </w:pPr>
      <w:bookmarkStart w:id="70" w:name="_Ref170311846"/>
      <w:bookmarkStart w:id="71" w:name="_Toc171609768"/>
      <w:r w:rsidRPr="00B87CC5">
        <w:lastRenderedPageBreak/>
        <w:t xml:space="preserve">Table </w:t>
      </w:r>
      <w:r w:rsidR="00385111">
        <w:fldChar w:fldCharType="begin"/>
      </w:r>
      <w:r w:rsidR="00385111">
        <w:instrText xml:space="preserve"> SEQ Table \* ARABIC </w:instrText>
      </w:r>
      <w:r w:rsidR="00385111">
        <w:fldChar w:fldCharType="separate"/>
      </w:r>
      <w:r w:rsidR="001B6E3F" w:rsidRPr="00B87CC5">
        <w:t>9</w:t>
      </w:r>
      <w:r w:rsidR="00385111">
        <w:fldChar w:fldCharType="end"/>
      </w:r>
      <w:bookmarkEnd w:id="70"/>
      <w:r w:rsidR="005E1D91" w:rsidRPr="00B87CC5">
        <w:t>:</w:t>
      </w:r>
      <w:r w:rsidR="005E1D91" w:rsidRPr="00B87CC5">
        <w:tab/>
      </w:r>
      <w:r w:rsidRPr="00B87CC5">
        <w:t xml:space="preserve">Additional potential </w:t>
      </w:r>
      <w:r w:rsidR="00A9081E" w:rsidRPr="00B87CC5">
        <w:t>abatement options</w:t>
      </w:r>
      <w:bookmarkEnd w:id="71"/>
    </w:p>
    <w:tbl>
      <w:tblPr>
        <w:tblStyle w:val="TableGrid"/>
        <w:tblW w:w="5000" w:type="pct"/>
        <w:tblBorders>
          <w:top w:val="single" w:sz="4" w:space="0" w:color="1B556B"/>
          <w:left w:val="none" w:sz="0" w:space="0" w:color="auto"/>
          <w:bottom w:val="single" w:sz="4" w:space="0" w:color="1B556B"/>
          <w:right w:val="single" w:sz="4" w:space="0" w:color="1B556B"/>
          <w:insideH w:val="single" w:sz="4" w:space="0" w:color="1B556B"/>
          <w:insideV w:val="single" w:sz="4" w:space="0" w:color="1B556B"/>
        </w:tblBorders>
        <w:tblCellMar>
          <w:left w:w="85" w:type="dxa"/>
          <w:right w:w="28" w:type="dxa"/>
        </w:tblCellMar>
        <w:tblLook w:val="04A0" w:firstRow="1" w:lastRow="0" w:firstColumn="1" w:lastColumn="0" w:noHBand="0" w:noVBand="1"/>
      </w:tblPr>
      <w:tblGrid>
        <w:gridCol w:w="1405"/>
        <w:gridCol w:w="7100"/>
      </w:tblGrid>
      <w:tr w:rsidR="00EB3BF9" w:rsidRPr="00B87CC5" w14:paraId="1A37C1FA" w14:textId="77777777" w:rsidTr="00E26C7A">
        <w:trPr>
          <w:tblHeader/>
        </w:trPr>
        <w:tc>
          <w:tcPr>
            <w:tcW w:w="826" w:type="pct"/>
            <w:shd w:val="clear" w:color="auto" w:fill="1B556B" w:themeFill="text2"/>
          </w:tcPr>
          <w:p w14:paraId="4F44D420" w14:textId="77777777" w:rsidR="00EB3BF9" w:rsidRPr="00B87CC5" w:rsidRDefault="00EB3BF9" w:rsidP="00B45B9F">
            <w:pPr>
              <w:pStyle w:val="TableTextbold"/>
              <w:keepNext/>
              <w:spacing w:before="40" w:after="40"/>
              <w:rPr>
                <w:color w:val="FFFFFF" w:themeColor="background1"/>
              </w:rPr>
            </w:pPr>
            <w:r w:rsidRPr="00B87CC5">
              <w:rPr>
                <w:color w:val="FFFFFF" w:themeColor="background1"/>
              </w:rPr>
              <w:t xml:space="preserve">Sector </w:t>
            </w:r>
          </w:p>
        </w:tc>
        <w:tc>
          <w:tcPr>
            <w:tcW w:w="4174" w:type="pct"/>
            <w:tcBorders>
              <w:right w:val="nil"/>
            </w:tcBorders>
            <w:shd w:val="clear" w:color="auto" w:fill="1B556B" w:themeFill="text2"/>
          </w:tcPr>
          <w:p w14:paraId="1E8AA01A" w14:textId="7EA1D7D0" w:rsidR="00EB3BF9" w:rsidRPr="00B87CC5" w:rsidRDefault="00A9081E" w:rsidP="00B45B9F">
            <w:pPr>
              <w:pStyle w:val="TableTextbold"/>
              <w:keepNext/>
              <w:spacing w:before="40" w:after="40"/>
              <w:rPr>
                <w:color w:val="FFFFFF" w:themeColor="background1"/>
              </w:rPr>
            </w:pPr>
            <w:r w:rsidRPr="00B87CC5">
              <w:rPr>
                <w:color w:val="FFFFFF" w:themeColor="background1"/>
              </w:rPr>
              <w:t xml:space="preserve">Abatement </w:t>
            </w:r>
            <w:r w:rsidR="00880085" w:rsidRPr="00B87CC5">
              <w:rPr>
                <w:color w:val="FFFFFF" w:themeColor="background1"/>
              </w:rPr>
              <w:t>o</w:t>
            </w:r>
            <w:r w:rsidR="00815936" w:rsidRPr="00B87CC5">
              <w:rPr>
                <w:color w:val="FFFFFF" w:themeColor="background1"/>
              </w:rPr>
              <w:t>ption</w:t>
            </w:r>
          </w:p>
        </w:tc>
      </w:tr>
      <w:tr w:rsidR="00EB3BF9" w:rsidRPr="00B87CC5" w14:paraId="16BF7190" w14:textId="77777777" w:rsidTr="00565333">
        <w:tc>
          <w:tcPr>
            <w:tcW w:w="826" w:type="pct"/>
            <w:tcBorders>
              <w:bottom w:val="single" w:sz="4" w:space="0" w:color="1B556B"/>
            </w:tcBorders>
            <w:shd w:val="clear" w:color="auto" w:fill="auto"/>
          </w:tcPr>
          <w:p w14:paraId="68195994" w14:textId="61CBB568" w:rsidR="00EB3BF9" w:rsidRPr="00B87CC5" w:rsidRDefault="00EB3BF9" w:rsidP="00B45B9F">
            <w:pPr>
              <w:pStyle w:val="TableText"/>
              <w:keepNext/>
              <w:spacing w:before="40" w:after="40"/>
            </w:pPr>
            <w:r w:rsidRPr="00B87CC5">
              <w:t>Agriculture</w:t>
            </w:r>
          </w:p>
        </w:tc>
        <w:tc>
          <w:tcPr>
            <w:tcW w:w="4174" w:type="pct"/>
            <w:tcBorders>
              <w:right w:val="nil"/>
            </w:tcBorders>
            <w:shd w:val="clear" w:color="auto" w:fill="auto"/>
          </w:tcPr>
          <w:p w14:paraId="2F8E60BA" w14:textId="5831384C" w:rsidR="00EB3BF9" w:rsidRPr="00B87CC5" w:rsidRDefault="00EB3BF9" w:rsidP="00B45B9F">
            <w:pPr>
              <w:pStyle w:val="TableText"/>
              <w:keepNext/>
              <w:spacing w:before="40" w:after="40"/>
            </w:pPr>
            <w:r w:rsidRPr="00B87CC5">
              <w:t xml:space="preserve">Support uptake of </w:t>
            </w:r>
            <w:proofErr w:type="spellStart"/>
            <w:r w:rsidRPr="00B87CC5">
              <w:t>EcoPond</w:t>
            </w:r>
            <w:proofErr w:type="spellEnd"/>
            <w:r w:rsidR="00880085" w:rsidRPr="00B87CC5">
              <w:t>™</w:t>
            </w:r>
            <w:r w:rsidRPr="00B87CC5">
              <w:t xml:space="preserve"> </w:t>
            </w:r>
            <w:r w:rsidR="00C074E3" w:rsidRPr="00B87CC5">
              <w:t xml:space="preserve">effluent treatment system </w:t>
            </w:r>
            <w:r w:rsidRPr="00B87CC5">
              <w:t>for dairy farms. Assuming availability from 2025</w:t>
            </w:r>
          </w:p>
        </w:tc>
      </w:tr>
      <w:tr w:rsidR="00EB3BF9" w:rsidRPr="00B87CC5" w14:paraId="3D363653" w14:textId="77777777" w:rsidTr="00565333">
        <w:tc>
          <w:tcPr>
            <w:tcW w:w="826" w:type="pct"/>
            <w:tcBorders>
              <w:bottom w:val="nil"/>
            </w:tcBorders>
            <w:shd w:val="clear" w:color="auto" w:fill="auto"/>
          </w:tcPr>
          <w:p w14:paraId="2A8CF8A0" w14:textId="77777777" w:rsidR="00EB3BF9" w:rsidRPr="00B87CC5" w:rsidRDefault="00EB3BF9" w:rsidP="00B45B9F">
            <w:pPr>
              <w:pStyle w:val="TableText"/>
              <w:keepNext/>
              <w:spacing w:before="40" w:after="40"/>
            </w:pPr>
          </w:p>
        </w:tc>
        <w:tc>
          <w:tcPr>
            <w:tcW w:w="4174" w:type="pct"/>
            <w:tcBorders>
              <w:right w:val="nil"/>
            </w:tcBorders>
            <w:shd w:val="clear" w:color="auto" w:fill="auto"/>
          </w:tcPr>
          <w:p w14:paraId="7D2ADA94" w14:textId="72EFBFE8" w:rsidR="00EB3BF9" w:rsidRPr="00B87CC5" w:rsidRDefault="00D50921" w:rsidP="00B45B9F">
            <w:pPr>
              <w:pStyle w:val="TableText"/>
              <w:keepNext/>
              <w:spacing w:before="40" w:after="40"/>
            </w:pPr>
            <w:r w:rsidRPr="00B87CC5">
              <w:t>Low-methane rams spread l</w:t>
            </w:r>
            <w:r w:rsidR="00EB3BF9" w:rsidRPr="00B87CC5">
              <w:t>ow-methane genetics through</w:t>
            </w:r>
            <w:r w:rsidR="00EB3BF9" w:rsidRPr="00B87CC5" w:rsidDel="009A75EC">
              <w:t xml:space="preserve"> </w:t>
            </w:r>
            <w:r w:rsidR="00EB3BF9" w:rsidRPr="00B87CC5">
              <w:t>flock</w:t>
            </w:r>
            <w:r w:rsidR="009A75EC" w:rsidRPr="00B87CC5">
              <w:t>s</w:t>
            </w:r>
            <w:r w:rsidR="00EB3BF9" w:rsidRPr="00B87CC5">
              <w:t>. The impact of low-methane genetics is permanent and cumulative, with a flock becoming more methane efficient each year. Assuming availability from 2025</w:t>
            </w:r>
          </w:p>
        </w:tc>
      </w:tr>
      <w:tr w:rsidR="00EB3BF9" w:rsidRPr="00B87CC5" w14:paraId="0DF44BE1" w14:textId="77777777" w:rsidTr="00565333">
        <w:tc>
          <w:tcPr>
            <w:tcW w:w="826" w:type="pct"/>
            <w:tcBorders>
              <w:top w:val="nil"/>
            </w:tcBorders>
            <w:shd w:val="clear" w:color="auto" w:fill="auto"/>
          </w:tcPr>
          <w:p w14:paraId="49745DC8" w14:textId="77777777" w:rsidR="00EB3BF9" w:rsidRPr="00B87CC5" w:rsidRDefault="00EB3BF9" w:rsidP="00B45B9F">
            <w:pPr>
              <w:pStyle w:val="TableText"/>
              <w:spacing w:before="40" w:after="40"/>
            </w:pPr>
          </w:p>
        </w:tc>
        <w:tc>
          <w:tcPr>
            <w:tcW w:w="4174" w:type="pct"/>
            <w:tcBorders>
              <w:right w:val="nil"/>
            </w:tcBorders>
            <w:shd w:val="clear" w:color="auto" w:fill="auto"/>
          </w:tcPr>
          <w:p w14:paraId="103E8B8A" w14:textId="512239C2" w:rsidR="00EB3BF9" w:rsidRPr="00B87CC5" w:rsidRDefault="00EB3BF9" w:rsidP="00B45B9F">
            <w:pPr>
              <w:pStyle w:val="TableText"/>
              <w:spacing w:before="40" w:after="40"/>
            </w:pPr>
            <w:r w:rsidRPr="00B87CC5">
              <w:t>Support development and uptake of methane inhibitors. Assuming a 60% effective methane inhibitor was available for dairy in 2027, and sheep and beef in 2030</w:t>
            </w:r>
          </w:p>
        </w:tc>
      </w:tr>
      <w:tr w:rsidR="00EB3BF9" w:rsidRPr="00B87CC5" w14:paraId="37448DBD" w14:textId="77777777" w:rsidTr="00565333">
        <w:tc>
          <w:tcPr>
            <w:tcW w:w="826" w:type="pct"/>
            <w:shd w:val="clear" w:color="auto" w:fill="auto"/>
          </w:tcPr>
          <w:p w14:paraId="09729208" w14:textId="7AC1124F" w:rsidR="00EB3BF9" w:rsidRPr="00B87CC5" w:rsidRDefault="00C074E3" w:rsidP="00B45B9F">
            <w:pPr>
              <w:pStyle w:val="TableText"/>
              <w:spacing w:before="40" w:after="40"/>
            </w:pPr>
            <w:r w:rsidRPr="00B87CC5">
              <w:t>Forestry</w:t>
            </w:r>
          </w:p>
        </w:tc>
        <w:tc>
          <w:tcPr>
            <w:tcW w:w="4174" w:type="pct"/>
            <w:tcBorders>
              <w:right w:val="nil"/>
            </w:tcBorders>
            <w:shd w:val="clear" w:color="auto" w:fill="auto"/>
          </w:tcPr>
          <w:p w14:paraId="0B58E838" w14:textId="097BA92D" w:rsidR="00EB3BF9" w:rsidRPr="00B87CC5" w:rsidRDefault="00655160" w:rsidP="00B45B9F">
            <w:pPr>
              <w:pStyle w:val="TableText"/>
              <w:spacing w:before="40" w:after="40"/>
            </w:pPr>
            <w:r w:rsidRPr="00B87CC5">
              <w:t>The Government is further exploring the potential to support afforestation on Crown land</w:t>
            </w:r>
          </w:p>
        </w:tc>
      </w:tr>
    </w:tbl>
    <w:p w14:paraId="4C60F6CD" w14:textId="772DCACF" w:rsidR="008D7FA8" w:rsidRPr="00B87CC5" w:rsidRDefault="00AD7E60" w:rsidP="00B45B9F">
      <w:pPr>
        <w:pStyle w:val="Heading2"/>
        <w:spacing w:before="400"/>
      </w:pPr>
      <w:bookmarkStart w:id="72" w:name="_Toc171609750"/>
      <w:r w:rsidRPr="00B87CC5">
        <w:t xml:space="preserve">Intervention </w:t>
      </w:r>
      <w:r w:rsidR="007F62A6" w:rsidRPr="00B87CC5">
        <w:t>r</w:t>
      </w:r>
      <w:r w:rsidRPr="00B87CC5">
        <w:t>ationale</w:t>
      </w:r>
      <w:bookmarkEnd w:id="72"/>
    </w:p>
    <w:p w14:paraId="1E24E351" w14:textId="5AD9578A" w:rsidR="00EC7BAB" w:rsidRPr="00B87CC5" w:rsidRDefault="00245A8D" w:rsidP="00B45B9F">
      <w:pPr>
        <w:pStyle w:val="BodyText"/>
      </w:pPr>
      <w:r w:rsidRPr="00B87CC5">
        <w:t>T</w:t>
      </w:r>
      <w:r w:rsidR="00F8062E" w:rsidRPr="00B87CC5">
        <w:t xml:space="preserve">he following discussion </w:t>
      </w:r>
      <w:r w:rsidR="00EC7BAB" w:rsidRPr="00B87CC5">
        <w:t>quantif</w:t>
      </w:r>
      <w:r w:rsidR="00F8062E" w:rsidRPr="00B87CC5">
        <w:t>ies</w:t>
      </w:r>
      <w:r w:rsidR="00EC7BAB" w:rsidRPr="00B87CC5">
        <w:t xml:space="preserve"> key ERP2 policies</w:t>
      </w:r>
      <w:r w:rsidR="00CE7E2B" w:rsidRPr="00B87CC5">
        <w:t xml:space="preserve"> where possible</w:t>
      </w:r>
      <w:r w:rsidRPr="00B87CC5">
        <w:t xml:space="preserve">. </w:t>
      </w:r>
      <w:r w:rsidR="002334E5" w:rsidRPr="00B87CC5">
        <w:t xml:space="preserve">Appendix 2 </w:t>
      </w:r>
      <w:r w:rsidRPr="00B87CC5">
        <w:t>explains</w:t>
      </w:r>
      <w:r w:rsidR="00E3100A" w:rsidRPr="00B87CC5">
        <w:t xml:space="preserve"> </w:t>
      </w:r>
      <w:r w:rsidR="007B1A5D" w:rsidRPr="00B87CC5">
        <w:t xml:space="preserve">how </w:t>
      </w:r>
      <w:r w:rsidR="00202239" w:rsidRPr="00B87CC5">
        <w:t xml:space="preserve">some </w:t>
      </w:r>
      <w:r w:rsidR="00EC7BAB" w:rsidRPr="00B87CC5">
        <w:t xml:space="preserve">individual policies </w:t>
      </w:r>
      <w:r w:rsidR="00090E7A" w:rsidRPr="00B87CC5">
        <w:t xml:space="preserve">are expected to </w:t>
      </w:r>
      <w:r w:rsidR="0009168D" w:rsidRPr="00B87CC5">
        <w:t xml:space="preserve">function </w:t>
      </w:r>
      <w:r w:rsidR="00726FD6" w:rsidRPr="00B87CC5">
        <w:t xml:space="preserve">to </w:t>
      </w:r>
      <w:r w:rsidR="00EC7BAB" w:rsidRPr="00B87CC5">
        <w:t>reduce emissions for</w:t>
      </w:r>
      <w:r w:rsidR="00EC7BAB" w:rsidRPr="00B87CC5" w:rsidDel="00245A8D">
        <w:t xml:space="preserve"> </w:t>
      </w:r>
      <w:r w:rsidRPr="00B87CC5">
        <w:t>the second emissions budget and/</w:t>
      </w:r>
      <w:r w:rsidR="00EC7BAB" w:rsidRPr="00B87CC5">
        <w:t>or for future emissions budgets.</w:t>
      </w:r>
    </w:p>
    <w:p w14:paraId="50C2407E" w14:textId="1FC4D0DD" w:rsidR="00AD7E60" w:rsidRPr="00B87CC5" w:rsidRDefault="00E739AF" w:rsidP="00AD7E60">
      <w:pPr>
        <w:pStyle w:val="Heading2"/>
      </w:pPr>
      <w:bookmarkStart w:id="73" w:name="_Toc171609751"/>
      <w:r w:rsidRPr="00B87CC5">
        <w:t xml:space="preserve">Estimates of </w:t>
      </w:r>
      <w:r w:rsidR="007F62A6" w:rsidRPr="00B87CC5">
        <w:t>e</w:t>
      </w:r>
      <w:r w:rsidRPr="00B87CC5">
        <w:t xml:space="preserve">ffects on </w:t>
      </w:r>
      <w:r w:rsidR="007F62A6" w:rsidRPr="00B87CC5">
        <w:t>n</w:t>
      </w:r>
      <w:r w:rsidRPr="00B87CC5">
        <w:t xml:space="preserve">et </w:t>
      </w:r>
      <w:r w:rsidR="007F62A6" w:rsidRPr="00B87CC5">
        <w:t>e</w:t>
      </w:r>
      <w:r w:rsidRPr="00B87CC5">
        <w:t>missions</w:t>
      </w:r>
      <w:bookmarkEnd w:id="73"/>
    </w:p>
    <w:p w14:paraId="2B204299" w14:textId="54927A7D" w:rsidR="00925E32" w:rsidRPr="00B87CC5" w:rsidRDefault="00B05C46" w:rsidP="006D3871">
      <w:pPr>
        <w:pStyle w:val="BodyText"/>
      </w:pPr>
      <w:r w:rsidRPr="00B87CC5">
        <w:t xml:space="preserve">Using assumptions noted in </w:t>
      </w:r>
      <w:r w:rsidR="005974F3" w:rsidRPr="00B87CC5">
        <w:t>a</w:t>
      </w:r>
      <w:r w:rsidRPr="00B87CC5">
        <w:t xml:space="preserve">ppendix 3, </w:t>
      </w:r>
      <w:r w:rsidR="00876753" w:rsidRPr="00B87CC5">
        <w:t>t</w:t>
      </w:r>
      <w:r w:rsidR="001B6E3F" w:rsidRPr="00B87CC5">
        <w:t>able</w:t>
      </w:r>
      <w:r w:rsidR="00F52310">
        <w:t>s</w:t>
      </w:r>
      <w:r w:rsidR="001B6E3F" w:rsidRPr="00B87CC5">
        <w:t xml:space="preserve"> 10</w:t>
      </w:r>
      <w:r w:rsidR="00E56447" w:rsidRPr="00B87CC5">
        <w:t xml:space="preserve"> </w:t>
      </w:r>
      <w:r w:rsidR="00444930" w:rsidRPr="00B87CC5">
        <w:t xml:space="preserve">and </w:t>
      </w:r>
      <w:r w:rsidR="00444930" w:rsidRPr="00B87CC5">
        <w:fldChar w:fldCharType="begin"/>
      </w:r>
      <w:r w:rsidR="00444930" w:rsidRPr="00B87CC5">
        <w:instrText xml:space="preserve"> REF _Ref170991924 \h </w:instrText>
      </w:r>
      <w:r w:rsidR="00444930" w:rsidRPr="00B87CC5">
        <w:fldChar w:fldCharType="separate"/>
      </w:r>
      <w:r w:rsidR="00444930" w:rsidRPr="00B87CC5">
        <w:t>11</w:t>
      </w:r>
      <w:r w:rsidR="00444930" w:rsidRPr="00B87CC5">
        <w:fldChar w:fldCharType="end"/>
      </w:r>
      <w:r w:rsidR="00E56447" w:rsidRPr="00B87CC5">
        <w:t xml:space="preserve"> summarise the estimated effects of proposed new policies in</w:t>
      </w:r>
      <w:r w:rsidR="00876753" w:rsidRPr="00B87CC5">
        <w:t xml:space="preserve"> the first, second and third</w:t>
      </w:r>
      <w:r w:rsidR="00E56447" w:rsidRPr="00B87CC5">
        <w:t xml:space="preserve"> </w:t>
      </w:r>
      <w:r w:rsidR="00A54B8F" w:rsidRPr="00B87CC5">
        <w:t>emission</w:t>
      </w:r>
      <w:r w:rsidR="00876753" w:rsidRPr="00B87CC5">
        <w:t>s</w:t>
      </w:r>
      <w:r w:rsidR="00A54B8F" w:rsidRPr="00B87CC5">
        <w:t xml:space="preserve"> budgets. </w:t>
      </w:r>
      <w:r w:rsidR="002313EA" w:rsidRPr="00B87CC5">
        <w:t>The emission</w:t>
      </w:r>
      <w:r w:rsidR="00DB0D7C" w:rsidRPr="00B87CC5">
        <w:t>s</w:t>
      </w:r>
      <w:r w:rsidR="002313EA" w:rsidRPr="00B87CC5">
        <w:t xml:space="preserve"> reduction estimates are </w:t>
      </w:r>
      <w:r w:rsidR="00951B5E" w:rsidRPr="00B87CC5">
        <w:t xml:space="preserve">subject to a high level of uncertainty </w:t>
      </w:r>
      <w:r w:rsidR="000768EC" w:rsidRPr="00B87CC5">
        <w:t xml:space="preserve">because </w:t>
      </w:r>
      <w:r w:rsidR="00BC62EF" w:rsidRPr="00B87CC5">
        <w:t>the details</w:t>
      </w:r>
      <w:r w:rsidR="00876753" w:rsidRPr="00B87CC5">
        <w:t xml:space="preserve"> or </w:t>
      </w:r>
      <w:r w:rsidR="00BC62EF" w:rsidRPr="00B87CC5">
        <w:t xml:space="preserve">settings of the initiatives </w:t>
      </w:r>
      <w:r w:rsidR="00D87C3C" w:rsidRPr="00B87CC5">
        <w:t xml:space="preserve">have not been fully </w:t>
      </w:r>
      <w:r w:rsidR="00E44CAB" w:rsidRPr="00B87CC5">
        <w:t>specified</w:t>
      </w:r>
      <w:r w:rsidR="00C91897" w:rsidRPr="00B87CC5">
        <w:t xml:space="preserve"> to date</w:t>
      </w:r>
      <w:r w:rsidR="00876753" w:rsidRPr="00B87CC5">
        <w:t xml:space="preserve"> and there remain</w:t>
      </w:r>
      <w:r w:rsidR="00BC62EF" w:rsidRPr="00B87CC5">
        <w:t xml:space="preserve"> </w:t>
      </w:r>
      <w:r w:rsidR="00FD6E6A" w:rsidRPr="00B87CC5">
        <w:t xml:space="preserve">other </w:t>
      </w:r>
      <w:r w:rsidR="00BC62EF" w:rsidRPr="00B87CC5">
        <w:t xml:space="preserve">limitations in our understanding of their </w:t>
      </w:r>
      <w:r w:rsidR="004E0625" w:rsidRPr="00B87CC5">
        <w:t xml:space="preserve">potential </w:t>
      </w:r>
      <w:r w:rsidR="00BC62EF" w:rsidRPr="00B87CC5">
        <w:t>impacts on emissions</w:t>
      </w:r>
      <w:r w:rsidR="004E0625" w:rsidRPr="00B87CC5">
        <w:t xml:space="preserve"> (</w:t>
      </w:r>
      <w:proofErr w:type="spellStart"/>
      <w:r w:rsidR="00876753" w:rsidRPr="00B87CC5">
        <w:t>eg</w:t>
      </w:r>
      <w:proofErr w:type="spellEnd"/>
      <w:r w:rsidR="00876753" w:rsidRPr="00B87CC5">
        <w:t>,</w:t>
      </w:r>
      <w:r w:rsidR="004E0625" w:rsidRPr="00B87CC5">
        <w:t xml:space="preserve"> the paucity of relevant empirical data)</w:t>
      </w:r>
      <w:r w:rsidR="00BC62EF" w:rsidRPr="00B87CC5">
        <w:t xml:space="preserve">. These interim estimates </w:t>
      </w:r>
      <w:r w:rsidR="0030554C" w:rsidRPr="00B87CC5">
        <w:t xml:space="preserve">are </w:t>
      </w:r>
      <w:r w:rsidR="00BC62EF" w:rsidRPr="00B87CC5">
        <w:t>expected to change, potentially significantly, as policies are developed, and the projections and policy impacts modelling is refined.</w:t>
      </w:r>
      <w:r w:rsidR="001D64BE" w:rsidRPr="00B87CC5">
        <w:t xml:space="preserve"> </w:t>
      </w:r>
      <w:r w:rsidR="00607C05" w:rsidRPr="00B87CC5">
        <w:t>This includes</w:t>
      </w:r>
      <w:proofErr w:type="gramStart"/>
      <w:r w:rsidR="00681CD8" w:rsidRPr="00B87CC5">
        <w:t>, in particular,</w:t>
      </w:r>
      <w:r w:rsidR="00607C05" w:rsidRPr="00B87CC5">
        <w:t xml:space="preserve"> </w:t>
      </w:r>
      <w:r w:rsidR="002A550E" w:rsidRPr="00B87CC5">
        <w:t>how</w:t>
      </w:r>
      <w:proofErr w:type="gramEnd"/>
      <w:r w:rsidR="002A550E" w:rsidRPr="00B87CC5">
        <w:t xml:space="preserve"> </w:t>
      </w:r>
      <w:r w:rsidR="00F907A3" w:rsidRPr="00B87CC5">
        <w:t>carbon capture, utilisation and storage (CCUS)</w:t>
      </w:r>
      <w:r w:rsidR="00391180" w:rsidRPr="00B87CC5">
        <w:t xml:space="preserve"> </w:t>
      </w:r>
      <w:r w:rsidR="00CA01AF" w:rsidRPr="00B87CC5">
        <w:t>will be enabled</w:t>
      </w:r>
      <w:r w:rsidR="00815936" w:rsidRPr="00B87CC5">
        <w:t xml:space="preserve"> and </w:t>
      </w:r>
      <w:r w:rsidR="00876753" w:rsidRPr="00B87CC5">
        <w:t xml:space="preserve">what </w:t>
      </w:r>
      <w:r w:rsidR="00E933A7" w:rsidRPr="00B87CC5">
        <w:t xml:space="preserve">the </w:t>
      </w:r>
      <w:r w:rsidR="007D7707" w:rsidRPr="00B87CC5">
        <w:t xml:space="preserve">prices and/or incentive rates for agriculture </w:t>
      </w:r>
      <w:r w:rsidR="002D7665" w:rsidRPr="00B87CC5">
        <w:t>emissions pricing</w:t>
      </w:r>
      <w:r w:rsidR="00876753" w:rsidRPr="00B87CC5">
        <w:t xml:space="preserve"> will be</w:t>
      </w:r>
      <w:r w:rsidR="00815936" w:rsidRPr="00B87CC5">
        <w:t>.</w:t>
      </w:r>
    </w:p>
    <w:p w14:paraId="712DED6C" w14:textId="6FD70BEA" w:rsidR="006E2C27" w:rsidRPr="00B87CC5" w:rsidRDefault="006E2C27" w:rsidP="00F406B7">
      <w:pPr>
        <w:pStyle w:val="Tableheading"/>
      </w:pPr>
      <w:bookmarkStart w:id="74" w:name="_Ref169609683"/>
      <w:bookmarkStart w:id="75" w:name="_Toc171609769"/>
      <w:r w:rsidRPr="00B87CC5">
        <w:t xml:space="preserve">Table </w:t>
      </w:r>
      <w:r w:rsidR="00385111">
        <w:fldChar w:fldCharType="begin"/>
      </w:r>
      <w:r w:rsidR="00385111">
        <w:instrText xml:space="preserve"> SEQ Table \* ARABIC </w:instrText>
      </w:r>
      <w:r w:rsidR="00385111">
        <w:fldChar w:fldCharType="separate"/>
      </w:r>
      <w:r w:rsidR="001B6E3F" w:rsidRPr="00B87CC5">
        <w:t>10</w:t>
      </w:r>
      <w:r w:rsidR="00385111">
        <w:fldChar w:fldCharType="end"/>
      </w:r>
      <w:bookmarkEnd w:id="74"/>
      <w:r w:rsidR="005E1D91" w:rsidRPr="00B87CC5">
        <w:t>:</w:t>
      </w:r>
      <w:r w:rsidR="005E1D91" w:rsidRPr="00B87CC5">
        <w:tab/>
      </w:r>
      <w:r w:rsidR="00E56447" w:rsidRPr="00B87CC5">
        <w:t>Provisional e</w:t>
      </w:r>
      <w:r w:rsidR="003B090A" w:rsidRPr="00B87CC5">
        <w:t xml:space="preserve">stimated </w:t>
      </w:r>
      <w:r w:rsidR="00444930" w:rsidRPr="00B87CC5">
        <w:t>emission</w:t>
      </w:r>
      <w:r w:rsidR="00D1059E">
        <w:t>s</w:t>
      </w:r>
      <w:r w:rsidR="00444930" w:rsidRPr="00B87CC5">
        <w:t xml:space="preserve"> reduction </w:t>
      </w:r>
      <w:r w:rsidR="003B090A" w:rsidRPr="00B87CC5">
        <w:t xml:space="preserve">impacts of </w:t>
      </w:r>
      <w:r w:rsidRPr="00B87CC5">
        <w:t>new policies in ERP2</w:t>
      </w:r>
      <w:r w:rsidR="009A50FA" w:rsidRPr="00B87CC5">
        <w:t xml:space="preserve"> on</w:t>
      </w:r>
      <w:r w:rsidR="009F1680" w:rsidRPr="00B87CC5">
        <w:t> </w:t>
      </w:r>
      <w:r w:rsidR="009A50FA" w:rsidRPr="00B87CC5">
        <w:t>emissions</w:t>
      </w:r>
      <w:r w:rsidR="009F1680" w:rsidRPr="00B87CC5">
        <w:t> </w:t>
      </w:r>
      <w:r w:rsidR="009A50FA" w:rsidRPr="00B87CC5">
        <w:t>budgets (Mt CO</w:t>
      </w:r>
      <w:r w:rsidR="009A50FA" w:rsidRPr="00B87CC5">
        <w:rPr>
          <w:vertAlign w:val="subscript"/>
        </w:rPr>
        <w:t>2</w:t>
      </w:r>
      <w:r w:rsidR="009A50FA" w:rsidRPr="00B87CC5">
        <w:t>-e)</w:t>
      </w:r>
      <w:bookmarkEnd w:id="75"/>
    </w:p>
    <w:tbl>
      <w:tblPr>
        <w:tblStyle w:val="LightList-Accent11"/>
        <w:tblW w:w="8536" w:type="dxa"/>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1049"/>
        <w:gridCol w:w="3175"/>
        <w:gridCol w:w="1390"/>
        <w:gridCol w:w="1531"/>
        <w:gridCol w:w="1391"/>
      </w:tblGrid>
      <w:tr w:rsidR="00675312" w:rsidRPr="00B87CC5" w14:paraId="11E40ABE" w14:textId="28A163A2" w:rsidTr="00C52D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9" w:type="dxa"/>
            <w:tcBorders>
              <w:bottom w:val="single" w:sz="4" w:space="0" w:color="1B556B" w:themeColor="text2"/>
            </w:tcBorders>
            <w:shd w:val="clear" w:color="auto" w:fill="1B556B" w:themeFill="text2"/>
            <w:vAlign w:val="bottom"/>
          </w:tcPr>
          <w:p w14:paraId="09FA2EF7" w14:textId="77777777" w:rsidR="006E2C27" w:rsidRPr="00B87CC5" w:rsidRDefault="006E2C27" w:rsidP="009F1680">
            <w:pPr>
              <w:pStyle w:val="TableTextbold"/>
              <w:spacing w:before="40" w:after="40"/>
              <w:rPr>
                <w:rFonts w:cs="Calibri"/>
                <w:b/>
                <w:bCs w:val="0"/>
                <w:szCs w:val="18"/>
              </w:rPr>
            </w:pPr>
            <w:r w:rsidRPr="00B87CC5">
              <w:rPr>
                <w:rFonts w:cs="Calibri"/>
                <w:b/>
                <w:bCs w:val="0"/>
                <w:szCs w:val="18"/>
              </w:rPr>
              <w:t>Sector</w:t>
            </w:r>
          </w:p>
        </w:tc>
        <w:tc>
          <w:tcPr>
            <w:tcW w:w="3175" w:type="dxa"/>
            <w:shd w:val="clear" w:color="auto" w:fill="1B556B" w:themeFill="text2"/>
            <w:vAlign w:val="bottom"/>
          </w:tcPr>
          <w:p w14:paraId="5DE86E67" w14:textId="77777777" w:rsidR="006E2C27" w:rsidRPr="00B87CC5" w:rsidRDefault="006E2C27" w:rsidP="009F1680">
            <w:pPr>
              <w:pStyle w:val="TableTextbold"/>
              <w:spacing w:before="40" w:after="40"/>
              <w:cnfStyle w:val="100000000000" w:firstRow="1" w:lastRow="0" w:firstColumn="0" w:lastColumn="0" w:oddVBand="0" w:evenVBand="0" w:oddHBand="0" w:evenHBand="0" w:firstRowFirstColumn="0" w:firstRowLastColumn="0" w:lastRowFirstColumn="0" w:lastRowLastColumn="0"/>
              <w:rPr>
                <w:rFonts w:cs="Calibri"/>
                <w:b/>
                <w:bCs w:val="0"/>
                <w:szCs w:val="18"/>
              </w:rPr>
            </w:pPr>
            <w:r w:rsidRPr="00B87CC5">
              <w:rPr>
                <w:rFonts w:cs="Calibri"/>
                <w:b/>
                <w:bCs w:val="0"/>
                <w:szCs w:val="18"/>
              </w:rPr>
              <w:t>Policy</w:t>
            </w:r>
          </w:p>
        </w:tc>
        <w:tc>
          <w:tcPr>
            <w:tcW w:w="1390" w:type="dxa"/>
            <w:shd w:val="clear" w:color="auto" w:fill="1B556B" w:themeFill="text2"/>
          </w:tcPr>
          <w:p w14:paraId="38E059DB" w14:textId="39B37E98" w:rsidR="006E2C27" w:rsidRPr="00B87CC5" w:rsidRDefault="00532F27" w:rsidP="00E26C7A">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rFonts w:cs="Calibri"/>
                <w:b/>
                <w:bCs w:val="0"/>
                <w:szCs w:val="18"/>
              </w:rPr>
            </w:pPr>
            <w:r w:rsidRPr="00B87CC5">
              <w:rPr>
                <w:rFonts w:cs="Calibri"/>
                <w:b/>
                <w:bCs w:val="0"/>
                <w:szCs w:val="18"/>
              </w:rPr>
              <w:t>First emissions budget</w:t>
            </w:r>
          </w:p>
        </w:tc>
        <w:tc>
          <w:tcPr>
            <w:tcW w:w="1531" w:type="dxa"/>
            <w:shd w:val="clear" w:color="auto" w:fill="1B556B" w:themeFill="text2"/>
          </w:tcPr>
          <w:p w14:paraId="15AC2F8E" w14:textId="360C718C" w:rsidR="006E2C27" w:rsidRPr="00B87CC5" w:rsidRDefault="00532F27" w:rsidP="00E26C7A">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rFonts w:cs="Calibri"/>
                <w:b/>
                <w:bCs w:val="0"/>
                <w:szCs w:val="18"/>
              </w:rPr>
            </w:pPr>
            <w:r w:rsidRPr="00B87CC5">
              <w:rPr>
                <w:rFonts w:cs="Calibri"/>
                <w:b/>
                <w:bCs w:val="0"/>
                <w:szCs w:val="18"/>
              </w:rPr>
              <w:t>Second emissions budget</w:t>
            </w:r>
          </w:p>
        </w:tc>
        <w:tc>
          <w:tcPr>
            <w:tcW w:w="1391" w:type="dxa"/>
            <w:shd w:val="clear" w:color="auto" w:fill="1B556B" w:themeFill="text2"/>
          </w:tcPr>
          <w:p w14:paraId="527803D5" w14:textId="166CEA05" w:rsidR="006E2C27" w:rsidRPr="00B87CC5" w:rsidRDefault="00532F27" w:rsidP="00E26C7A">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rFonts w:cs="Calibri"/>
                <w:b/>
                <w:bCs w:val="0"/>
                <w:szCs w:val="18"/>
              </w:rPr>
            </w:pPr>
            <w:r w:rsidRPr="00B87CC5">
              <w:rPr>
                <w:rFonts w:cs="Calibri"/>
                <w:b/>
                <w:bCs w:val="0"/>
                <w:szCs w:val="18"/>
              </w:rPr>
              <w:t>Third emissions budget</w:t>
            </w:r>
          </w:p>
        </w:tc>
      </w:tr>
      <w:tr w:rsidR="000243D2" w:rsidRPr="00B87CC5" w14:paraId="5A18A4D6" w14:textId="2DEBF453" w:rsidTr="00C52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tcBorders>
              <w:top w:val="single" w:sz="4" w:space="0" w:color="1B556B" w:themeColor="text2"/>
              <w:left w:val="none" w:sz="0" w:space="0" w:color="auto"/>
              <w:bottom w:val="nil"/>
            </w:tcBorders>
          </w:tcPr>
          <w:p w14:paraId="747CC8E0" w14:textId="77777777" w:rsidR="00B2187F" w:rsidRPr="00B87CC5" w:rsidRDefault="00B2187F" w:rsidP="009F1680">
            <w:pPr>
              <w:pStyle w:val="TableText"/>
              <w:spacing w:before="40" w:after="40"/>
              <w:rPr>
                <w:rFonts w:cs="Calibri"/>
                <w:szCs w:val="18"/>
              </w:rPr>
            </w:pPr>
            <w:r w:rsidRPr="00B87CC5">
              <w:rPr>
                <w:rFonts w:cs="Calibri"/>
                <w:szCs w:val="18"/>
              </w:rPr>
              <w:t>Energy</w:t>
            </w:r>
          </w:p>
        </w:tc>
        <w:tc>
          <w:tcPr>
            <w:tcW w:w="3175" w:type="dxa"/>
            <w:tcBorders>
              <w:top w:val="none" w:sz="0" w:space="0" w:color="auto"/>
              <w:bottom w:val="none" w:sz="0" w:space="0" w:color="auto"/>
            </w:tcBorders>
          </w:tcPr>
          <w:p w14:paraId="72333FDE" w14:textId="77777777" w:rsidR="00B2187F" w:rsidRPr="00B87CC5" w:rsidRDefault="00B2187F" w:rsidP="009F1680">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Electrify NZ</w:t>
            </w:r>
          </w:p>
        </w:tc>
        <w:tc>
          <w:tcPr>
            <w:tcW w:w="1390" w:type="dxa"/>
            <w:tcBorders>
              <w:top w:val="none" w:sz="0" w:space="0" w:color="auto"/>
              <w:bottom w:val="none" w:sz="0" w:space="0" w:color="auto"/>
            </w:tcBorders>
            <w:vAlign w:val="center"/>
          </w:tcPr>
          <w:p w14:paraId="332629A6" w14:textId="1298EF57" w:rsidR="00B2187F" w:rsidRPr="00B87CC5" w:rsidRDefault="00B2187F"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0.0</w:t>
            </w:r>
          </w:p>
        </w:tc>
        <w:tc>
          <w:tcPr>
            <w:tcW w:w="1531" w:type="dxa"/>
            <w:tcBorders>
              <w:top w:val="none" w:sz="0" w:space="0" w:color="auto"/>
              <w:bottom w:val="none" w:sz="0" w:space="0" w:color="auto"/>
            </w:tcBorders>
            <w:vAlign w:val="center"/>
          </w:tcPr>
          <w:p w14:paraId="0F96438E" w14:textId="79BD5A5A" w:rsidR="00B2187F" w:rsidRPr="00B87CC5" w:rsidRDefault="00532F27"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w:t>
            </w:r>
            <w:r w:rsidR="00B2187F" w:rsidRPr="00B87CC5">
              <w:rPr>
                <w:rFonts w:cs="Calibri"/>
                <w:szCs w:val="18"/>
              </w:rPr>
              <w:t>0.1</w:t>
            </w:r>
          </w:p>
        </w:tc>
        <w:tc>
          <w:tcPr>
            <w:tcW w:w="1391" w:type="dxa"/>
            <w:tcBorders>
              <w:top w:val="none" w:sz="0" w:space="0" w:color="auto"/>
              <w:bottom w:val="none" w:sz="0" w:space="0" w:color="auto"/>
              <w:right w:val="none" w:sz="0" w:space="0" w:color="auto"/>
            </w:tcBorders>
            <w:vAlign w:val="center"/>
          </w:tcPr>
          <w:p w14:paraId="5008EC6B" w14:textId="61E2230D" w:rsidR="00B2187F" w:rsidRPr="00B87CC5" w:rsidRDefault="00B2187F"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-1.6</w:t>
            </w:r>
          </w:p>
        </w:tc>
      </w:tr>
      <w:tr w:rsidR="000243D2" w:rsidRPr="00B87CC5" w14:paraId="7D58EEE4" w14:textId="2B5FBD4E" w:rsidTr="00C52D07">
        <w:tc>
          <w:tcPr>
            <w:cnfStyle w:val="001000000000" w:firstRow="0" w:lastRow="0" w:firstColumn="1" w:lastColumn="0" w:oddVBand="0" w:evenVBand="0" w:oddHBand="0" w:evenHBand="0" w:firstRowFirstColumn="0" w:firstRowLastColumn="0" w:lastRowFirstColumn="0" w:lastRowLastColumn="0"/>
            <w:tcW w:w="1049" w:type="dxa"/>
            <w:tcBorders>
              <w:top w:val="nil"/>
              <w:bottom w:val="single" w:sz="4" w:space="0" w:color="1B556B" w:themeColor="text2"/>
            </w:tcBorders>
          </w:tcPr>
          <w:p w14:paraId="7E789648" w14:textId="23F4969E" w:rsidR="00B2187F" w:rsidRPr="00B87CC5" w:rsidRDefault="00B2187F" w:rsidP="009F1680">
            <w:pPr>
              <w:pStyle w:val="TableText"/>
              <w:spacing w:before="40" w:after="40"/>
              <w:rPr>
                <w:rFonts w:cs="Calibri"/>
                <w:szCs w:val="18"/>
              </w:rPr>
            </w:pPr>
          </w:p>
        </w:tc>
        <w:tc>
          <w:tcPr>
            <w:tcW w:w="3175" w:type="dxa"/>
          </w:tcPr>
          <w:p w14:paraId="732A419D" w14:textId="70401D23" w:rsidR="00B2187F" w:rsidRPr="00B87CC5" w:rsidRDefault="004038AA" w:rsidP="009F1680">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 xml:space="preserve">Enable </w:t>
            </w:r>
            <w:r w:rsidR="00B2187F" w:rsidRPr="00B87CC5">
              <w:rPr>
                <w:rFonts w:cs="Calibri"/>
                <w:szCs w:val="18"/>
              </w:rPr>
              <w:t>carbon capture, utilisation and storage</w:t>
            </w:r>
          </w:p>
        </w:tc>
        <w:tc>
          <w:tcPr>
            <w:tcW w:w="1390" w:type="dxa"/>
            <w:vAlign w:val="center"/>
          </w:tcPr>
          <w:p w14:paraId="37240ECF" w14:textId="0F1D66BE" w:rsidR="00B2187F" w:rsidRPr="00B87CC5" w:rsidRDefault="00BD36A3" w:rsidP="00E26C7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0.0</w:t>
            </w:r>
          </w:p>
        </w:tc>
        <w:tc>
          <w:tcPr>
            <w:tcW w:w="1531" w:type="dxa"/>
            <w:vAlign w:val="center"/>
          </w:tcPr>
          <w:p w14:paraId="28EA0577" w14:textId="66AABE06" w:rsidR="00B2187F" w:rsidRPr="00B87CC5" w:rsidRDefault="00532F27" w:rsidP="00E26C7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w:t>
            </w:r>
            <w:r w:rsidR="00B2187F" w:rsidRPr="00B87CC5">
              <w:rPr>
                <w:rFonts w:cs="Calibri"/>
                <w:szCs w:val="18"/>
              </w:rPr>
              <w:t>1.4</w:t>
            </w:r>
          </w:p>
        </w:tc>
        <w:tc>
          <w:tcPr>
            <w:tcW w:w="1391" w:type="dxa"/>
            <w:vAlign w:val="center"/>
          </w:tcPr>
          <w:p w14:paraId="12EE2DC8" w14:textId="3F48E530" w:rsidR="00B2187F" w:rsidRPr="00B87CC5" w:rsidRDefault="009A50FA" w:rsidP="00E26C7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w:t>
            </w:r>
            <w:r w:rsidR="00B2187F" w:rsidRPr="00B87CC5">
              <w:rPr>
                <w:rFonts w:cs="Calibri"/>
                <w:szCs w:val="18"/>
              </w:rPr>
              <w:t>3.2</w:t>
            </w:r>
          </w:p>
        </w:tc>
      </w:tr>
      <w:tr w:rsidR="005110D9" w:rsidRPr="00B87CC5" w14:paraId="3746659B" w14:textId="296FD4E2" w:rsidTr="005110D9">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049" w:type="dxa"/>
            <w:tcBorders>
              <w:top w:val="single" w:sz="4" w:space="0" w:color="1B556B" w:themeColor="text2"/>
              <w:left w:val="none" w:sz="0" w:space="0" w:color="auto"/>
              <w:bottom w:val="nil"/>
            </w:tcBorders>
          </w:tcPr>
          <w:p w14:paraId="57D19CE9" w14:textId="77777777" w:rsidR="005110D9" w:rsidRPr="00B87CC5" w:rsidRDefault="005110D9" w:rsidP="009F1680">
            <w:pPr>
              <w:pStyle w:val="TableText"/>
              <w:spacing w:before="40" w:after="40"/>
              <w:rPr>
                <w:rFonts w:cs="Calibri"/>
                <w:szCs w:val="18"/>
              </w:rPr>
            </w:pPr>
            <w:r w:rsidRPr="00B87CC5">
              <w:rPr>
                <w:rFonts w:cs="Calibri"/>
                <w:szCs w:val="18"/>
              </w:rPr>
              <w:t>Transport</w:t>
            </w:r>
          </w:p>
        </w:tc>
        <w:tc>
          <w:tcPr>
            <w:tcW w:w="3175" w:type="dxa"/>
            <w:tcBorders>
              <w:top w:val="none" w:sz="0" w:space="0" w:color="auto"/>
              <w:bottom w:val="none" w:sz="0" w:space="0" w:color="auto"/>
            </w:tcBorders>
          </w:tcPr>
          <w:p w14:paraId="1F7D68B1" w14:textId="77777777" w:rsidR="005110D9" w:rsidRPr="00B87CC5" w:rsidRDefault="005110D9" w:rsidP="009F1680">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10,000 public EV chargers</w:t>
            </w:r>
          </w:p>
        </w:tc>
        <w:tc>
          <w:tcPr>
            <w:tcW w:w="1390" w:type="dxa"/>
            <w:tcBorders>
              <w:top w:val="none" w:sz="0" w:space="0" w:color="auto"/>
              <w:bottom w:val="none" w:sz="0" w:space="0" w:color="auto"/>
            </w:tcBorders>
            <w:vAlign w:val="center"/>
          </w:tcPr>
          <w:p w14:paraId="2926242C" w14:textId="719556BB" w:rsidR="005110D9" w:rsidRPr="00B87CC5" w:rsidRDefault="005110D9"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0.0</w:t>
            </w:r>
          </w:p>
        </w:tc>
        <w:tc>
          <w:tcPr>
            <w:tcW w:w="1531" w:type="dxa"/>
            <w:tcBorders>
              <w:top w:val="none" w:sz="0" w:space="0" w:color="auto"/>
              <w:bottom w:val="none" w:sz="0" w:space="0" w:color="auto"/>
            </w:tcBorders>
            <w:vAlign w:val="center"/>
          </w:tcPr>
          <w:p w14:paraId="3062DDAF" w14:textId="6A8D49B0" w:rsidR="005110D9" w:rsidRPr="00B87CC5" w:rsidRDefault="005110D9"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–0.01</w:t>
            </w:r>
          </w:p>
        </w:tc>
        <w:tc>
          <w:tcPr>
            <w:tcW w:w="1391" w:type="dxa"/>
            <w:tcBorders>
              <w:top w:val="none" w:sz="0" w:space="0" w:color="auto"/>
              <w:bottom w:val="none" w:sz="0" w:space="0" w:color="auto"/>
              <w:right w:val="none" w:sz="0" w:space="0" w:color="auto"/>
            </w:tcBorders>
            <w:vAlign w:val="center"/>
          </w:tcPr>
          <w:p w14:paraId="42469EDE" w14:textId="4950CA51" w:rsidR="005110D9" w:rsidRPr="00B87CC5" w:rsidRDefault="005110D9"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–0.2</w:t>
            </w:r>
          </w:p>
        </w:tc>
      </w:tr>
      <w:tr w:rsidR="000243D2" w:rsidRPr="00B87CC5" w14:paraId="599FF90E" w14:textId="6B7AE102" w:rsidTr="005110D9">
        <w:tc>
          <w:tcPr>
            <w:cnfStyle w:val="001000000000" w:firstRow="0" w:lastRow="0" w:firstColumn="1" w:lastColumn="0" w:oddVBand="0" w:evenVBand="0" w:oddHBand="0" w:evenHBand="0" w:firstRowFirstColumn="0" w:firstRowLastColumn="0" w:lastRowFirstColumn="0" w:lastRowLastColumn="0"/>
            <w:tcW w:w="1049" w:type="dxa"/>
            <w:tcBorders>
              <w:top w:val="nil"/>
              <w:bottom w:val="single" w:sz="4" w:space="0" w:color="1B556B" w:themeColor="text2"/>
            </w:tcBorders>
          </w:tcPr>
          <w:p w14:paraId="40926B93" w14:textId="73FDB8C8" w:rsidR="00B2187F" w:rsidRPr="00B87CC5" w:rsidRDefault="00B2187F" w:rsidP="009F1680">
            <w:pPr>
              <w:pStyle w:val="TableText"/>
              <w:spacing w:before="40" w:after="40"/>
              <w:rPr>
                <w:rFonts w:cs="Calibri"/>
                <w:szCs w:val="18"/>
              </w:rPr>
            </w:pPr>
          </w:p>
        </w:tc>
        <w:tc>
          <w:tcPr>
            <w:tcW w:w="3175" w:type="dxa"/>
          </w:tcPr>
          <w:p w14:paraId="4C35C76F" w14:textId="77777777" w:rsidR="00B2187F" w:rsidRPr="00B87CC5" w:rsidRDefault="00B2187F" w:rsidP="009F1680">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Better public transport</w:t>
            </w:r>
          </w:p>
        </w:tc>
        <w:tc>
          <w:tcPr>
            <w:tcW w:w="1390" w:type="dxa"/>
            <w:vAlign w:val="center"/>
          </w:tcPr>
          <w:p w14:paraId="4630CFC8" w14:textId="3A636042" w:rsidR="00B2187F" w:rsidRPr="00B87CC5" w:rsidRDefault="00B2187F" w:rsidP="00E26C7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0.0</w:t>
            </w:r>
          </w:p>
        </w:tc>
        <w:tc>
          <w:tcPr>
            <w:tcW w:w="1531" w:type="dxa"/>
            <w:vAlign w:val="center"/>
          </w:tcPr>
          <w:p w14:paraId="77DC6F7C" w14:textId="12E7F549" w:rsidR="00B2187F" w:rsidRPr="00B87CC5" w:rsidRDefault="00532F27" w:rsidP="00E26C7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w:t>
            </w:r>
            <w:r w:rsidR="00B2187F" w:rsidRPr="00B87CC5">
              <w:rPr>
                <w:rFonts w:cs="Calibri"/>
                <w:szCs w:val="18"/>
              </w:rPr>
              <w:t>0.1</w:t>
            </w:r>
          </w:p>
        </w:tc>
        <w:tc>
          <w:tcPr>
            <w:tcW w:w="1391" w:type="dxa"/>
            <w:vAlign w:val="center"/>
          </w:tcPr>
          <w:p w14:paraId="6417056E" w14:textId="67B9ACB6" w:rsidR="00B2187F" w:rsidRPr="00B87CC5" w:rsidRDefault="009A50FA" w:rsidP="00E26C7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w:t>
            </w:r>
            <w:r w:rsidR="00B2187F" w:rsidRPr="00B87CC5">
              <w:rPr>
                <w:rFonts w:cs="Calibri"/>
                <w:szCs w:val="18"/>
              </w:rPr>
              <w:t>0.3</w:t>
            </w:r>
          </w:p>
        </w:tc>
      </w:tr>
      <w:tr w:rsidR="00AB20E3" w:rsidRPr="00B87CC5" w14:paraId="39433D47" w14:textId="49EFFAF9" w:rsidTr="00511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tcBorders>
              <w:top w:val="single" w:sz="4" w:space="0" w:color="1B556B" w:themeColor="text2"/>
              <w:left w:val="none" w:sz="0" w:space="0" w:color="auto"/>
              <w:bottom w:val="none" w:sz="0" w:space="0" w:color="auto"/>
            </w:tcBorders>
          </w:tcPr>
          <w:p w14:paraId="69228046" w14:textId="77777777" w:rsidR="00B2187F" w:rsidRPr="00B87CC5" w:rsidRDefault="00B2187F" w:rsidP="009F1680">
            <w:pPr>
              <w:pStyle w:val="TableText"/>
              <w:spacing w:before="40" w:after="40"/>
              <w:rPr>
                <w:rFonts w:cs="Calibri"/>
                <w:szCs w:val="18"/>
              </w:rPr>
            </w:pPr>
            <w:r w:rsidRPr="00B87CC5">
              <w:rPr>
                <w:rFonts w:cs="Calibri"/>
                <w:szCs w:val="18"/>
              </w:rPr>
              <w:t>Agriculture</w:t>
            </w:r>
          </w:p>
        </w:tc>
        <w:tc>
          <w:tcPr>
            <w:tcW w:w="3175" w:type="dxa"/>
            <w:tcBorders>
              <w:top w:val="none" w:sz="0" w:space="0" w:color="auto"/>
              <w:bottom w:val="none" w:sz="0" w:space="0" w:color="auto"/>
            </w:tcBorders>
          </w:tcPr>
          <w:p w14:paraId="6B9FF6BC" w14:textId="5923AEFD" w:rsidR="00B2187F" w:rsidRPr="00B87CC5" w:rsidRDefault="00B2187F" w:rsidP="009F1680">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 xml:space="preserve">Agricultural emissions pricing </w:t>
            </w:r>
            <w:r w:rsidR="00876753" w:rsidRPr="00B87CC5">
              <w:rPr>
                <w:rFonts w:cs="Calibri"/>
                <w:szCs w:val="18"/>
              </w:rPr>
              <w:t xml:space="preserve">and </w:t>
            </w:r>
            <w:r w:rsidRPr="00B87CC5">
              <w:rPr>
                <w:rFonts w:cs="Calibri"/>
                <w:szCs w:val="18"/>
              </w:rPr>
              <w:t>mitigation technologies</w:t>
            </w:r>
          </w:p>
        </w:tc>
        <w:tc>
          <w:tcPr>
            <w:tcW w:w="1390" w:type="dxa"/>
            <w:tcBorders>
              <w:top w:val="none" w:sz="0" w:space="0" w:color="auto"/>
              <w:bottom w:val="none" w:sz="0" w:space="0" w:color="auto"/>
            </w:tcBorders>
            <w:vAlign w:val="center"/>
          </w:tcPr>
          <w:p w14:paraId="72C98D6B" w14:textId="426F6600" w:rsidR="00B2187F" w:rsidRPr="00B87CC5" w:rsidRDefault="00B2187F"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0.0</w:t>
            </w:r>
          </w:p>
        </w:tc>
        <w:tc>
          <w:tcPr>
            <w:tcW w:w="1531" w:type="dxa"/>
            <w:tcBorders>
              <w:top w:val="none" w:sz="0" w:space="0" w:color="auto"/>
              <w:bottom w:val="none" w:sz="0" w:space="0" w:color="auto"/>
            </w:tcBorders>
            <w:vAlign w:val="center"/>
          </w:tcPr>
          <w:p w14:paraId="2CD8C3C1" w14:textId="48FCF6D4" w:rsidR="00B2187F" w:rsidRPr="00B87CC5" w:rsidRDefault="00532F27"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w:t>
            </w:r>
            <w:r w:rsidR="00B2187F" w:rsidRPr="00B87CC5">
              <w:rPr>
                <w:rFonts w:cs="Calibri"/>
                <w:szCs w:val="18"/>
              </w:rPr>
              <w:t>0.1</w:t>
            </w:r>
          </w:p>
        </w:tc>
        <w:tc>
          <w:tcPr>
            <w:tcW w:w="1391" w:type="dxa"/>
            <w:tcBorders>
              <w:top w:val="none" w:sz="0" w:space="0" w:color="auto"/>
              <w:bottom w:val="none" w:sz="0" w:space="0" w:color="auto"/>
              <w:right w:val="none" w:sz="0" w:space="0" w:color="auto"/>
            </w:tcBorders>
            <w:vAlign w:val="center"/>
          </w:tcPr>
          <w:p w14:paraId="167C0212" w14:textId="2B95F178" w:rsidR="00B2187F" w:rsidRPr="00B87CC5" w:rsidRDefault="009A50FA"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w:t>
            </w:r>
            <w:r w:rsidR="00AE5A19" w:rsidRPr="00B87CC5">
              <w:rPr>
                <w:rFonts w:cs="Calibri"/>
                <w:szCs w:val="18"/>
              </w:rPr>
              <w:t>5.5</w:t>
            </w:r>
          </w:p>
        </w:tc>
      </w:tr>
      <w:tr w:rsidR="00AB20E3" w:rsidRPr="00B87CC5" w14:paraId="5EC95DCC" w14:textId="244CA8B3" w:rsidTr="005110D9">
        <w:tc>
          <w:tcPr>
            <w:cnfStyle w:val="001000000000" w:firstRow="0" w:lastRow="0" w:firstColumn="1" w:lastColumn="0" w:oddVBand="0" w:evenVBand="0" w:oddHBand="0" w:evenHBand="0" w:firstRowFirstColumn="0" w:firstRowLastColumn="0" w:lastRowFirstColumn="0" w:lastRowLastColumn="0"/>
            <w:tcW w:w="1049" w:type="dxa"/>
          </w:tcPr>
          <w:p w14:paraId="6392ACED" w14:textId="77777777" w:rsidR="00B2187F" w:rsidRPr="00B87CC5" w:rsidRDefault="00B2187F" w:rsidP="009F1680">
            <w:pPr>
              <w:pStyle w:val="TableText"/>
              <w:spacing w:before="40" w:after="40"/>
              <w:rPr>
                <w:rFonts w:cs="Calibri"/>
                <w:szCs w:val="18"/>
              </w:rPr>
            </w:pPr>
            <w:r w:rsidRPr="00B87CC5">
              <w:rPr>
                <w:rFonts w:cs="Calibri"/>
                <w:szCs w:val="18"/>
              </w:rPr>
              <w:t>Forestry</w:t>
            </w:r>
          </w:p>
        </w:tc>
        <w:tc>
          <w:tcPr>
            <w:tcW w:w="3175" w:type="dxa"/>
          </w:tcPr>
          <w:p w14:paraId="0D00DBAA" w14:textId="3EDBE471" w:rsidR="00B2187F" w:rsidRPr="00B87CC5" w:rsidRDefault="00B2187F" w:rsidP="009F1680">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Limits to land</w:t>
            </w:r>
            <w:r w:rsidR="00532F27" w:rsidRPr="00B87CC5">
              <w:rPr>
                <w:rFonts w:cs="Calibri"/>
                <w:szCs w:val="18"/>
              </w:rPr>
              <w:t>-</w:t>
            </w:r>
            <w:r w:rsidRPr="00B87CC5">
              <w:rPr>
                <w:rFonts w:cs="Calibri"/>
                <w:szCs w:val="18"/>
              </w:rPr>
              <w:t>use change to forestry on high</w:t>
            </w:r>
            <w:r w:rsidR="00532F27" w:rsidRPr="00B87CC5">
              <w:rPr>
                <w:rFonts w:cs="Calibri"/>
                <w:szCs w:val="18"/>
              </w:rPr>
              <w:t>-</w:t>
            </w:r>
            <w:r w:rsidRPr="00B87CC5">
              <w:rPr>
                <w:rFonts w:cs="Calibri"/>
                <w:szCs w:val="18"/>
              </w:rPr>
              <w:t>value land uses</w:t>
            </w:r>
          </w:p>
        </w:tc>
        <w:tc>
          <w:tcPr>
            <w:tcW w:w="1390" w:type="dxa"/>
            <w:vAlign w:val="center"/>
          </w:tcPr>
          <w:p w14:paraId="74F7BAE2" w14:textId="39784389" w:rsidR="00B2187F" w:rsidRPr="00B87CC5" w:rsidRDefault="00B2187F" w:rsidP="00E26C7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0.0</w:t>
            </w:r>
          </w:p>
        </w:tc>
        <w:tc>
          <w:tcPr>
            <w:tcW w:w="1531" w:type="dxa"/>
            <w:vAlign w:val="center"/>
          </w:tcPr>
          <w:p w14:paraId="7AF9871C" w14:textId="51DB7B57" w:rsidR="00B2187F" w:rsidRPr="00B87CC5" w:rsidRDefault="00B2187F" w:rsidP="00E26C7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0.0</w:t>
            </w:r>
          </w:p>
        </w:tc>
        <w:tc>
          <w:tcPr>
            <w:tcW w:w="1391" w:type="dxa"/>
            <w:vAlign w:val="center"/>
          </w:tcPr>
          <w:p w14:paraId="2BF0A429" w14:textId="62620E2B" w:rsidR="00B2187F" w:rsidRPr="00B87CC5" w:rsidRDefault="00B2187F" w:rsidP="00E26C7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0.0</w:t>
            </w:r>
          </w:p>
        </w:tc>
      </w:tr>
      <w:tr w:rsidR="000243D2" w:rsidRPr="00B87CC5" w14:paraId="2A8E53FB" w14:textId="5AAE56B8" w:rsidTr="00511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tcBorders>
              <w:top w:val="none" w:sz="0" w:space="0" w:color="auto"/>
              <w:left w:val="none" w:sz="0" w:space="0" w:color="auto"/>
              <w:bottom w:val="nil"/>
            </w:tcBorders>
          </w:tcPr>
          <w:p w14:paraId="6E2031F3" w14:textId="77777777" w:rsidR="007516D5" w:rsidRPr="00B87CC5" w:rsidRDefault="007516D5" w:rsidP="009F1680">
            <w:pPr>
              <w:pStyle w:val="TableText"/>
              <w:spacing w:before="40" w:after="40"/>
              <w:rPr>
                <w:rFonts w:cs="Calibri"/>
                <w:szCs w:val="18"/>
              </w:rPr>
            </w:pPr>
            <w:r w:rsidRPr="00B87CC5">
              <w:rPr>
                <w:rFonts w:cs="Calibri"/>
                <w:szCs w:val="18"/>
              </w:rPr>
              <w:t>Waste</w:t>
            </w:r>
          </w:p>
        </w:tc>
        <w:tc>
          <w:tcPr>
            <w:tcW w:w="3175" w:type="dxa"/>
            <w:tcBorders>
              <w:top w:val="none" w:sz="0" w:space="0" w:color="auto"/>
              <w:bottom w:val="none" w:sz="0" w:space="0" w:color="auto"/>
            </w:tcBorders>
          </w:tcPr>
          <w:p w14:paraId="6429251F" w14:textId="77777777" w:rsidR="007516D5" w:rsidRPr="00B87CC5" w:rsidRDefault="007516D5" w:rsidP="009F1680">
            <w:pPr>
              <w:pStyle w:val="TableText"/>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Waste Minimisation Fund</w:t>
            </w:r>
          </w:p>
        </w:tc>
        <w:tc>
          <w:tcPr>
            <w:tcW w:w="1390" w:type="dxa"/>
            <w:tcBorders>
              <w:top w:val="none" w:sz="0" w:space="0" w:color="auto"/>
              <w:bottom w:val="none" w:sz="0" w:space="0" w:color="auto"/>
            </w:tcBorders>
            <w:vAlign w:val="center"/>
          </w:tcPr>
          <w:p w14:paraId="1981FB31" w14:textId="48CC2EB3" w:rsidR="007516D5" w:rsidRPr="00B87CC5" w:rsidRDefault="007516D5"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0.</w:t>
            </w:r>
            <w:r w:rsidR="006777E7" w:rsidRPr="00B87CC5">
              <w:rPr>
                <w:rFonts w:cs="Calibri"/>
                <w:szCs w:val="18"/>
              </w:rPr>
              <w:t>0</w:t>
            </w:r>
          </w:p>
        </w:tc>
        <w:tc>
          <w:tcPr>
            <w:tcW w:w="1531" w:type="dxa"/>
            <w:tcBorders>
              <w:top w:val="none" w:sz="0" w:space="0" w:color="auto"/>
              <w:bottom w:val="none" w:sz="0" w:space="0" w:color="auto"/>
            </w:tcBorders>
            <w:vAlign w:val="center"/>
          </w:tcPr>
          <w:p w14:paraId="748D267E" w14:textId="14D7A50F" w:rsidR="007516D5" w:rsidRPr="00B87CC5" w:rsidRDefault="00821521"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 xml:space="preserve">Up to </w:t>
            </w:r>
            <w:r w:rsidR="00532F27" w:rsidRPr="00B87CC5">
              <w:rPr>
                <w:rFonts w:cs="Calibri"/>
                <w:szCs w:val="18"/>
              </w:rPr>
              <w:t>–</w:t>
            </w:r>
            <w:r w:rsidR="007516D5" w:rsidRPr="00B87CC5">
              <w:rPr>
                <w:rFonts w:cs="Calibri"/>
                <w:szCs w:val="18"/>
              </w:rPr>
              <w:t>1.3</w:t>
            </w:r>
          </w:p>
        </w:tc>
        <w:tc>
          <w:tcPr>
            <w:tcW w:w="1391" w:type="dxa"/>
            <w:tcBorders>
              <w:top w:val="none" w:sz="0" w:space="0" w:color="auto"/>
              <w:bottom w:val="none" w:sz="0" w:space="0" w:color="auto"/>
              <w:right w:val="none" w:sz="0" w:space="0" w:color="auto"/>
            </w:tcBorders>
            <w:vAlign w:val="center"/>
          </w:tcPr>
          <w:p w14:paraId="6D41AEA7" w14:textId="2FE3FA68" w:rsidR="007516D5" w:rsidRPr="00B87CC5" w:rsidRDefault="00821521"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rFonts w:cs="Calibri"/>
                <w:szCs w:val="18"/>
              </w:rPr>
            </w:pPr>
            <w:r w:rsidRPr="00B87CC5">
              <w:rPr>
                <w:rFonts w:cs="Calibri"/>
                <w:szCs w:val="18"/>
              </w:rPr>
              <w:t xml:space="preserve">Up to </w:t>
            </w:r>
            <w:r w:rsidR="009A50FA" w:rsidRPr="00B87CC5">
              <w:rPr>
                <w:rFonts w:cs="Calibri"/>
                <w:szCs w:val="18"/>
              </w:rPr>
              <w:t>–</w:t>
            </w:r>
            <w:r w:rsidR="007516D5" w:rsidRPr="00B87CC5">
              <w:rPr>
                <w:rFonts w:cs="Calibri"/>
                <w:szCs w:val="18"/>
              </w:rPr>
              <w:t>1.3</w:t>
            </w:r>
          </w:p>
        </w:tc>
      </w:tr>
      <w:tr w:rsidR="000243D2" w:rsidRPr="00B87CC5" w14:paraId="0DC5033B" w14:textId="56DAC3A2" w:rsidTr="005110D9">
        <w:tc>
          <w:tcPr>
            <w:cnfStyle w:val="001000000000" w:firstRow="0" w:lastRow="0" w:firstColumn="1" w:lastColumn="0" w:oddVBand="0" w:evenVBand="0" w:oddHBand="0" w:evenHBand="0" w:firstRowFirstColumn="0" w:firstRowLastColumn="0" w:lastRowFirstColumn="0" w:lastRowLastColumn="0"/>
            <w:tcW w:w="1049" w:type="dxa"/>
            <w:tcBorders>
              <w:top w:val="nil"/>
              <w:bottom w:val="single" w:sz="4" w:space="0" w:color="1B556B" w:themeColor="text2"/>
            </w:tcBorders>
          </w:tcPr>
          <w:p w14:paraId="31387B1B" w14:textId="43E42A21" w:rsidR="007516D5" w:rsidRPr="00B87CC5" w:rsidRDefault="007516D5" w:rsidP="009F1680">
            <w:pPr>
              <w:pStyle w:val="TableText"/>
              <w:spacing w:before="40" w:after="40"/>
              <w:rPr>
                <w:rFonts w:cs="Calibri"/>
                <w:szCs w:val="18"/>
              </w:rPr>
            </w:pPr>
          </w:p>
        </w:tc>
        <w:tc>
          <w:tcPr>
            <w:tcW w:w="3175" w:type="dxa"/>
            <w:tcBorders>
              <w:bottom w:val="single" w:sz="4" w:space="0" w:color="1B556B" w:themeColor="text2"/>
            </w:tcBorders>
          </w:tcPr>
          <w:p w14:paraId="5ED79A1E" w14:textId="77777777" w:rsidR="007516D5" w:rsidRPr="00B87CC5" w:rsidRDefault="007516D5" w:rsidP="009F1680">
            <w:pPr>
              <w:pStyle w:val="TableText"/>
              <w:spacing w:before="40" w:after="40"/>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Organic waste and landfill gas capture</w:t>
            </w:r>
          </w:p>
        </w:tc>
        <w:tc>
          <w:tcPr>
            <w:tcW w:w="1390" w:type="dxa"/>
            <w:tcBorders>
              <w:bottom w:val="single" w:sz="4" w:space="0" w:color="1B556B" w:themeColor="text2"/>
            </w:tcBorders>
            <w:vAlign w:val="center"/>
          </w:tcPr>
          <w:p w14:paraId="10404C8A" w14:textId="34F0B291" w:rsidR="007516D5" w:rsidRPr="00B87CC5" w:rsidRDefault="007516D5" w:rsidP="00E26C7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0.</w:t>
            </w:r>
            <w:r w:rsidR="006777E7" w:rsidRPr="00B87CC5">
              <w:rPr>
                <w:rFonts w:cs="Calibri"/>
                <w:szCs w:val="18"/>
              </w:rPr>
              <w:t>0</w:t>
            </w:r>
          </w:p>
        </w:tc>
        <w:tc>
          <w:tcPr>
            <w:tcW w:w="1531" w:type="dxa"/>
            <w:tcBorders>
              <w:bottom w:val="single" w:sz="4" w:space="0" w:color="1B556B" w:themeColor="text2"/>
            </w:tcBorders>
            <w:vAlign w:val="center"/>
          </w:tcPr>
          <w:p w14:paraId="463FF6F3" w14:textId="2DADC724" w:rsidR="007516D5" w:rsidRPr="00B87CC5" w:rsidRDefault="00821521" w:rsidP="00E26C7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 xml:space="preserve">Up to </w:t>
            </w:r>
            <w:r w:rsidR="00532F27" w:rsidRPr="00B87CC5">
              <w:rPr>
                <w:rFonts w:cs="Calibri"/>
                <w:szCs w:val="18"/>
              </w:rPr>
              <w:t>–</w:t>
            </w:r>
            <w:r w:rsidR="007516D5" w:rsidRPr="00B87CC5">
              <w:rPr>
                <w:rFonts w:cs="Calibri"/>
                <w:szCs w:val="18"/>
              </w:rPr>
              <w:t>1.1</w:t>
            </w:r>
          </w:p>
        </w:tc>
        <w:tc>
          <w:tcPr>
            <w:tcW w:w="1391" w:type="dxa"/>
            <w:tcBorders>
              <w:bottom w:val="single" w:sz="4" w:space="0" w:color="1B556B" w:themeColor="text2"/>
            </w:tcBorders>
            <w:vAlign w:val="center"/>
          </w:tcPr>
          <w:p w14:paraId="21901105" w14:textId="7EBD73F6" w:rsidR="007516D5" w:rsidRPr="00B87CC5" w:rsidRDefault="00821521" w:rsidP="00E26C7A">
            <w:pPr>
              <w:pStyle w:val="TableText"/>
              <w:spacing w:before="40" w:after="40"/>
              <w:jc w:val="right"/>
              <w:cnfStyle w:val="000000000000" w:firstRow="0" w:lastRow="0" w:firstColumn="0" w:lastColumn="0" w:oddVBand="0" w:evenVBand="0" w:oddHBand="0" w:evenHBand="0" w:firstRowFirstColumn="0" w:firstRowLastColumn="0" w:lastRowFirstColumn="0" w:lastRowLastColumn="0"/>
              <w:rPr>
                <w:rFonts w:cs="Calibri"/>
                <w:szCs w:val="18"/>
              </w:rPr>
            </w:pPr>
            <w:r w:rsidRPr="00B87CC5">
              <w:rPr>
                <w:rFonts w:cs="Calibri"/>
                <w:szCs w:val="18"/>
              </w:rPr>
              <w:t xml:space="preserve">Up to </w:t>
            </w:r>
            <w:r w:rsidR="009A50FA" w:rsidRPr="00B87CC5">
              <w:rPr>
                <w:rFonts w:cs="Calibri"/>
                <w:szCs w:val="18"/>
              </w:rPr>
              <w:t>–</w:t>
            </w:r>
            <w:r w:rsidR="007516D5" w:rsidRPr="00B87CC5">
              <w:rPr>
                <w:rFonts w:cs="Calibri"/>
                <w:szCs w:val="18"/>
              </w:rPr>
              <w:t>1.4</w:t>
            </w:r>
          </w:p>
        </w:tc>
      </w:tr>
      <w:tr w:rsidR="00EB70D1" w:rsidRPr="00B87CC5" w14:paraId="1467B29E" w14:textId="77777777" w:rsidTr="00511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 w:type="dxa"/>
            <w:tcBorders>
              <w:top w:val="single" w:sz="4" w:space="0" w:color="1B556B" w:themeColor="text2"/>
              <w:left w:val="none" w:sz="0" w:space="0" w:color="auto"/>
              <w:bottom w:val="single" w:sz="4" w:space="0" w:color="1B556B" w:themeColor="text2"/>
            </w:tcBorders>
          </w:tcPr>
          <w:p w14:paraId="286B94AE" w14:textId="2FBEB751" w:rsidR="007516D5" w:rsidRPr="00B87CC5" w:rsidRDefault="007516D5" w:rsidP="009F1680">
            <w:pPr>
              <w:pStyle w:val="TableText"/>
              <w:spacing w:before="40" w:after="40"/>
              <w:rPr>
                <w:rFonts w:cs="Calibri"/>
                <w:szCs w:val="18"/>
              </w:rPr>
            </w:pPr>
            <w:r w:rsidRPr="00B87CC5">
              <w:rPr>
                <w:rFonts w:cs="Calibri"/>
                <w:szCs w:val="18"/>
              </w:rPr>
              <w:t>Total</w:t>
            </w:r>
          </w:p>
        </w:tc>
        <w:tc>
          <w:tcPr>
            <w:tcW w:w="3175" w:type="dxa"/>
            <w:tcBorders>
              <w:top w:val="single" w:sz="4" w:space="0" w:color="1B556B" w:themeColor="text2"/>
              <w:bottom w:val="single" w:sz="4" w:space="0" w:color="1B556B" w:themeColor="text2"/>
            </w:tcBorders>
          </w:tcPr>
          <w:p w14:paraId="42339A92" w14:textId="77777777" w:rsidR="007516D5" w:rsidRPr="00B87CC5" w:rsidRDefault="007516D5" w:rsidP="009F1680">
            <w:pPr>
              <w:pStyle w:val="TableTextbold"/>
              <w:spacing w:before="40" w:after="40"/>
              <w:cnfStyle w:val="000000100000" w:firstRow="0" w:lastRow="0" w:firstColumn="0" w:lastColumn="0" w:oddVBand="0" w:evenVBand="0" w:oddHBand="1" w:evenHBand="0" w:firstRowFirstColumn="0" w:firstRowLastColumn="0" w:lastRowFirstColumn="0" w:lastRowLastColumn="0"/>
              <w:rPr>
                <w:rFonts w:cs="Calibri"/>
                <w:szCs w:val="18"/>
              </w:rPr>
            </w:pPr>
          </w:p>
        </w:tc>
        <w:tc>
          <w:tcPr>
            <w:tcW w:w="1390" w:type="dxa"/>
            <w:tcBorders>
              <w:top w:val="single" w:sz="4" w:space="0" w:color="1B556B" w:themeColor="text2"/>
              <w:bottom w:val="single" w:sz="4" w:space="0" w:color="1B556B" w:themeColor="text2"/>
            </w:tcBorders>
            <w:vAlign w:val="center"/>
          </w:tcPr>
          <w:p w14:paraId="50BDB831" w14:textId="23087418" w:rsidR="007516D5" w:rsidRPr="00B87CC5" w:rsidRDefault="007516D5" w:rsidP="00E26C7A">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color w:val="000000"/>
                <w:szCs w:val="18"/>
              </w:rPr>
            </w:pPr>
            <w:r w:rsidRPr="00B87CC5">
              <w:rPr>
                <w:rFonts w:cs="Calibri"/>
                <w:szCs w:val="18"/>
              </w:rPr>
              <w:t>0.</w:t>
            </w:r>
            <w:r w:rsidR="006777E7" w:rsidRPr="00B87CC5">
              <w:rPr>
                <w:rFonts w:cs="Calibri"/>
                <w:color w:val="000000"/>
                <w:szCs w:val="18"/>
              </w:rPr>
              <w:t>0</w:t>
            </w:r>
          </w:p>
        </w:tc>
        <w:tc>
          <w:tcPr>
            <w:tcW w:w="1531" w:type="dxa"/>
            <w:tcBorders>
              <w:top w:val="single" w:sz="4" w:space="0" w:color="1B556B" w:themeColor="text2"/>
              <w:bottom w:val="single" w:sz="4" w:space="0" w:color="1B556B" w:themeColor="text2"/>
            </w:tcBorders>
            <w:vAlign w:val="center"/>
          </w:tcPr>
          <w:p w14:paraId="195011E2" w14:textId="431060FF" w:rsidR="007516D5" w:rsidRPr="00B87CC5" w:rsidRDefault="00532F27" w:rsidP="00E26C7A">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color w:val="000000"/>
                <w:szCs w:val="18"/>
              </w:rPr>
            </w:pPr>
            <w:r w:rsidRPr="00B87CC5">
              <w:rPr>
                <w:rFonts w:cs="Calibri"/>
                <w:szCs w:val="18"/>
              </w:rPr>
              <w:t>–</w:t>
            </w:r>
            <w:r w:rsidR="00255A01" w:rsidRPr="00B87CC5">
              <w:rPr>
                <w:rFonts w:cs="Calibri"/>
                <w:color w:val="000000"/>
                <w:szCs w:val="18"/>
              </w:rPr>
              <w:t>4.1</w:t>
            </w:r>
          </w:p>
        </w:tc>
        <w:tc>
          <w:tcPr>
            <w:tcW w:w="1391" w:type="dxa"/>
            <w:tcBorders>
              <w:top w:val="single" w:sz="4" w:space="0" w:color="1B556B" w:themeColor="text2"/>
              <w:bottom w:val="single" w:sz="4" w:space="0" w:color="1B556B" w:themeColor="text2"/>
              <w:right w:val="none" w:sz="0" w:space="0" w:color="auto"/>
            </w:tcBorders>
            <w:vAlign w:val="center"/>
          </w:tcPr>
          <w:p w14:paraId="2FCADC07" w14:textId="6DC7A102" w:rsidR="007516D5" w:rsidRPr="00B87CC5" w:rsidRDefault="009A50FA" w:rsidP="00E26C7A">
            <w:pPr>
              <w:pStyle w:val="TableTextbold"/>
              <w:spacing w:before="40" w:after="40"/>
              <w:jc w:val="right"/>
              <w:cnfStyle w:val="000000100000" w:firstRow="0" w:lastRow="0" w:firstColumn="0" w:lastColumn="0" w:oddVBand="0" w:evenVBand="0" w:oddHBand="1" w:evenHBand="0" w:firstRowFirstColumn="0" w:firstRowLastColumn="0" w:lastRowFirstColumn="0" w:lastRowLastColumn="0"/>
              <w:rPr>
                <w:rFonts w:cs="Calibri"/>
                <w:b w:val="0"/>
                <w:color w:val="000000"/>
                <w:szCs w:val="18"/>
              </w:rPr>
            </w:pPr>
            <w:r w:rsidRPr="00B87CC5">
              <w:rPr>
                <w:rFonts w:cs="Calibri"/>
                <w:szCs w:val="18"/>
              </w:rPr>
              <w:t>–</w:t>
            </w:r>
            <w:r w:rsidR="00255A01" w:rsidRPr="00B87CC5">
              <w:rPr>
                <w:rFonts w:cs="Calibri"/>
                <w:color w:val="000000"/>
                <w:szCs w:val="18"/>
              </w:rPr>
              <w:t>13.5</w:t>
            </w:r>
          </w:p>
        </w:tc>
      </w:tr>
    </w:tbl>
    <w:p w14:paraId="1A1CAAB9" w14:textId="1A43451E" w:rsidR="005B2CEA" w:rsidRPr="00B87CC5" w:rsidRDefault="00444930" w:rsidP="005110D9">
      <w:pPr>
        <w:pStyle w:val="BodyText"/>
        <w:keepNext/>
        <w:spacing w:after="100"/>
      </w:pPr>
      <w:r w:rsidRPr="00B87CC5">
        <w:lastRenderedPageBreak/>
        <w:fldChar w:fldCharType="begin"/>
      </w:r>
      <w:r w:rsidRPr="00B87CC5">
        <w:instrText xml:space="preserve"> REF _Ref170991924 \h </w:instrText>
      </w:r>
      <w:r w:rsidRPr="00B87CC5">
        <w:fldChar w:fldCharType="separate"/>
      </w:r>
      <w:r w:rsidRPr="00B87CC5">
        <w:t>Table 11</w:t>
      </w:r>
      <w:r w:rsidRPr="00B87CC5">
        <w:fldChar w:fldCharType="end"/>
      </w:r>
      <w:r w:rsidRPr="00B87CC5">
        <w:t xml:space="preserve"> shows the impacts of proposed changes to the Clean Car Standard </w:t>
      </w:r>
      <w:r w:rsidR="007369B9">
        <w:t>that are</w:t>
      </w:r>
      <w:r w:rsidRPr="00B87CC5">
        <w:t xml:space="preserve"> expected to increase emissions in </w:t>
      </w:r>
      <w:r w:rsidR="00B628A1" w:rsidRPr="00B628A1">
        <w:t>the second and third emissions budgets</w:t>
      </w:r>
      <w:r w:rsidRPr="00B87CC5">
        <w:t>. Other recent changes are included in the baseline emission estimates.</w:t>
      </w:r>
    </w:p>
    <w:p w14:paraId="73DEA6A3" w14:textId="7429F1AF" w:rsidR="00255A01" w:rsidRPr="00B87CC5" w:rsidRDefault="00255A01" w:rsidP="00255A01">
      <w:pPr>
        <w:pStyle w:val="Tableheading"/>
      </w:pPr>
      <w:bookmarkStart w:id="76" w:name="_Ref170991924"/>
      <w:bookmarkStart w:id="77" w:name="_Toc171609770"/>
      <w:r w:rsidRPr="00B87CC5">
        <w:t xml:space="preserve">Table </w:t>
      </w:r>
      <w:r w:rsidR="00385111">
        <w:fldChar w:fldCharType="begin"/>
      </w:r>
      <w:r w:rsidR="00385111">
        <w:instrText xml:space="preserve"> SEQ Table \* ARABIC </w:instrText>
      </w:r>
      <w:r w:rsidR="00385111">
        <w:fldChar w:fldCharType="separate"/>
      </w:r>
      <w:r w:rsidRPr="00B87CC5">
        <w:t>11</w:t>
      </w:r>
      <w:r w:rsidR="00385111">
        <w:fldChar w:fldCharType="end"/>
      </w:r>
      <w:bookmarkEnd w:id="76"/>
      <w:r w:rsidRPr="00B87CC5">
        <w:t>:</w:t>
      </w:r>
      <w:r w:rsidRPr="00B87CC5">
        <w:tab/>
        <w:t>Provisional estimated emission</w:t>
      </w:r>
      <w:r w:rsidR="00DA6DD0">
        <w:t>s</w:t>
      </w:r>
      <w:r w:rsidRPr="00B87CC5">
        <w:t xml:space="preserve"> increase impact of new policies in ERP2</w:t>
      </w:r>
      <w:r w:rsidR="00DA6DD0">
        <w:t xml:space="preserve"> </w:t>
      </w:r>
      <w:r w:rsidR="00DA6DD0" w:rsidRPr="00B87CC5">
        <w:t>on emissions budgets (Mt CO</w:t>
      </w:r>
      <w:r w:rsidR="00DA6DD0" w:rsidRPr="00B87CC5">
        <w:rPr>
          <w:vertAlign w:val="subscript"/>
        </w:rPr>
        <w:t>2</w:t>
      </w:r>
      <w:r w:rsidR="00DA6DD0" w:rsidRPr="00B87CC5">
        <w:t>-e)</w:t>
      </w:r>
      <w:bookmarkEnd w:id="77"/>
    </w:p>
    <w:tbl>
      <w:tblPr>
        <w:tblStyle w:val="LightList-Accent11"/>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Look w:val="04A0" w:firstRow="1" w:lastRow="0" w:firstColumn="1" w:lastColumn="0" w:noHBand="0" w:noVBand="1"/>
      </w:tblPr>
      <w:tblGrid>
        <w:gridCol w:w="993"/>
        <w:gridCol w:w="2835"/>
        <w:gridCol w:w="1701"/>
        <w:gridCol w:w="1559"/>
        <w:gridCol w:w="1417"/>
      </w:tblGrid>
      <w:tr w:rsidR="00CB1A8E" w:rsidRPr="00B87CC5" w14:paraId="2BB60221" w14:textId="77777777" w:rsidTr="00E26C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1C556C" w:themeColor="accent1"/>
            </w:tcBorders>
            <w:vAlign w:val="bottom"/>
          </w:tcPr>
          <w:p w14:paraId="3FABC05D" w14:textId="77777777" w:rsidR="00444930" w:rsidRPr="00B87CC5" w:rsidRDefault="00444930" w:rsidP="009F1680">
            <w:pPr>
              <w:pStyle w:val="TableTextbold"/>
              <w:spacing w:before="40" w:after="40"/>
              <w:rPr>
                <w:b/>
                <w:bCs w:val="0"/>
              </w:rPr>
            </w:pPr>
            <w:r w:rsidRPr="00B87CC5">
              <w:rPr>
                <w:b/>
                <w:bCs w:val="0"/>
              </w:rPr>
              <w:t>Sector</w:t>
            </w:r>
          </w:p>
        </w:tc>
        <w:tc>
          <w:tcPr>
            <w:tcW w:w="2835" w:type="dxa"/>
            <w:tcBorders>
              <w:bottom w:val="single" w:sz="4" w:space="0" w:color="1C556C" w:themeColor="accent1"/>
            </w:tcBorders>
            <w:vAlign w:val="bottom"/>
          </w:tcPr>
          <w:p w14:paraId="3AFF8115" w14:textId="77777777" w:rsidR="00444930" w:rsidRPr="00B87CC5" w:rsidRDefault="00444930" w:rsidP="009F1680">
            <w:pPr>
              <w:pStyle w:val="TableTextbold"/>
              <w:spacing w:before="40" w:after="40"/>
              <w:cnfStyle w:val="100000000000" w:firstRow="1" w:lastRow="0" w:firstColumn="0" w:lastColumn="0" w:oddVBand="0" w:evenVBand="0" w:oddHBand="0" w:evenHBand="0" w:firstRowFirstColumn="0" w:firstRowLastColumn="0" w:lastRowFirstColumn="0" w:lastRowLastColumn="0"/>
              <w:rPr>
                <w:b/>
                <w:bCs w:val="0"/>
              </w:rPr>
            </w:pPr>
            <w:r w:rsidRPr="00B87CC5">
              <w:rPr>
                <w:b/>
                <w:bCs w:val="0"/>
              </w:rPr>
              <w:t>Policy</w:t>
            </w:r>
          </w:p>
        </w:tc>
        <w:tc>
          <w:tcPr>
            <w:tcW w:w="1701" w:type="dxa"/>
            <w:tcBorders>
              <w:bottom w:val="single" w:sz="4" w:space="0" w:color="1C556C" w:themeColor="accent1"/>
            </w:tcBorders>
          </w:tcPr>
          <w:p w14:paraId="7707DF89" w14:textId="30F8B005" w:rsidR="00444930" w:rsidRPr="00B87CC5" w:rsidRDefault="00444930" w:rsidP="00E26C7A">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bCs w:val="0"/>
                <w:szCs w:val="18"/>
              </w:rPr>
            </w:pPr>
            <w:r w:rsidRPr="00B87CC5">
              <w:rPr>
                <w:b/>
                <w:bCs w:val="0"/>
                <w:szCs w:val="18"/>
              </w:rPr>
              <w:t>First emissions budget</w:t>
            </w:r>
          </w:p>
        </w:tc>
        <w:tc>
          <w:tcPr>
            <w:tcW w:w="1559" w:type="dxa"/>
            <w:tcBorders>
              <w:bottom w:val="single" w:sz="4" w:space="0" w:color="1C556C" w:themeColor="accent1"/>
            </w:tcBorders>
          </w:tcPr>
          <w:p w14:paraId="041793F8" w14:textId="51B0FBAF" w:rsidR="00444930" w:rsidRPr="00B87CC5" w:rsidRDefault="00444930" w:rsidP="00E26C7A">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bCs w:val="0"/>
                <w:szCs w:val="18"/>
              </w:rPr>
            </w:pPr>
            <w:r w:rsidRPr="00B87CC5">
              <w:rPr>
                <w:b/>
                <w:bCs w:val="0"/>
                <w:szCs w:val="18"/>
              </w:rPr>
              <w:t>Second emissions budget</w:t>
            </w:r>
          </w:p>
        </w:tc>
        <w:tc>
          <w:tcPr>
            <w:tcW w:w="1417" w:type="dxa"/>
            <w:tcBorders>
              <w:bottom w:val="single" w:sz="4" w:space="0" w:color="1C556C" w:themeColor="accent1"/>
            </w:tcBorders>
          </w:tcPr>
          <w:p w14:paraId="179434B0" w14:textId="59479874" w:rsidR="00444930" w:rsidRPr="00B87CC5" w:rsidRDefault="00444930" w:rsidP="00E26C7A">
            <w:pPr>
              <w:pStyle w:val="TableTextbold"/>
              <w:spacing w:before="40" w:after="40"/>
              <w:jc w:val="right"/>
              <w:cnfStyle w:val="100000000000" w:firstRow="1" w:lastRow="0" w:firstColumn="0" w:lastColumn="0" w:oddVBand="0" w:evenVBand="0" w:oddHBand="0" w:evenHBand="0" w:firstRowFirstColumn="0" w:firstRowLastColumn="0" w:lastRowFirstColumn="0" w:lastRowLastColumn="0"/>
              <w:rPr>
                <w:b/>
                <w:bCs w:val="0"/>
                <w:szCs w:val="18"/>
              </w:rPr>
            </w:pPr>
            <w:r w:rsidRPr="00B87CC5">
              <w:rPr>
                <w:b/>
                <w:bCs w:val="0"/>
                <w:szCs w:val="18"/>
              </w:rPr>
              <w:t>Third emissions budget</w:t>
            </w:r>
          </w:p>
        </w:tc>
      </w:tr>
      <w:tr w:rsidR="00AD4AC9" w:rsidRPr="00B87CC5" w14:paraId="745CF0F4" w14:textId="77777777" w:rsidTr="00E26C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1C556C" w:themeColor="accent1"/>
              <w:left w:val="nil"/>
              <w:bottom w:val="single" w:sz="4" w:space="0" w:color="1C556C" w:themeColor="accent1"/>
            </w:tcBorders>
          </w:tcPr>
          <w:p w14:paraId="007C7CB1" w14:textId="77777777" w:rsidR="00255A01" w:rsidRPr="00B87CC5" w:rsidRDefault="00255A01" w:rsidP="009F1680">
            <w:pPr>
              <w:pStyle w:val="TableText"/>
              <w:spacing w:before="40" w:after="40"/>
            </w:pPr>
            <w:r w:rsidRPr="00B87CC5">
              <w:t>Transport</w:t>
            </w:r>
          </w:p>
        </w:tc>
        <w:tc>
          <w:tcPr>
            <w:tcW w:w="2835" w:type="dxa"/>
            <w:tcBorders>
              <w:top w:val="single" w:sz="4" w:space="0" w:color="1C556C" w:themeColor="accent1"/>
              <w:bottom w:val="single" w:sz="4" w:space="0" w:color="1C556C" w:themeColor="accent1"/>
            </w:tcBorders>
          </w:tcPr>
          <w:p w14:paraId="42C83777" w14:textId="2FC4D5C2" w:rsidR="00255A01" w:rsidRPr="00B87CC5" w:rsidRDefault="00255A01" w:rsidP="009F1680">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87CC5">
              <w:t>Revisions to Clean Car Standard</w:t>
            </w:r>
          </w:p>
        </w:tc>
        <w:tc>
          <w:tcPr>
            <w:tcW w:w="1701" w:type="dxa"/>
            <w:tcBorders>
              <w:top w:val="single" w:sz="4" w:space="0" w:color="1C556C" w:themeColor="accent1"/>
              <w:bottom w:val="single" w:sz="4" w:space="0" w:color="1C556C" w:themeColor="accent1"/>
            </w:tcBorders>
            <w:vAlign w:val="center"/>
          </w:tcPr>
          <w:p w14:paraId="1604ADAC" w14:textId="77777777" w:rsidR="00255A01" w:rsidRPr="00B87CC5" w:rsidRDefault="00255A01"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87CC5">
              <w:rPr>
                <w:szCs w:val="18"/>
              </w:rPr>
              <w:t>0.0</w:t>
            </w:r>
          </w:p>
        </w:tc>
        <w:tc>
          <w:tcPr>
            <w:tcW w:w="1559" w:type="dxa"/>
            <w:tcBorders>
              <w:top w:val="single" w:sz="4" w:space="0" w:color="1C556C" w:themeColor="accent1"/>
              <w:bottom w:val="single" w:sz="4" w:space="0" w:color="1C556C" w:themeColor="accent1"/>
            </w:tcBorders>
            <w:vAlign w:val="center"/>
          </w:tcPr>
          <w:p w14:paraId="4C874B78" w14:textId="77777777" w:rsidR="00255A01" w:rsidRPr="00B87CC5" w:rsidRDefault="00255A01"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87CC5">
              <w:rPr>
                <w:szCs w:val="18"/>
              </w:rPr>
              <w:t>+0.2</w:t>
            </w:r>
          </w:p>
        </w:tc>
        <w:tc>
          <w:tcPr>
            <w:tcW w:w="1417" w:type="dxa"/>
            <w:tcBorders>
              <w:top w:val="single" w:sz="4" w:space="0" w:color="1C556C" w:themeColor="accent1"/>
              <w:bottom w:val="single" w:sz="4" w:space="0" w:color="1C556C" w:themeColor="accent1"/>
              <w:right w:val="nil"/>
            </w:tcBorders>
            <w:vAlign w:val="center"/>
          </w:tcPr>
          <w:p w14:paraId="7D6705F8" w14:textId="77777777" w:rsidR="00255A01" w:rsidRPr="00B87CC5" w:rsidRDefault="00255A01" w:rsidP="00E26C7A">
            <w:pPr>
              <w:pStyle w:val="TableText"/>
              <w:spacing w:before="40" w:after="40"/>
              <w:jc w:val="right"/>
              <w:cnfStyle w:val="000000100000" w:firstRow="0" w:lastRow="0" w:firstColumn="0" w:lastColumn="0" w:oddVBand="0" w:evenVBand="0" w:oddHBand="1" w:evenHBand="0" w:firstRowFirstColumn="0" w:firstRowLastColumn="0" w:lastRowFirstColumn="0" w:lastRowLastColumn="0"/>
              <w:rPr>
                <w:szCs w:val="18"/>
              </w:rPr>
            </w:pPr>
            <w:r w:rsidRPr="00B87CC5">
              <w:rPr>
                <w:szCs w:val="18"/>
              </w:rPr>
              <w:t>+0.8</w:t>
            </w:r>
          </w:p>
        </w:tc>
      </w:tr>
    </w:tbl>
    <w:p w14:paraId="5183443F" w14:textId="43C2B1F8" w:rsidR="00F907A3" w:rsidRPr="00B87CC5" w:rsidRDefault="00F907A3" w:rsidP="00AD4AC9">
      <w:pPr>
        <w:pStyle w:val="BodyText"/>
        <w:spacing w:before="240" w:after="100"/>
      </w:pPr>
      <w:r w:rsidRPr="00B87CC5">
        <w:t xml:space="preserve">The analysis </w:t>
      </w:r>
      <w:r w:rsidR="00F70AA5" w:rsidRPr="00B87CC5">
        <w:t xml:space="preserve">included </w:t>
      </w:r>
      <w:r w:rsidRPr="00B87CC5">
        <w:t>the following</w:t>
      </w:r>
      <w:r w:rsidR="0099574D" w:rsidRPr="00B87CC5">
        <w:t xml:space="preserve"> assumptions</w:t>
      </w:r>
      <w:r w:rsidR="009A50FA" w:rsidRPr="00B87CC5">
        <w:t>.</w:t>
      </w:r>
    </w:p>
    <w:p w14:paraId="60759363" w14:textId="066A6AA0" w:rsidR="00F907A3" w:rsidRPr="00B87CC5" w:rsidRDefault="00642FD7" w:rsidP="00AD4AC9">
      <w:pPr>
        <w:pStyle w:val="Bullet"/>
        <w:spacing w:after="100"/>
      </w:pPr>
      <w:r w:rsidRPr="00B87CC5">
        <w:t xml:space="preserve">Policy to achieve </w:t>
      </w:r>
      <w:r w:rsidR="00F907A3" w:rsidRPr="00B87CC5">
        <w:t xml:space="preserve">Electrify NZ </w:t>
      </w:r>
      <w:r w:rsidR="009E6ED4" w:rsidRPr="00B87CC5">
        <w:t>in the nearer term focuses on</w:t>
      </w:r>
      <w:r w:rsidR="00DD0D60" w:rsidRPr="00B87CC5">
        <w:t xml:space="preserve"> </w:t>
      </w:r>
      <w:r w:rsidR="005C02E7" w:rsidRPr="00B87CC5">
        <w:t xml:space="preserve">requirements for consenting. </w:t>
      </w:r>
      <w:r w:rsidR="00F909A8" w:rsidRPr="00B87CC5">
        <w:t>In modelling this policy</w:t>
      </w:r>
      <w:r w:rsidR="00952871" w:rsidRPr="00B87CC5">
        <w:t>,</w:t>
      </w:r>
      <w:r w:rsidR="004170BF" w:rsidRPr="00B87CC5">
        <w:t xml:space="preserve"> there is a baseline assumption that </w:t>
      </w:r>
      <w:r w:rsidR="00B579C8" w:rsidRPr="00B87CC5">
        <w:t xml:space="preserve">new generation and </w:t>
      </w:r>
      <w:r w:rsidR="006D07EF" w:rsidRPr="00B87CC5">
        <w:t xml:space="preserve">transmission will be built to meet demand. </w:t>
      </w:r>
      <w:r w:rsidR="00554147" w:rsidRPr="00B87CC5">
        <w:t xml:space="preserve">Lower consenting costs are </w:t>
      </w:r>
      <w:r w:rsidR="006D07EF" w:rsidRPr="00B87CC5">
        <w:t xml:space="preserve">expected to flow through to </w:t>
      </w:r>
      <w:r w:rsidR="00554147" w:rsidRPr="00B87CC5">
        <w:t xml:space="preserve">lower wholesale prices </w:t>
      </w:r>
      <w:r w:rsidR="000E6AE8" w:rsidRPr="00B87CC5">
        <w:t>and to affect electricity demand relative to other energy sources.</w:t>
      </w:r>
    </w:p>
    <w:p w14:paraId="54EE5F08" w14:textId="7B55C5E7" w:rsidR="00F024AF" w:rsidRPr="00B87CC5" w:rsidRDefault="00A3737B" w:rsidP="00AD4AC9">
      <w:pPr>
        <w:pStyle w:val="Bullet"/>
        <w:spacing w:after="100"/>
      </w:pPr>
      <w:r w:rsidRPr="00B87CC5">
        <w:t>Enabling</w:t>
      </w:r>
      <w:r w:rsidR="00772E30" w:rsidRPr="00B87CC5">
        <w:t xml:space="preserve"> CCUS </w:t>
      </w:r>
      <w:r w:rsidR="009D2B57" w:rsidRPr="00B87CC5">
        <w:t xml:space="preserve">would </w:t>
      </w:r>
      <w:r w:rsidR="00457B53" w:rsidRPr="00B87CC5">
        <w:t xml:space="preserve">require </w:t>
      </w:r>
      <w:r w:rsidR="00DD474C" w:rsidRPr="00B87CC5">
        <w:t xml:space="preserve">its </w:t>
      </w:r>
      <w:r w:rsidR="00457B53" w:rsidRPr="00B87CC5">
        <w:t>inclusion in the</w:t>
      </w:r>
      <w:r w:rsidR="00952871" w:rsidRPr="00B87CC5">
        <w:t xml:space="preserve"> NZ</w:t>
      </w:r>
      <w:r w:rsidR="00457B53" w:rsidRPr="00B87CC5">
        <w:t xml:space="preserve"> ETS</w:t>
      </w:r>
      <w:r w:rsidR="0062508C" w:rsidRPr="00B87CC5">
        <w:t xml:space="preserve"> as a source of </w:t>
      </w:r>
      <w:r w:rsidR="005A566B" w:rsidRPr="00B87CC5">
        <w:t>removals</w:t>
      </w:r>
      <w:r w:rsidR="00457B53" w:rsidRPr="00B87CC5">
        <w:t>.</w:t>
      </w:r>
      <w:r w:rsidR="00244C6C" w:rsidRPr="00B87CC5">
        <w:t xml:space="preserve"> </w:t>
      </w:r>
      <w:r w:rsidR="008B20E6" w:rsidRPr="00B87CC5">
        <w:t xml:space="preserve">Further </w:t>
      </w:r>
      <w:r w:rsidR="000C1267" w:rsidRPr="00B87CC5">
        <w:t>analysis</w:t>
      </w:r>
      <w:r w:rsidR="008B20E6" w:rsidRPr="00B87CC5">
        <w:t xml:space="preserve"> is required on the</w:t>
      </w:r>
      <w:r w:rsidR="00641E4C" w:rsidRPr="00B87CC5">
        <w:t xml:space="preserve"> impact of CC</w:t>
      </w:r>
      <w:r w:rsidR="00F81D46" w:rsidRPr="00B87CC5">
        <w:t>U</w:t>
      </w:r>
      <w:r w:rsidR="00641E4C" w:rsidRPr="00B87CC5">
        <w:t xml:space="preserve">S on the long-term operation of the </w:t>
      </w:r>
      <w:r w:rsidR="00952871" w:rsidRPr="00B87CC5">
        <w:t xml:space="preserve">NZ </w:t>
      </w:r>
      <w:r w:rsidR="00641E4C" w:rsidRPr="00B87CC5">
        <w:t>ETS</w:t>
      </w:r>
      <w:r w:rsidR="00E01BAB" w:rsidRPr="00B87CC5">
        <w:t>.</w:t>
      </w:r>
      <w:r w:rsidR="00566438" w:rsidRPr="00B87CC5">
        <w:t xml:space="preserve"> </w:t>
      </w:r>
      <w:r w:rsidR="00F216D5" w:rsidRPr="00B87CC5">
        <w:t xml:space="preserve">More detailed analysis will be undertaken </w:t>
      </w:r>
      <w:r w:rsidR="00641E4C" w:rsidRPr="00B87CC5">
        <w:t>if the proposal to reward CCUS</w:t>
      </w:r>
      <w:r w:rsidR="00AD4AC9" w:rsidRPr="00B87CC5">
        <w:t> </w:t>
      </w:r>
      <w:r w:rsidR="00641E4C" w:rsidRPr="00B87CC5">
        <w:t xml:space="preserve">in the </w:t>
      </w:r>
      <w:r w:rsidR="00952871" w:rsidRPr="00B87CC5">
        <w:t xml:space="preserve">NZ </w:t>
      </w:r>
      <w:r w:rsidR="00641E4C" w:rsidRPr="00B87CC5">
        <w:t>ETS is progressed.</w:t>
      </w:r>
    </w:p>
    <w:p w14:paraId="1D79EBB2" w14:textId="0867EBAF" w:rsidR="00D63371" w:rsidRPr="00B87CC5" w:rsidRDefault="00336732" w:rsidP="00AD4AC9">
      <w:pPr>
        <w:pStyle w:val="Bullet"/>
        <w:spacing w:after="100"/>
      </w:pPr>
      <w:r w:rsidRPr="00B87CC5">
        <w:t xml:space="preserve">The effects of </w:t>
      </w:r>
      <w:r w:rsidR="007B5AEE" w:rsidRPr="00B87CC5">
        <w:t xml:space="preserve">10,000 public EV chargers </w:t>
      </w:r>
      <w:r w:rsidR="005C4438" w:rsidRPr="00B87CC5">
        <w:t>are</w:t>
      </w:r>
      <w:r w:rsidR="007B5AEE" w:rsidRPr="00B87CC5">
        <w:t xml:space="preserve"> based on conservative assumptions in the absence of suitable empirical evidence to base any assessment on</w:t>
      </w:r>
      <w:r w:rsidR="00D63371" w:rsidRPr="00B87CC5">
        <w:t>.</w:t>
      </w:r>
    </w:p>
    <w:p w14:paraId="38AF8429" w14:textId="630F97BE" w:rsidR="00770435" w:rsidRPr="00B87CC5" w:rsidRDefault="002C6447" w:rsidP="00AD4AC9">
      <w:pPr>
        <w:pStyle w:val="Bullet"/>
        <w:spacing w:after="100"/>
      </w:pPr>
      <w:r w:rsidRPr="00B87CC5">
        <w:t>Proposed changes to the Clea</w:t>
      </w:r>
      <w:r w:rsidR="00EF63B3" w:rsidRPr="00B87CC5">
        <w:t>n</w:t>
      </w:r>
      <w:r w:rsidRPr="00B87CC5">
        <w:t xml:space="preserve"> Car Standard will reduce </w:t>
      </w:r>
      <w:r w:rsidR="005D0EF2" w:rsidRPr="00B87CC5">
        <w:t xml:space="preserve">its </w:t>
      </w:r>
      <w:r w:rsidRPr="00B87CC5">
        <w:t>stringency</w:t>
      </w:r>
      <w:r w:rsidR="00947A40" w:rsidRPr="00B87CC5">
        <w:t xml:space="preserve">. This has been modelled as a </w:t>
      </w:r>
      <w:r w:rsidR="0076696A" w:rsidRPr="00B87CC5">
        <w:t xml:space="preserve">reduction in </w:t>
      </w:r>
      <w:r w:rsidR="00947A40" w:rsidRPr="00B87CC5">
        <w:t xml:space="preserve">the rate at which the </w:t>
      </w:r>
      <w:r w:rsidR="00A8456C" w:rsidRPr="00B87CC5">
        <w:t xml:space="preserve">passenger </w:t>
      </w:r>
      <w:r w:rsidR="00B42C18" w:rsidRPr="00B87CC5">
        <w:t>emission</w:t>
      </w:r>
      <w:r w:rsidR="00B709A9" w:rsidRPr="00B87CC5">
        <w:t>s</w:t>
      </w:r>
      <w:r w:rsidR="009A453B" w:rsidRPr="00B87CC5">
        <w:t xml:space="preserve"> </w:t>
      </w:r>
      <w:r w:rsidR="00B42C18" w:rsidRPr="00B87CC5">
        <w:t>standard reduces</w:t>
      </w:r>
      <w:r w:rsidR="00AD4AC9" w:rsidRPr="00B87CC5">
        <w:t> </w:t>
      </w:r>
      <w:r w:rsidR="00B42C18" w:rsidRPr="00B87CC5">
        <w:t>over time</w:t>
      </w:r>
      <w:r w:rsidR="00744C4B" w:rsidRPr="00B87CC5">
        <w:t xml:space="preserve"> and a reduction in both the starting </w:t>
      </w:r>
      <w:r w:rsidR="00050F03" w:rsidRPr="00B87CC5">
        <w:t xml:space="preserve">standard </w:t>
      </w:r>
      <w:r w:rsidR="00744C4B" w:rsidRPr="00B87CC5">
        <w:t xml:space="preserve">and </w:t>
      </w:r>
      <w:r w:rsidR="00050F03" w:rsidRPr="00B87CC5">
        <w:t>rate reduction for</w:t>
      </w:r>
      <w:r w:rsidR="00AD4AC9" w:rsidRPr="00B87CC5">
        <w:t> </w:t>
      </w:r>
      <w:r w:rsidR="00050F03" w:rsidRPr="00B87CC5">
        <w:t>commercial vehicles</w:t>
      </w:r>
      <w:r w:rsidR="009A453B" w:rsidRPr="00B87CC5">
        <w:t>.</w:t>
      </w:r>
      <w:r w:rsidR="00457B53" w:rsidRPr="00B87CC5">
        <w:t xml:space="preserve"> </w:t>
      </w:r>
    </w:p>
    <w:p w14:paraId="4162FF1B" w14:textId="78B7542D" w:rsidR="000D51E5" w:rsidRPr="00B87CC5" w:rsidRDefault="000D51E5" w:rsidP="00AD4AC9">
      <w:pPr>
        <w:pStyle w:val="Bullet"/>
        <w:spacing w:after="100"/>
      </w:pPr>
      <w:r w:rsidRPr="00B87CC5">
        <w:t xml:space="preserve">Better </w:t>
      </w:r>
      <w:r w:rsidR="00AC0B2E">
        <w:t>p</w:t>
      </w:r>
      <w:r w:rsidRPr="00B87CC5">
        <w:t xml:space="preserve">ublic </w:t>
      </w:r>
      <w:r w:rsidR="00AC0B2E">
        <w:t>t</w:t>
      </w:r>
      <w:r w:rsidRPr="00B87CC5">
        <w:t xml:space="preserve">ransport reflects </w:t>
      </w:r>
      <w:r w:rsidR="001163B6" w:rsidRPr="00B87CC5">
        <w:t xml:space="preserve">the effects of increased investment in </w:t>
      </w:r>
      <w:r w:rsidR="00E8203D" w:rsidRPr="00B87CC5">
        <w:t xml:space="preserve">public transport, focused on Auckland and Wellington. </w:t>
      </w:r>
      <w:r w:rsidR="009B5BFF" w:rsidRPr="00B87CC5">
        <w:t xml:space="preserve">These effects </w:t>
      </w:r>
      <w:r w:rsidR="00670D9B" w:rsidRPr="00B87CC5">
        <w:t xml:space="preserve">may be offset </w:t>
      </w:r>
      <w:r w:rsidR="001A1799" w:rsidRPr="00B87CC5">
        <w:t xml:space="preserve">or outweighed </w:t>
      </w:r>
      <w:r w:rsidR="00670D9B" w:rsidRPr="00B87CC5">
        <w:t xml:space="preserve">by the impacts of </w:t>
      </w:r>
      <w:r w:rsidR="00C625CB" w:rsidRPr="00B87CC5">
        <w:t>new investment in road infrastructure</w:t>
      </w:r>
      <w:r w:rsidR="00006C69" w:rsidRPr="00B87CC5">
        <w:t xml:space="preserve"> that will affect the overall levels of private vehicle travel</w:t>
      </w:r>
      <w:r w:rsidR="00974571" w:rsidRPr="00B87CC5">
        <w:t>.</w:t>
      </w:r>
    </w:p>
    <w:p w14:paraId="6A6C1AB9" w14:textId="12C0B726" w:rsidR="00974571" w:rsidRPr="00B87CC5" w:rsidRDefault="00974571" w:rsidP="00AD4AC9">
      <w:pPr>
        <w:pStyle w:val="Bullet"/>
        <w:spacing w:after="100"/>
      </w:pPr>
      <w:r w:rsidRPr="00B87CC5">
        <w:t>Agriculture emissions pricing</w:t>
      </w:r>
      <w:r w:rsidR="00AE45D4" w:rsidRPr="00B87CC5">
        <w:t>, alongside measures to encourage the development of new</w:t>
      </w:r>
      <w:r w:rsidR="00AD4AC9" w:rsidRPr="00B87CC5">
        <w:t> </w:t>
      </w:r>
      <w:r w:rsidR="00AE45D4" w:rsidRPr="00B87CC5">
        <w:t xml:space="preserve">technologies, is expected to have relatively significant impacts after 2030 when technologies </w:t>
      </w:r>
      <w:r w:rsidR="00B27212" w:rsidRPr="00B87CC5">
        <w:t xml:space="preserve">become more widely available. </w:t>
      </w:r>
      <w:r w:rsidR="008F3A06" w:rsidRPr="00B87CC5">
        <w:t>Prior to specific policy decisions, t</w:t>
      </w:r>
      <w:r w:rsidR="006B338B" w:rsidRPr="00B87CC5">
        <w:t xml:space="preserve">he assumption is that the </w:t>
      </w:r>
      <w:r w:rsidR="00924044" w:rsidRPr="00B87CC5">
        <w:t>pricing system is accompanied by incentive payments for the uptake of these technologies.</w:t>
      </w:r>
    </w:p>
    <w:p w14:paraId="678277F9" w14:textId="36992B89" w:rsidR="00BB0A54" w:rsidRPr="00B87CC5" w:rsidRDefault="00670680" w:rsidP="00D82DC7">
      <w:pPr>
        <w:pStyle w:val="Bullet"/>
      </w:pPr>
      <w:r w:rsidRPr="00B87CC5">
        <w:t>Forestry measures include those that will limit land conversion</w:t>
      </w:r>
      <w:r w:rsidR="00245FF7" w:rsidRPr="00B87CC5">
        <w:t xml:space="preserve"> to forestry. </w:t>
      </w:r>
      <w:r w:rsidR="00566438" w:rsidRPr="00B87CC5">
        <w:t>R</w:t>
      </w:r>
      <w:r w:rsidR="00F57D4A" w:rsidRPr="00B87CC5">
        <w:t>ecent projections of future afforestation</w:t>
      </w:r>
      <w:r w:rsidR="00566438" w:rsidRPr="00B87CC5">
        <w:t xml:space="preserve"> suggest </w:t>
      </w:r>
      <w:r w:rsidR="00F57D4A" w:rsidRPr="00B87CC5">
        <w:t xml:space="preserve">these </w:t>
      </w:r>
      <w:r w:rsidR="00566438" w:rsidRPr="00B87CC5">
        <w:t xml:space="preserve">limits may not be </w:t>
      </w:r>
      <w:r w:rsidR="00F57D4A" w:rsidRPr="00B87CC5">
        <w:t xml:space="preserve">binding </w:t>
      </w:r>
      <w:r w:rsidR="00566438" w:rsidRPr="00B87CC5">
        <w:t>(the limits are</w:t>
      </w:r>
      <w:r w:rsidR="00AD4AC9" w:rsidRPr="00B87CC5">
        <w:t> </w:t>
      </w:r>
      <w:r w:rsidR="00566438" w:rsidRPr="00B87CC5">
        <w:t xml:space="preserve">greater than projected afforestation on these land types) </w:t>
      </w:r>
      <w:r w:rsidR="00F57D4A" w:rsidRPr="00B87CC5">
        <w:t xml:space="preserve">and thus </w:t>
      </w:r>
      <w:r w:rsidR="0019472A" w:rsidRPr="00B87CC5">
        <w:t>not have any impact on net emissions</w:t>
      </w:r>
      <w:r w:rsidR="00BB0A54" w:rsidRPr="00B87CC5">
        <w:t xml:space="preserve">. </w:t>
      </w:r>
    </w:p>
    <w:p w14:paraId="7CF14289" w14:textId="096E5AA4" w:rsidR="000D7571" w:rsidRPr="00B87CC5" w:rsidRDefault="00924044" w:rsidP="00D82DC7">
      <w:pPr>
        <w:pStyle w:val="Bullet"/>
      </w:pPr>
      <w:r w:rsidRPr="00B87CC5">
        <w:t xml:space="preserve">The waste </w:t>
      </w:r>
      <w:r w:rsidR="00D77327" w:rsidRPr="00B87CC5">
        <w:t xml:space="preserve">policies </w:t>
      </w:r>
      <w:r w:rsidR="006F5573" w:rsidRPr="00B87CC5">
        <w:t xml:space="preserve">are based on effective use of revenue raised by the </w:t>
      </w:r>
      <w:r w:rsidR="006D5B22" w:rsidRPr="00B87CC5">
        <w:t>W</w:t>
      </w:r>
      <w:r w:rsidR="006E64F1" w:rsidRPr="00B87CC5">
        <w:t xml:space="preserve">aste </w:t>
      </w:r>
      <w:r w:rsidR="006D5B22" w:rsidRPr="00B87CC5">
        <w:t>M</w:t>
      </w:r>
      <w:r w:rsidR="006E64F1" w:rsidRPr="00B87CC5">
        <w:t xml:space="preserve">inimisation </w:t>
      </w:r>
      <w:r w:rsidR="006D5B22" w:rsidRPr="00B87CC5">
        <w:t>F</w:t>
      </w:r>
      <w:r w:rsidR="006E64F1" w:rsidRPr="00B87CC5">
        <w:t xml:space="preserve">und </w:t>
      </w:r>
      <w:r w:rsidR="00410AE2" w:rsidRPr="00B87CC5">
        <w:t xml:space="preserve">for </w:t>
      </w:r>
      <w:r w:rsidR="00CF5024" w:rsidRPr="00B87CC5">
        <w:t>investment in resource recovery s</w:t>
      </w:r>
      <w:r w:rsidR="00AA605D" w:rsidRPr="00B87CC5">
        <w:t>y</w:t>
      </w:r>
      <w:r w:rsidR="00AA511F" w:rsidRPr="00B87CC5">
        <w:t>s</w:t>
      </w:r>
      <w:r w:rsidR="00CF5024" w:rsidRPr="00B87CC5">
        <w:t xml:space="preserve">tems. </w:t>
      </w:r>
    </w:p>
    <w:p w14:paraId="0DC2AC59" w14:textId="613F3758" w:rsidR="00F87BD3" w:rsidRPr="00B87CC5" w:rsidRDefault="00F87BD3" w:rsidP="7E9A6ED6">
      <w:pPr>
        <w:pStyle w:val="Bullet"/>
        <w:rPr>
          <w:color w:val="000000" w:themeColor="text1"/>
        </w:rPr>
      </w:pPr>
      <w:r w:rsidRPr="00B87CC5">
        <w:t xml:space="preserve">Landfill gas (LFG) capture rates are projected to increase in response to regulatory </w:t>
      </w:r>
      <w:r w:rsidRPr="00B87CC5">
        <w:rPr>
          <w:color w:val="000000" w:themeColor="text1"/>
        </w:rPr>
        <w:t>requirements for</w:t>
      </w:r>
      <w:r w:rsidR="000944BE" w:rsidRPr="00B87CC5">
        <w:rPr>
          <w:color w:val="000000" w:themeColor="text1"/>
        </w:rPr>
        <w:t>:</w:t>
      </w:r>
      <w:r w:rsidRPr="00B87CC5">
        <w:rPr>
          <w:color w:val="000000" w:themeColor="text1"/>
        </w:rPr>
        <w:t xml:space="preserve"> (a) </w:t>
      </w:r>
      <w:r w:rsidR="252626E4" w:rsidRPr="00B87CC5">
        <w:rPr>
          <w:color w:val="000000" w:themeColor="text1"/>
        </w:rPr>
        <w:t>a</w:t>
      </w:r>
      <w:r w:rsidRPr="00B87CC5">
        <w:rPr>
          <w:color w:val="000000" w:themeColor="text1"/>
        </w:rPr>
        <w:t>ll municipal (Class 1) landfills to have LFG capture systems and (b) for average efficiency increases of up to 7% across all landfills with existing gas capture systems in place.</w:t>
      </w:r>
    </w:p>
    <w:p w14:paraId="7A40EFCB" w14:textId="61B28CDA" w:rsidR="008378F6" w:rsidRPr="00B87CC5" w:rsidRDefault="003964C8" w:rsidP="00AD4AC9">
      <w:pPr>
        <w:pStyle w:val="BodyText"/>
      </w:pPr>
      <w:r w:rsidRPr="00B87CC5">
        <w:lastRenderedPageBreak/>
        <w:t>Additional</w:t>
      </w:r>
      <w:r w:rsidR="00815936" w:rsidRPr="00B87CC5">
        <w:t xml:space="preserve"> policy measures </w:t>
      </w:r>
      <w:r w:rsidRPr="00B87CC5">
        <w:t xml:space="preserve">(see table 9) </w:t>
      </w:r>
      <w:r w:rsidR="00815936" w:rsidRPr="00B87CC5">
        <w:t xml:space="preserve">might be used to achieve further reductions in </w:t>
      </w:r>
      <w:r w:rsidR="006D5B22" w:rsidRPr="00B87CC5">
        <w:t xml:space="preserve">the second </w:t>
      </w:r>
      <w:r w:rsidR="00815936" w:rsidRPr="00B87CC5">
        <w:t>and</w:t>
      </w:r>
      <w:r w:rsidR="00815936" w:rsidRPr="00B87CC5" w:rsidDel="006D5B22">
        <w:t xml:space="preserve"> </w:t>
      </w:r>
      <w:r w:rsidR="006D5B22" w:rsidRPr="00B87CC5">
        <w:t>third emissions budgets</w:t>
      </w:r>
      <w:r w:rsidR="00815936" w:rsidRPr="00B87CC5">
        <w:t xml:space="preserve">. </w:t>
      </w:r>
      <w:r w:rsidR="008E6066" w:rsidRPr="00B87CC5">
        <w:fldChar w:fldCharType="begin"/>
      </w:r>
      <w:r w:rsidR="008E6066" w:rsidRPr="00B87CC5">
        <w:instrText xml:space="preserve"> REF _Ref171331246 \h </w:instrText>
      </w:r>
      <w:r w:rsidR="008E6066" w:rsidRPr="00B87CC5">
        <w:fldChar w:fldCharType="separate"/>
      </w:r>
      <w:r w:rsidR="008E6066" w:rsidRPr="00B87CC5">
        <w:t xml:space="preserve">Table </w:t>
      </w:r>
      <w:r w:rsidR="008E6066" w:rsidRPr="00B87CC5">
        <w:rPr>
          <w:bCs/>
        </w:rPr>
        <w:t>12</w:t>
      </w:r>
      <w:r w:rsidR="008E6066" w:rsidRPr="00B87CC5">
        <w:fldChar w:fldCharType="end"/>
      </w:r>
      <w:r w:rsidR="00D50921" w:rsidRPr="00B87CC5">
        <w:t xml:space="preserve"> sets out the projected effects of those measures</w:t>
      </w:r>
      <w:r w:rsidR="005C301C" w:rsidRPr="00B87CC5">
        <w:t xml:space="preserve"> on the second emissions budget</w:t>
      </w:r>
      <w:r w:rsidR="00D50921" w:rsidRPr="00B87CC5">
        <w:t>.</w:t>
      </w:r>
    </w:p>
    <w:p w14:paraId="37EA2C88" w14:textId="2BC0BBB9" w:rsidR="009D3E27" w:rsidRPr="00B87CC5" w:rsidRDefault="009D3E27" w:rsidP="00AD4AC9">
      <w:pPr>
        <w:pStyle w:val="Tableheading"/>
        <w:rPr>
          <w:bCs/>
        </w:rPr>
      </w:pPr>
      <w:bookmarkStart w:id="78" w:name="_Ref171331246"/>
      <w:bookmarkStart w:id="79" w:name="_Toc171609771"/>
      <w:r w:rsidRPr="00B87CC5">
        <w:t xml:space="preserve">Table </w:t>
      </w:r>
      <w:r w:rsidR="00385111">
        <w:fldChar w:fldCharType="begin"/>
      </w:r>
      <w:r w:rsidR="00385111">
        <w:instrText xml:space="preserve"> SEQ Table \* ARABIC </w:instrText>
      </w:r>
      <w:r w:rsidR="00385111">
        <w:fldChar w:fldCharType="separate"/>
      </w:r>
      <w:r w:rsidR="008E6066" w:rsidRPr="00B87CC5">
        <w:t>12</w:t>
      </w:r>
      <w:r w:rsidR="00385111">
        <w:fldChar w:fldCharType="end"/>
      </w:r>
      <w:bookmarkEnd w:id="78"/>
      <w:r w:rsidR="005E1D91" w:rsidRPr="00B87CC5">
        <w:t>:</w:t>
      </w:r>
      <w:r w:rsidR="005E1D91" w:rsidRPr="00B87CC5">
        <w:tab/>
      </w:r>
      <w:r w:rsidR="003964C8" w:rsidRPr="00B87CC5">
        <w:t>Projected e</w:t>
      </w:r>
      <w:r w:rsidR="0036504F" w:rsidRPr="00B87CC5">
        <w:t>ffects of a</w:t>
      </w:r>
      <w:r w:rsidRPr="00B87CC5">
        <w:t xml:space="preserve">dditional potential </w:t>
      </w:r>
      <w:r w:rsidR="00A9081E" w:rsidRPr="00B87CC5">
        <w:t>abatement options</w:t>
      </w:r>
      <w:r w:rsidR="00D50921" w:rsidRPr="00B87CC5">
        <w:t xml:space="preserve"> on </w:t>
      </w:r>
      <w:r w:rsidR="005C301C" w:rsidRPr="00B87CC5">
        <w:t xml:space="preserve">the </w:t>
      </w:r>
      <w:r w:rsidR="00D50921" w:rsidRPr="00B87CC5">
        <w:t xml:space="preserve">second </w:t>
      </w:r>
      <w:r w:rsidR="003143D1" w:rsidRPr="00B87CC5">
        <w:t xml:space="preserve">and third </w:t>
      </w:r>
      <w:r w:rsidR="00D50921" w:rsidRPr="00B87CC5">
        <w:t>emissions budget</w:t>
      </w:r>
      <w:r w:rsidR="003143D1" w:rsidRPr="00B87CC5">
        <w:t>s</w:t>
      </w:r>
      <w:bookmarkEnd w:id="79"/>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CellMar>
          <w:left w:w="85" w:type="dxa"/>
          <w:right w:w="28" w:type="dxa"/>
        </w:tblCellMar>
        <w:tblLook w:val="04A0" w:firstRow="1" w:lastRow="0" w:firstColumn="1" w:lastColumn="0" w:noHBand="0" w:noVBand="1"/>
      </w:tblPr>
      <w:tblGrid>
        <w:gridCol w:w="927"/>
        <w:gridCol w:w="1483"/>
        <w:gridCol w:w="2977"/>
        <w:gridCol w:w="3118"/>
      </w:tblGrid>
      <w:tr w:rsidR="00A41723" w:rsidRPr="00B87CC5" w14:paraId="335190E8" w14:textId="6480FF9D" w:rsidTr="00AD4AC9">
        <w:trPr>
          <w:tblHeader/>
        </w:trPr>
        <w:tc>
          <w:tcPr>
            <w:tcW w:w="545" w:type="pct"/>
            <w:shd w:val="clear" w:color="auto" w:fill="1B556B"/>
          </w:tcPr>
          <w:p w14:paraId="2DBB3C58" w14:textId="77777777" w:rsidR="00815936" w:rsidRPr="00B87CC5" w:rsidRDefault="00815936">
            <w:pPr>
              <w:pStyle w:val="TableTextbold"/>
              <w:rPr>
                <w:color w:val="FFFFFF" w:themeColor="background1"/>
              </w:rPr>
            </w:pPr>
            <w:r w:rsidRPr="00B87CC5">
              <w:rPr>
                <w:color w:val="FFFFFF" w:themeColor="background1"/>
              </w:rPr>
              <w:t xml:space="preserve">Sector </w:t>
            </w:r>
          </w:p>
        </w:tc>
        <w:tc>
          <w:tcPr>
            <w:tcW w:w="872" w:type="pct"/>
            <w:shd w:val="clear" w:color="auto" w:fill="1B556B"/>
          </w:tcPr>
          <w:p w14:paraId="0306B4C5" w14:textId="77777777" w:rsidR="00815936" w:rsidRPr="00B87CC5" w:rsidRDefault="00815936">
            <w:pPr>
              <w:pStyle w:val="TableTextbold"/>
              <w:rPr>
                <w:color w:val="FFFFFF" w:themeColor="background1"/>
              </w:rPr>
            </w:pPr>
            <w:r w:rsidRPr="00B87CC5">
              <w:rPr>
                <w:color w:val="FFFFFF" w:themeColor="background1"/>
              </w:rPr>
              <w:t>Policy</w:t>
            </w:r>
          </w:p>
        </w:tc>
        <w:tc>
          <w:tcPr>
            <w:tcW w:w="1750" w:type="pct"/>
            <w:shd w:val="clear" w:color="auto" w:fill="1B556B"/>
          </w:tcPr>
          <w:p w14:paraId="11FF2532" w14:textId="27D96E96" w:rsidR="00815936" w:rsidRPr="00B87CC5" w:rsidRDefault="00484F13">
            <w:pPr>
              <w:pStyle w:val="TableTextbold"/>
              <w:rPr>
                <w:color w:val="FFFFFF" w:themeColor="background1"/>
              </w:rPr>
            </w:pPr>
            <w:r w:rsidRPr="00B87CC5">
              <w:rPr>
                <w:color w:val="FFFFFF" w:themeColor="background1"/>
              </w:rPr>
              <w:t>Second emission</w:t>
            </w:r>
            <w:r w:rsidR="004E419F">
              <w:rPr>
                <w:color w:val="FFFFFF" w:themeColor="background1"/>
              </w:rPr>
              <w:t>s</w:t>
            </w:r>
            <w:r w:rsidRPr="00B87CC5">
              <w:rPr>
                <w:color w:val="FFFFFF" w:themeColor="background1"/>
              </w:rPr>
              <w:t xml:space="preserve"> budget period</w:t>
            </w:r>
          </w:p>
        </w:tc>
        <w:tc>
          <w:tcPr>
            <w:tcW w:w="1833" w:type="pct"/>
            <w:shd w:val="clear" w:color="auto" w:fill="1B556B"/>
          </w:tcPr>
          <w:p w14:paraId="1595E33A" w14:textId="3AF1EC1F" w:rsidR="00484F13" w:rsidRPr="00B87CC5" w:rsidRDefault="00484F13">
            <w:pPr>
              <w:pStyle w:val="TableTextbold"/>
              <w:rPr>
                <w:color w:val="FFFFFF" w:themeColor="background1"/>
              </w:rPr>
            </w:pPr>
            <w:r w:rsidRPr="00B87CC5">
              <w:rPr>
                <w:color w:val="FFFFFF" w:themeColor="background1"/>
              </w:rPr>
              <w:t>Third emission</w:t>
            </w:r>
            <w:r w:rsidR="004E419F">
              <w:rPr>
                <w:color w:val="FFFFFF" w:themeColor="background1"/>
              </w:rPr>
              <w:t>s</w:t>
            </w:r>
            <w:r w:rsidRPr="00B87CC5">
              <w:rPr>
                <w:color w:val="FFFFFF" w:themeColor="background1"/>
              </w:rPr>
              <w:t xml:space="preserve"> budget period</w:t>
            </w:r>
          </w:p>
        </w:tc>
      </w:tr>
      <w:tr w:rsidR="00A41723" w:rsidRPr="00B87CC5" w14:paraId="7AAE9C43" w14:textId="6E5EF68A" w:rsidTr="00AD4AC9">
        <w:tc>
          <w:tcPr>
            <w:tcW w:w="545" w:type="pct"/>
            <w:tcBorders>
              <w:bottom w:val="nil"/>
            </w:tcBorders>
            <w:shd w:val="clear" w:color="auto" w:fill="auto"/>
          </w:tcPr>
          <w:p w14:paraId="5B30D59F" w14:textId="77777777" w:rsidR="00A9081E" w:rsidRPr="00B87CC5" w:rsidRDefault="00A9081E" w:rsidP="00A9081E">
            <w:pPr>
              <w:pStyle w:val="TableText"/>
            </w:pPr>
            <w:r w:rsidRPr="00B87CC5">
              <w:t>Agriculture</w:t>
            </w:r>
          </w:p>
        </w:tc>
        <w:tc>
          <w:tcPr>
            <w:tcW w:w="872" w:type="pct"/>
            <w:shd w:val="clear" w:color="auto" w:fill="auto"/>
          </w:tcPr>
          <w:p w14:paraId="7B800E39" w14:textId="0C513F75" w:rsidR="00A9081E" w:rsidRPr="00B87CC5" w:rsidRDefault="00A9081E" w:rsidP="00A9081E">
            <w:pPr>
              <w:pStyle w:val="TableText"/>
            </w:pPr>
            <w:r w:rsidRPr="00B87CC5">
              <w:t xml:space="preserve">Supporting uptake of </w:t>
            </w:r>
            <w:proofErr w:type="spellStart"/>
            <w:r w:rsidRPr="00B87CC5">
              <w:t>EcoPond</w:t>
            </w:r>
            <w:proofErr w:type="spellEnd"/>
            <w:r w:rsidR="006D5B22" w:rsidRPr="00B87CC5">
              <w:t>™</w:t>
            </w:r>
          </w:p>
        </w:tc>
        <w:tc>
          <w:tcPr>
            <w:tcW w:w="1750" w:type="pct"/>
          </w:tcPr>
          <w:p w14:paraId="6AE4AAE7" w14:textId="24A33191" w:rsidR="00A9081E" w:rsidRPr="00B87CC5" w:rsidRDefault="00A9081E" w:rsidP="00A9081E">
            <w:pPr>
              <w:pStyle w:val="TableText"/>
            </w:pPr>
            <w:r w:rsidRPr="00B87CC5">
              <w:t>Potential for up to 0.4</w:t>
            </w:r>
            <w:r w:rsidR="00D50921" w:rsidRPr="00B87CC5">
              <w:t xml:space="preserve"> </w:t>
            </w:r>
            <w:r w:rsidRPr="00B87CC5">
              <w:t>Mt</w:t>
            </w:r>
            <w:r w:rsidR="00D50921" w:rsidRPr="00B87CC5">
              <w:t xml:space="preserve"> CO</w:t>
            </w:r>
            <w:r w:rsidR="00D50921" w:rsidRPr="00B87CC5">
              <w:rPr>
                <w:vertAlign w:val="subscript"/>
              </w:rPr>
              <w:t>2</w:t>
            </w:r>
            <w:r w:rsidR="00D50921" w:rsidRPr="00B87CC5">
              <w:t>-e</w:t>
            </w:r>
            <w:r w:rsidRPr="00B87CC5">
              <w:t xml:space="preserve"> (at 10% uptake) </w:t>
            </w:r>
            <w:r w:rsidR="00D50921" w:rsidRPr="00B87CC5">
              <w:t xml:space="preserve">to </w:t>
            </w:r>
            <w:r w:rsidRPr="00B87CC5">
              <w:t>2 Mt</w:t>
            </w:r>
            <w:r w:rsidR="00D50921" w:rsidRPr="00B87CC5">
              <w:t xml:space="preserve"> CO</w:t>
            </w:r>
            <w:r w:rsidR="00D50921" w:rsidRPr="00B87CC5">
              <w:rPr>
                <w:vertAlign w:val="subscript"/>
              </w:rPr>
              <w:t>2</w:t>
            </w:r>
            <w:r w:rsidR="00D50921" w:rsidRPr="00B87CC5">
              <w:t>-e</w:t>
            </w:r>
            <w:r w:rsidRPr="00B87CC5">
              <w:t xml:space="preserve"> (at 50%) </w:t>
            </w:r>
          </w:p>
        </w:tc>
        <w:tc>
          <w:tcPr>
            <w:tcW w:w="1833" w:type="pct"/>
          </w:tcPr>
          <w:p w14:paraId="685316C0" w14:textId="6E2FCFE9" w:rsidR="007648F2" w:rsidRPr="00B87CC5" w:rsidRDefault="007648F2" w:rsidP="00A9081E">
            <w:pPr>
              <w:pStyle w:val="TableText"/>
            </w:pPr>
            <w:r w:rsidRPr="00B87CC5">
              <w:t>Potential for a reduction of up to 1.0 Mt (at 10% uptake by 2030 rising to 20% by 2035) or 3.1 Mt (at 50% by 2030) CO</w:t>
            </w:r>
            <w:r w:rsidRPr="00B87CC5">
              <w:rPr>
                <w:vertAlign w:val="subscript"/>
              </w:rPr>
              <w:t>2</w:t>
            </w:r>
            <w:r w:rsidRPr="00B87CC5">
              <w:t>-e</w:t>
            </w:r>
          </w:p>
        </w:tc>
      </w:tr>
      <w:tr w:rsidR="00A41723" w:rsidRPr="00B87CC5" w14:paraId="57254557" w14:textId="029A0EEF" w:rsidTr="00AD4AC9">
        <w:tc>
          <w:tcPr>
            <w:tcW w:w="545" w:type="pct"/>
            <w:tcBorders>
              <w:top w:val="nil"/>
              <w:bottom w:val="nil"/>
            </w:tcBorders>
            <w:shd w:val="clear" w:color="auto" w:fill="auto"/>
          </w:tcPr>
          <w:p w14:paraId="17ADA46A" w14:textId="77777777" w:rsidR="00A9081E" w:rsidRPr="00B87CC5" w:rsidRDefault="00A9081E" w:rsidP="00A9081E">
            <w:pPr>
              <w:pStyle w:val="TableText"/>
            </w:pPr>
          </w:p>
        </w:tc>
        <w:tc>
          <w:tcPr>
            <w:tcW w:w="872" w:type="pct"/>
            <w:shd w:val="clear" w:color="auto" w:fill="auto"/>
          </w:tcPr>
          <w:p w14:paraId="7B892389" w14:textId="1CA6837B" w:rsidR="00A9081E" w:rsidRPr="00B87CC5" w:rsidRDefault="00A9081E" w:rsidP="00A9081E">
            <w:pPr>
              <w:pStyle w:val="TableText"/>
            </w:pPr>
            <w:r w:rsidRPr="00B87CC5">
              <w:t xml:space="preserve">Low-methane genetics </w:t>
            </w:r>
          </w:p>
        </w:tc>
        <w:tc>
          <w:tcPr>
            <w:tcW w:w="1750" w:type="pct"/>
          </w:tcPr>
          <w:p w14:paraId="5DD4BFAE" w14:textId="1B4A563E" w:rsidR="00A9081E" w:rsidRPr="00B87CC5" w:rsidRDefault="00A9081E" w:rsidP="00A9081E">
            <w:pPr>
              <w:pStyle w:val="TableText"/>
            </w:pPr>
            <w:r w:rsidRPr="00B87CC5">
              <w:t>Potential for up to 0.1</w:t>
            </w:r>
            <w:r w:rsidR="00D50921" w:rsidRPr="00B87CC5">
              <w:t xml:space="preserve"> </w:t>
            </w:r>
            <w:r w:rsidRPr="00B87CC5">
              <w:t>Mt</w:t>
            </w:r>
            <w:r w:rsidR="00576D54" w:rsidRPr="00B87CC5">
              <w:t xml:space="preserve"> CO</w:t>
            </w:r>
            <w:r w:rsidR="00576D54" w:rsidRPr="00B87CC5">
              <w:rPr>
                <w:vertAlign w:val="subscript"/>
              </w:rPr>
              <w:t>2</w:t>
            </w:r>
            <w:r w:rsidR="00576D54" w:rsidRPr="00B87CC5">
              <w:t>-e</w:t>
            </w:r>
            <w:r w:rsidRPr="00B87CC5">
              <w:t xml:space="preserve"> (at 10% uptake) </w:t>
            </w:r>
            <w:r w:rsidR="00576D54" w:rsidRPr="00B87CC5">
              <w:t xml:space="preserve">to </w:t>
            </w:r>
            <w:r w:rsidRPr="00B87CC5">
              <w:t xml:space="preserve">0.3 Mt </w:t>
            </w:r>
            <w:r w:rsidR="00576D54" w:rsidRPr="00B87CC5">
              <w:t>CO</w:t>
            </w:r>
            <w:r w:rsidR="00576D54" w:rsidRPr="00B87CC5">
              <w:rPr>
                <w:vertAlign w:val="subscript"/>
              </w:rPr>
              <w:t>2</w:t>
            </w:r>
            <w:r w:rsidR="00576D54" w:rsidRPr="00B87CC5">
              <w:t xml:space="preserve">-e </w:t>
            </w:r>
            <w:r w:rsidRPr="00B87CC5">
              <w:t xml:space="preserve">(at 50%) </w:t>
            </w:r>
          </w:p>
        </w:tc>
        <w:tc>
          <w:tcPr>
            <w:tcW w:w="1833" w:type="pct"/>
          </w:tcPr>
          <w:p w14:paraId="61F21E5A" w14:textId="4ED1692A" w:rsidR="00E25FF0" w:rsidRPr="00B87CC5" w:rsidRDefault="00E25FF0" w:rsidP="00A9081E">
            <w:pPr>
              <w:pStyle w:val="TableText"/>
            </w:pPr>
            <w:r w:rsidRPr="00B87CC5">
              <w:t>Potential for a reduction of up to 0.2 Mt (at 10% uptake by 2030 rising to 20% by 2035) or 0.5 Mt (at 50% by 2030) CO</w:t>
            </w:r>
            <w:r w:rsidRPr="00B87CC5">
              <w:rPr>
                <w:vertAlign w:val="subscript"/>
              </w:rPr>
              <w:t>2</w:t>
            </w:r>
            <w:r w:rsidRPr="00B87CC5">
              <w:t>-e</w:t>
            </w:r>
          </w:p>
        </w:tc>
      </w:tr>
      <w:tr w:rsidR="00A41723" w:rsidRPr="00B87CC5" w14:paraId="4EAB9FB3" w14:textId="0200C8D9" w:rsidTr="00AD4AC9">
        <w:tc>
          <w:tcPr>
            <w:tcW w:w="545" w:type="pct"/>
            <w:tcBorders>
              <w:top w:val="nil"/>
            </w:tcBorders>
            <w:shd w:val="clear" w:color="auto" w:fill="auto"/>
          </w:tcPr>
          <w:p w14:paraId="4BE1FD23" w14:textId="77777777" w:rsidR="00A9081E" w:rsidRPr="00B87CC5" w:rsidRDefault="00A9081E" w:rsidP="00A9081E">
            <w:pPr>
              <w:pStyle w:val="TableText"/>
            </w:pPr>
          </w:p>
        </w:tc>
        <w:tc>
          <w:tcPr>
            <w:tcW w:w="872" w:type="pct"/>
            <w:shd w:val="clear" w:color="auto" w:fill="auto"/>
          </w:tcPr>
          <w:p w14:paraId="37B8FC16" w14:textId="15C1CB4D" w:rsidR="00A9081E" w:rsidRPr="00B87CC5" w:rsidRDefault="0036504F" w:rsidP="00A9081E">
            <w:pPr>
              <w:pStyle w:val="TableText"/>
            </w:pPr>
            <w:r w:rsidRPr="00B87CC5">
              <w:t>M</w:t>
            </w:r>
            <w:r w:rsidR="00A9081E" w:rsidRPr="00B87CC5">
              <w:t>ethane inhibitors</w:t>
            </w:r>
          </w:p>
        </w:tc>
        <w:tc>
          <w:tcPr>
            <w:tcW w:w="1750" w:type="pct"/>
          </w:tcPr>
          <w:p w14:paraId="10480EA4" w14:textId="7FA8BB7F" w:rsidR="00A9081E" w:rsidRPr="00B87CC5" w:rsidRDefault="00A9081E" w:rsidP="00A9081E">
            <w:pPr>
              <w:pStyle w:val="TableText"/>
            </w:pPr>
            <w:r w:rsidRPr="00B87CC5">
              <w:t>Potential for up to 3.0</w:t>
            </w:r>
            <w:r w:rsidR="00D50921" w:rsidRPr="00B87CC5">
              <w:t xml:space="preserve"> </w:t>
            </w:r>
            <w:r w:rsidRPr="00B87CC5">
              <w:t>Mt</w:t>
            </w:r>
            <w:r w:rsidR="00576D54" w:rsidRPr="00B87CC5">
              <w:t xml:space="preserve"> CO</w:t>
            </w:r>
            <w:r w:rsidR="00576D54" w:rsidRPr="00B87CC5">
              <w:rPr>
                <w:vertAlign w:val="subscript"/>
              </w:rPr>
              <w:t>2</w:t>
            </w:r>
            <w:r w:rsidR="00576D54" w:rsidRPr="00B87CC5">
              <w:t>-e</w:t>
            </w:r>
            <w:r w:rsidRPr="00B87CC5">
              <w:t xml:space="preserve"> (at 10% uptake) </w:t>
            </w:r>
            <w:r w:rsidR="00576D54" w:rsidRPr="00B87CC5">
              <w:t>to</w:t>
            </w:r>
            <w:r w:rsidRPr="00B87CC5">
              <w:t xml:space="preserve"> 15 Mt</w:t>
            </w:r>
            <w:r w:rsidR="00576D54" w:rsidRPr="00B87CC5">
              <w:t xml:space="preserve"> CO</w:t>
            </w:r>
            <w:r w:rsidR="00576D54" w:rsidRPr="00B87CC5">
              <w:rPr>
                <w:vertAlign w:val="subscript"/>
              </w:rPr>
              <w:t>2</w:t>
            </w:r>
            <w:r w:rsidR="00576D54" w:rsidRPr="00B87CC5">
              <w:t>-e</w:t>
            </w:r>
            <w:r w:rsidRPr="00B87CC5">
              <w:t xml:space="preserve"> (at 50%) </w:t>
            </w:r>
          </w:p>
        </w:tc>
        <w:tc>
          <w:tcPr>
            <w:tcW w:w="1833" w:type="pct"/>
          </w:tcPr>
          <w:p w14:paraId="6BF62BCE" w14:textId="1132BD00" w:rsidR="007F3FE3" w:rsidRPr="00B87CC5" w:rsidRDefault="007F3FE3" w:rsidP="00A9081E">
            <w:pPr>
              <w:pStyle w:val="TableText"/>
            </w:pPr>
            <w:r w:rsidRPr="00B87CC5">
              <w:t>Potential for a reduction of up to 13.8 Mt (at 10% uptake by 2030 rising to 20% by 2035) or 43.1 Mt (at 50% by 2030) CO</w:t>
            </w:r>
            <w:r w:rsidRPr="00B87CC5">
              <w:rPr>
                <w:vertAlign w:val="subscript"/>
              </w:rPr>
              <w:t>2</w:t>
            </w:r>
            <w:r w:rsidRPr="00B87CC5">
              <w:t>-e</w:t>
            </w:r>
          </w:p>
        </w:tc>
      </w:tr>
      <w:tr w:rsidR="00A41723" w:rsidRPr="00B87CC5" w14:paraId="72E14BB0" w14:textId="1F4EA68B" w:rsidTr="00AD4AC9">
        <w:tc>
          <w:tcPr>
            <w:tcW w:w="545" w:type="pct"/>
            <w:shd w:val="clear" w:color="auto" w:fill="auto"/>
          </w:tcPr>
          <w:p w14:paraId="291A6959" w14:textId="77777777" w:rsidR="00A9081E" w:rsidRPr="00B87CC5" w:rsidRDefault="00A9081E" w:rsidP="00A9081E">
            <w:pPr>
              <w:pStyle w:val="TableText"/>
            </w:pPr>
            <w:r w:rsidRPr="00B87CC5">
              <w:t>Forestry</w:t>
            </w:r>
          </w:p>
        </w:tc>
        <w:tc>
          <w:tcPr>
            <w:tcW w:w="872" w:type="pct"/>
            <w:shd w:val="clear" w:color="auto" w:fill="auto"/>
          </w:tcPr>
          <w:p w14:paraId="75485492" w14:textId="45DD1942" w:rsidR="00A9081E" w:rsidRPr="00B87CC5" w:rsidRDefault="00A9081E" w:rsidP="00A9081E">
            <w:pPr>
              <w:pStyle w:val="TableText"/>
            </w:pPr>
            <w:r w:rsidRPr="00B87CC5">
              <w:t>Crown land</w:t>
            </w:r>
            <w:r w:rsidR="0036504F" w:rsidRPr="00B87CC5">
              <w:t xml:space="preserve"> afforestation</w:t>
            </w:r>
          </w:p>
        </w:tc>
        <w:tc>
          <w:tcPr>
            <w:tcW w:w="1750" w:type="pct"/>
          </w:tcPr>
          <w:p w14:paraId="7BA8483E" w14:textId="1AEB438E" w:rsidR="00A9081E" w:rsidRPr="00B87CC5" w:rsidRDefault="003143D1" w:rsidP="00AD4AC9">
            <w:pPr>
              <w:pStyle w:val="TableText"/>
            </w:pPr>
            <w:r w:rsidRPr="00B87CC5">
              <w:t>Potential for up to 0.1 Mt CO</w:t>
            </w:r>
            <w:r w:rsidRPr="00B87CC5">
              <w:rPr>
                <w:vertAlign w:val="subscript"/>
              </w:rPr>
              <w:t>2</w:t>
            </w:r>
            <w:r w:rsidRPr="00B87CC5">
              <w:t xml:space="preserve">-e of additional emissions (this is due to carbon losses following afforestation) </w:t>
            </w:r>
          </w:p>
        </w:tc>
        <w:tc>
          <w:tcPr>
            <w:tcW w:w="1833" w:type="pct"/>
          </w:tcPr>
          <w:p w14:paraId="5E4FFECF" w14:textId="2B20FD74" w:rsidR="00484F13" w:rsidRPr="00B87CC5" w:rsidRDefault="00484F13" w:rsidP="00A9081E">
            <w:pPr>
              <w:pStyle w:val="TableText"/>
            </w:pPr>
            <w:r w:rsidRPr="00B87CC5">
              <w:t>Potential for abatement of up to 5 Mt CO</w:t>
            </w:r>
            <w:r w:rsidRPr="00B87CC5">
              <w:rPr>
                <w:vertAlign w:val="subscript"/>
              </w:rPr>
              <w:t>2</w:t>
            </w:r>
            <w:r w:rsidRPr="00B87CC5">
              <w:t>-e</w:t>
            </w:r>
          </w:p>
        </w:tc>
      </w:tr>
    </w:tbl>
    <w:p w14:paraId="159D8CAD" w14:textId="4AC4C511" w:rsidR="009E6E17" w:rsidRPr="00B87CC5" w:rsidRDefault="004B4342" w:rsidP="00393597">
      <w:pPr>
        <w:pStyle w:val="BodyText"/>
        <w:spacing w:before="240"/>
      </w:pPr>
      <w:r w:rsidRPr="00B87CC5">
        <w:t xml:space="preserve">Including the </w:t>
      </w:r>
      <w:r w:rsidR="002D1D15" w:rsidRPr="00B87CC5">
        <w:t xml:space="preserve">estimates </w:t>
      </w:r>
      <w:r w:rsidR="00A9081E" w:rsidRPr="00B87CC5">
        <w:t xml:space="preserve">quantified in </w:t>
      </w:r>
      <w:r w:rsidR="00D50921" w:rsidRPr="00B87CC5">
        <w:t>t</w:t>
      </w:r>
      <w:r w:rsidR="001B6E3F" w:rsidRPr="00B87CC5">
        <w:t>able 10</w:t>
      </w:r>
      <w:r w:rsidR="00A9081E" w:rsidRPr="00B87CC5">
        <w:t xml:space="preserve"> </w:t>
      </w:r>
      <w:r w:rsidR="008E6066" w:rsidRPr="00B87CC5">
        <w:t xml:space="preserve">and </w:t>
      </w:r>
      <w:r w:rsidR="008E6066" w:rsidRPr="00B87CC5">
        <w:fldChar w:fldCharType="begin"/>
      </w:r>
      <w:r w:rsidR="008E6066" w:rsidRPr="00B87CC5">
        <w:instrText xml:space="preserve"> REF _Ref170991924 \h </w:instrText>
      </w:r>
      <w:r w:rsidR="008E6066" w:rsidRPr="00B87CC5">
        <w:fldChar w:fldCharType="separate"/>
      </w:r>
      <w:r w:rsidR="008E6066" w:rsidRPr="00B87CC5">
        <w:t>Table 11</w:t>
      </w:r>
      <w:r w:rsidR="008E6066" w:rsidRPr="00B87CC5">
        <w:fldChar w:fldCharType="end"/>
      </w:r>
      <w:r w:rsidR="008E6066" w:rsidRPr="00B87CC5">
        <w:t xml:space="preserve"> </w:t>
      </w:r>
      <w:r w:rsidR="002D1D15" w:rsidRPr="00B87CC5">
        <w:t xml:space="preserve">changes </w:t>
      </w:r>
      <w:r w:rsidR="006A3468" w:rsidRPr="00B87CC5">
        <w:t xml:space="preserve">the estimated </w:t>
      </w:r>
      <w:r w:rsidRPr="00B87CC5">
        <w:t xml:space="preserve">totals </w:t>
      </w:r>
      <w:r w:rsidR="002D1D15" w:rsidRPr="00B87CC5">
        <w:t xml:space="preserve">for </w:t>
      </w:r>
      <w:r w:rsidR="00A874C0" w:rsidRPr="00B87CC5">
        <w:t>emission</w:t>
      </w:r>
      <w:r w:rsidR="00576D54" w:rsidRPr="00B87CC5">
        <w:t>s</w:t>
      </w:r>
      <w:r w:rsidR="00A874C0" w:rsidRPr="00B87CC5">
        <w:t xml:space="preserve"> budgets and </w:t>
      </w:r>
      <w:r w:rsidR="00523CEF" w:rsidRPr="00B87CC5">
        <w:t>NDC1</w:t>
      </w:r>
      <w:r w:rsidR="00FB1751" w:rsidRPr="00B87CC5">
        <w:t>.</w:t>
      </w:r>
    </w:p>
    <w:p w14:paraId="465E6373" w14:textId="13CFBE4B" w:rsidR="00FB1751" w:rsidRPr="00B87CC5" w:rsidRDefault="00BD5E93" w:rsidP="009E6E17">
      <w:pPr>
        <w:pStyle w:val="BodyText"/>
      </w:pPr>
      <w:r w:rsidRPr="00B87CC5">
        <w:fldChar w:fldCharType="begin"/>
      </w:r>
      <w:r w:rsidRPr="00B87CC5">
        <w:instrText xml:space="preserve"> REF _Ref169773184 \h </w:instrText>
      </w:r>
      <w:r w:rsidRPr="00B87CC5">
        <w:fldChar w:fldCharType="separate"/>
      </w:r>
      <w:r w:rsidRPr="00B87CC5">
        <w:t>Table 13</w:t>
      </w:r>
      <w:r w:rsidRPr="00B87CC5">
        <w:fldChar w:fldCharType="end"/>
      </w:r>
      <w:r w:rsidR="00E610B3" w:rsidRPr="00B87CC5">
        <w:t xml:space="preserve"> </w:t>
      </w:r>
      <w:r w:rsidR="00FB1751" w:rsidRPr="00B87CC5">
        <w:t>shows the new estimate</w:t>
      </w:r>
      <w:r w:rsidR="006844CC" w:rsidRPr="00B87CC5">
        <w:t>d emissions and removals that</w:t>
      </w:r>
      <w:r w:rsidR="00FB1751" w:rsidRPr="00B87CC5" w:rsidDel="006844CC">
        <w:t xml:space="preserve"> </w:t>
      </w:r>
      <w:proofErr w:type="gramStart"/>
      <w:r w:rsidR="006844CC" w:rsidRPr="00B87CC5">
        <w:t>take into account</w:t>
      </w:r>
      <w:proofErr w:type="gramEnd"/>
      <w:r w:rsidR="006844CC" w:rsidRPr="00B87CC5">
        <w:t xml:space="preserve"> the </w:t>
      </w:r>
      <w:r w:rsidR="00853493" w:rsidRPr="00B87CC5">
        <w:t xml:space="preserve">proposed new measures. </w:t>
      </w:r>
      <w:r w:rsidR="00902988" w:rsidRPr="00B87CC5">
        <w:t xml:space="preserve">Under the central projection, net emissions are on track to achieve </w:t>
      </w:r>
      <w:r w:rsidR="00576D54" w:rsidRPr="00B87CC5">
        <w:t xml:space="preserve">the second emissions budget </w:t>
      </w:r>
      <w:r w:rsidR="00902988" w:rsidRPr="00B87CC5">
        <w:t xml:space="preserve">but there </w:t>
      </w:r>
      <w:r w:rsidR="00576D54" w:rsidRPr="00B87CC5">
        <w:t xml:space="preserve">remains </w:t>
      </w:r>
      <w:r w:rsidR="00902988" w:rsidRPr="00B87CC5">
        <w:t>a significant uncertainty margin.</w:t>
      </w:r>
    </w:p>
    <w:p w14:paraId="0CA1318A" w14:textId="28521335" w:rsidR="005D71D9" w:rsidRPr="00B87CC5" w:rsidRDefault="0054078E" w:rsidP="009E6E17">
      <w:pPr>
        <w:pStyle w:val="BodyText"/>
      </w:pPr>
      <w:r w:rsidRPr="00B87CC5">
        <w:t xml:space="preserve">The updated gap to </w:t>
      </w:r>
      <w:r w:rsidR="000F11A4" w:rsidRPr="00B87CC5">
        <w:t xml:space="preserve">bridge to meet </w:t>
      </w:r>
      <w:r w:rsidRPr="00B87CC5">
        <w:t>NDC</w:t>
      </w:r>
      <w:r w:rsidR="00523CEF" w:rsidRPr="00B87CC5">
        <w:t>1</w:t>
      </w:r>
      <w:r w:rsidRPr="00B87CC5">
        <w:t xml:space="preserve"> is reduced to a central projection of </w:t>
      </w:r>
      <w:r w:rsidR="008E6066" w:rsidRPr="00B87CC5">
        <w:t xml:space="preserve">93 </w:t>
      </w:r>
      <w:r w:rsidRPr="00B87CC5">
        <w:t>Mt</w:t>
      </w:r>
      <w:r w:rsidR="00576D54" w:rsidRPr="00B87CC5">
        <w:t xml:space="preserve"> CO</w:t>
      </w:r>
      <w:r w:rsidR="00576D54" w:rsidRPr="00B87CC5">
        <w:rPr>
          <w:vertAlign w:val="subscript"/>
        </w:rPr>
        <w:t>2</w:t>
      </w:r>
      <w:r w:rsidR="00576D54" w:rsidRPr="00B87CC5">
        <w:t>-e</w:t>
      </w:r>
      <w:r w:rsidR="00B221F9" w:rsidRPr="00B87CC5">
        <w:t>.</w:t>
      </w:r>
    </w:p>
    <w:p w14:paraId="07047798" w14:textId="6D7AB87B" w:rsidR="003B5AE6" w:rsidRPr="00B87CC5" w:rsidRDefault="003B5AE6" w:rsidP="003B5AE6">
      <w:pPr>
        <w:pStyle w:val="Tableheading"/>
      </w:pPr>
      <w:bookmarkStart w:id="80" w:name="_Ref169773184"/>
      <w:bookmarkStart w:id="81" w:name="_Toc171609772"/>
      <w:r w:rsidRPr="00B87CC5">
        <w:t xml:space="preserve">Table </w:t>
      </w:r>
      <w:r w:rsidR="00385111">
        <w:fldChar w:fldCharType="begin"/>
      </w:r>
      <w:r w:rsidR="00385111">
        <w:instrText xml:space="preserve"> SEQ Table \* ARABIC </w:instrText>
      </w:r>
      <w:r w:rsidR="00385111">
        <w:fldChar w:fldCharType="separate"/>
      </w:r>
      <w:r w:rsidR="00BD5E93" w:rsidRPr="00B87CC5">
        <w:t>13</w:t>
      </w:r>
      <w:r w:rsidR="00385111">
        <w:fldChar w:fldCharType="end"/>
      </w:r>
      <w:bookmarkEnd w:id="80"/>
      <w:r w:rsidR="005E1D91" w:rsidRPr="00B87CC5">
        <w:t>:</w:t>
      </w:r>
      <w:r w:rsidR="005E1D91" w:rsidRPr="00B87CC5">
        <w:tab/>
      </w:r>
      <w:r w:rsidR="0054078E" w:rsidRPr="00B87CC5">
        <w:t>Interim projections</w:t>
      </w:r>
      <w:r w:rsidR="006844CC" w:rsidRPr="00B87CC5">
        <w:t xml:space="preserve"> of emissions and removals</w:t>
      </w:r>
      <w:r w:rsidR="0054078E" w:rsidRPr="00B87CC5">
        <w:t xml:space="preserve"> including effects of proposed new measures</w:t>
      </w:r>
      <w:r w:rsidR="006844CC" w:rsidRPr="00B87CC5">
        <w:t xml:space="preserve"> (Mt CO</w:t>
      </w:r>
      <w:r w:rsidR="006844CC" w:rsidRPr="00B87CC5">
        <w:rPr>
          <w:vertAlign w:val="subscript"/>
        </w:rPr>
        <w:t>2</w:t>
      </w:r>
      <w:r w:rsidR="006844CC" w:rsidRPr="00B87CC5">
        <w:t>-e), by budget period</w:t>
      </w:r>
      <w:bookmarkEnd w:id="81"/>
    </w:p>
    <w:tbl>
      <w:tblPr>
        <w:tblStyle w:val="TableGrid"/>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418"/>
        <w:gridCol w:w="1698"/>
        <w:gridCol w:w="749"/>
        <w:gridCol w:w="1381"/>
        <w:gridCol w:w="1563"/>
        <w:gridCol w:w="1696"/>
      </w:tblGrid>
      <w:tr w:rsidR="00851655" w:rsidRPr="00B87CC5" w14:paraId="3E929407" w14:textId="50E82EFA" w:rsidTr="00965AE7">
        <w:trPr>
          <w:trHeight w:val="284"/>
          <w:tblHeader/>
        </w:trPr>
        <w:tc>
          <w:tcPr>
            <w:tcW w:w="834" w:type="pct"/>
            <w:tcBorders>
              <w:bottom w:val="single" w:sz="4" w:space="0" w:color="1B556B" w:themeColor="text2"/>
            </w:tcBorders>
            <w:shd w:val="clear" w:color="auto" w:fill="1B556B"/>
            <w:vAlign w:val="bottom"/>
          </w:tcPr>
          <w:p w14:paraId="516CBBEA" w14:textId="77777777" w:rsidR="003B5AE6" w:rsidRPr="00B87CC5" w:rsidRDefault="003B5AE6" w:rsidP="00606A28">
            <w:pPr>
              <w:pStyle w:val="TableTextbold"/>
              <w:spacing w:before="40" w:after="40"/>
              <w:rPr>
                <w:color w:val="FFFFFF" w:themeColor="background1"/>
              </w:rPr>
            </w:pPr>
            <w:r w:rsidRPr="00B87CC5">
              <w:rPr>
                <w:color w:val="FFFFFF" w:themeColor="background1"/>
              </w:rPr>
              <w:t xml:space="preserve">Budget period </w:t>
            </w:r>
          </w:p>
        </w:tc>
        <w:tc>
          <w:tcPr>
            <w:tcW w:w="998" w:type="pct"/>
            <w:shd w:val="clear" w:color="auto" w:fill="1B556B"/>
            <w:vAlign w:val="bottom"/>
          </w:tcPr>
          <w:p w14:paraId="5371D49A" w14:textId="77777777" w:rsidR="003B5AE6" w:rsidRPr="00B87CC5" w:rsidRDefault="003B5AE6" w:rsidP="00606A28">
            <w:pPr>
              <w:pStyle w:val="TableTextbold"/>
              <w:spacing w:before="40" w:after="40"/>
              <w:rPr>
                <w:color w:val="FFFFFF" w:themeColor="background1"/>
              </w:rPr>
            </w:pPr>
            <w:r w:rsidRPr="00B87CC5">
              <w:rPr>
                <w:color w:val="FFFFFF" w:themeColor="background1"/>
              </w:rPr>
              <w:t>Category</w:t>
            </w:r>
          </w:p>
        </w:tc>
        <w:tc>
          <w:tcPr>
            <w:tcW w:w="440" w:type="pct"/>
            <w:shd w:val="clear" w:color="auto" w:fill="1B556B"/>
            <w:vAlign w:val="bottom"/>
          </w:tcPr>
          <w:p w14:paraId="50F5F48E" w14:textId="77777777" w:rsidR="003B5AE6" w:rsidRPr="00B87CC5" w:rsidRDefault="003B5AE6" w:rsidP="00606A28">
            <w:pPr>
              <w:pStyle w:val="TableTextbold"/>
              <w:spacing w:before="40" w:after="40"/>
              <w:rPr>
                <w:color w:val="FFFFFF" w:themeColor="background1"/>
              </w:rPr>
            </w:pPr>
            <w:r w:rsidRPr="00B87CC5">
              <w:rPr>
                <w:color w:val="FFFFFF" w:themeColor="background1"/>
              </w:rPr>
              <w:t>Budget</w:t>
            </w:r>
          </w:p>
        </w:tc>
        <w:tc>
          <w:tcPr>
            <w:tcW w:w="812" w:type="pct"/>
            <w:shd w:val="clear" w:color="auto" w:fill="1B556B"/>
            <w:vAlign w:val="bottom"/>
          </w:tcPr>
          <w:p w14:paraId="06B3D8E9" w14:textId="291B20B3" w:rsidR="003B5AE6" w:rsidRPr="00B87CC5" w:rsidRDefault="003B5AE6" w:rsidP="00606A28">
            <w:pPr>
              <w:pStyle w:val="TableTextbold"/>
              <w:spacing w:before="40" w:after="40"/>
              <w:jc w:val="right"/>
              <w:rPr>
                <w:color w:val="FFFFFF" w:themeColor="background1"/>
              </w:rPr>
            </w:pPr>
            <w:r w:rsidRPr="00B87CC5">
              <w:rPr>
                <w:color w:val="FFFFFF" w:themeColor="background1"/>
              </w:rPr>
              <w:t xml:space="preserve">2023 WEM </w:t>
            </w:r>
            <w:r w:rsidR="006844CC" w:rsidRPr="00B87CC5">
              <w:rPr>
                <w:color w:val="FFFFFF" w:themeColor="background1"/>
              </w:rPr>
              <w:t>p</w:t>
            </w:r>
            <w:r w:rsidRPr="00B87CC5">
              <w:rPr>
                <w:color w:val="FFFFFF" w:themeColor="background1"/>
              </w:rPr>
              <w:t>rojections</w:t>
            </w:r>
          </w:p>
        </w:tc>
        <w:tc>
          <w:tcPr>
            <w:tcW w:w="919" w:type="pct"/>
            <w:shd w:val="clear" w:color="auto" w:fill="1B556B"/>
            <w:vAlign w:val="bottom"/>
          </w:tcPr>
          <w:p w14:paraId="3C9516A5" w14:textId="77777777" w:rsidR="003B5AE6" w:rsidRPr="00B87CC5" w:rsidRDefault="003B5AE6" w:rsidP="00606A28">
            <w:pPr>
              <w:pStyle w:val="TableTextbold"/>
              <w:spacing w:before="40" w:after="40"/>
              <w:jc w:val="right"/>
              <w:rPr>
                <w:color w:val="FFFFFF" w:themeColor="background1"/>
              </w:rPr>
            </w:pPr>
            <w:r w:rsidRPr="00B87CC5">
              <w:rPr>
                <w:color w:val="FFFFFF" w:themeColor="background1"/>
              </w:rPr>
              <w:t>ERP2 interim baseline</w:t>
            </w:r>
          </w:p>
        </w:tc>
        <w:tc>
          <w:tcPr>
            <w:tcW w:w="997" w:type="pct"/>
            <w:shd w:val="clear" w:color="auto" w:fill="1B556B"/>
            <w:vAlign w:val="bottom"/>
          </w:tcPr>
          <w:p w14:paraId="765F09BA" w14:textId="04E4AAE3" w:rsidR="003B5AE6" w:rsidRPr="00B87CC5" w:rsidRDefault="003B5AE6" w:rsidP="00606A28">
            <w:pPr>
              <w:pStyle w:val="TableTextbold"/>
              <w:spacing w:before="40" w:after="40"/>
              <w:jc w:val="right"/>
              <w:rPr>
                <w:color w:val="FFFFFF" w:themeColor="background1"/>
              </w:rPr>
            </w:pPr>
            <w:r w:rsidRPr="00B87CC5">
              <w:rPr>
                <w:color w:val="FFFFFF" w:themeColor="background1"/>
              </w:rPr>
              <w:t>With new</w:t>
            </w:r>
            <w:r w:rsidR="00393597" w:rsidRPr="00B87CC5">
              <w:rPr>
                <w:color w:val="FFFFFF" w:themeColor="background1"/>
              </w:rPr>
              <w:t xml:space="preserve"> </w:t>
            </w:r>
            <w:r w:rsidRPr="00B87CC5">
              <w:rPr>
                <w:color w:val="FFFFFF" w:themeColor="background1"/>
              </w:rPr>
              <w:t>measures</w:t>
            </w:r>
          </w:p>
        </w:tc>
      </w:tr>
      <w:tr w:rsidR="00FB1751" w:rsidRPr="00B87CC5" w14:paraId="67EF2947" w14:textId="53C31D16" w:rsidTr="00965AE7">
        <w:trPr>
          <w:trHeight w:val="284"/>
        </w:trPr>
        <w:tc>
          <w:tcPr>
            <w:tcW w:w="834" w:type="pct"/>
            <w:tcBorders>
              <w:bottom w:val="nil"/>
            </w:tcBorders>
            <w:shd w:val="clear" w:color="auto" w:fill="auto"/>
          </w:tcPr>
          <w:p w14:paraId="1845B373" w14:textId="10C24467" w:rsidR="00FB1751" w:rsidRPr="00B87CC5" w:rsidRDefault="006844CC" w:rsidP="00606A28">
            <w:pPr>
              <w:pStyle w:val="TableTextbold"/>
              <w:spacing w:before="40" w:after="40"/>
              <w:rPr>
                <w:b w:val="0"/>
                <w:bCs/>
              </w:rPr>
            </w:pPr>
            <w:r w:rsidRPr="00B87CC5">
              <w:t>First</w:t>
            </w:r>
          </w:p>
        </w:tc>
        <w:tc>
          <w:tcPr>
            <w:tcW w:w="998" w:type="pct"/>
            <w:shd w:val="clear" w:color="auto" w:fill="auto"/>
          </w:tcPr>
          <w:p w14:paraId="450213A0" w14:textId="77777777" w:rsidR="00FB1751" w:rsidRPr="00B87CC5" w:rsidRDefault="00FB1751" w:rsidP="00606A28">
            <w:pPr>
              <w:pStyle w:val="TableTextbold"/>
              <w:spacing w:before="40" w:after="40"/>
              <w:rPr>
                <w:b w:val="0"/>
                <w:bCs/>
              </w:rPr>
            </w:pPr>
            <w:r w:rsidRPr="00B87CC5">
              <w:t>Net emissions</w:t>
            </w:r>
          </w:p>
        </w:tc>
        <w:tc>
          <w:tcPr>
            <w:tcW w:w="440" w:type="pct"/>
          </w:tcPr>
          <w:p w14:paraId="7BB7BA96" w14:textId="77777777" w:rsidR="00FB1751" w:rsidRPr="00B87CC5" w:rsidRDefault="00FB1751" w:rsidP="00965AE7">
            <w:pPr>
              <w:pStyle w:val="TableTextbold"/>
              <w:spacing w:before="40" w:after="40"/>
              <w:jc w:val="center"/>
              <w:rPr>
                <w:b w:val="0"/>
                <w:bCs/>
              </w:rPr>
            </w:pPr>
            <w:r w:rsidRPr="00B87CC5">
              <w:t>290</w:t>
            </w:r>
          </w:p>
        </w:tc>
        <w:tc>
          <w:tcPr>
            <w:tcW w:w="812" w:type="pct"/>
          </w:tcPr>
          <w:p w14:paraId="527E080C" w14:textId="77777777" w:rsidR="00FB1751" w:rsidRPr="00B87CC5" w:rsidRDefault="00FB1751" w:rsidP="00606A28">
            <w:pPr>
              <w:pStyle w:val="TableTextbold"/>
              <w:spacing w:before="40" w:after="40"/>
              <w:jc w:val="right"/>
              <w:rPr>
                <w:b w:val="0"/>
                <w:bCs/>
              </w:rPr>
            </w:pPr>
            <w:r w:rsidRPr="00B87CC5">
              <w:t>277</w:t>
            </w:r>
          </w:p>
        </w:tc>
        <w:tc>
          <w:tcPr>
            <w:tcW w:w="919" w:type="pct"/>
            <w:vAlign w:val="center"/>
          </w:tcPr>
          <w:p w14:paraId="4807A26E" w14:textId="77777777" w:rsidR="00FB1751" w:rsidRPr="00B87CC5" w:rsidRDefault="00FB1751" w:rsidP="00606A28">
            <w:pPr>
              <w:pStyle w:val="TableTextbold"/>
              <w:spacing w:before="40" w:after="40"/>
              <w:jc w:val="right"/>
              <w:rPr>
                <w:b w:val="0"/>
                <w:bCs/>
              </w:rPr>
            </w:pPr>
            <w:r w:rsidRPr="00B87CC5">
              <w:t>284</w:t>
            </w:r>
            <w:r w:rsidRPr="00B87CC5">
              <w:rPr>
                <w:b w:val="0"/>
              </w:rPr>
              <w:t>.0 ±4</w:t>
            </w:r>
          </w:p>
        </w:tc>
        <w:tc>
          <w:tcPr>
            <w:tcW w:w="997" w:type="pct"/>
            <w:vAlign w:val="bottom"/>
          </w:tcPr>
          <w:p w14:paraId="7F3FA5B0" w14:textId="652BE1FE" w:rsidR="00FB1751" w:rsidRPr="00B87CC5" w:rsidRDefault="00FB1751" w:rsidP="00606A28">
            <w:pPr>
              <w:pStyle w:val="TableTextbold"/>
              <w:spacing w:before="40" w:after="40"/>
              <w:jc w:val="right"/>
              <w:rPr>
                <w:b w:val="0"/>
                <w:bCs/>
                <w:szCs w:val="18"/>
              </w:rPr>
            </w:pPr>
            <w:r w:rsidRPr="00B87CC5">
              <w:t>284</w:t>
            </w:r>
            <w:r w:rsidRPr="00B87CC5">
              <w:rPr>
                <w:rFonts w:cs="Calibri"/>
                <w:b w:val="0"/>
                <w:bCs/>
                <w:color w:val="000000"/>
                <w:szCs w:val="18"/>
              </w:rPr>
              <w:t>.0 ±4</w:t>
            </w:r>
          </w:p>
        </w:tc>
      </w:tr>
      <w:tr w:rsidR="00FB1751" w:rsidRPr="00B87CC5" w14:paraId="0678F5D5" w14:textId="1632D507" w:rsidTr="00965AE7">
        <w:trPr>
          <w:trHeight w:val="284"/>
        </w:trPr>
        <w:tc>
          <w:tcPr>
            <w:tcW w:w="834" w:type="pct"/>
            <w:tcBorders>
              <w:top w:val="nil"/>
              <w:bottom w:val="nil"/>
            </w:tcBorders>
            <w:shd w:val="clear" w:color="auto" w:fill="auto"/>
          </w:tcPr>
          <w:p w14:paraId="5D0F8865" w14:textId="77777777" w:rsidR="00FB1751" w:rsidRPr="00B87CC5" w:rsidRDefault="00FB1751" w:rsidP="00606A28">
            <w:pPr>
              <w:pStyle w:val="TableText"/>
              <w:spacing w:before="40" w:after="40"/>
            </w:pPr>
          </w:p>
        </w:tc>
        <w:tc>
          <w:tcPr>
            <w:tcW w:w="998" w:type="pct"/>
            <w:shd w:val="clear" w:color="auto" w:fill="auto"/>
          </w:tcPr>
          <w:p w14:paraId="37F07158" w14:textId="77777777" w:rsidR="00FB1751" w:rsidRPr="00B87CC5" w:rsidRDefault="00FB1751" w:rsidP="00606A28">
            <w:pPr>
              <w:pStyle w:val="TableText"/>
              <w:spacing w:before="40" w:after="40"/>
            </w:pPr>
            <w:r w:rsidRPr="00B87CC5">
              <w:t>Gross emissions</w:t>
            </w:r>
          </w:p>
        </w:tc>
        <w:tc>
          <w:tcPr>
            <w:tcW w:w="440" w:type="pct"/>
          </w:tcPr>
          <w:p w14:paraId="1E3910F7" w14:textId="77777777" w:rsidR="00FB1751" w:rsidRPr="00B87CC5" w:rsidRDefault="00FB1751" w:rsidP="00965AE7">
            <w:pPr>
              <w:pStyle w:val="TableText"/>
              <w:spacing w:before="40" w:after="40"/>
              <w:jc w:val="center"/>
            </w:pPr>
          </w:p>
        </w:tc>
        <w:tc>
          <w:tcPr>
            <w:tcW w:w="812" w:type="pct"/>
          </w:tcPr>
          <w:p w14:paraId="0E4C9EF6" w14:textId="77777777" w:rsidR="00FB1751" w:rsidRPr="00B87CC5" w:rsidRDefault="00FB1751" w:rsidP="00606A28">
            <w:pPr>
              <w:pStyle w:val="TableText"/>
              <w:spacing w:before="40" w:after="40"/>
              <w:jc w:val="right"/>
            </w:pPr>
            <w:r w:rsidRPr="00B87CC5">
              <w:t>301</w:t>
            </w:r>
          </w:p>
        </w:tc>
        <w:tc>
          <w:tcPr>
            <w:tcW w:w="919" w:type="pct"/>
            <w:vAlign w:val="center"/>
          </w:tcPr>
          <w:p w14:paraId="2C7B04EE" w14:textId="41CD6931" w:rsidR="00FB1751" w:rsidRPr="00B87CC5" w:rsidRDefault="00FB1751" w:rsidP="00606A28">
            <w:pPr>
              <w:pStyle w:val="TableText"/>
              <w:spacing w:before="40" w:after="40"/>
              <w:jc w:val="right"/>
            </w:pPr>
            <w:r w:rsidRPr="00B87CC5">
              <w:t>307</w:t>
            </w:r>
            <w:r w:rsidR="00BF13F0" w:rsidRPr="00B87CC5">
              <w:t>.</w:t>
            </w:r>
            <w:r w:rsidR="00F41066" w:rsidRPr="00B87CC5">
              <w:t>4</w:t>
            </w:r>
          </w:p>
        </w:tc>
        <w:tc>
          <w:tcPr>
            <w:tcW w:w="997" w:type="pct"/>
            <w:vAlign w:val="bottom"/>
          </w:tcPr>
          <w:p w14:paraId="37231A93" w14:textId="71F29A79" w:rsidR="00FB1751" w:rsidRPr="00B87CC5" w:rsidRDefault="00FB1751" w:rsidP="00606A28">
            <w:pPr>
              <w:pStyle w:val="TableText"/>
              <w:spacing w:before="40" w:after="40"/>
              <w:jc w:val="right"/>
            </w:pPr>
            <w:r w:rsidRPr="00B87CC5">
              <w:t>307</w:t>
            </w:r>
            <w:r w:rsidR="00982FE2" w:rsidRPr="00B87CC5">
              <w:t>.3</w:t>
            </w:r>
          </w:p>
        </w:tc>
      </w:tr>
      <w:tr w:rsidR="00FB1751" w:rsidRPr="00B87CC5" w14:paraId="15B612AC" w14:textId="3324D743" w:rsidTr="00965AE7">
        <w:trPr>
          <w:trHeight w:val="284"/>
        </w:trPr>
        <w:tc>
          <w:tcPr>
            <w:tcW w:w="834" w:type="pct"/>
            <w:tcBorders>
              <w:top w:val="nil"/>
              <w:bottom w:val="single" w:sz="4" w:space="0" w:color="1B556B" w:themeColor="text2"/>
            </w:tcBorders>
          </w:tcPr>
          <w:p w14:paraId="697B97E9" w14:textId="77777777" w:rsidR="00FB1751" w:rsidRPr="00B87CC5" w:rsidRDefault="00FB1751" w:rsidP="00606A28">
            <w:pPr>
              <w:pStyle w:val="TableText"/>
              <w:spacing w:before="40" w:after="40"/>
            </w:pPr>
          </w:p>
        </w:tc>
        <w:tc>
          <w:tcPr>
            <w:tcW w:w="998" w:type="pct"/>
          </w:tcPr>
          <w:p w14:paraId="457FB3F0" w14:textId="77777777" w:rsidR="00FB1751" w:rsidRPr="00B87CC5" w:rsidRDefault="00FB1751" w:rsidP="00606A28">
            <w:pPr>
              <w:pStyle w:val="TableText"/>
              <w:spacing w:before="40" w:after="40"/>
            </w:pPr>
            <w:r w:rsidRPr="00B87CC5">
              <w:t>Removals</w:t>
            </w:r>
          </w:p>
        </w:tc>
        <w:tc>
          <w:tcPr>
            <w:tcW w:w="440" w:type="pct"/>
          </w:tcPr>
          <w:p w14:paraId="4F26E66A" w14:textId="77777777" w:rsidR="00FB1751" w:rsidRPr="00B87CC5" w:rsidRDefault="00FB1751" w:rsidP="00965AE7">
            <w:pPr>
              <w:pStyle w:val="TableText"/>
              <w:spacing w:before="40" w:after="40"/>
              <w:jc w:val="center"/>
            </w:pPr>
          </w:p>
        </w:tc>
        <w:tc>
          <w:tcPr>
            <w:tcW w:w="812" w:type="pct"/>
          </w:tcPr>
          <w:p w14:paraId="22623D63" w14:textId="69A35151" w:rsidR="00FB1751" w:rsidRPr="00B87CC5" w:rsidRDefault="006844CC" w:rsidP="00606A28">
            <w:pPr>
              <w:pStyle w:val="TableText"/>
              <w:spacing w:before="40" w:after="40"/>
              <w:jc w:val="right"/>
            </w:pPr>
            <w:r w:rsidRPr="00B87CC5">
              <w:t>–</w:t>
            </w:r>
            <w:r w:rsidR="00FB1751" w:rsidRPr="00B87CC5">
              <w:t>24</w:t>
            </w:r>
          </w:p>
        </w:tc>
        <w:tc>
          <w:tcPr>
            <w:tcW w:w="919" w:type="pct"/>
            <w:vAlign w:val="center"/>
          </w:tcPr>
          <w:p w14:paraId="2DD9C061" w14:textId="39737DF9" w:rsidR="00FB1751" w:rsidRPr="00B87CC5" w:rsidRDefault="006844CC" w:rsidP="00606A28">
            <w:pPr>
              <w:pStyle w:val="TableText"/>
              <w:spacing w:before="40" w:after="40"/>
              <w:jc w:val="right"/>
            </w:pPr>
            <w:r w:rsidRPr="00B87CC5">
              <w:t>–</w:t>
            </w:r>
            <w:r w:rsidR="00FB1751" w:rsidRPr="00B87CC5">
              <w:t>23</w:t>
            </w:r>
            <w:r w:rsidR="00F41066" w:rsidRPr="00B87CC5">
              <w:t>.3</w:t>
            </w:r>
          </w:p>
        </w:tc>
        <w:tc>
          <w:tcPr>
            <w:tcW w:w="997" w:type="pct"/>
            <w:vAlign w:val="bottom"/>
          </w:tcPr>
          <w:p w14:paraId="2762ED0C" w14:textId="1EB4825D" w:rsidR="00FB1751" w:rsidRPr="00B87CC5" w:rsidRDefault="006844CC" w:rsidP="00606A28">
            <w:pPr>
              <w:pStyle w:val="TableText"/>
              <w:spacing w:before="40" w:after="40"/>
              <w:jc w:val="right"/>
            </w:pPr>
            <w:r w:rsidRPr="00B87CC5">
              <w:t>–</w:t>
            </w:r>
            <w:r w:rsidR="00FB1751" w:rsidRPr="00B87CC5">
              <w:t>23</w:t>
            </w:r>
            <w:r w:rsidR="00982FE2" w:rsidRPr="00B87CC5">
              <w:t>.3</w:t>
            </w:r>
          </w:p>
        </w:tc>
      </w:tr>
      <w:tr w:rsidR="00FB1751" w:rsidRPr="00B87CC5" w14:paraId="25C05360" w14:textId="4F3E566E" w:rsidTr="00965AE7">
        <w:trPr>
          <w:trHeight w:val="284"/>
        </w:trPr>
        <w:tc>
          <w:tcPr>
            <w:tcW w:w="834" w:type="pct"/>
            <w:tcBorders>
              <w:bottom w:val="nil"/>
            </w:tcBorders>
          </w:tcPr>
          <w:p w14:paraId="04F70444" w14:textId="0DF9F983" w:rsidR="00FB1751" w:rsidRPr="00B87CC5" w:rsidRDefault="006844CC" w:rsidP="00606A28">
            <w:pPr>
              <w:pStyle w:val="TableTextbold"/>
              <w:spacing w:before="40" w:after="40"/>
              <w:rPr>
                <w:b w:val="0"/>
                <w:bCs/>
              </w:rPr>
            </w:pPr>
            <w:r w:rsidRPr="00B87CC5">
              <w:t>Second</w:t>
            </w:r>
          </w:p>
        </w:tc>
        <w:tc>
          <w:tcPr>
            <w:tcW w:w="998" w:type="pct"/>
          </w:tcPr>
          <w:p w14:paraId="136B4586" w14:textId="77777777" w:rsidR="00FB1751" w:rsidRPr="00B87CC5" w:rsidRDefault="00FB1751" w:rsidP="00606A28">
            <w:pPr>
              <w:pStyle w:val="TableTextbold"/>
              <w:spacing w:before="40" w:after="40"/>
              <w:rPr>
                <w:b w:val="0"/>
                <w:bCs/>
              </w:rPr>
            </w:pPr>
            <w:r w:rsidRPr="00B87CC5">
              <w:t>Net emissions</w:t>
            </w:r>
          </w:p>
        </w:tc>
        <w:tc>
          <w:tcPr>
            <w:tcW w:w="440" w:type="pct"/>
          </w:tcPr>
          <w:p w14:paraId="1556EE96" w14:textId="77777777" w:rsidR="00FB1751" w:rsidRPr="00B87CC5" w:rsidRDefault="00FB1751" w:rsidP="00965AE7">
            <w:pPr>
              <w:pStyle w:val="TableTextbold"/>
              <w:spacing w:before="40" w:after="40"/>
              <w:jc w:val="center"/>
              <w:rPr>
                <w:b w:val="0"/>
                <w:bCs/>
              </w:rPr>
            </w:pPr>
            <w:r w:rsidRPr="00B87CC5">
              <w:t>305</w:t>
            </w:r>
          </w:p>
        </w:tc>
        <w:tc>
          <w:tcPr>
            <w:tcW w:w="812" w:type="pct"/>
          </w:tcPr>
          <w:p w14:paraId="430BC037" w14:textId="77777777" w:rsidR="00FB1751" w:rsidRPr="00B87CC5" w:rsidRDefault="00FB1751" w:rsidP="00606A28">
            <w:pPr>
              <w:pStyle w:val="TableTextbold"/>
              <w:spacing w:before="40" w:after="40"/>
              <w:jc w:val="right"/>
              <w:rPr>
                <w:b w:val="0"/>
                <w:bCs/>
              </w:rPr>
            </w:pPr>
            <w:r w:rsidRPr="00B87CC5">
              <w:t>281</w:t>
            </w:r>
          </w:p>
        </w:tc>
        <w:tc>
          <w:tcPr>
            <w:tcW w:w="919" w:type="pct"/>
            <w:vAlign w:val="center"/>
          </w:tcPr>
          <w:p w14:paraId="34D9E203" w14:textId="77777777" w:rsidR="00FB1751" w:rsidRPr="00B87CC5" w:rsidRDefault="00FB1751" w:rsidP="00606A28">
            <w:pPr>
              <w:pStyle w:val="TableTextbold"/>
              <w:spacing w:before="40" w:after="40"/>
              <w:jc w:val="right"/>
              <w:rPr>
                <w:b w:val="0"/>
                <w:bCs/>
              </w:rPr>
            </w:pPr>
            <w:r w:rsidRPr="00B87CC5">
              <w:t>307.1 ±18</w:t>
            </w:r>
          </w:p>
        </w:tc>
        <w:tc>
          <w:tcPr>
            <w:tcW w:w="997" w:type="pct"/>
            <w:vAlign w:val="bottom"/>
          </w:tcPr>
          <w:p w14:paraId="25868DF5" w14:textId="0B4F134E" w:rsidR="00FB1751" w:rsidRPr="00B87CC5" w:rsidRDefault="00FB1751" w:rsidP="00606A28">
            <w:pPr>
              <w:pStyle w:val="TableTextbold"/>
              <w:spacing w:before="40" w:after="40"/>
              <w:jc w:val="right"/>
              <w:rPr>
                <w:b w:val="0"/>
                <w:bCs/>
                <w:szCs w:val="18"/>
              </w:rPr>
            </w:pPr>
            <w:r w:rsidRPr="00B87CC5">
              <w:t>30</w:t>
            </w:r>
            <w:r w:rsidR="00982FE2" w:rsidRPr="00B87CC5">
              <w:t>3.3</w:t>
            </w:r>
            <w:r w:rsidRPr="00B87CC5">
              <w:t xml:space="preserve"> ±18</w:t>
            </w:r>
          </w:p>
        </w:tc>
      </w:tr>
      <w:tr w:rsidR="00FB1751" w:rsidRPr="00B87CC5" w14:paraId="54BC8D2C" w14:textId="21FCD6CA" w:rsidTr="00965AE7">
        <w:trPr>
          <w:trHeight w:val="284"/>
        </w:trPr>
        <w:tc>
          <w:tcPr>
            <w:tcW w:w="834" w:type="pct"/>
            <w:tcBorders>
              <w:top w:val="nil"/>
              <w:bottom w:val="nil"/>
            </w:tcBorders>
          </w:tcPr>
          <w:p w14:paraId="5E4B4BE3" w14:textId="77777777" w:rsidR="00FB1751" w:rsidRPr="00B87CC5" w:rsidRDefault="00FB1751" w:rsidP="00606A28">
            <w:pPr>
              <w:pStyle w:val="TableText"/>
              <w:spacing w:before="40" w:after="40"/>
            </w:pPr>
          </w:p>
        </w:tc>
        <w:tc>
          <w:tcPr>
            <w:tcW w:w="998" w:type="pct"/>
          </w:tcPr>
          <w:p w14:paraId="09AB1E48" w14:textId="77777777" w:rsidR="00FB1751" w:rsidRPr="00B87CC5" w:rsidRDefault="00FB1751" w:rsidP="00606A28">
            <w:pPr>
              <w:pStyle w:val="TableText"/>
              <w:spacing w:before="40" w:after="40"/>
            </w:pPr>
            <w:r w:rsidRPr="00B87CC5">
              <w:t>Gross emissions</w:t>
            </w:r>
          </w:p>
        </w:tc>
        <w:tc>
          <w:tcPr>
            <w:tcW w:w="440" w:type="pct"/>
          </w:tcPr>
          <w:p w14:paraId="04B56955" w14:textId="77777777" w:rsidR="00FB1751" w:rsidRPr="00B87CC5" w:rsidRDefault="00FB1751" w:rsidP="00965AE7">
            <w:pPr>
              <w:pStyle w:val="TableText"/>
              <w:spacing w:before="40" w:after="40"/>
              <w:jc w:val="center"/>
            </w:pPr>
          </w:p>
        </w:tc>
        <w:tc>
          <w:tcPr>
            <w:tcW w:w="812" w:type="pct"/>
          </w:tcPr>
          <w:p w14:paraId="3E9685B2" w14:textId="77777777" w:rsidR="00FB1751" w:rsidRPr="00B87CC5" w:rsidRDefault="00FB1751" w:rsidP="00606A28">
            <w:pPr>
              <w:pStyle w:val="TableText"/>
              <w:spacing w:before="40" w:after="40"/>
              <w:jc w:val="right"/>
            </w:pPr>
            <w:r w:rsidRPr="00B87CC5">
              <w:t>342</w:t>
            </w:r>
          </w:p>
        </w:tc>
        <w:tc>
          <w:tcPr>
            <w:tcW w:w="919" w:type="pct"/>
            <w:vAlign w:val="center"/>
          </w:tcPr>
          <w:p w14:paraId="2F93D0C3" w14:textId="2ABA1A58" w:rsidR="00FB1751" w:rsidRPr="00B87CC5" w:rsidRDefault="00FB1751" w:rsidP="00606A28">
            <w:pPr>
              <w:pStyle w:val="TableText"/>
              <w:spacing w:before="40" w:after="40"/>
              <w:jc w:val="right"/>
            </w:pPr>
            <w:r w:rsidRPr="00B87CC5">
              <w:t>368</w:t>
            </w:r>
            <w:r w:rsidR="00F41066" w:rsidRPr="00B87CC5">
              <w:t>.4</w:t>
            </w:r>
          </w:p>
        </w:tc>
        <w:tc>
          <w:tcPr>
            <w:tcW w:w="997" w:type="pct"/>
            <w:vAlign w:val="bottom"/>
          </w:tcPr>
          <w:p w14:paraId="7BC8D547" w14:textId="110CAE43" w:rsidR="00FB1751" w:rsidRPr="00B87CC5" w:rsidRDefault="008F58F3" w:rsidP="00606A28">
            <w:pPr>
              <w:pStyle w:val="TableText"/>
              <w:spacing w:before="40" w:after="40"/>
              <w:jc w:val="right"/>
            </w:pPr>
            <w:r w:rsidRPr="00B87CC5">
              <w:t>364.5</w:t>
            </w:r>
          </w:p>
        </w:tc>
      </w:tr>
      <w:tr w:rsidR="00FB1751" w:rsidRPr="00B87CC5" w14:paraId="668EDEE8" w14:textId="524FE038" w:rsidTr="00965AE7">
        <w:trPr>
          <w:trHeight w:val="284"/>
        </w:trPr>
        <w:tc>
          <w:tcPr>
            <w:tcW w:w="834" w:type="pct"/>
            <w:tcBorders>
              <w:top w:val="nil"/>
            </w:tcBorders>
          </w:tcPr>
          <w:p w14:paraId="6080C3FF" w14:textId="77777777" w:rsidR="00FB1751" w:rsidRPr="00B87CC5" w:rsidRDefault="00FB1751" w:rsidP="00606A28">
            <w:pPr>
              <w:pStyle w:val="TableText"/>
              <w:spacing w:before="40" w:after="40"/>
            </w:pPr>
          </w:p>
        </w:tc>
        <w:tc>
          <w:tcPr>
            <w:tcW w:w="998" w:type="pct"/>
          </w:tcPr>
          <w:p w14:paraId="46EC06DF" w14:textId="77777777" w:rsidR="00FB1751" w:rsidRPr="00B87CC5" w:rsidRDefault="00FB1751" w:rsidP="00606A28">
            <w:pPr>
              <w:pStyle w:val="TableText"/>
              <w:spacing w:before="40" w:after="40"/>
            </w:pPr>
            <w:r w:rsidRPr="00B87CC5">
              <w:t>Removals</w:t>
            </w:r>
          </w:p>
        </w:tc>
        <w:tc>
          <w:tcPr>
            <w:tcW w:w="440" w:type="pct"/>
          </w:tcPr>
          <w:p w14:paraId="67D06ECD" w14:textId="77777777" w:rsidR="00FB1751" w:rsidRPr="00B87CC5" w:rsidRDefault="00FB1751" w:rsidP="00965AE7">
            <w:pPr>
              <w:pStyle w:val="TableText"/>
              <w:spacing w:before="40" w:after="40"/>
              <w:jc w:val="center"/>
            </w:pPr>
          </w:p>
        </w:tc>
        <w:tc>
          <w:tcPr>
            <w:tcW w:w="812" w:type="pct"/>
          </w:tcPr>
          <w:p w14:paraId="4237ADDA" w14:textId="2E86025A" w:rsidR="00FB1751" w:rsidRPr="00B87CC5" w:rsidRDefault="006844CC" w:rsidP="00606A28">
            <w:pPr>
              <w:pStyle w:val="TableText"/>
              <w:spacing w:before="40" w:after="40"/>
              <w:jc w:val="right"/>
            </w:pPr>
            <w:r w:rsidRPr="00B87CC5">
              <w:t>–</w:t>
            </w:r>
            <w:r w:rsidR="00FB1751" w:rsidRPr="00B87CC5">
              <w:t>61</w:t>
            </w:r>
          </w:p>
        </w:tc>
        <w:tc>
          <w:tcPr>
            <w:tcW w:w="919" w:type="pct"/>
            <w:vAlign w:val="center"/>
          </w:tcPr>
          <w:p w14:paraId="6D1555F1" w14:textId="66151182" w:rsidR="00FB1751" w:rsidRPr="00B87CC5" w:rsidRDefault="006844CC" w:rsidP="00606A28">
            <w:pPr>
              <w:pStyle w:val="TableText"/>
              <w:spacing w:before="40" w:after="40"/>
              <w:jc w:val="right"/>
            </w:pPr>
            <w:r w:rsidRPr="00B87CC5">
              <w:t>–</w:t>
            </w:r>
            <w:r w:rsidR="00FB1751" w:rsidRPr="00B87CC5">
              <w:t>61</w:t>
            </w:r>
            <w:r w:rsidR="00F41066" w:rsidRPr="00B87CC5">
              <w:t>.3</w:t>
            </w:r>
          </w:p>
        </w:tc>
        <w:tc>
          <w:tcPr>
            <w:tcW w:w="997" w:type="pct"/>
            <w:vAlign w:val="bottom"/>
          </w:tcPr>
          <w:p w14:paraId="5D59AC1E" w14:textId="014CA8EB" w:rsidR="00FB1751" w:rsidRPr="00B87CC5" w:rsidRDefault="006844CC" w:rsidP="00606A28">
            <w:pPr>
              <w:pStyle w:val="TableText"/>
              <w:spacing w:before="40" w:after="40"/>
              <w:jc w:val="right"/>
            </w:pPr>
            <w:r w:rsidRPr="00B87CC5">
              <w:t>–</w:t>
            </w:r>
            <w:r w:rsidR="00FB1751" w:rsidRPr="00B87CC5">
              <w:t>6</w:t>
            </w:r>
            <w:r w:rsidR="0011139A" w:rsidRPr="00B87CC5">
              <w:t>1</w:t>
            </w:r>
            <w:r w:rsidR="00982FE2" w:rsidRPr="00B87CC5">
              <w:t>.</w:t>
            </w:r>
            <w:r w:rsidR="000B07D5" w:rsidRPr="00B87CC5">
              <w:t>3</w:t>
            </w:r>
          </w:p>
        </w:tc>
      </w:tr>
      <w:tr w:rsidR="00FB1751" w:rsidRPr="00B87CC5" w14:paraId="40653D43" w14:textId="26B1503C" w:rsidTr="00965AE7">
        <w:trPr>
          <w:trHeight w:val="284"/>
        </w:trPr>
        <w:tc>
          <w:tcPr>
            <w:tcW w:w="834" w:type="pct"/>
            <w:tcBorders>
              <w:bottom w:val="nil"/>
            </w:tcBorders>
          </w:tcPr>
          <w:p w14:paraId="120A5AE7" w14:textId="74F8DD57" w:rsidR="00FB1751" w:rsidRPr="00B87CC5" w:rsidRDefault="006844CC" w:rsidP="00606A28">
            <w:pPr>
              <w:pStyle w:val="TableTextbold"/>
              <w:spacing w:before="40" w:after="40"/>
              <w:rPr>
                <w:b w:val="0"/>
                <w:bCs/>
              </w:rPr>
            </w:pPr>
            <w:r w:rsidRPr="00B87CC5">
              <w:t>Third</w:t>
            </w:r>
          </w:p>
        </w:tc>
        <w:tc>
          <w:tcPr>
            <w:tcW w:w="998" w:type="pct"/>
          </w:tcPr>
          <w:p w14:paraId="324E039F" w14:textId="77777777" w:rsidR="00FB1751" w:rsidRPr="00B87CC5" w:rsidRDefault="00FB1751" w:rsidP="00606A28">
            <w:pPr>
              <w:pStyle w:val="TableTextbold"/>
              <w:spacing w:before="40" w:after="40"/>
              <w:rPr>
                <w:b w:val="0"/>
                <w:bCs/>
              </w:rPr>
            </w:pPr>
            <w:r w:rsidRPr="00B87CC5">
              <w:t>Net emissions</w:t>
            </w:r>
          </w:p>
        </w:tc>
        <w:tc>
          <w:tcPr>
            <w:tcW w:w="440" w:type="pct"/>
          </w:tcPr>
          <w:p w14:paraId="75EDAAF9" w14:textId="77777777" w:rsidR="00FB1751" w:rsidRPr="00B87CC5" w:rsidRDefault="00FB1751" w:rsidP="00965AE7">
            <w:pPr>
              <w:pStyle w:val="TableTextbold"/>
              <w:spacing w:before="40" w:after="40"/>
              <w:jc w:val="center"/>
              <w:rPr>
                <w:b w:val="0"/>
                <w:bCs/>
              </w:rPr>
            </w:pPr>
            <w:r w:rsidRPr="00B87CC5">
              <w:t>240</w:t>
            </w:r>
          </w:p>
        </w:tc>
        <w:tc>
          <w:tcPr>
            <w:tcW w:w="812" w:type="pct"/>
          </w:tcPr>
          <w:p w14:paraId="39C505D9" w14:textId="77777777" w:rsidR="00FB1751" w:rsidRPr="00B87CC5" w:rsidRDefault="00FB1751" w:rsidP="00606A28">
            <w:pPr>
              <w:pStyle w:val="TableTextbold"/>
              <w:spacing w:before="40" w:after="40"/>
              <w:jc w:val="right"/>
              <w:rPr>
                <w:b w:val="0"/>
                <w:bCs/>
              </w:rPr>
            </w:pPr>
            <w:r w:rsidRPr="00B87CC5">
              <w:t>233</w:t>
            </w:r>
          </w:p>
        </w:tc>
        <w:tc>
          <w:tcPr>
            <w:tcW w:w="919" w:type="pct"/>
            <w:vAlign w:val="center"/>
          </w:tcPr>
          <w:p w14:paraId="567E252E" w14:textId="77777777" w:rsidR="00FB1751" w:rsidRPr="00B87CC5" w:rsidRDefault="00FB1751" w:rsidP="00606A28">
            <w:pPr>
              <w:pStyle w:val="TableTextbold"/>
              <w:spacing w:before="40" w:after="40"/>
              <w:jc w:val="right"/>
              <w:rPr>
                <w:b w:val="0"/>
                <w:bCs/>
              </w:rPr>
            </w:pPr>
            <w:r w:rsidRPr="00B87CC5">
              <w:t>270.1 ±29</w:t>
            </w:r>
          </w:p>
        </w:tc>
        <w:tc>
          <w:tcPr>
            <w:tcW w:w="997" w:type="pct"/>
            <w:vAlign w:val="bottom"/>
          </w:tcPr>
          <w:p w14:paraId="7B5FD6B3" w14:textId="45A09CEF" w:rsidR="00FB1751" w:rsidRPr="00B87CC5" w:rsidRDefault="00650F02" w:rsidP="00606A28">
            <w:pPr>
              <w:pStyle w:val="TableTextbold"/>
              <w:spacing w:before="40" w:after="40"/>
              <w:jc w:val="right"/>
              <w:rPr>
                <w:b w:val="0"/>
                <w:bCs/>
                <w:szCs w:val="18"/>
              </w:rPr>
            </w:pPr>
            <w:r w:rsidRPr="00B87CC5">
              <w:t>25</w:t>
            </w:r>
            <w:r w:rsidR="001B6B91" w:rsidRPr="00B87CC5">
              <w:t>7</w:t>
            </w:r>
            <w:r w:rsidRPr="00B87CC5">
              <w:t>.</w:t>
            </w:r>
            <w:r w:rsidR="001B6B91" w:rsidRPr="00B87CC5">
              <w:t>4</w:t>
            </w:r>
            <w:r w:rsidR="00FB1751" w:rsidRPr="00B87CC5">
              <w:t xml:space="preserve"> ±29</w:t>
            </w:r>
          </w:p>
        </w:tc>
      </w:tr>
      <w:tr w:rsidR="00FB1751" w:rsidRPr="00B87CC5" w14:paraId="386D9948" w14:textId="51FE4BF5" w:rsidTr="00965AE7">
        <w:trPr>
          <w:trHeight w:val="284"/>
        </w:trPr>
        <w:tc>
          <w:tcPr>
            <w:tcW w:w="834" w:type="pct"/>
            <w:tcBorders>
              <w:top w:val="nil"/>
              <w:bottom w:val="nil"/>
            </w:tcBorders>
          </w:tcPr>
          <w:p w14:paraId="06EC0E3B" w14:textId="77777777" w:rsidR="00FB1751" w:rsidRPr="00B87CC5" w:rsidRDefault="00FB1751" w:rsidP="00606A28">
            <w:pPr>
              <w:pStyle w:val="TableText"/>
              <w:spacing w:before="40" w:after="40"/>
            </w:pPr>
          </w:p>
        </w:tc>
        <w:tc>
          <w:tcPr>
            <w:tcW w:w="998" w:type="pct"/>
          </w:tcPr>
          <w:p w14:paraId="28EAAD93" w14:textId="77777777" w:rsidR="00FB1751" w:rsidRPr="00B87CC5" w:rsidRDefault="00FB1751" w:rsidP="00606A28">
            <w:pPr>
              <w:pStyle w:val="TableText"/>
              <w:spacing w:before="40" w:after="40"/>
            </w:pPr>
            <w:r w:rsidRPr="00B87CC5">
              <w:t>Gross emissions</w:t>
            </w:r>
          </w:p>
        </w:tc>
        <w:tc>
          <w:tcPr>
            <w:tcW w:w="440" w:type="pct"/>
          </w:tcPr>
          <w:p w14:paraId="4E11A676" w14:textId="77777777" w:rsidR="00FB1751" w:rsidRPr="00B87CC5" w:rsidRDefault="00FB1751" w:rsidP="00965AE7">
            <w:pPr>
              <w:pStyle w:val="TableText"/>
              <w:spacing w:before="40" w:after="40"/>
              <w:jc w:val="center"/>
            </w:pPr>
          </w:p>
        </w:tc>
        <w:tc>
          <w:tcPr>
            <w:tcW w:w="812" w:type="pct"/>
          </w:tcPr>
          <w:p w14:paraId="162BD057" w14:textId="77777777" w:rsidR="00FB1751" w:rsidRPr="00B87CC5" w:rsidRDefault="00FB1751" w:rsidP="00606A28">
            <w:pPr>
              <w:pStyle w:val="TableText"/>
              <w:spacing w:before="40" w:after="40"/>
              <w:jc w:val="right"/>
            </w:pPr>
            <w:r w:rsidRPr="00B87CC5">
              <w:t>326</w:t>
            </w:r>
          </w:p>
        </w:tc>
        <w:tc>
          <w:tcPr>
            <w:tcW w:w="919" w:type="pct"/>
            <w:vAlign w:val="center"/>
          </w:tcPr>
          <w:p w14:paraId="29E45A6C" w14:textId="1968394D" w:rsidR="00FB1751" w:rsidRPr="00B87CC5" w:rsidRDefault="00FB1751" w:rsidP="00606A28">
            <w:pPr>
              <w:pStyle w:val="TableText"/>
              <w:spacing w:before="40" w:after="40"/>
              <w:jc w:val="right"/>
            </w:pPr>
            <w:r w:rsidRPr="00B87CC5">
              <w:t>352</w:t>
            </w:r>
            <w:r w:rsidR="00F41066" w:rsidRPr="00B87CC5">
              <w:t>.5</w:t>
            </w:r>
          </w:p>
        </w:tc>
        <w:tc>
          <w:tcPr>
            <w:tcW w:w="997" w:type="pct"/>
            <w:vAlign w:val="bottom"/>
          </w:tcPr>
          <w:p w14:paraId="23B4DE62" w14:textId="40CE2399" w:rsidR="00FB1751" w:rsidRPr="00B87CC5" w:rsidRDefault="00D37715" w:rsidP="00606A28">
            <w:pPr>
              <w:pStyle w:val="TableText"/>
              <w:spacing w:before="40" w:after="40"/>
              <w:jc w:val="right"/>
            </w:pPr>
            <w:r w:rsidRPr="00B87CC5">
              <w:t>339.7</w:t>
            </w:r>
          </w:p>
        </w:tc>
      </w:tr>
      <w:tr w:rsidR="00FB1751" w:rsidRPr="00B87CC5" w14:paraId="55DA3771" w14:textId="39F2D23B" w:rsidTr="00965AE7">
        <w:trPr>
          <w:trHeight w:val="284"/>
        </w:trPr>
        <w:tc>
          <w:tcPr>
            <w:tcW w:w="834" w:type="pct"/>
            <w:tcBorders>
              <w:top w:val="nil"/>
            </w:tcBorders>
          </w:tcPr>
          <w:p w14:paraId="5F9E33E6" w14:textId="77777777" w:rsidR="00FB1751" w:rsidRPr="00B87CC5" w:rsidRDefault="00FB1751" w:rsidP="00606A28">
            <w:pPr>
              <w:pStyle w:val="TableText"/>
              <w:spacing w:before="40" w:after="40"/>
            </w:pPr>
          </w:p>
        </w:tc>
        <w:tc>
          <w:tcPr>
            <w:tcW w:w="998" w:type="pct"/>
          </w:tcPr>
          <w:p w14:paraId="5339E91A" w14:textId="77777777" w:rsidR="00FB1751" w:rsidRPr="00B87CC5" w:rsidRDefault="00FB1751" w:rsidP="00606A28">
            <w:pPr>
              <w:pStyle w:val="TableText"/>
              <w:spacing w:before="40" w:after="40"/>
            </w:pPr>
            <w:r w:rsidRPr="00B87CC5">
              <w:t>Removals</w:t>
            </w:r>
          </w:p>
        </w:tc>
        <w:tc>
          <w:tcPr>
            <w:tcW w:w="440" w:type="pct"/>
          </w:tcPr>
          <w:p w14:paraId="6FB06F85" w14:textId="77777777" w:rsidR="00FB1751" w:rsidRPr="00B87CC5" w:rsidRDefault="00FB1751" w:rsidP="00965AE7">
            <w:pPr>
              <w:pStyle w:val="TableText"/>
              <w:spacing w:before="40" w:after="40"/>
              <w:jc w:val="center"/>
            </w:pPr>
          </w:p>
        </w:tc>
        <w:tc>
          <w:tcPr>
            <w:tcW w:w="812" w:type="pct"/>
          </w:tcPr>
          <w:p w14:paraId="5EB342CA" w14:textId="3F388B02" w:rsidR="00FB1751" w:rsidRPr="00B87CC5" w:rsidRDefault="006844CC" w:rsidP="00606A28">
            <w:pPr>
              <w:pStyle w:val="TableText"/>
              <w:spacing w:before="40" w:after="40"/>
              <w:jc w:val="right"/>
            </w:pPr>
            <w:r w:rsidRPr="00B87CC5">
              <w:t>–</w:t>
            </w:r>
            <w:r w:rsidR="00FB1751" w:rsidRPr="00B87CC5">
              <w:t>92</w:t>
            </w:r>
          </w:p>
        </w:tc>
        <w:tc>
          <w:tcPr>
            <w:tcW w:w="919" w:type="pct"/>
            <w:vAlign w:val="center"/>
          </w:tcPr>
          <w:p w14:paraId="1E163ACB" w14:textId="7739B12D" w:rsidR="00FB1751" w:rsidRPr="00B87CC5" w:rsidRDefault="006844CC" w:rsidP="00606A28">
            <w:pPr>
              <w:pStyle w:val="TableText"/>
              <w:spacing w:before="40" w:after="40"/>
              <w:jc w:val="right"/>
            </w:pPr>
            <w:r w:rsidRPr="00B87CC5">
              <w:t>–</w:t>
            </w:r>
            <w:r w:rsidR="00FB1751" w:rsidRPr="00B87CC5">
              <w:t>82</w:t>
            </w:r>
            <w:r w:rsidR="00F41066" w:rsidRPr="00B87CC5">
              <w:t>.3</w:t>
            </w:r>
          </w:p>
        </w:tc>
        <w:tc>
          <w:tcPr>
            <w:tcW w:w="997" w:type="pct"/>
            <w:vAlign w:val="bottom"/>
          </w:tcPr>
          <w:p w14:paraId="3377FB80" w14:textId="75612ECE" w:rsidR="00FB1751" w:rsidRPr="00B87CC5" w:rsidRDefault="006844CC" w:rsidP="00606A28">
            <w:pPr>
              <w:pStyle w:val="TableText"/>
              <w:spacing w:before="40" w:after="40"/>
              <w:jc w:val="right"/>
            </w:pPr>
            <w:r w:rsidRPr="00B87CC5">
              <w:t>–</w:t>
            </w:r>
            <w:r w:rsidR="00D07157" w:rsidRPr="00B87CC5">
              <w:t>82.3</w:t>
            </w:r>
          </w:p>
        </w:tc>
      </w:tr>
    </w:tbl>
    <w:p w14:paraId="6A693350" w14:textId="3004ACC4" w:rsidR="002B372D" w:rsidRPr="00B87CC5" w:rsidRDefault="002B372D" w:rsidP="00965AE7">
      <w:pPr>
        <w:pStyle w:val="Heading1"/>
        <w:spacing w:after="280"/>
      </w:pPr>
      <w:bookmarkStart w:id="82" w:name="_Toc171609752"/>
      <w:r w:rsidRPr="00B87CC5">
        <w:lastRenderedPageBreak/>
        <w:t xml:space="preserve">Macro-economic </w:t>
      </w:r>
      <w:r w:rsidR="007E0BBD" w:rsidRPr="00B87CC5">
        <w:t>and distributional impacts</w:t>
      </w:r>
      <w:bookmarkEnd w:id="82"/>
    </w:p>
    <w:p w14:paraId="3F45623F" w14:textId="66E13D96" w:rsidR="00745808" w:rsidRPr="00B87CC5" w:rsidRDefault="00745808" w:rsidP="00965AE7">
      <w:pPr>
        <w:pStyle w:val="BodyText"/>
        <w:spacing w:before="100" w:after="100"/>
      </w:pPr>
      <w:r w:rsidRPr="00B87CC5">
        <w:t>We will update our understanding of the expected quantitative and qualitative impacts of individual policies and the combined impacts of all ERP2 policies, including from the NZ ETS</w:t>
      </w:r>
      <w:r w:rsidR="00622A0F" w:rsidRPr="00B87CC5">
        <w:t>,</w:t>
      </w:r>
      <w:r w:rsidRPr="00B87CC5">
        <w:t xml:space="preserve"> as</w:t>
      </w:r>
      <w:r w:rsidR="00965AE7" w:rsidRPr="00B87CC5">
        <w:t> </w:t>
      </w:r>
      <w:r w:rsidRPr="00B87CC5">
        <w:t xml:space="preserve">part of the process of finalising and publishing ERP2 in December 2024. </w:t>
      </w:r>
      <w:r w:rsidR="00B51DB2" w:rsidRPr="00B87CC5">
        <w:t>At present, our understanding is limited to consideration of illustrative pathways to 2050. This section presents the preliminary macro-economic and distributional impact analysis of these illustrative pathways.</w:t>
      </w:r>
      <w:r w:rsidR="00B51DB2" w:rsidRPr="00B87CC5">
        <w:rPr>
          <w:rStyle w:val="FootnoteReference"/>
          <w:rFonts w:asciiTheme="minorHAnsi" w:hAnsiTheme="minorHAnsi"/>
          <w:sz w:val="24"/>
          <w:szCs w:val="24"/>
        </w:rPr>
        <w:footnoteReference w:id="21"/>
      </w:r>
      <w:r w:rsidRPr="00B87CC5">
        <w:t xml:space="preserve"> </w:t>
      </w:r>
    </w:p>
    <w:p w14:paraId="36FAE559" w14:textId="5F79D864" w:rsidR="00903266" w:rsidRPr="00B87CC5" w:rsidRDefault="007E0BBD" w:rsidP="00965AE7">
      <w:pPr>
        <w:pStyle w:val="BodyText"/>
        <w:spacing w:before="100" w:after="100"/>
      </w:pPr>
      <w:r w:rsidRPr="00B87CC5">
        <w:t xml:space="preserve">This modelling </w:t>
      </w:r>
      <w:r w:rsidR="00903266" w:rsidRPr="00B87CC5">
        <w:t>includes three scenar</w:t>
      </w:r>
      <w:r w:rsidR="0034594A" w:rsidRPr="00B87CC5">
        <w:t>ios</w:t>
      </w:r>
      <w:r w:rsidR="00923A88" w:rsidRPr="00B87CC5">
        <w:t>.</w:t>
      </w:r>
    </w:p>
    <w:p w14:paraId="50B71630" w14:textId="0F2FC967" w:rsidR="0034594A" w:rsidRPr="00B87CC5" w:rsidRDefault="002C07C7" w:rsidP="00965AE7">
      <w:pPr>
        <w:pStyle w:val="Bullet"/>
        <w:spacing w:after="100"/>
      </w:pPr>
      <w:r w:rsidRPr="00B87CC5">
        <w:rPr>
          <w:b/>
        </w:rPr>
        <w:t>Without measures pathway</w:t>
      </w:r>
      <w:r w:rsidR="00923A88" w:rsidRPr="00B87CC5">
        <w:rPr>
          <w:b/>
          <w:bCs/>
        </w:rPr>
        <w:t>.</w:t>
      </w:r>
      <w:r w:rsidRPr="00B87CC5">
        <w:t xml:space="preserve"> </w:t>
      </w:r>
      <w:r w:rsidR="00923A88" w:rsidRPr="00B87CC5">
        <w:t>In this</w:t>
      </w:r>
      <w:r w:rsidR="0034594A" w:rsidRPr="00B87CC5">
        <w:t xml:space="preserve"> hypothetical counterfactual scenario</w:t>
      </w:r>
      <w:r w:rsidR="00923A88" w:rsidRPr="00B87CC5">
        <w:t>,</w:t>
      </w:r>
      <w:r w:rsidR="0034594A" w:rsidRPr="00B87CC5" w:rsidDel="00923A88">
        <w:t xml:space="preserve"> </w:t>
      </w:r>
      <w:r w:rsidR="0034594A" w:rsidRPr="00B87CC5">
        <w:t>we have no climate mitigation policy</w:t>
      </w:r>
      <w:r w:rsidR="00923A88" w:rsidRPr="00B87CC5">
        <w:t>.</w:t>
      </w:r>
      <w:r w:rsidR="0034594A" w:rsidRPr="00B87CC5">
        <w:rPr>
          <w:rStyle w:val="FootnoteReference"/>
        </w:rPr>
        <w:footnoteReference w:id="22"/>
      </w:r>
      <w:r w:rsidR="00AB708E" w:rsidRPr="00B87CC5">
        <w:t xml:space="preserve"> This </w:t>
      </w:r>
      <w:r w:rsidR="00923A88" w:rsidRPr="00B87CC5">
        <w:t xml:space="preserve">scenario </w:t>
      </w:r>
      <w:r w:rsidR="00AB708E" w:rsidRPr="00B87CC5">
        <w:t xml:space="preserve">was </w:t>
      </w:r>
      <w:r w:rsidR="00923A88" w:rsidRPr="00B87CC5">
        <w:t xml:space="preserve">chosen </w:t>
      </w:r>
      <w:r w:rsidR="00AB708E" w:rsidRPr="00B87CC5">
        <w:t xml:space="preserve">to more clearly illustrate the impacts of the considered pathways </w:t>
      </w:r>
      <w:proofErr w:type="gramStart"/>
      <w:r w:rsidR="00AB708E" w:rsidRPr="00B87CC5">
        <w:t>as a whole across</w:t>
      </w:r>
      <w:proofErr w:type="gramEnd"/>
      <w:r w:rsidR="00AB708E" w:rsidRPr="00B87CC5">
        <w:t xml:space="preserve"> the time period</w:t>
      </w:r>
      <w:r w:rsidR="00923A88" w:rsidRPr="00B87CC5">
        <w:t xml:space="preserve"> under consideration</w:t>
      </w:r>
      <w:r w:rsidR="00AB708E" w:rsidRPr="00B87CC5">
        <w:t>.</w:t>
      </w:r>
    </w:p>
    <w:p w14:paraId="0A0CAA3B" w14:textId="72DF0B49" w:rsidR="0034594A" w:rsidRPr="00B87CC5" w:rsidRDefault="002C07C7" w:rsidP="00965AE7">
      <w:pPr>
        <w:pStyle w:val="Bullet"/>
        <w:spacing w:after="100"/>
      </w:pPr>
      <w:r w:rsidRPr="00B87CC5">
        <w:rPr>
          <w:b/>
        </w:rPr>
        <w:t>Current pathway</w:t>
      </w:r>
      <w:r w:rsidR="00923A88" w:rsidRPr="00B87CC5">
        <w:rPr>
          <w:b/>
          <w:bCs/>
        </w:rPr>
        <w:t>.</w:t>
      </w:r>
      <w:r w:rsidRPr="00B87CC5">
        <w:t xml:space="preserve"> </w:t>
      </w:r>
      <w:r w:rsidR="00923A88" w:rsidRPr="00B87CC5">
        <w:t>Under this</w:t>
      </w:r>
      <w:r w:rsidR="00835C9A" w:rsidRPr="00B87CC5">
        <w:t xml:space="preserve"> scenario</w:t>
      </w:r>
      <w:r w:rsidR="00923A88" w:rsidRPr="00B87CC5">
        <w:t>,</w:t>
      </w:r>
      <w:r w:rsidR="00835C9A" w:rsidRPr="00B87CC5" w:rsidDel="00923A88">
        <w:t xml:space="preserve"> </w:t>
      </w:r>
      <w:r w:rsidR="00AF3296" w:rsidRPr="00B87CC5">
        <w:t>we continue with our existing climate policies (excluding proposed ERP2 policies)</w:t>
      </w:r>
      <w:r w:rsidR="00F60C16" w:rsidRPr="00B87CC5">
        <w:t>.</w:t>
      </w:r>
      <w:r w:rsidR="00923A88" w:rsidRPr="00B87CC5">
        <w:t xml:space="preserve"> </w:t>
      </w:r>
      <w:proofErr w:type="spellStart"/>
      <w:r w:rsidR="00923A88" w:rsidRPr="00B87CC5">
        <w:t>Torshizian</w:t>
      </w:r>
      <w:proofErr w:type="spellEnd"/>
      <w:r w:rsidR="00923A88" w:rsidRPr="00B87CC5">
        <w:t xml:space="preserve"> et al</w:t>
      </w:r>
      <w:r w:rsidR="00F60C16" w:rsidRPr="00B87CC5">
        <w:t xml:space="preserve"> refer to</w:t>
      </w:r>
      <w:r w:rsidR="00923A88" w:rsidRPr="00B87CC5">
        <w:t xml:space="preserve"> this</w:t>
      </w:r>
      <w:r w:rsidR="00F60C16" w:rsidRPr="00B87CC5">
        <w:t xml:space="preserve"> as the </w:t>
      </w:r>
      <w:r w:rsidR="008979CE" w:rsidRPr="00B87CC5">
        <w:t>“</w:t>
      </w:r>
      <w:r w:rsidR="00F60C16" w:rsidRPr="00B87CC5">
        <w:t>WEM pathway</w:t>
      </w:r>
      <w:r w:rsidR="008979CE" w:rsidRPr="00B87CC5">
        <w:t>”</w:t>
      </w:r>
      <w:r w:rsidR="00F60C16" w:rsidRPr="00B87CC5">
        <w:t>.</w:t>
      </w:r>
      <w:r w:rsidR="004253DE" w:rsidRPr="00B87CC5">
        <w:rPr>
          <w:rStyle w:val="FootnoteReference"/>
        </w:rPr>
        <w:footnoteReference w:id="23"/>
      </w:r>
    </w:p>
    <w:p w14:paraId="0A7BF9E6" w14:textId="57E92CDC" w:rsidR="00170033" w:rsidRPr="00B87CC5" w:rsidRDefault="00146955" w:rsidP="00965AE7">
      <w:pPr>
        <w:pStyle w:val="Bullet"/>
        <w:spacing w:after="100"/>
      </w:pPr>
      <w:r w:rsidRPr="00B87CC5">
        <w:rPr>
          <w:b/>
        </w:rPr>
        <w:t>ERP2 pathway</w:t>
      </w:r>
      <w:r w:rsidR="004253DE" w:rsidRPr="00B87CC5">
        <w:rPr>
          <w:b/>
        </w:rPr>
        <w:t>.</w:t>
      </w:r>
      <w:r w:rsidR="004253DE" w:rsidRPr="00B87CC5">
        <w:t xml:space="preserve"> Under this</w:t>
      </w:r>
      <w:r w:rsidR="00835C9A" w:rsidRPr="00B87CC5">
        <w:t xml:space="preserve"> scenario</w:t>
      </w:r>
      <w:r w:rsidR="004253DE" w:rsidRPr="00B87CC5">
        <w:t>,</w:t>
      </w:r>
      <w:r w:rsidR="00835C9A" w:rsidRPr="00B87CC5">
        <w:t xml:space="preserve"> we </w:t>
      </w:r>
      <w:r w:rsidR="00170033" w:rsidRPr="00B87CC5">
        <w:t>follow the proposed ERP2 approach.</w:t>
      </w:r>
      <w:r w:rsidR="00F60C16" w:rsidRPr="00B87CC5">
        <w:t xml:space="preserve"> </w:t>
      </w:r>
      <w:proofErr w:type="spellStart"/>
      <w:r w:rsidR="004253DE" w:rsidRPr="00B87CC5">
        <w:t>Torshizian</w:t>
      </w:r>
      <w:proofErr w:type="spellEnd"/>
      <w:r w:rsidR="004253DE" w:rsidRPr="00B87CC5">
        <w:t xml:space="preserve"> et</w:t>
      </w:r>
      <w:r w:rsidR="00965AE7" w:rsidRPr="00B87CC5">
        <w:t> </w:t>
      </w:r>
      <w:r w:rsidR="004253DE" w:rsidRPr="00B87CC5">
        <w:t xml:space="preserve">al </w:t>
      </w:r>
      <w:r w:rsidR="00F60C16" w:rsidRPr="00B87CC5">
        <w:t xml:space="preserve">refer to </w:t>
      </w:r>
      <w:r w:rsidR="004253DE" w:rsidRPr="00B87CC5">
        <w:t xml:space="preserve">this </w:t>
      </w:r>
      <w:r w:rsidR="00F60C16" w:rsidRPr="00B87CC5">
        <w:t xml:space="preserve">as the </w:t>
      </w:r>
      <w:r w:rsidR="008979CE" w:rsidRPr="00B87CC5">
        <w:t>“Fourth Pathway”</w:t>
      </w:r>
      <w:r w:rsidR="004253DE" w:rsidRPr="00B87CC5">
        <w:t>.</w:t>
      </w:r>
      <w:r w:rsidR="004253DE" w:rsidRPr="00B87CC5">
        <w:rPr>
          <w:rStyle w:val="FootnoteReference"/>
        </w:rPr>
        <w:footnoteReference w:id="24"/>
      </w:r>
    </w:p>
    <w:p w14:paraId="3AC1CABD" w14:textId="58E20565" w:rsidR="007E0BBD" w:rsidRPr="00B87CC5" w:rsidRDefault="00835C9A" w:rsidP="00965AE7">
      <w:pPr>
        <w:pStyle w:val="BodyText"/>
        <w:spacing w:before="100" w:after="100"/>
      </w:pPr>
      <w:r w:rsidRPr="00B87CC5">
        <w:t xml:space="preserve">The </w:t>
      </w:r>
      <w:r w:rsidR="007E0BBD" w:rsidRPr="00B87CC5">
        <w:t>modelling shows the possible difference in outcomes in 2050 across households, sectors and regions</w:t>
      </w:r>
      <w:r w:rsidR="00BE33F8" w:rsidRPr="00B87CC5">
        <w:t xml:space="preserve"> compared </w:t>
      </w:r>
      <w:r w:rsidR="004253DE" w:rsidRPr="00B87CC5">
        <w:t xml:space="preserve">with </w:t>
      </w:r>
      <w:r w:rsidR="00BE33F8" w:rsidRPr="00B87CC5">
        <w:t xml:space="preserve">the </w:t>
      </w:r>
      <w:r w:rsidR="007E0BBD" w:rsidRPr="00B87CC5">
        <w:t xml:space="preserve">counterfactual </w:t>
      </w:r>
      <w:r w:rsidR="001F5046" w:rsidRPr="00B87CC5">
        <w:t>scenario.</w:t>
      </w:r>
      <w:r w:rsidR="007E0BBD" w:rsidRPr="00B87CC5">
        <w:t xml:space="preserve"> </w:t>
      </w:r>
    </w:p>
    <w:p w14:paraId="3571EA64" w14:textId="1C699346" w:rsidR="00601B04" w:rsidRPr="00B87CC5" w:rsidRDefault="00601B04" w:rsidP="00965AE7">
      <w:pPr>
        <w:pStyle w:val="BodyText"/>
        <w:spacing w:before="100" w:after="100"/>
      </w:pPr>
      <w:r w:rsidRPr="00B87CC5">
        <w:t>As with all modelling, especially on a</w:t>
      </w:r>
      <w:r w:rsidR="008B1CEC" w:rsidRPr="00B87CC5">
        <w:t xml:space="preserve"> three-decade </w:t>
      </w:r>
      <w:r w:rsidR="001A1637" w:rsidRPr="00B87CC5">
        <w:t xml:space="preserve">horizon, the </w:t>
      </w:r>
      <w:r w:rsidR="00B543DF" w:rsidRPr="00B87CC5">
        <w:t xml:space="preserve">CGE </w:t>
      </w:r>
      <w:r w:rsidR="001A1637" w:rsidRPr="00B87CC5">
        <w:t>results are highly uncertain</w:t>
      </w:r>
      <w:r w:rsidR="000570AA" w:rsidRPr="00B87CC5">
        <w:t xml:space="preserve"> and should </w:t>
      </w:r>
      <w:r w:rsidR="00453E99" w:rsidRPr="00B87CC5">
        <w:t xml:space="preserve">be considered in that context. </w:t>
      </w:r>
      <w:r w:rsidR="00D63403" w:rsidRPr="00B87CC5">
        <w:t xml:space="preserve">The modelling can provide insights </w:t>
      </w:r>
      <w:r w:rsidR="004253DE" w:rsidRPr="00B87CC5">
        <w:t xml:space="preserve">into </w:t>
      </w:r>
      <w:r w:rsidR="00D63403" w:rsidRPr="00B87CC5">
        <w:t>where impacts are likely to occur</w:t>
      </w:r>
      <w:r w:rsidR="00C7282F" w:rsidRPr="00B87CC5">
        <w:t xml:space="preserve"> </w:t>
      </w:r>
      <w:r w:rsidR="00567FBE" w:rsidRPr="00B87CC5">
        <w:t xml:space="preserve">and in what direction, </w:t>
      </w:r>
      <w:r w:rsidR="00C7282F" w:rsidRPr="00B87CC5">
        <w:t xml:space="preserve">but the magnitude of </w:t>
      </w:r>
      <w:r w:rsidR="004253DE" w:rsidRPr="00B87CC5">
        <w:t xml:space="preserve">the </w:t>
      </w:r>
      <w:r w:rsidR="00366FD8" w:rsidRPr="00B87CC5">
        <w:t>impacts</w:t>
      </w:r>
      <w:r w:rsidR="002C36FD" w:rsidRPr="00B87CC5">
        <w:t xml:space="preserve"> </w:t>
      </w:r>
      <w:r w:rsidR="004253DE" w:rsidRPr="00B87CC5">
        <w:t xml:space="preserve">is </w:t>
      </w:r>
      <w:r w:rsidR="002C36FD" w:rsidRPr="00B87CC5">
        <w:t>highly uncertain.</w:t>
      </w:r>
    </w:p>
    <w:p w14:paraId="7A146FDA" w14:textId="1E67B58F" w:rsidR="0046630B" w:rsidRPr="00B87CC5" w:rsidRDefault="00E554FE" w:rsidP="00965AE7">
      <w:pPr>
        <w:pStyle w:val="Heading2"/>
        <w:spacing w:before="280"/>
      </w:pPr>
      <w:bookmarkStart w:id="83" w:name="_Toc171609753"/>
      <w:r w:rsidRPr="00B87CC5">
        <w:t>Macro</w:t>
      </w:r>
      <w:r w:rsidR="00622A0F" w:rsidRPr="00B87CC5">
        <w:t>-</w:t>
      </w:r>
      <w:r w:rsidRPr="00B87CC5">
        <w:t>economic impacts</w:t>
      </w:r>
      <w:bookmarkEnd w:id="83"/>
    </w:p>
    <w:p w14:paraId="050383D4" w14:textId="4970EDB0" w:rsidR="00E554FE" w:rsidRPr="00B87CC5" w:rsidRDefault="00E554FE" w:rsidP="00E554FE">
      <w:pPr>
        <w:pStyle w:val="BodyText"/>
      </w:pPr>
      <w:r w:rsidRPr="00B87CC5">
        <w:t>The CGE modelling suggests that existing climate mitigation actions will lead to real GDP that is</w:t>
      </w:r>
      <w:r w:rsidR="00965AE7" w:rsidRPr="00B87CC5">
        <w:t> </w:t>
      </w:r>
      <w:r w:rsidRPr="00B87CC5">
        <w:t>about 0.4</w:t>
      </w:r>
      <w:r w:rsidR="004253DE" w:rsidRPr="00B87CC5">
        <w:t xml:space="preserve"> per cent</w:t>
      </w:r>
      <w:r w:rsidRPr="00B87CC5">
        <w:t xml:space="preserve"> lower in 2030 than it would be in a hypothetical </w:t>
      </w:r>
      <w:r w:rsidR="00CC6006" w:rsidRPr="00B87CC5">
        <w:t>‘</w:t>
      </w:r>
      <w:r w:rsidRPr="00B87CC5">
        <w:t>without measures</w:t>
      </w:r>
      <w:r w:rsidR="00CC6006" w:rsidRPr="00B87CC5">
        <w:t>’</w:t>
      </w:r>
      <w:r w:rsidRPr="00B87CC5">
        <w:t xml:space="preserve"> scenario.</w:t>
      </w:r>
      <w:r w:rsidR="004253DE" w:rsidRPr="00B87CC5">
        <w:rPr>
          <w:rStyle w:val="FootnoteReference"/>
        </w:rPr>
        <w:footnoteReference w:id="25"/>
      </w:r>
      <w:r w:rsidRPr="00B87CC5">
        <w:t xml:space="preserve"> The impact on GDP is expected to remain at similar levels through to 2050. Preliminary estimates of the effects of proposed ERP2 policies indicate a slightly smaller impact </w:t>
      </w:r>
      <w:r w:rsidRPr="00B87CC5">
        <w:rPr>
          <w:spacing w:val="-2"/>
        </w:rPr>
        <w:t>on the economy than current policy settings, largely due to the assumed impacts of Electrify N</w:t>
      </w:r>
      <w:r w:rsidR="00E367BD" w:rsidRPr="00B87CC5">
        <w:rPr>
          <w:spacing w:val="-2"/>
        </w:rPr>
        <w:t>Z</w:t>
      </w:r>
      <w:r w:rsidRPr="00B87CC5">
        <w:t xml:space="preserve">. However, </w:t>
      </w:r>
      <w:proofErr w:type="gramStart"/>
      <w:r w:rsidR="00491485" w:rsidRPr="00B87CC5">
        <w:t>similar to</w:t>
      </w:r>
      <w:proofErr w:type="gramEnd"/>
      <w:r w:rsidR="00491485" w:rsidRPr="00B87CC5">
        <w:t xml:space="preserve"> the ENZ central projections</w:t>
      </w:r>
      <w:r w:rsidRPr="00B87CC5">
        <w:t>, the CGE modelling suggests that emissions will not fall to the levels set in the 2050 targets; the increased effort to meet the 2050 targets would lead to GDP around 0.7% lower by 2050.</w:t>
      </w:r>
      <w:r w:rsidR="00E4003E" w:rsidRPr="00B87CC5">
        <w:t xml:space="preserve"> </w:t>
      </w:r>
    </w:p>
    <w:p w14:paraId="0452450E" w14:textId="6131A8EA" w:rsidR="00E554FE" w:rsidRPr="00B87CC5" w:rsidRDefault="00E554FE" w:rsidP="00965AE7">
      <w:pPr>
        <w:pStyle w:val="BodyText"/>
      </w:pPr>
      <w:r w:rsidRPr="00B87CC5">
        <w:lastRenderedPageBreak/>
        <w:t xml:space="preserve">Employment is projected to be about 0.1% lower in 2030 than under the </w:t>
      </w:r>
      <w:r w:rsidR="00CC6006" w:rsidRPr="00B87CC5">
        <w:t>‘</w:t>
      </w:r>
      <w:r w:rsidRPr="00B87CC5">
        <w:t>without measures</w:t>
      </w:r>
      <w:r w:rsidR="00CC6006" w:rsidRPr="00B87CC5">
        <w:t>’</w:t>
      </w:r>
      <w:r w:rsidRPr="00B87CC5">
        <w:t xml:space="preserve"> counterfactual. Over the long term</w:t>
      </w:r>
      <w:r w:rsidR="00E367BD" w:rsidRPr="00B87CC5">
        <w:t>,</w:t>
      </w:r>
      <w:r w:rsidRPr="00B87CC5">
        <w:t xml:space="preserve"> however</w:t>
      </w:r>
      <w:r w:rsidR="00E367BD" w:rsidRPr="00B87CC5">
        <w:t>,</w:t>
      </w:r>
      <w:r w:rsidRPr="00B87CC5">
        <w:t xml:space="preserve"> employment is assumed to return to its long</w:t>
      </w:r>
      <w:r w:rsidR="00E367BD" w:rsidRPr="00B87CC5">
        <w:t>-</w:t>
      </w:r>
      <w:r w:rsidRPr="00B87CC5">
        <w:t>run trend levels, reflecting an expectation that over the medium to long term</w:t>
      </w:r>
      <w:r w:rsidR="00E367BD" w:rsidRPr="00B87CC5">
        <w:t>,</w:t>
      </w:r>
      <w:r w:rsidRPr="00B87CC5">
        <w:t xml:space="preserve"> employment will shift from contracting to expanding sectors of the economy. The bulk of the adjustment in the labour market is expected to occur via real wages, which are about 1.7</w:t>
      </w:r>
      <w:r w:rsidR="00E367BD" w:rsidRPr="00B87CC5">
        <w:t xml:space="preserve"> per cent</w:t>
      </w:r>
      <w:r w:rsidRPr="00B87CC5">
        <w:t xml:space="preserve"> lower than the </w:t>
      </w:r>
      <w:r w:rsidR="00CC6006" w:rsidRPr="00B87CC5">
        <w:t>‘</w:t>
      </w:r>
      <w:r w:rsidRPr="00B87CC5">
        <w:t>without measures</w:t>
      </w:r>
      <w:r w:rsidR="00CC6006" w:rsidRPr="00B87CC5">
        <w:t>’</w:t>
      </w:r>
      <w:r w:rsidRPr="00B87CC5">
        <w:t xml:space="preserve"> counterfactual in 2030, and about 1.5</w:t>
      </w:r>
      <w:r w:rsidR="00E367BD" w:rsidRPr="00B87CC5">
        <w:t xml:space="preserve"> per cent</w:t>
      </w:r>
      <w:r w:rsidRPr="00B87CC5">
        <w:t xml:space="preserve"> lower over the long term.</w:t>
      </w:r>
    </w:p>
    <w:p w14:paraId="7C5FFEC7" w14:textId="3BD90D61" w:rsidR="007E0BBD" w:rsidRPr="00B87CC5" w:rsidRDefault="007E0BBD" w:rsidP="006D3871">
      <w:pPr>
        <w:pStyle w:val="Heading2"/>
      </w:pPr>
      <w:bookmarkStart w:id="84" w:name="_Toc171609754"/>
      <w:r w:rsidRPr="00B87CC5">
        <w:t>Impacts on households</w:t>
      </w:r>
      <w:bookmarkEnd w:id="84"/>
    </w:p>
    <w:p w14:paraId="6FB85BCA" w14:textId="6F9961ED" w:rsidR="00881B06" w:rsidRPr="00B87CC5" w:rsidRDefault="00881B06" w:rsidP="00881B06">
      <w:pPr>
        <w:pStyle w:val="BodyText"/>
      </w:pPr>
      <w:r w:rsidRPr="00B87CC5">
        <w:t>Overall</w:t>
      </w:r>
      <w:r w:rsidR="00AD52F9" w:rsidRPr="00B87CC5">
        <w:t>,</w:t>
      </w:r>
      <w:r w:rsidRPr="00B87CC5">
        <w:t xml:space="preserve"> ERP2 policies are expected </w:t>
      </w:r>
      <w:r w:rsidR="00CF3D45">
        <w:t xml:space="preserve">to </w:t>
      </w:r>
      <w:r w:rsidR="008D1B98" w:rsidRPr="00B87CC5">
        <w:t>result in</w:t>
      </w:r>
      <w:r w:rsidRPr="00B87CC5">
        <w:t xml:space="preserve"> household consumption </w:t>
      </w:r>
      <w:r w:rsidR="00AD52F9" w:rsidRPr="00B87CC5">
        <w:t xml:space="preserve">decreasing </w:t>
      </w:r>
      <w:r w:rsidRPr="00B87CC5">
        <w:t>0.39</w:t>
      </w:r>
      <w:r w:rsidR="00AD52F9" w:rsidRPr="00B87CC5">
        <w:t xml:space="preserve"> per cent</w:t>
      </w:r>
      <w:r w:rsidRPr="00B87CC5">
        <w:t xml:space="preserve"> compared </w:t>
      </w:r>
      <w:r w:rsidR="00AD52F9" w:rsidRPr="00B87CC5">
        <w:t>with</w:t>
      </w:r>
      <w:r w:rsidRPr="00B87CC5">
        <w:t xml:space="preserve"> 0.4</w:t>
      </w:r>
      <w:r w:rsidR="00AD52F9" w:rsidRPr="00B87CC5">
        <w:t xml:space="preserve"> per cent</w:t>
      </w:r>
      <w:r w:rsidRPr="00B87CC5">
        <w:t xml:space="preserve"> under current policies. </w:t>
      </w:r>
    </w:p>
    <w:p w14:paraId="0EA63724" w14:textId="0EB9CAB8" w:rsidR="00881B06" w:rsidRPr="00B87CC5" w:rsidRDefault="009F3512" w:rsidP="00881B06">
      <w:pPr>
        <w:pStyle w:val="BodyText"/>
      </w:pPr>
      <w:r w:rsidRPr="00B87CC5">
        <w:t>Figure 20</w:t>
      </w:r>
      <w:r w:rsidR="00CD71E3" w:rsidRPr="00B87CC5">
        <w:t xml:space="preserve"> </w:t>
      </w:r>
      <w:r w:rsidR="00881B06" w:rsidRPr="00B87CC5">
        <w:t xml:space="preserve">shows that under the ERP2 pathway, all households in New Zealand are expected to have lower consumption in 2050 than they would have without efforts to reduce emissions (the counterfactual). This is because added costs from changing to low-emissions production or from the NZ ETS raise the price of goods and services, so that people cannot purchase as much as they would have otherwise. However, the difference in consumption between the scenarios is </w:t>
      </w:r>
      <w:proofErr w:type="gramStart"/>
      <w:r w:rsidR="00881B06" w:rsidRPr="00B87CC5">
        <w:t>fairly small</w:t>
      </w:r>
      <w:proofErr w:type="gramEnd"/>
      <w:r w:rsidR="00881B06" w:rsidRPr="00B87CC5">
        <w:t>, only between 0.2</w:t>
      </w:r>
      <w:r w:rsidR="00AD52F9" w:rsidRPr="00B87CC5">
        <w:t xml:space="preserve"> per cent</w:t>
      </w:r>
      <w:r w:rsidR="00881B06" w:rsidRPr="00B87CC5">
        <w:t xml:space="preserve"> and 0.6</w:t>
      </w:r>
      <w:r w:rsidR="00AD52F9" w:rsidRPr="00B87CC5">
        <w:t xml:space="preserve"> per cent</w:t>
      </w:r>
      <w:r w:rsidR="00881B06" w:rsidRPr="00B87CC5">
        <w:t xml:space="preserve"> by 2050, depending on the type of household. </w:t>
      </w:r>
      <w:r w:rsidR="001B71F1" w:rsidRPr="00B87CC5">
        <w:t xml:space="preserve">As with all the CGE results, this does not reflect the benefits </w:t>
      </w:r>
      <w:r w:rsidR="004230E0" w:rsidRPr="00B87CC5">
        <w:t xml:space="preserve">to households of </w:t>
      </w:r>
      <w:r w:rsidR="00EE7EEB" w:rsidRPr="00B87CC5">
        <w:t>reducing emissions.</w:t>
      </w:r>
    </w:p>
    <w:p w14:paraId="163C3DD3" w14:textId="399C5C6F" w:rsidR="00787A68" w:rsidRPr="00B87CC5" w:rsidRDefault="00787A68" w:rsidP="00787A68">
      <w:pPr>
        <w:pStyle w:val="Figureheading"/>
      </w:pPr>
      <w:bookmarkStart w:id="85" w:name="_Ref170313666"/>
      <w:bookmarkStart w:id="86" w:name="_Toc171609795"/>
      <w:r w:rsidRPr="00B87CC5">
        <w:t xml:space="preserve">Figure </w:t>
      </w:r>
      <w:r w:rsidR="00385111">
        <w:fldChar w:fldCharType="begin"/>
      </w:r>
      <w:r w:rsidR="00385111">
        <w:instrText xml:space="preserve"> SEQ Figure \* ARABIC </w:instrText>
      </w:r>
      <w:r w:rsidR="00385111">
        <w:fldChar w:fldCharType="separate"/>
      </w:r>
      <w:r w:rsidR="001B6E3F" w:rsidRPr="00B87CC5">
        <w:t>20</w:t>
      </w:r>
      <w:r w:rsidR="00385111">
        <w:fldChar w:fldCharType="end"/>
      </w:r>
      <w:bookmarkEnd w:id="85"/>
      <w:r w:rsidR="005E1D91" w:rsidRPr="00B87CC5">
        <w:t>:</w:t>
      </w:r>
      <w:r w:rsidR="005E1D91" w:rsidRPr="00B87CC5">
        <w:tab/>
      </w:r>
      <w:r w:rsidRPr="00B87CC5">
        <w:t xml:space="preserve">Expected impact of ERP2 </w:t>
      </w:r>
      <w:r w:rsidR="002948F8" w:rsidRPr="00B87CC5">
        <w:t>aligned pathway</w:t>
      </w:r>
      <w:r w:rsidRPr="00B87CC5">
        <w:t xml:space="preserve"> on household consumption</w:t>
      </w:r>
      <w:r w:rsidR="00AD52F9" w:rsidRPr="00B87CC5">
        <w:t>, by household income</w:t>
      </w:r>
      <w:r w:rsidR="00503658" w:rsidRPr="00B87CC5">
        <w:t xml:space="preserve"> and ethnicity</w:t>
      </w:r>
      <w:r w:rsidR="00AD52F9" w:rsidRPr="00B87CC5">
        <w:t>,</w:t>
      </w:r>
      <w:r w:rsidRPr="00B87CC5" w:rsidDel="00AD52F9">
        <w:t xml:space="preserve"> </w:t>
      </w:r>
      <w:r w:rsidRPr="00B87CC5">
        <w:t>2050</w:t>
      </w:r>
      <w:bookmarkEnd w:id="86"/>
    </w:p>
    <w:p w14:paraId="21AC89A6" w14:textId="2ED53AC8" w:rsidR="00CE014E" w:rsidRPr="00B87CC5" w:rsidRDefault="00CD71E3" w:rsidP="00D84E7F">
      <w:pPr>
        <w:pStyle w:val="BodyText"/>
      </w:pPr>
      <w:r w:rsidRPr="00B87CC5">
        <w:rPr>
          <w:noProof/>
        </w:rPr>
        <w:drawing>
          <wp:inline distT="0" distB="0" distL="0" distR="0" wp14:anchorId="3E9CC3C6" wp14:editId="0C6607F8">
            <wp:extent cx="5398770" cy="3466465"/>
            <wp:effectExtent l="0" t="0" r="0" b="635"/>
            <wp:docPr id="2084681" name="Picture 1" descr="A horizontal bar graph showing the expected impact of ERP2 policies on household consumption in 2050 compared to if no mitigation efforts were pursued. It presents data for three groups: 65 and older without dependents, 15-64 without dependents, and 15-64 with dependents. Each group is further split into five income brackets ranging from less than $35,600 to $148,000 and over. Data is presented for Māori and non-Māori househo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81" name="Picture 1" descr="A horizontal bar graph showing the expected impact of ERP2 policies on household consumption in 2050 compared to if no mitigation efforts were pursued. It presents data for three groups: 65 and older without dependents, 15-64 without dependents, and 15-64 with dependents. Each group is further split into five income brackets ranging from less than $35,600 to $148,000 and over. Data is presented for Māori and non-Māori household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8770" cy="3466465"/>
                    </a:xfrm>
                    <a:prstGeom prst="rect">
                      <a:avLst/>
                    </a:prstGeom>
                    <a:noFill/>
                    <a:ln>
                      <a:noFill/>
                    </a:ln>
                  </pic:spPr>
                </pic:pic>
              </a:graphicData>
            </a:graphic>
          </wp:inline>
        </w:drawing>
      </w:r>
    </w:p>
    <w:p w14:paraId="4273DEFC" w14:textId="4B9648B2" w:rsidR="00C948E0" w:rsidRPr="00B87CC5" w:rsidRDefault="00C948E0" w:rsidP="00851655">
      <w:pPr>
        <w:pStyle w:val="Note"/>
        <w:spacing w:before="0" w:after="0" w:line="240" w:lineRule="auto"/>
      </w:pPr>
      <w:r w:rsidRPr="00B87CC5">
        <w:t xml:space="preserve">Note: Deviation in real consumption in 2050 under the ERP2 pathway from real consumption in 2050 under the counterfactual ‘without measures’ pathway (where we </w:t>
      </w:r>
      <w:r w:rsidR="00203E4B" w:rsidRPr="00B87CC5">
        <w:t xml:space="preserve">make </w:t>
      </w:r>
      <w:r w:rsidRPr="00B87CC5">
        <w:t>no efforts to reduce emissions).</w:t>
      </w:r>
    </w:p>
    <w:p w14:paraId="248BA2B6" w14:textId="00E2206C" w:rsidR="0082744B" w:rsidRPr="00B87CC5" w:rsidRDefault="00A575C1" w:rsidP="00454DD1">
      <w:pPr>
        <w:pStyle w:val="Source"/>
      </w:pPr>
      <w:r w:rsidRPr="00B87CC5">
        <w:t xml:space="preserve">Source: </w:t>
      </w:r>
      <w:proofErr w:type="spellStart"/>
      <w:r w:rsidRPr="00B87CC5">
        <w:t>Torshizian</w:t>
      </w:r>
      <w:proofErr w:type="spellEnd"/>
      <w:r w:rsidRPr="00B87CC5">
        <w:t xml:space="preserve"> et al</w:t>
      </w:r>
      <w:r w:rsidR="00203E4B" w:rsidRPr="00B87CC5">
        <w:t>.</w:t>
      </w:r>
      <w:r w:rsidRPr="00B87CC5" w:rsidDel="00203E4B">
        <w:t xml:space="preserve"> </w:t>
      </w:r>
      <w:r w:rsidRPr="00B87CC5">
        <w:t>2024</w:t>
      </w:r>
      <w:r w:rsidR="00203E4B" w:rsidRPr="00B87CC5">
        <w:t>.</w:t>
      </w:r>
      <w:r w:rsidR="00203E4B" w:rsidRPr="00B87CC5">
        <w:rPr>
          <w:lang w:eastAsia="en-US"/>
        </w:rPr>
        <w:t xml:space="preserve"> </w:t>
      </w:r>
      <w:r w:rsidR="00203E4B" w:rsidRPr="00B87CC5">
        <w:rPr>
          <w:i/>
          <w:iCs/>
          <w:lang w:eastAsia="en-US"/>
        </w:rPr>
        <w:t>Economic Impact of New Zealand’s Second Emission</w:t>
      </w:r>
      <w:r w:rsidR="00DB0D7C" w:rsidRPr="00B87CC5">
        <w:rPr>
          <w:i/>
          <w:iCs/>
          <w:lang w:eastAsia="en-US"/>
        </w:rPr>
        <w:t>s</w:t>
      </w:r>
      <w:r w:rsidR="00203E4B" w:rsidRPr="00B87CC5">
        <w:rPr>
          <w:i/>
          <w:iCs/>
          <w:lang w:eastAsia="en-US"/>
        </w:rPr>
        <w:t xml:space="preserve"> Reduction Plan.</w:t>
      </w:r>
      <w:r w:rsidR="00203E4B" w:rsidRPr="00B87CC5">
        <w:rPr>
          <w:lang w:eastAsia="en-US"/>
        </w:rPr>
        <w:t xml:space="preserve"> Report to Ministry for the Environment by Principal Economics Limited in collaboration with the Centre for Policy Studies and </w:t>
      </w:r>
      <w:proofErr w:type="spellStart"/>
      <w:r w:rsidR="00203E4B" w:rsidRPr="00B87CC5">
        <w:rPr>
          <w:lang w:eastAsia="en-US"/>
        </w:rPr>
        <w:t>Infometrics</w:t>
      </w:r>
      <w:proofErr w:type="spellEnd"/>
      <w:r w:rsidR="00203E4B" w:rsidRPr="00B87CC5">
        <w:rPr>
          <w:lang w:eastAsia="en-US"/>
        </w:rPr>
        <w:t xml:space="preserve"> Limited.</w:t>
      </w:r>
    </w:p>
    <w:p w14:paraId="3B807B8C" w14:textId="40A839F0" w:rsidR="00775FC0" w:rsidRPr="00B87CC5" w:rsidRDefault="00775FC0" w:rsidP="00775FC0">
      <w:pPr>
        <w:pStyle w:val="BodyText"/>
      </w:pPr>
      <w:r w:rsidRPr="00B87CC5">
        <w:t xml:space="preserve">Lower-income households are expected to be the most affected, particularly those earning between $35,600 and $61,099. </w:t>
      </w:r>
    </w:p>
    <w:p w14:paraId="12E46CD7" w14:textId="091B65C4" w:rsidR="006B3970" w:rsidRPr="00B87CC5" w:rsidRDefault="00775FC0" w:rsidP="006B3970">
      <w:pPr>
        <w:pStyle w:val="BodyText"/>
      </w:pPr>
      <w:r w:rsidRPr="00B87CC5">
        <w:lastRenderedPageBreak/>
        <w:t>Māori households are expected</w:t>
      </w:r>
      <w:r w:rsidR="00CC6006" w:rsidRPr="00B87CC5">
        <w:t xml:space="preserve"> to</w:t>
      </w:r>
      <w:r w:rsidRPr="00B87CC5">
        <w:t xml:space="preserve"> be more </w:t>
      </w:r>
      <w:r w:rsidR="006B3970" w:rsidRPr="00B87CC5">
        <w:t>a</w:t>
      </w:r>
      <w:r w:rsidRPr="00B87CC5">
        <w:t xml:space="preserve">ffected than non-Māori households, but the </w:t>
      </w:r>
      <w:r w:rsidR="006B3970" w:rsidRPr="00B87CC5">
        <w:t>d</w:t>
      </w:r>
      <w:r w:rsidRPr="00B87CC5">
        <w:t xml:space="preserve">ifference is very small. On average, across all households, Māori are expected to experience a </w:t>
      </w:r>
      <w:r w:rsidRPr="00B87CC5">
        <w:rPr>
          <w:spacing w:val="-2"/>
        </w:rPr>
        <w:t>decrease in consumption of 0.4</w:t>
      </w:r>
      <w:r w:rsidR="00203E4B" w:rsidRPr="00B87CC5">
        <w:rPr>
          <w:spacing w:val="-2"/>
        </w:rPr>
        <w:t xml:space="preserve"> per cent</w:t>
      </w:r>
      <w:r w:rsidRPr="00B87CC5">
        <w:rPr>
          <w:spacing w:val="-2"/>
        </w:rPr>
        <w:t xml:space="preserve"> compared </w:t>
      </w:r>
      <w:r w:rsidR="00203E4B" w:rsidRPr="00B87CC5">
        <w:rPr>
          <w:spacing w:val="-2"/>
        </w:rPr>
        <w:t xml:space="preserve">with </w:t>
      </w:r>
      <w:r w:rsidRPr="00B87CC5">
        <w:rPr>
          <w:spacing w:val="-2"/>
        </w:rPr>
        <w:t>0.37</w:t>
      </w:r>
      <w:r w:rsidR="00203E4B" w:rsidRPr="00B87CC5">
        <w:rPr>
          <w:spacing w:val="-2"/>
        </w:rPr>
        <w:t xml:space="preserve"> per cent</w:t>
      </w:r>
      <w:r w:rsidRPr="00B87CC5">
        <w:rPr>
          <w:spacing w:val="-2"/>
        </w:rPr>
        <w:t xml:space="preserve"> for non-Māori households</w:t>
      </w:r>
      <w:r w:rsidRPr="00B87CC5">
        <w:t xml:space="preserve">. </w:t>
      </w:r>
    </w:p>
    <w:p w14:paraId="2EEF355B" w14:textId="3A75BEC6" w:rsidR="00973AA1" w:rsidRPr="00B87CC5" w:rsidRDefault="00973AA1" w:rsidP="006D3871">
      <w:pPr>
        <w:pStyle w:val="Heading2"/>
      </w:pPr>
      <w:bookmarkStart w:id="87" w:name="_Toc171609755"/>
      <w:r w:rsidRPr="00B87CC5">
        <w:t xml:space="preserve">Sectoral </w:t>
      </w:r>
      <w:r w:rsidR="007F62A6" w:rsidRPr="00B87CC5">
        <w:t>i</w:t>
      </w:r>
      <w:r w:rsidRPr="00B87CC5">
        <w:t>mpacts</w:t>
      </w:r>
      <w:bookmarkEnd w:id="87"/>
    </w:p>
    <w:p w14:paraId="7616731B" w14:textId="6F135B68" w:rsidR="00851655" w:rsidRPr="00B87CC5" w:rsidRDefault="0086734B" w:rsidP="000E6032">
      <w:pPr>
        <w:pStyle w:val="BodyText"/>
      </w:pPr>
      <w:r w:rsidRPr="00B87CC5">
        <w:t xml:space="preserve">ERP2 policies are not expected to have significant impacts on sectoral output compared </w:t>
      </w:r>
      <w:r w:rsidR="00203E4B" w:rsidRPr="00B87CC5">
        <w:t xml:space="preserve">with </w:t>
      </w:r>
      <w:r w:rsidRPr="00B87CC5">
        <w:t>our existing policies (</w:t>
      </w:r>
      <w:r w:rsidR="00203E4B" w:rsidRPr="00B87CC5">
        <w:t>f</w:t>
      </w:r>
      <w:r w:rsidR="001B6E3F" w:rsidRPr="00B87CC5">
        <w:t>igure 21</w:t>
      </w:r>
      <w:r w:rsidRPr="00B87CC5">
        <w:t>). Under the ERP2 pathway</w:t>
      </w:r>
      <w:r w:rsidR="00203E4B" w:rsidRPr="00B87CC5">
        <w:t>,</w:t>
      </w:r>
      <w:r w:rsidRPr="00B87CC5">
        <w:t xml:space="preserve"> we expect a slight increase in relative output for </w:t>
      </w:r>
      <w:r w:rsidR="00203E4B" w:rsidRPr="00B87CC5">
        <w:t>the e</w:t>
      </w:r>
      <w:r w:rsidRPr="00B87CC5">
        <w:t xml:space="preserve">lectricity </w:t>
      </w:r>
      <w:r w:rsidR="00203E4B" w:rsidRPr="00B87CC5">
        <w:t>g</w:t>
      </w:r>
      <w:r w:rsidRPr="00B87CC5">
        <w:t xml:space="preserve">eneration </w:t>
      </w:r>
      <w:r w:rsidR="00203E4B" w:rsidRPr="00B87CC5">
        <w:t xml:space="preserve">sector </w:t>
      </w:r>
      <w:r w:rsidR="007A6B42" w:rsidRPr="00B87CC5">
        <w:t xml:space="preserve">(output </w:t>
      </w:r>
      <w:r w:rsidR="00F36C53" w:rsidRPr="00B87CC5">
        <w:t>1</w:t>
      </w:r>
      <w:r w:rsidR="00AB778C" w:rsidRPr="00B87CC5">
        <w:t>.1</w:t>
      </w:r>
      <w:r w:rsidR="007A6B42" w:rsidRPr="00B87CC5">
        <w:t xml:space="preserve"> per cent </w:t>
      </w:r>
      <w:r w:rsidR="00F36C53" w:rsidRPr="00B87CC5">
        <w:t>higher under ERP2 policies and 0.5 per cent higher under current policies</w:t>
      </w:r>
      <w:r w:rsidR="008F0282" w:rsidRPr="00B87CC5">
        <w:t>,</w:t>
      </w:r>
      <w:r w:rsidR="007A6B42" w:rsidRPr="00B87CC5">
        <w:t xml:space="preserve"> compared with no mitigation policy pathway)</w:t>
      </w:r>
      <w:r w:rsidRPr="00B87CC5">
        <w:t xml:space="preserve"> and </w:t>
      </w:r>
      <w:r w:rsidR="00203E4B" w:rsidRPr="00B87CC5">
        <w:t>the u</w:t>
      </w:r>
      <w:r w:rsidRPr="00B87CC5">
        <w:t xml:space="preserve">tilities </w:t>
      </w:r>
      <w:r w:rsidR="00203E4B" w:rsidRPr="00B87CC5">
        <w:t xml:space="preserve">sector </w:t>
      </w:r>
      <w:r w:rsidR="00D52B7D" w:rsidRPr="00B87CC5">
        <w:t xml:space="preserve">(output </w:t>
      </w:r>
      <w:r w:rsidR="005920CC" w:rsidRPr="00B87CC5">
        <w:t>0.2</w:t>
      </w:r>
      <w:r w:rsidR="00D52B7D" w:rsidRPr="00B87CC5">
        <w:t xml:space="preserve"> per cent higher under ERP2 policies and 0.</w:t>
      </w:r>
      <w:r w:rsidR="005920CC" w:rsidRPr="00B87CC5">
        <w:t>1</w:t>
      </w:r>
      <w:r w:rsidR="00D52B7D" w:rsidRPr="00B87CC5">
        <w:t xml:space="preserve"> per cent </w:t>
      </w:r>
      <w:r w:rsidR="005920CC" w:rsidRPr="00B87CC5">
        <w:t>lower</w:t>
      </w:r>
      <w:r w:rsidR="00D52B7D" w:rsidRPr="00B87CC5">
        <w:t xml:space="preserve"> under current policies, compared with no mitigation policy pathway)</w:t>
      </w:r>
      <w:r w:rsidR="00203E4B" w:rsidRPr="00B87CC5">
        <w:t>. In contrast,</w:t>
      </w:r>
      <w:r w:rsidRPr="00B87CC5">
        <w:t xml:space="preserve"> a slight decrease </w:t>
      </w:r>
      <w:r w:rsidR="00203E4B" w:rsidRPr="00B87CC5">
        <w:t xml:space="preserve">occurs </w:t>
      </w:r>
      <w:r w:rsidRPr="00B87CC5">
        <w:t xml:space="preserve">for the </w:t>
      </w:r>
      <w:r w:rsidR="00203E4B" w:rsidRPr="00B87CC5">
        <w:t>m</w:t>
      </w:r>
      <w:r w:rsidRPr="00B87CC5">
        <w:t xml:space="preserve">ining sector </w:t>
      </w:r>
      <w:r w:rsidR="008F0282" w:rsidRPr="00B87CC5">
        <w:t xml:space="preserve">(output </w:t>
      </w:r>
      <w:r w:rsidR="002A7AD0" w:rsidRPr="00B87CC5">
        <w:t>0.8</w:t>
      </w:r>
      <w:r w:rsidR="008F0282" w:rsidRPr="00B87CC5">
        <w:t xml:space="preserve"> per cent </w:t>
      </w:r>
      <w:r w:rsidR="002A7AD0" w:rsidRPr="00B87CC5">
        <w:t>lower</w:t>
      </w:r>
      <w:r w:rsidR="008F0282" w:rsidRPr="00B87CC5">
        <w:t xml:space="preserve"> under ERP2 policies and 0.</w:t>
      </w:r>
      <w:r w:rsidR="00D37BAB" w:rsidRPr="00B87CC5">
        <w:t>4</w:t>
      </w:r>
      <w:r w:rsidR="008F0282" w:rsidRPr="00B87CC5">
        <w:t xml:space="preserve"> per cent </w:t>
      </w:r>
      <w:r w:rsidR="002A7AD0" w:rsidRPr="00B87CC5">
        <w:t>lower</w:t>
      </w:r>
      <w:r w:rsidR="008F0282" w:rsidRPr="00B87CC5">
        <w:t xml:space="preserve"> under current policies, compared with no mitigation policy pathway)</w:t>
      </w:r>
      <w:r w:rsidRPr="00B87CC5">
        <w:t xml:space="preserve">. </w:t>
      </w:r>
      <w:bookmarkStart w:id="88" w:name="_Ref170294198"/>
    </w:p>
    <w:p w14:paraId="306E3944" w14:textId="025D6DB8" w:rsidR="00CD71E3" w:rsidRPr="00B87CC5" w:rsidRDefault="00637386" w:rsidP="00CD71E3">
      <w:pPr>
        <w:pStyle w:val="Figureheading"/>
      </w:pPr>
      <w:bookmarkStart w:id="89" w:name="_Ref170313700"/>
      <w:bookmarkStart w:id="90" w:name="_Toc171609796"/>
      <w:r w:rsidRPr="00B87CC5">
        <w:t xml:space="preserve">Figure </w:t>
      </w:r>
      <w:r w:rsidR="00385111">
        <w:fldChar w:fldCharType="begin"/>
      </w:r>
      <w:r w:rsidR="00385111">
        <w:instrText xml:space="preserve"> SEQ Figure \* ARABIC </w:instrText>
      </w:r>
      <w:r w:rsidR="00385111">
        <w:fldChar w:fldCharType="separate"/>
      </w:r>
      <w:r w:rsidR="001B6E3F" w:rsidRPr="00B87CC5">
        <w:t>21</w:t>
      </w:r>
      <w:r w:rsidR="00385111">
        <w:fldChar w:fldCharType="end"/>
      </w:r>
      <w:bookmarkEnd w:id="88"/>
      <w:bookmarkEnd w:id="89"/>
      <w:r w:rsidR="005E1D91" w:rsidRPr="00B87CC5">
        <w:t>:</w:t>
      </w:r>
      <w:r w:rsidR="005E1D91" w:rsidRPr="00B87CC5">
        <w:tab/>
      </w:r>
      <w:r w:rsidRPr="00B87CC5">
        <w:t>Expected impact of mitigation policies</w:t>
      </w:r>
      <w:r w:rsidR="00203E4B" w:rsidRPr="00B87CC5">
        <w:t xml:space="preserve"> on output,</w:t>
      </w:r>
      <w:r w:rsidRPr="00B87CC5">
        <w:t xml:space="preserve"> </w:t>
      </w:r>
      <w:r w:rsidR="00203E4B" w:rsidRPr="00B87CC5">
        <w:t xml:space="preserve">by </w:t>
      </w:r>
      <w:r w:rsidRPr="00B87CC5">
        <w:t>sector</w:t>
      </w:r>
      <w:r w:rsidR="00203E4B" w:rsidRPr="00B87CC5">
        <w:t>,</w:t>
      </w:r>
      <w:r w:rsidRPr="00B87CC5">
        <w:t xml:space="preserve"> 2050</w:t>
      </w:r>
      <w:bookmarkEnd w:id="90"/>
      <w:r w:rsidR="00CD71E3" w:rsidRPr="00B87CC5">
        <w:t xml:space="preserve"> </w:t>
      </w:r>
    </w:p>
    <w:p w14:paraId="6F517398" w14:textId="5067CA76" w:rsidR="001E64CE" w:rsidRPr="00B87CC5" w:rsidRDefault="001E64CE" w:rsidP="001E64CE">
      <w:pPr>
        <w:pStyle w:val="BodyText"/>
      </w:pPr>
      <w:r w:rsidRPr="00B87CC5">
        <w:rPr>
          <w:noProof/>
        </w:rPr>
        <w:drawing>
          <wp:inline distT="0" distB="0" distL="0" distR="0" wp14:anchorId="38CEF2E0" wp14:editId="4154870D">
            <wp:extent cx="5399948" cy="3568099"/>
            <wp:effectExtent l="0" t="0" r="0" b="0"/>
            <wp:docPr id="252604789" name="Picture 23" descr="A horizontal bar graph showing the expected impact of mitigation policies on output by sector. The sectors are: agriculture, construction, electricity generation, forestry, manufacturing, mining, services, and utilities. The graph shows the impacts of the current pathway and the expected ERP2 pathway compared to the impacts if no mitigation efforts were purs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04789" name="Picture 23" descr="A horizontal bar graph showing the expected impact of mitigation policies on output by sector. The sectors are: agriculture, construction, electricity generation, forestry, manufacturing, mining, services, and utilities. The graph shows the impacts of the current pathway and the expected ERP2 pathway compared to the impacts if no mitigation efforts were pursued. "/>
                    <pic:cNvPicPr/>
                  </pic:nvPicPr>
                  <pic:blipFill rotWithShape="1">
                    <a:blip r:embed="rId44"/>
                    <a:srcRect t="1716" b="3739"/>
                    <a:stretch/>
                  </pic:blipFill>
                  <pic:spPr bwMode="auto">
                    <a:xfrm>
                      <a:off x="0" y="0"/>
                      <a:ext cx="5399948" cy="3568099"/>
                    </a:xfrm>
                    <a:prstGeom prst="rect">
                      <a:avLst/>
                    </a:prstGeom>
                    <a:ln>
                      <a:noFill/>
                    </a:ln>
                    <a:extLst>
                      <a:ext uri="{53640926-AAD7-44D8-BBD7-CCE9431645EC}">
                        <a14:shadowObscured xmlns:a14="http://schemas.microsoft.com/office/drawing/2010/main"/>
                      </a:ext>
                    </a:extLst>
                  </pic:spPr>
                </pic:pic>
              </a:graphicData>
            </a:graphic>
          </wp:inline>
        </w:drawing>
      </w:r>
    </w:p>
    <w:p w14:paraId="2F621225" w14:textId="2FACC97A" w:rsidR="0082744B" w:rsidRPr="00B87CC5" w:rsidRDefault="0082744B" w:rsidP="00964EFE">
      <w:pPr>
        <w:pStyle w:val="Note"/>
      </w:pPr>
      <w:r w:rsidRPr="00B87CC5">
        <w:t xml:space="preserve">Note: Deviation in sectoral output in 2050 under the ERP2 pathway and ‘current’ pathway (where we continue with existing climate policies) from sectoral output in 2050 under the counterfactual ‘without measures’ pathway (where we </w:t>
      </w:r>
      <w:r w:rsidR="00D93100" w:rsidRPr="00B87CC5">
        <w:t xml:space="preserve">make </w:t>
      </w:r>
      <w:r w:rsidRPr="00B87CC5">
        <w:t>no efforts to reduce emissions).</w:t>
      </w:r>
    </w:p>
    <w:p w14:paraId="5E6E0084" w14:textId="10527852" w:rsidR="00C948E0" w:rsidRPr="00B87CC5" w:rsidRDefault="00C948E0" w:rsidP="000E6032">
      <w:pPr>
        <w:pStyle w:val="Source"/>
        <w:spacing w:before="80"/>
      </w:pPr>
      <w:r w:rsidRPr="00B87CC5">
        <w:t xml:space="preserve">Source: </w:t>
      </w:r>
      <w:proofErr w:type="spellStart"/>
      <w:r w:rsidRPr="00B87CC5">
        <w:t>Torshizian</w:t>
      </w:r>
      <w:proofErr w:type="spellEnd"/>
      <w:r w:rsidRPr="00B87CC5">
        <w:t xml:space="preserve"> et al (2024), with sectoral aggregation by Ministry for the Environment</w:t>
      </w:r>
    </w:p>
    <w:p w14:paraId="6994AFA2" w14:textId="652231CB" w:rsidR="00710D20" w:rsidRPr="00B87CC5" w:rsidRDefault="00162B06" w:rsidP="00710D20">
      <w:pPr>
        <w:pStyle w:val="BodyText"/>
      </w:pPr>
      <w:r w:rsidRPr="00C63308">
        <w:t xml:space="preserve">Agriculture is expected to be the most affected sector under both pathways. Regardless, agricultural output (in GDP terms) is expected to be higher in 2050 than output today due to efficiencies, productivity improvements and technology uptake. Changes to emissions pricing may make forestry more financially viable and continue to shift the balance of land use from agriculture to forestry. This effect is mitigated somewhat by the Government’s policies which will limit conversions of high-quality agricultural land to forestry. The assessment of the impact to the agriculture sector from pathways does not consider the effect of climate change itself on land use, nor does it account for the market opportunities that may emerge for New </w:t>
      </w:r>
      <w:r w:rsidRPr="00C63308">
        <w:lastRenderedPageBreak/>
        <w:t>Zealand as an exporter of relatively low-emissions dairy and meat products</w:t>
      </w:r>
      <w:r>
        <w:t>.</w:t>
      </w:r>
      <w:r w:rsidR="00C37021">
        <w:t xml:space="preserve"> </w:t>
      </w:r>
      <w:r w:rsidR="00315C97" w:rsidRPr="00B87CC5">
        <w:rPr>
          <w:rFonts w:cstheme="minorHAnsi"/>
        </w:rPr>
        <w:t>Under ERP2 policies, minor</w:t>
      </w:r>
      <w:r w:rsidR="00043BA0" w:rsidRPr="00B87CC5">
        <w:rPr>
          <w:rFonts w:cstheme="minorHAnsi"/>
        </w:rPr>
        <w:t xml:space="preserve"> negative impacts</w:t>
      </w:r>
      <w:r w:rsidR="00710D20" w:rsidRPr="00B87CC5">
        <w:rPr>
          <w:rFonts w:cstheme="minorHAnsi"/>
        </w:rPr>
        <w:t xml:space="preserve"> </w:t>
      </w:r>
      <w:r w:rsidR="00043BA0" w:rsidRPr="00B87CC5">
        <w:rPr>
          <w:rFonts w:cstheme="minorHAnsi"/>
        </w:rPr>
        <w:t xml:space="preserve">are expected </w:t>
      </w:r>
      <w:r w:rsidR="003D366C" w:rsidRPr="00B87CC5">
        <w:rPr>
          <w:rFonts w:cstheme="minorHAnsi"/>
        </w:rPr>
        <w:t>across</w:t>
      </w:r>
      <w:r w:rsidR="00043BA0" w:rsidRPr="00B87CC5">
        <w:rPr>
          <w:rFonts w:cstheme="minorHAnsi"/>
        </w:rPr>
        <w:t xml:space="preserve"> construction </w:t>
      </w:r>
      <w:r w:rsidR="003D366C" w:rsidRPr="00B87CC5">
        <w:rPr>
          <w:rFonts w:cstheme="minorHAnsi"/>
        </w:rPr>
        <w:t>and</w:t>
      </w:r>
      <w:r w:rsidR="00043BA0" w:rsidRPr="00B87CC5">
        <w:rPr>
          <w:rFonts w:cstheme="minorHAnsi"/>
        </w:rPr>
        <w:t xml:space="preserve"> mining sectors</w:t>
      </w:r>
      <w:r w:rsidR="002B6A2D" w:rsidRPr="00B87CC5">
        <w:rPr>
          <w:rFonts w:cstheme="minorHAnsi"/>
        </w:rPr>
        <w:t xml:space="preserve"> (output 0.5 and 0.8 per cent lower </w:t>
      </w:r>
      <w:r w:rsidR="00D93100" w:rsidRPr="00B87CC5">
        <w:rPr>
          <w:rFonts w:cstheme="minorHAnsi"/>
        </w:rPr>
        <w:t xml:space="preserve">respectively </w:t>
      </w:r>
      <w:r w:rsidR="002B6A2D" w:rsidRPr="00B87CC5">
        <w:rPr>
          <w:rFonts w:cstheme="minorHAnsi"/>
        </w:rPr>
        <w:t xml:space="preserve">under ERP2 compared with no </w:t>
      </w:r>
      <w:r w:rsidR="00E307DD" w:rsidRPr="00B87CC5">
        <w:rPr>
          <w:rFonts w:cstheme="minorHAnsi"/>
        </w:rPr>
        <w:t>mitigation policy pathway)</w:t>
      </w:r>
      <w:r w:rsidR="00315C97" w:rsidRPr="00B87CC5">
        <w:rPr>
          <w:rFonts w:cstheme="minorHAnsi"/>
        </w:rPr>
        <w:t xml:space="preserve">. </w:t>
      </w:r>
      <w:r w:rsidR="00043BA0" w:rsidRPr="00B87CC5">
        <w:rPr>
          <w:rFonts w:cstheme="minorHAnsi"/>
        </w:rPr>
        <w:t>Minor positive impacts are expected across manufacturing and electricity generation sectors</w:t>
      </w:r>
      <w:r w:rsidR="00E307DD" w:rsidRPr="00B87CC5">
        <w:rPr>
          <w:rFonts w:cstheme="minorHAnsi"/>
        </w:rPr>
        <w:t xml:space="preserve"> (output 0.</w:t>
      </w:r>
      <w:r w:rsidR="007F3779" w:rsidRPr="00B87CC5">
        <w:rPr>
          <w:rFonts w:cstheme="minorHAnsi"/>
        </w:rPr>
        <w:t>7</w:t>
      </w:r>
      <w:r w:rsidR="00E307DD" w:rsidRPr="00B87CC5">
        <w:rPr>
          <w:rFonts w:cstheme="minorHAnsi"/>
        </w:rPr>
        <w:t xml:space="preserve"> and </w:t>
      </w:r>
      <w:r w:rsidR="007F3779" w:rsidRPr="00B87CC5">
        <w:rPr>
          <w:rFonts w:cstheme="minorHAnsi"/>
        </w:rPr>
        <w:t>1.1</w:t>
      </w:r>
      <w:r w:rsidR="00E307DD" w:rsidRPr="00B87CC5">
        <w:rPr>
          <w:rFonts w:cstheme="minorHAnsi"/>
        </w:rPr>
        <w:t xml:space="preserve"> per cent </w:t>
      </w:r>
      <w:r w:rsidR="007F3779" w:rsidRPr="00B87CC5">
        <w:rPr>
          <w:rFonts w:cstheme="minorHAnsi"/>
        </w:rPr>
        <w:t>higher</w:t>
      </w:r>
      <w:r w:rsidR="00D93100" w:rsidRPr="00B87CC5">
        <w:rPr>
          <w:rFonts w:cstheme="minorHAnsi"/>
        </w:rPr>
        <w:t xml:space="preserve"> respectively</w:t>
      </w:r>
      <w:r w:rsidR="00E307DD" w:rsidRPr="00B87CC5">
        <w:rPr>
          <w:rFonts w:cstheme="minorHAnsi"/>
        </w:rPr>
        <w:t xml:space="preserve"> under ERP2 compared with no mitigation policy pathway)</w:t>
      </w:r>
      <w:r w:rsidR="00315C97" w:rsidRPr="00B87CC5">
        <w:rPr>
          <w:rFonts w:cstheme="minorHAnsi"/>
        </w:rPr>
        <w:t xml:space="preserve">. </w:t>
      </w:r>
    </w:p>
    <w:p w14:paraId="0203DC32" w14:textId="1BDF9522" w:rsidR="00973AA1" w:rsidRPr="00B87CC5" w:rsidRDefault="00973AA1" w:rsidP="006D3871">
      <w:pPr>
        <w:pStyle w:val="Heading2"/>
      </w:pPr>
      <w:bookmarkStart w:id="91" w:name="_Toc171609756"/>
      <w:r w:rsidRPr="00B87CC5">
        <w:t xml:space="preserve">Regional </w:t>
      </w:r>
      <w:r w:rsidR="007F62A6" w:rsidRPr="00B87CC5">
        <w:t>i</w:t>
      </w:r>
      <w:r w:rsidRPr="00B87CC5">
        <w:t>mpacts</w:t>
      </w:r>
      <w:bookmarkEnd w:id="91"/>
    </w:p>
    <w:p w14:paraId="4EF3CA99" w14:textId="069C7175" w:rsidR="003D285C" w:rsidRPr="00B87CC5" w:rsidRDefault="003D285C" w:rsidP="000E6032">
      <w:pPr>
        <w:pStyle w:val="BodyText"/>
        <w:rPr>
          <w:lang w:eastAsia="en-US"/>
        </w:rPr>
      </w:pPr>
      <w:bookmarkStart w:id="92" w:name="_Ref170294267"/>
      <w:r w:rsidRPr="00B87CC5">
        <w:rPr>
          <w:lang w:eastAsia="en-US"/>
        </w:rPr>
        <w:t xml:space="preserve">Regional impacts </w:t>
      </w:r>
      <w:r w:rsidR="00C117E9" w:rsidRPr="00B87CC5">
        <w:rPr>
          <w:lang w:eastAsia="en-US"/>
        </w:rPr>
        <w:t>in the model</w:t>
      </w:r>
      <w:r w:rsidRPr="00B87CC5">
        <w:rPr>
          <w:lang w:eastAsia="en-US"/>
        </w:rPr>
        <w:t xml:space="preserve"> are mainly driven by regional industry mixes and how they are affected by the changes in land use. The Government’s ERP2 policies are expected to slightly improve the overall impacts on regions, compared </w:t>
      </w:r>
      <w:r w:rsidR="00B35C3D" w:rsidRPr="00B87CC5">
        <w:rPr>
          <w:lang w:eastAsia="en-US"/>
        </w:rPr>
        <w:t xml:space="preserve">with </w:t>
      </w:r>
      <w:r w:rsidRPr="00B87CC5">
        <w:rPr>
          <w:lang w:eastAsia="en-US"/>
        </w:rPr>
        <w:t>the current set of policies.</w:t>
      </w:r>
      <w:r w:rsidR="003A6F12" w:rsidRPr="00B87CC5">
        <w:rPr>
          <w:lang w:eastAsia="en-US"/>
        </w:rPr>
        <w:t xml:space="preserve"> </w:t>
      </w:r>
    </w:p>
    <w:p w14:paraId="79B02D04" w14:textId="58CF56A0" w:rsidR="003D285C" w:rsidRPr="00B87CC5" w:rsidRDefault="003D285C" w:rsidP="003D285C">
      <w:pPr>
        <w:pStyle w:val="BodyText"/>
        <w:rPr>
          <w:lang w:eastAsia="en-US"/>
        </w:rPr>
      </w:pPr>
      <w:r w:rsidRPr="00B87CC5">
        <w:rPr>
          <w:lang w:eastAsia="en-US"/>
        </w:rPr>
        <w:t xml:space="preserve">The most affected regions are those with heavier reliance on dairy and </w:t>
      </w:r>
      <w:r w:rsidR="00CA132F" w:rsidRPr="00B87CC5">
        <w:rPr>
          <w:lang w:eastAsia="en-US"/>
        </w:rPr>
        <w:t xml:space="preserve">on </w:t>
      </w:r>
      <w:r w:rsidRPr="00B87CC5">
        <w:rPr>
          <w:lang w:eastAsia="en-US"/>
        </w:rPr>
        <w:t>sheep and beef farming</w:t>
      </w:r>
      <w:r w:rsidR="00CA132F" w:rsidRPr="00B87CC5">
        <w:rPr>
          <w:lang w:eastAsia="en-US"/>
        </w:rPr>
        <w:t>. For example,</w:t>
      </w:r>
      <w:r w:rsidRPr="00B87CC5">
        <w:rPr>
          <w:lang w:eastAsia="en-US"/>
        </w:rPr>
        <w:t xml:space="preserve"> </w:t>
      </w:r>
      <w:r w:rsidR="00CA132F" w:rsidRPr="00B87CC5">
        <w:rPr>
          <w:lang w:eastAsia="en-US"/>
        </w:rPr>
        <w:t xml:space="preserve">under ERP2 policies </w:t>
      </w:r>
      <w:r w:rsidR="00CA132F" w:rsidRPr="00B87CC5">
        <w:rPr>
          <w:b/>
          <w:lang w:eastAsia="en-US"/>
        </w:rPr>
        <w:t>compared with no mitigation actions</w:t>
      </w:r>
      <w:r w:rsidR="00CA132F" w:rsidRPr="00B87CC5">
        <w:rPr>
          <w:lang w:eastAsia="en-US"/>
        </w:rPr>
        <w:t xml:space="preserve">, GDP was </w:t>
      </w:r>
      <w:r w:rsidR="0005609B" w:rsidRPr="00B87CC5">
        <w:rPr>
          <w:lang w:eastAsia="en-US"/>
        </w:rPr>
        <w:t>2.2</w:t>
      </w:r>
      <w:r w:rsidR="000E6032" w:rsidRPr="00B87CC5">
        <w:rPr>
          <w:lang w:eastAsia="en-US"/>
        </w:rPr>
        <w:t> </w:t>
      </w:r>
      <w:r w:rsidR="00CA132F" w:rsidRPr="00B87CC5">
        <w:rPr>
          <w:lang w:eastAsia="en-US"/>
        </w:rPr>
        <w:t>per cent</w:t>
      </w:r>
      <w:r w:rsidR="00234C8F" w:rsidRPr="00B87CC5">
        <w:rPr>
          <w:lang w:eastAsia="en-US"/>
        </w:rPr>
        <w:t xml:space="preserve"> lower</w:t>
      </w:r>
      <w:r w:rsidR="00CA132F" w:rsidRPr="00B87CC5">
        <w:rPr>
          <w:lang w:eastAsia="en-US"/>
        </w:rPr>
        <w:t xml:space="preserve"> for Southland</w:t>
      </w:r>
      <w:r w:rsidRPr="00B87CC5">
        <w:rPr>
          <w:lang w:eastAsia="en-US"/>
        </w:rPr>
        <w:t xml:space="preserve">, </w:t>
      </w:r>
      <w:r w:rsidR="00CA132F" w:rsidRPr="00B87CC5">
        <w:rPr>
          <w:lang w:eastAsia="en-US"/>
        </w:rPr>
        <w:t xml:space="preserve">1.6 per cent lower for </w:t>
      </w:r>
      <w:r w:rsidRPr="00B87CC5">
        <w:rPr>
          <w:lang w:eastAsia="en-US"/>
        </w:rPr>
        <w:t>the West Coast</w:t>
      </w:r>
      <w:r w:rsidR="00B04D8F" w:rsidRPr="00B87CC5">
        <w:rPr>
          <w:lang w:eastAsia="en-US"/>
        </w:rPr>
        <w:t xml:space="preserve"> </w:t>
      </w:r>
      <w:r w:rsidRPr="00B87CC5">
        <w:rPr>
          <w:lang w:eastAsia="en-US"/>
        </w:rPr>
        <w:t xml:space="preserve">and </w:t>
      </w:r>
      <w:r w:rsidR="0021712F" w:rsidRPr="00B87CC5">
        <w:rPr>
          <w:lang w:eastAsia="en-US"/>
        </w:rPr>
        <w:t>1.5 per cent lower</w:t>
      </w:r>
      <w:r w:rsidR="000E6032" w:rsidRPr="00B87CC5">
        <w:rPr>
          <w:lang w:eastAsia="en-US"/>
        </w:rPr>
        <w:t> </w:t>
      </w:r>
      <w:r w:rsidR="00CA132F" w:rsidRPr="00B87CC5">
        <w:rPr>
          <w:lang w:eastAsia="en-US"/>
        </w:rPr>
        <w:t xml:space="preserve">for </w:t>
      </w:r>
      <w:proofErr w:type="spellStart"/>
      <w:r w:rsidR="00CA132F" w:rsidRPr="00B87CC5">
        <w:rPr>
          <w:lang w:eastAsia="en-US"/>
        </w:rPr>
        <w:t>Manawatū</w:t>
      </w:r>
      <w:proofErr w:type="spellEnd"/>
      <w:r w:rsidR="00221FA9" w:rsidRPr="00B87CC5">
        <w:rPr>
          <w:lang w:eastAsia="en-US"/>
        </w:rPr>
        <w:t>–Whanganui</w:t>
      </w:r>
      <w:r w:rsidR="0021712F" w:rsidRPr="00B87CC5">
        <w:rPr>
          <w:lang w:eastAsia="en-US"/>
        </w:rPr>
        <w:t xml:space="preserve"> </w:t>
      </w:r>
      <w:r w:rsidRPr="00B87CC5">
        <w:rPr>
          <w:lang w:eastAsia="en-US"/>
        </w:rPr>
        <w:t>(</w:t>
      </w:r>
      <w:r w:rsidR="00CA132F" w:rsidRPr="00B87CC5">
        <w:t>f</w:t>
      </w:r>
      <w:r w:rsidR="001B6E3F" w:rsidRPr="00B87CC5">
        <w:t>igure 22</w:t>
      </w:r>
      <w:r w:rsidRPr="00B87CC5">
        <w:rPr>
          <w:lang w:eastAsia="en-US"/>
        </w:rPr>
        <w:t xml:space="preserve">). However, these regions are expected to be slightly better off </w:t>
      </w:r>
      <w:r w:rsidR="00CA132F" w:rsidRPr="00B87CC5">
        <w:rPr>
          <w:lang w:eastAsia="en-US"/>
        </w:rPr>
        <w:t xml:space="preserve">under </w:t>
      </w:r>
      <w:r w:rsidRPr="00B87CC5">
        <w:rPr>
          <w:lang w:eastAsia="en-US"/>
        </w:rPr>
        <w:t xml:space="preserve">the Government’s ERP2 policies </w:t>
      </w:r>
      <w:r w:rsidRPr="00B87CC5">
        <w:rPr>
          <w:b/>
          <w:lang w:eastAsia="en-US"/>
        </w:rPr>
        <w:t xml:space="preserve">compared </w:t>
      </w:r>
      <w:r w:rsidR="00CA132F" w:rsidRPr="00B87CC5">
        <w:rPr>
          <w:b/>
          <w:lang w:eastAsia="en-US"/>
        </w:rPr>
        <w:t xml:space="preserve">with </w:t>
      </w:r>
      <w:r w:rsidRPr="00B87CC5">
        <w:rPr>
          <w:b/>
          <w:lang w:eastAsia="en-US"/>
        </w:rPr>
        <w:t>current policies</w:t>
      </w:r>
      <w:r w:rsidRPr="00B87CC5">
        <w:rPr>
          <w:lang w:eastAsia="en-US"/>
        </w:rPr>
        <w:t xml:space="preserve">. </w:t>
      </w:r>
      <w:r w:rsidR="008F5983" w:rsidRPr="00B87CC5">
        <w:rPr>
          <w:lang w:eastAsia="en-US"/>
        </w:rPr>
        <w:t>For</w:t>
      </w:r>
      <w:r w:rsidR="000E6032" w:rsidRPr="00B87CC5">
        <w:rPr>
          <w:lang w:eastAsia="en-US"/>
        </w:rPr>
        <w:t> </w:t>
      </w:r>
      <w:r w:rsidR="008F5983" w:rsidRPr="00B87CC5">
        <w:rPr>
          <w:lang w:eastAsia="en-US"/>
        </w:rPr>
        <w:t>example,</w:t>
      </w:r>
      <w:r w:rsidR="00CA132F" w:rsidRPr="00B87CC5">
        <w:rPr>
          <w:lang w:eastAsia="en-US"/>
        </w:rPr>
        <w:t xml:space="preserve"> compared with</w:t>
      </w:r>
      <w:r w:rsidR="008F5983" w:rsidRPr="00B87CC5">
        <w:rPr>
          <w:lang w:eastAsia="en-US"/>
        </w:rPr>
        <w:t xml:space="preserve"> </w:t>
      </w:r>
      <w:r w:rsidR="00CA132F" w:rsidRPr="00B87CC5">
        <w:rPr>
          <w:lang w:eastAsia="en-US"/>
        </w:rPr>
        <w:t xml:space="preserve">the no mitigation policy pathway, </w:t>
      </w:r>
      <w:r w:rsidR="0083195D" w:rsidRPr="00B87CC5">
        <w:rPr>
          <w:lang w:eastAsia="en-US"/>
        </w:rPr>
        <w:t xml:space="preserve">Southland’s </w:t>
      </w:r>
      <w:r w:rsidR="008F5983" w:rsidRPr="00B87CC5">
        <w:rPr>
          <w:lang w:eastAsia="en-US"/>
        </w:rPr>
        <w:t>GDP is expected to</w:t>
      </w:r>
      <w:r w:rsidR="000E6032" w:rsidRPr="00B87CC5">
        <w:rPr>
          <w:lang w:eastAsia="en-US"/>
        </w:rPr>
        <w:t> </w:t>
      </w:r>
      <w:r w:rsidR="008F5983" w:rsidRPr="00B87CC5">
        <w:rPr>
          <w:lang w:eastAsia="en-US"/>
        </w:rPr>
        <w:t>be 2.2</w:t>
      </w:r>
      <w:r w:rsidR="000E6032" w:rsidRPr="00B87CC5">
        <w:rPr>
          <w:lang w:eastAsia="en-US"/>
        </w:rPr>
        <w:t> </w:t>
      </w:r>
      <w:r w:rsidR="00CA132F" w:rsidRPr="00B87CC5">
        <w:rPr>
          <w:lang w:eastAsia="en-US"/>
        </w:rPr>
        <w:t>per cent</w:t>
      </w:r>
      <w:r w:rsidR="008F5983" w:rsidRPr="00B87CC5">
        <w:rPr>
          <w:lang w:eastAsia="en-US"/>
        </w:rPr>
        <w:t xml:space="preserve"> lower</w:t>
      </w:r>
      <w:r w:rsidR="00CA132F" w:rsidRPr="00B87CC5">
        <w:rPr>
          <w:lang w:eastAsia="en-US"/>
        </w:rPr>
        <w:t xml:space="preserve"> under ERP2 policies</w:t>
      </w:r>
      <w:r w:rsidR="008F5983" w:rsidRPr="00B87CC5">
        <w:rPr>
          <w:lang w:eastAsia="en-US"/>
        </w:rPr>
        <w:t xml:space="preserve"> </w:t>
      </w:r>
      <w:r w:rsidR="00CA132F" w:rsidRPr="00B87CC5">
        <w:rPr>
          <w:lang w:eastAsia="en-US"/>
        </w:rPr>
        <w:t>and</w:t>
      </w:r>
      <w:r w:rsidR="008F5983" w:rsidRPr="00B87CC5">
        <w:rPr>
          <w:lang w:eastAsia="en-US"/>
        </w:rPr>
        <w:t xml:space="preserve"> 2.4</w:t>
      </w:r>
      <w:r w:rsidR="00CA132F" w:rsidRPr="00B87CC5">
        <w:rPr>
          <w:lang w:eastAsia="en-US"/>
        </w:rPr>
        <w:t xml:space="preserve"> per cent</w:t>
      </w:r>
      <w:r w:rsidR="008F5983" w:rsidRPr="00B87CC5">
        <w:rPr>
          <w:lang w:eastAsia="en-US"/>
        </w:rPr>
        <w:t xml:space="preserve"> lower under current policies.</w:t>
      </w:r>
    </w:p>
    <w:p w14:paraId="638BF046" w14:textId="499EA9E5" w:rsidR="00637386" w:rsidRPr="00B87CC5" w:rsidRDefault="00637386" w:rsidP="00637386">
      <w:pPr>
        <w:pStyle w:val="Figureheading"/>
      </w:pPr>
      <w:bookmarkStart w:id="93" w:name="_Ref169792616"/>
      <w:bookmarkStart w:id="94" w:name="_Toc171609797"/>
      <w:r w:rsidRPr="00B87CC5">
        <w:t xml:space="preserve">Figure </w:t>
      </w:r>
      <w:r w:rsidR="00385111">
        <w:fldChar w:fldCharType="begin"/>
      </w:r>
      <w:r w:rsidR="00385111">
        <w:instrText xml:space="preserve"> SEQ Figure \* ARABIC </w:instrText>
      </w:r>
      <w:r w:rsidR="00385111">
        <w:fldChar w:fldCharType="separate"/>
      </w:r>
      <w:r w:rsidR="001B6E3F" w:rsidRPr="00B87CC5">
        <w:t>22</w:t>
      </w:r>
      <w:r w:rsidR="00385111">
        <w:fldChar w:fldCharType="end"/>
      </w:r>
      <w:bookmarkEnd w:id="92"/>
      <w:bookmarkEnd w:id="93"/>
      <w:r w:rsidR="005E1D91" w:rsidRPr="00B87CC5">
        <w:t>:</w:t>
      </w:r>
      <w:r w:rsidR="005E1D91" w:rsidRPr="00B87CC5">
        <w:tab/>
      </w:r>
      <w:r w:rsidRPr="00B87CC5">
        <w:t>Expected impact of mitigation policies on</w:t>
      </w:r>
      <w:r w:rsidR="00221FA9" w:rsidRPr="00B87CC5">
        <w:t xml:space="preserve"> GDP, by</w:t>
      </w:r>
      <w:r w:rsidRPr="00B87CC5">
        <w:t xml:space="preserve"> region</w:t>
      </w:r>
      <w:r w:rsidR="00221FA9" w:rsidRPr="00B87CC5">
        <w:t>,</w:t>
      </w:r>
      <w:r w:rsidRPr="00B87CC5">
        <w:t xml:space="preserve"> 2050</w:t>
      </w:r>
      <w:bookmarkEnd w:id="94"/>
    </w:p>
    <w:p w14:paraId="214C4614" w14:textId="77777777" w:rsidR="00637386" w:rsidRPr="00B87CC5" w:rsidRDefault="0082744B" w:rsidP="00637386">
      <w:pPr>
        <w:pStyle w:val="BodyText"/>
      </w:pPr>
      <w:bookmarkStart w:id="95" w:name="_Ref169622078"/>
      <w:r w:rsidRPr="00B87CC5">
        <w:rPr>
          <w:noProof/>
        </w:rPr>
        <w:drawing>
          <wp:inline distT="0" distB="0" distL="0" distR="0" wp14:anchorId="2242BF83" wp14:editId="5DB765E0">
            <wp:extent cx="5400597" cy="3689405"/>
            <wp:effectExtent l="0" t="0" r="0" b="6350"/>
            <wp:docPr id="63252152" name="Picture 1" descr="A horizontal bar graph showing the expected impact of mitigation policies on real GDP by region in 2050. The regions are: Northland, Auckland, Waikato, Bay of Plenty, Gisborne, Hawke’s Bay, Taranaki, Manawatū-Whanganui, Wellington, Tasman, Nelson, Marlborough, Canterbury, West Coast, Otago, and Southland. The graph shows the impacts of the current pathway and the expected ERP2 pathway compared to the impacts if no mitigation efforts were purs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2152" name="Picture 1" descr="A horizontal bar graph showing the expected impact of mitigation policies on real GDP by region in 2050. The regions are: Northland, Auckland, Waikato, Bay of Plenty, Gisborne, Hawke’s Bay, Taranaki, Manawatū-Whanganui, Wellington, Tasman, Nelson, Marlborough, Canterbury, West Coast, Otago, and Southland. The graph shows the impacts of the current pathway and the expected ERP2 pathway compared to the impacts if no mitigation efforts were pursued. "/>
                    <pic:cNvPicPr/>
                  </pic:nvPicPr>
                  <pic:blipFill rotWithShape="1">
                    <a:blip r:embed="rId45"/>
                    <a:srcRect t="3794" b="3555"/>
                    <a:stretch/>
                  </pic:blipFill>
                  <pic:spPr bwMode="auto">
                    <a:xfrm>
                      <a:off x="0" y="0"/>
                      <a:ext cx="5400675" cy="3689458"/>
                    </a:xfrm>
                    <a:prstGeom prst="rect">
                      <a:avLst/>
                    </a:prstGeom>
                    <a:ln>
                      <a:noFill/>
                    </a:ln>
                    <a:extLst>
                      <a:ext uri="{53640926-AAD7-44D8-BBD7-CCE9431645EC}">
                        <a14:shadowObscured xmlns:a14="http://schemas.microsoft.com/office/drawing/2010/main"/>
                      </a:ext>
                    </a:extLst>
                  </pic:spPr>
                </pic:pic>
              </a:graphicData>
            </a:graphic>
          </wp:inline>
        </w:drawing>
      </w:r>
    </w:p>
    <w:p w14:paraId="030C1B0E" w14:textId="5ED286F4" w:rsidR="5A6CC86B" w:rsidRPr="00B87CC5" w:rsidRDefault="0082744B" w:rsidP="00851655">
      <w:pPr>
        <w:pStyle w:val="Note"/>
        <w:spacing w:before="0" w:after="0" w:line="240" w:lineRule="auto"/>
      </w:pPr>
      <w:r w:rsidRPr="00B87CC5">
        <w:t xml:space="preserve">Note: Deviation in real gross domestic product in 2050 under the ERP2 pathway and ‘current’ pathway (where we continue with existing climate policies) from real </w:t>
      </w:r>
      <w:r w:rsidR="00221FA9" w:rsidRPr="00B87CC5">
        <w:t>GDP</w:t>
      </w:r>
      <w:r w:rsidRPr="00B87CC5">
        <w:t xml:space="preserve"> in 2050 under the counterfactual ‘without measures’ pathway (where we have no efforts to reduce emissions</w:t>
      </w:r>
      <w:r w:rsidR="00995B6D" w:rsidRPr="00B87CC5">
        <w:t>)</w:t>
      </w:r>
      <w:r w:rsidRPr="00B87CC5">
        <w:t>.</w:t>
      </w:r>
    </w:p>
    <w:p w14:paraId="6DDC3CD5" w14:textId="37B3F088" w:rsidR="00C948E0" w:rsidRPr="00B87CC5" w:rsidRDefault="00C948E0" w:rsidP="00F30A46">
      <w:pPr>
        <w:pStyle w:val="Source"/>
      </w:pPr>
      <w:r w:rsidRPr="00B87CC5">
        <w:t xml:space="preserve">Source: </w:t>
      </w:r>
      <w:proofErr w:type="spellStart"/>
      <w:r w:rsidRPr="00B87CC5">
        <w:t>Torshizian</w:t>
      </w:r>
      <w:proofErr w:type="spellEnd"/>
      <w:r w:rsidRPr="00B87CC5">
        <w:t xml:space="preserve"> et al (2024)</w:t>
      </w:r>
    </w:p>
    <w:bookmarkEnd w:id="95"/>
    <w:p w14:paraId="21C6ACB7" w14:textId="320F5B96" w:rsidR="007E0BBD" w:rsidRPr="00B87CC5" w:rsidRDefault="00725B21" w:rsidP="007E0BBD">
      <w:pPr>
        <w:pStyle w:val="BodyText"/>
        <w:rPr>
          <w:lang w:eastAsia="en-US"/>
        </w:rPr>
      </w:pPr>
      <w:r w:rsidRPr="00B87CC5">
        <w:rPr>
          <w:lang w:eastAsia="en-US"/>
        </w:rPr>
        <w:t xml:space="preserve">The least affected regions are urban areas with more service industries such as Auckland </w:t>
      </w:r>
      <w:r w:rsidR="0021712F" w:rsidRPr="00B87CC5">
        <w:rPr>
          <w:lang w:eastAsia="en-US"/>
        </w:rPr>
        <w:t>(GDP</w:t>
      </w:r>
      <w:r w:rsidR="00574171" w:rsidRPr="00B87CC5">
        <w:rPr>
          <w:lang w:eastAsia="en-US"/>
        </w:rPr>
        <w:t> </w:t>
      </w:r>
      <w:r w:rsidR="0021712F" w:rsidRPr="00B87CC5">
        <w:rPr>
          <w:lang w:eastAsia="en-US"/>
        </w:rPr>
        <w:t xml:space="preserve">unchanged under ERP2 policies compared with no mitigation actions) </w:t>
      </w:r>
      <w:r w:rsidR="00221FA9" w:rsidRPr="00B87CC5">
        <w:rPr>
          <w:lang w:eastAsia="en-US"/>
        </w:rPr>
        <w:t xml:space="preserve">and </w:t>
      </w:r>
      <w:r w:rsidRPr="00B87CC5">
        <w:rPr>
          <w:lang w:eastAsia="en-US"/>
        </w:rPr>
        <w:t>Wellington</w:t>
      </w:r>
      <w:r w:rsidR="004E72A1" w:rsidRPr="00B87CC5">
        <w:rPr>
          <w:lang w:eastAsia="en-US"/>
        </w:rPr>
        <w:t xml:space="preserve"> (GDP 0.2</w:t>
      </w:r>
      <w:r w:rsidR="00574171" w:rsidRPr="00B87CC5">
        <w:rPr>
          <w:lang w:eastAsia="en-US"/>
        </w:rPr>
        <w:t> </w:t>
      </w:r>
      <w:r w:rsidR="00221FA9" w:rsidRPr="00B87CC5">
        <w:rPr>
          <w:lang w:eastAsia="en-US"/>
        </w:rPr>
        <w:t>per cent</w:t>
      </w:r>
      <w:r w:rsidR="004E72A1" w:rsidRPr="00B87CC5">
        <w:rPr>
          <w:lang w:eastAsia="en-US"/>
        </w:rPr>
        <w:t xml:space="preserve"> lower under ERP2 policies compared with no mitigation actions)</w:t>
      </w:r>
      <w:r w:rsidRPr="00B87CC5">
        <w:rPr>
          <w:lang w:eastAsia="en-US"/>
        </w:rPr>
        <w:t xml:space="preserve">. There </w:t>
      </w:r>
      <w:r w:rsidRPr="00B87CC5">
        <w:rPr>
          <w:lang w:eastAsia="en-US"/>
        </w:rPr>
        <w:lastRenderedPageBreak/>
        <w:t>are</w:t>
      </w:r>
      <w:r w:rsidR="00E26C7A" w:rsidRPr="00B87CC5">
        <w:rPr>
          <w:lang w:eastAsia="en-US"/>
        </w:rPr>
        <w:t> </w:t>
      </w:r>
      <w:r w:rsidRPr="00B87CC5">
        <w:rPr>
          <w:lang w:eastAsia="en-US"/>
        </w:rPr>
        <w:t>also minimal effects for regions with a different primary sector mix such as Nelson</w:t>
      </w:r>
      <w:r w:rsidR="00F0568A" w:rsidRPr="00B87CC5">
        <w:rPr>
          <w:lang w:eastAsia="en-US"/>
        </w:rPr>
        <w:t xml:space="preserve"> (GDP unchanged under ERP2 policies compared with no mitigation actions)</w:t>
      </w:r>
      <w:r w:rsidR="004C7224" w:rsidRPr="00B87CC5">
        <w:rPr>
          <w:lang w:eastAsia="en-US"/>
        </w:rPr>
        <w:t>,</w:t>
      </w:r>
      <w:r w:rsidRPr="00B87CC5">
        <w:rPr>
          <w:lang w:eastAsia="en-US"/>
        </w:rPr>
        <w:t xml:space="preserve"> </w:t>
      </w:r>
      <w:r w:rsidR="00221FA9" w:rsidRPr="00B87CC5">
        <w:rPr>
          <w:lang w:eastAsia="en-US"/>
        </w:rPr>
        <w:t xml:space="preserve">and </w:t>
      </w:r>
      <w:r w:rsidRPr="00B87CC5">
        <w:rPr>
          <w:lang w:eastAsia="en-US"/>
        </w:rPr>
        <w:t xml:space="preserve">Bay of Plenty and Marlborough </w:t>
      </w:r>
      <w:r w:rsidR="008B69E3" w:rsidRPr="00B87CC5">
        <w:rPr>
          <w:lang w:eastAsia="en-US"/>
        </w:rPr>
        <w:t>(</w:t>
      </w:r>
      <w:r w:rsidR="00221FA9" w:rsidRPr="00B87CC5">
        <w:rPr>
          <w:lang w:eastAsia="en-US"/>
        </w:rPr>
        <w:t xml:space="preserve">for </w:t>
      </w:r>
      <w:r w:rsidR="00F0568A" w:rsidRPr="00B87CC5">
        <w:rPr>
          <w:lang w:eastAsia="en-US"/>
        </w:rPr>
        <w:t>both</w:t>
      </w:r>
      <w:r w:rsidR="00221FA9" w:rsidRPr="00B87CC5">
        <w:rPr>
          <w:lang w:eastAsia="en-US"/>
        </w:rPr>
        <w:t xml:space="preserve"> regions,</w:t>
      </w:r>
      <w:r w:rsidR="00F0568A" w:rsidRPr="00B87CC5">
        <w:rPr>
          <w:lang w:eastAsia="en-US"/>
        </w:rPr>
        <w:t xml:space="preserve"> </w:t>
      </w:r>
      <w:r w:rsidR="008B69E3" w:rsidRPr="00B87CC5">
        <w:rPr>
          <w:lang w:eastAsia="en-US"/>
        </w:rPr>
        <w:t>GDP 0.</w:t>
      </w:r>
      <w:r w:rsidR="00F0568A" w:rsidRPr="00B87CC5">
        <w:rPr>
          <w:lang w:eastAsia="en-US"/>
        </w:rPr>
        <w:t>5</w:t>
      </w:r>
      <w:r w:rsidR="00221FA9" w:rsidRPr="00B87CC5">
        <w:rPr>
          <w:lang w:eastAsia="en-US"/>
        </w:rPr>
        <w:t xml:space="preserve"> per cent</w:t>
      </w:r>
      <w:r w:rsidR="008B69E3" w:rsidRPr="00B87CC5">
        <w:rPr>
          <w:lang w:eastAsia="en-US"/>
        </w:rPr>
        <w:t xml:space="preserve"> lower under ERP2 policies compared with no</w:t>
      </w:r>
      <w:r w:rsidR="00574171" w:rsidRPr="00B87CC5">
        <w:rPr>
          <w:lang w:eastAsia="en-US"/>
        </w:rPr>
        <w:t> </w:t>
      </w:r>
      <w:r w:rsidR="008B69E3" w:rsidRPr="00B87CC5">
        <w:rPr>
          <w:lang w:eastAsia="en-US"/>
        </w:rPr>
        <w:t>mitigation actions)</w:t>
      </w:r>
      <w:r w:rsidRPr="00B87CC5">
        <w:rPr>
          <w:lang w:eastAsia="en-US"/>
        </w:rPr>
        <w:t>.</w:t>
      </w:r>
    </w:p>
    <w:p w14:paraId="0D3A27E0" w14:textId="77777777" w:rsidR="00574171" w:rsidRPr="00B87CC5" w:rsidRDefault="00574171" w:rsidP="007E0BBD">
      <w:pPr>
        <w:pStyle w:val="BodyText"/>
        <w:rPr>
          <w:lang w:eastAsia="en-US"/>
        </w:rPr>
      </w:pPr>
    </w:p>
    <w:p w14:paraId="1B8A944C" w14:textId="77777777" w:rsidR="00C2540A" w:rsidRPr="00B87CC5" w:rsidRDefault="00C2540A" w:rsidP="00EC7BAB">
      <w:pPr>
        <w:pStyle w:val="BodyText"/>
        <w:sectPr w:rsidR="00C2540A" w:rsidRPr="00B87CC5" w:rsidSect="00E26C7A">
          <w:footerReference w:type="even" r:id="rId46"/>
          <w:footerReference w:type="default" r:id="rId47"/>
          <w:footerReference w:type="first" r:id="rId48"/>
          <w:pgSz w:w="11907" w:h="16840" w:code="9"/>
          <w:pgMar w:top="1134" w:right="1701" w:bottom="1134" w:left="1701" w:header="567" w:footer="567" w:gutter="0"/>
          <w:cols w:space="720"/>
          <w:docGrid w:linePitch="299"/>
        </w:sectPr>
      </w:pPr>
    </w:p>
    <w:p w14:paraId="79E0CC1A" w14:textId="77777777" w:rsidR="00431940" w:rsidRPr="00B87CC5" w:rsidRDefault="00431940" w:rsidP="00CD315F">
      <w:pPr>
        <w:pStyle w:val="Heading1"/>
        <w:spacing w:after="240"/>
      </w:pPr>
      <w:bookmarkStart w:id="96" w:name="_Toc171609757"/>
      <w:r w:rsidRPr="00B87CC5">
        <w:lastRenderedPageBreak/>
        <w:t>Appendix 1:</w:t>
      </w:r>
      <w:r w:rsidRPr="00B87CC5">
        <w:tab/>
        <w:t>Baseline assumptions</w:t>
      </w:r>
      <w:bookmarkEnd w:id="96"/>
    </w:p>
    <w:p w14:paraId="4002F296" w14:textId="77777777" w:rsidR="00431940" w:rsidRPr="00B87CC5" w:rsidRDefault="00431940" w:rsidP="00431940">
      <w:pPr>
        <w:pStyle w:val="Tableheading"/>
      </w:pPr>
      <w:bookmarkStart w:id="97" w:name="_Toc171609773"/>
      <w:r w:rsidRPr="00B87CC5">
        <w:t>Table A1.1:</w:t>
      </w:r>
      <w:r w:rsidRPr="00B87CC5">
        <w:tab/>
        <w:t>List of assumptions for 2023 official projections (with existing measures, WEM), interim ERP2 baseline, low and high scenarios</w:t>
      </w:r>
      <w:bookmarkEnd w:id="97"/>
    </w:p>
    <w:bookmarkEnd w:id="0"/>
    <w:tbl>
      <w:tblPr>
        <w:tblW w:w="14572"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089"/>
        <w:gridCol w:w="2597"/>
        <w:gridCol w:w="3008"/>
        <w:gridCol w:w="3229"/>
        <w:gridCol w:w="2125"/>
        <w:gridCol w:w="2524"/>
      </w:tblGrid>
      <w:tr w:rsidR="006210F3" w:rsidRPr="00B87CC5" w14:paraId="35E1762C" w14:textId="77777777" w:rsidTr="006E361C">
        <w:trPr>
          <w:trHeight w:val="170"/>
          <w:tblHeader/>
        </w:trPr>
        <w:tc>
          <w:tcPr>
            <w:tcW w:w="374" w:type="pct"/>
            <w:tcBorders>
              <w:top w:val="nil"/>
              <w:right w:val="nil"/>
            </w:tcBorders>
            <w:shd w:val="clear" w:color="auto" w:fill="FFFFFF" w:themeFill="background1"/>
            <w:noWrap/>
            <w:vAlign w:val="bottom"/>
            <w:hideMark/>
          </w:tcPr>
          <w:p w14:paraId="14EC0D9D" w14:textId="5F98F086" w:rsidR="006210F3" w:rsidRPr="00B87CC5" w:rsidRDefault="006210F3" w:rsidP="00CD315F">
            <w:pPr>
              <w:spacing w:before="20" w:after="20" w:line="240" w:lineRule="auto"/>
              <w:jc w:val="left"/>
              <w:rPr>
                <w:rFonts w:eastAsia="Times New Roman" w:cs="Calibri"/>
                <w:color w:val="000000"/>
                <w:sz w:val="18"/>
                <w:szCs w:val="18"/>
              </w:rPr>
            </w:pPr>
          </w:p>
        </w:tc>
        <w:tc>
          <w:tcPr>
            <w:tcW w:w="891" w:type="pct"/>
            <w:tcBorders>
              <w:top w:val="nil"/>
              <w:left w:val="nil"/>
            </w:tcBorders>
            <w:shd w:val="clear" w:color="auto" w:fill="FFFFFF" w:themeFill="background1"/>
            <w:noWrap/>
            <w:vAlign w:val="bottom"/>
            <w:hideMark/>
          </w:tcPr>
          <w:p w14:paraId="3ED2F935" w14:textId="77777777" w:rsidR="006210F3" w:rsidRPr="00B87CC5" w:rsidRDefault="006210F3" w:rsidP="00CD315F">
            <w:pPr>
              <w:spacing w:before="20" w:after="20" w:line="240" w:lineRule="auto"/>
              <w:jc w:val="left"/>
              <w:rPr>
                <w:rFonts w:eastAsia="Times New Roman" w:cs="Calibri"/>
                <w:color w:val="000000"/>
                <w:sz w:val="18"/>
                <w:szCs w:val="18"/>
              </w:rPr>
            </w:pPr>
            <w:r w:rsidRPr="00B87CC5">
              <w:rPr>
                <w:rFonts w:eastAsia="Times New Roman" w:cs="Calibri"/>
                <w:color w:val="000000"/>
                <w:sz w:val="18"/>
                <w:szCs w:val="18"/>
              </w:rPr>
              <w:t> </w:t>
            </w:r>
          </w:p>
        </w:tc>
        <w:tc>
          <w:tcPr>
            <w:tcW w:w="1032" w:type="pct"/>
            <w:shd w:val="clear" w:color="auto" w:fill="32809C" w:themeFill="accent2"/>
            <w:vAlign w:val="center"/>
          </w:tcPr>
          <w:p w14:paraId="3EAF306F" w14:textId="77777777" w:rsidR="006210F3" w:rsidRPr="00B87CC5" w:rsidRDefault="006210F3" w:rsidP="00CD315F">
            <w:pPr>
              <w:spacing w:before="20" w:after="20" w:line="240" w:lineRule="auto"/>
              <w:jc w:val="center"/>
              <w:rPr>
                <w:rFonts w:eastAsia="Times New Roman" w:cs="Calibri"/>
                <w:b/>
                <w:bCs/>
                <w:color w:val="FFFFFF"/>
                <w:sz w:val="18"/>
                <w:szCs w:val="18"/>
              </w:rPr>
            </w:pPr>
            <w:r w:rsidRPr="00B87CC5">
              <w:rPr>
                <w:rFonts w:cs="Calibri"/>
                <w:b/>
                <w:bCs/>
                <w:color w:val="FFFFFF"/>
                <w:sz w:val="18"/>
                <w:szCs w:val="18"/>
              </w:rPr>
              <w:t>2023 official projections (WEM)</w:t>
            </w:r>
          </w:p>
        </w:tc>
        <w:tc>
          <w:tcPr>
            <w:tcW w:w="1108" w:type="pct"/>
            <w:shd w:val="clear" w:color="auto" w:fill="BF2F37"/>
            <w:vAlign w:val="center"/>
            <w:hideMark/>
          </w:tcPr>
          <w:p w14:paraId="61E1E56B" w14:textId="77777777" w:rsidR="006210F3" w:rsidRPr="00B87CC5" w:rsidRDefault="006210F3" w:rsidP="00CD315F">
            <w:pPr>
              <w:spacing w:before="20" w:after="20" w:line="240" w:lineRule="auto"/>
              <w:jc w:val="center"/>
              <w:rPr>
                <w:rFonts w:eastAsia="Times New Roman" w:cs="Calibri"/>
                <w:b/>
                <w:bCs/>
                <w:color w:val="FFFFFF"/>
                <w:sz w:val="18"/>
                <w:szCs w:val="18"/>
              </w:rPr>
            </w:pPr>
            <w:r w:rsidRPr="00B87CC5">
              <w:rPr>
                <w:rFonts w:eastAsia="Times New Roman" w:cs="Calibri"/>
                <w:b/>
                <w:bCs/>
                <w:color w:val="FFFFFF"/>
                <w:sz w:val="18"/>
                <w:szCs w:val="18"/>
              </w:rPr>
              <w:t>Interim ERP2 baseline</w:t>
            </w:r>
          </w:p>
        </w:tc>
        <w:tc>
          <w:tcPr>
            <w:tcW w:w="729" w:type="pct"/>
            <w:shd w:val="clear" w:color="auto" w:fill="2C9986" w:themeFill="accent4"/>
            <w:vAlign w:val="center"/>
            <w:hideMark/>
          </w:tcPr>
          <w:p w14:paraId="322B2492" w14:textId="77777777" w:rsidR="006210F3" w:rsidRPr="00B87CC5" w:rsidRDefault="006210F3" w:rsidP="00CD315F">
            <w:pPr>
              <w:spacing w:before="20" w:after="20" w:line="240" w:lineRule="auto"/>
              <w:jc w:val="center"/>
              <w:rPr>
                <w:rFonts w:eastAsia="Times New Roman" w:cs="Calibri"/>
                <w:b/>
                <w:bCs/>
                <w:color w:val="FFFFFF"/>
                <w:sz w:val="18"/>
                <w:szCs w:val="18"/>
              </w:rPr>
            </w:pPr>
            <w:r w:rsidRPr="00B87CC5">
              <w:rPr>
                <w:rFonts w:eastAsia="Times New Roman" w:cs="Calibri"/>
                <w:b/>
                <w:bCs/>
                <w:color w:val="FFFFFF"/>
                <w:sz w:val="18"/>
                <w:szCs w:val="18"/>
              </w:rPr>
              <w:t>Interim ERP2 baseline – low</w:t>
            </w:r>
          </w:p>
        </w:tc>
        <w:tc>
          <w:tcPr>
            <w:tcW w:w="866" w:type="pct"/>
            <w:shd w:val="clear" w:color="auto" w:fill="DA5A28"/>
            <w:vAlign w:val="center"/>
            <w:hideMark/>
          </w:tcPr>
          <w:p w14:paraId="3C26C1B1" w14:textId="77777777" w:rsidR="006210F3" w:rsidRPr="00B87CC5" w:rsidRDefault="006210F3" w:rsidP="00CD315F">
            <w:pPr>
              <w:spacing w:before="20" w:after="20" w:line="240" w:lineRule="auto"/>
              <w:jc w:val="center"/>
              <w:rPr>
                <w:rFonts w:eastAsia="Times New Roman" w:cs="Calibri"/>
                <w:b/>
                <w:bCs/>
                <w:color w:val="FFFFFF"/>
                <w:sz w:val="18"/>
                <w:szCs w:val="18"/>
              </w:rPr>
            </w:pPr>
            <w:r w:rsidRPr="00B87CC5">
              <w:rPr>
                <w:rFonts w:eastAsia="Times New Roman" w:cs="Calibri"/>
                <w:b/>
                <w:bCs/>
                <w:color w:val="FFFFFF"/>
                <w:sz w:val="18"/>
                <w:szCs w:val="18"/>
              </w:rPr>
              <w:t>Interim ERP2 baseline – high</w:t>
            </w:r>
          </w:p>
        </w:tc>
      </w:tr>
      <w:tr w:rsidR="006210F3" w:rsidRPr="00B87CC5" w14:paraId="21AFB266" w14:textId="77777777" w:rsidTr="006E361C">
        <w:trPr>
          <w:trHeight w:val="170"/>
        </w:trPr>
        <w:tc>
          <w:tcPr>
            <w:tcW w:w="1265" w:type="pct"/>
            <w:gridSpan w:val="2"/>
            <w:shd w:val="clear" w:color="auto" w:fill="1C556C" w:themeFill="accent1"/>
            <w:vAlign w:val="center"/>
            <w:hideMark/>
          </w:tcPr>
          <w:p w14:paraId="257F4BC7" w14:textId="77777777" w:rsidR="006210F3" w:rsidRPr="00B87CC5" w:rsidRDefault="006210F3" w:rsidP="00CD315F">
            <w:pPr>
              <w:spacing w:before="20" w:after="20" w:line="240" w:lineRule="auto"/>
              <w:jc w:val="center"/>
              <w:rPr>
                <w:rFonts w:eastAsia="Times New Roman" w:cs="Calibri"/>
                <w:b/>
                <w:bCs/>
                <w:color w:val="FFFFFF"/>
                <w:sz w:val="18"/>
                <w:szCs w:val="18"/>
              </w:rPr>
            </w:pPr>
            <w:r w:rsidRPr="00B87CC5">
              <w:rPr>
                <w:rFonts w:eastAsia="Times New Roman" w:cs="Calibri"/>
                <w:b/>
                <w:bCs/>
                <w:color w:val="FFFFFF"/>
                <w:sz w:val="18"/>
                <w:szCs w:val="18"/>
              </w:rPr>
              <w:t>GENERAL</w:t>
            </w:r>
          </w:p>
        </w:tc>
        <w:tc>
          <w:tcPr>
            <w:tcW w:w="1032" w:type="pct"/>
            <w:shd w:val="clear" w:color="auto" w:fill="1C556C" w:themeFill="accent1"/>
          </w:tcPr>
          <w:p w14:paraId="1F8AEA4F" w14:textId="77777777" w:rsidR="006210F3" w:rsidRPr="00B87CC5" w:rsidRDefault="006210F3" w:rsidP="00CD315F">
            <w:pPr>
              <w:spacing w:before="20" w:after="20" w:line="240" w:lineRule="auto"/>
              <w:jc w:val="left"/>
              <w:rPr>
                <w:rFonts w:eastAsia="Times New Roman" w:cs="Calibri"/>
                <w:b/>
                <w:bCs/>
                <w:color w:val="FFFFFF"/>
                <w:sz w:val="18"/>
                <w:szCs w:val="18"/>
              </w:rPr>
            </w:pPr>
          </w:p>
        </w:tc>
        <w:tc>
          <w:tcPr>
            <w:tcW w:w="1108" w:type="pct"/>
            <w:shd w:val="clear" w:color="auto" w:fill="1C556C" w:themeFill="accent1"/>
            <w:vAlign w:val="center"/>
            <w:hideMark/>
          </w:tcPr>
          <w:p w14:paraId="2F4BAA73"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c>
          <w:tcPr>
            <w:tcW w:w="729" w:type="pct"/>
            <w:shd w:val="clear" w:color="auto" w:fill="1C556C" w:themeFill="accent1"/>
            <w:vAlign w:val="center"/>
            <w:hideMark/>
          </w:tcPr>
          <w:p w14:paraId="04D6B7C7"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c>
          <w:tcPr>
            <w:tcW w:w="866" w:type="pct"/>
            <w:shd w:val="clear" w:color="auto" w:fill="1C556C" w:themeFill="accent1"/>
            <w:vAlign w:val="center"/>
            <w:hideMark/>
          </w:tcPr>
          <w:p w14:paraId="3C54F109"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r>
      <w:tr w:rsidR="006210F3" w:rsidRPr="00B87CC5" w14:paraId="48B0A583" w14:textId="77777777" w:rsidTr="006E361C">
        <w:trPr>
          <w:trHeight w:val="170"/>
        </w:trPr>
        <w:tc>
          <w:tcPr>
            <w:tcW w:w="374" w:type="pct"/>
            <w:vMerge w:val="restart"/>
            <w:shd w:val="clear" w:color="auto" w:fill="E7E7E7"/>
            <w:textDirection w:val="btLr"/>
            <w:vAlign w:val="center"/>
            <w:hideMark/>
          </w:tcPr>
          <w:p w14:paraId="6C5BBB82" w14:textId="77777777" w:rsidR="006210F3" w:rsidRPr="00B87CC5" w:rsidRDefault="006210F3" w:rsidP="00CD315F">
            <w:pPr>
              <w:pStyle w:val="TableText"/>
              <w:spacing w:before="20" w:after="20"/>
              <w:jc w:val="center"/>
              <w:rPr>
                <w:rFonts w:cs="Calibri"/>
                <w:b/>
                <w:szCs w:val="18"/>
              </w:rPr>
            </w:pPr>
            <w:r w:rsidRPr="00B87CC5">
              <w:rPr>
                <w:rFonts w:cs="Calibri"/>
                <w:b/>
                <w:szCs w:val="18"/>
              </w:rPr>
              <w:t>General</w:t>
            </w:r>
          </w:p>
        </w:tc>
        <w:tc>
          <w:tcPr>
            <w:tcW w:w="891" w:type="pct"/>
            <w:shd w:val="clear" w:color="auto" w:fill="D9D9D9" w:themeFill="background1" w:themeFillShade="D9"/>
            <w:hideMark/>
          </w:tcPr>
          <w:p w14:paraId="16355CDF" w14:textId="77777777" w:rsidR="006210F3" w:rsidRPr="00B87CC5" w:rsidRDefault="006210F3" w:rsidP="00CD315F">
            <w:pPr>
              <w:pStyle w:val="TableText"/>
              <w:spacing w:before="20" w:after="20"/>
            </w:pPr>
            <w:r w:rsidRPr="00B87CC5">
              <w:t>Population</w:t>
            </w:r>
          </w:p>
        </w:tc>
        <w:tc>
          <w:tcPr>
            <w:tcW w:w="1032" w:type="pct"/>
          </w:tcPr>
          <w:p w14:paraId="18388732" w14:textId="77777777" w:rsidR="006210F3" w:rsidRPr="00B87CC5" w:rsidRDefault="006210F3" w:rsidP="00CD315F">
            <w:pPr>
              <w:pStyle w:val="TableText"/>
              <w:spacing w:before="20" w:after="20"/>
              <w:rPr>
                <w:rFonts w:cs="Calibri"/>
                <w:szCs w:val="18"/>
              </w:rPr>
            </w:pPr>
            <w:r w:rsidRPr="00B87CC5">
              <w:rPr>
                <w:rFonts w:cs="Calibri"/>
                <w:szCs w:val="18"/>
              </w:rPr>
              <w:t>Increases from 5.13 million in 2022 to 5.82 million in 2040 and 6.13 million in 2050</w:t>
            </w:r>
          </w:p>
        </w:tc>
        <w:tc>
          <w:tcPr>
            <w:tcW w:w="1108" w:type="pct"/>
            <w:shd w:val="clear" w:color="auto" w:fill="auto"/>
            <w:hideMark/>
          </w:tcPr>
          <w:p w14:paraId="4BA734C6" w14:textId="77777777" w:rsidR="006210F3" w:rsidRPr="00B87CC5" w:rsidRDefault="006210F3" w:rsidP="00CD315F">
            <w:pPr>
              <w:pStyle w:val="TableText"/>
              <w:spacing w:before="20" w:after="20"/>
              <w:rPr>
                <w:rFonts w:cs="Calibri"/>
                <w:szCs w:val="18"/>
              </w:rPr>
            </w:pPr>
            <w:r w:rsidRPr="00B87CC5">
              <w:rPr>
                <w:rFonts w:cs="Calibri"/>
                <w:szCs w:val="18"/>
              </w:rPr>
              <w:t>0.7% population average growth rate 2022–40</w:t>
            </w:r>
          </w:p>
        </w:tc>
        <w:tc>
          <w:tcPr>
            <w:tcW w:w="729" w:type="pct"/>
            <w:shd w:val="clear" w:color="auto" w:fill="auto"/>
            <w:hideMark/>
          </w:tcPr>
          <w:p w14:paraId="68A05ED4" w14:textId="77777777" w:rsidR="006210F3" w:rsidRPr="00B87CC5" w:rsidRDefault="006210F3" w:rsidP="00CD315F">
            <w:pPr>
              <w:pStyle w:val="TableText"/>
              <w:spacing w:before="20" w:after="20"/>
              <w:rPr>
                <w:rFonts w:cs="Calibri"/>
                <w:szCs w:val="18"/>
              </w:rPr>
            </w:pPr>
            <w:r w:rsidRPr="00B87CC5">
              <w:rPr>
                <w:rFonts w:cs="Calibri"/>
                <w:szCs w:val="18"/>
              </w:rPr>
              <w:t>0.3% population average growth rate 2022–40</w:t>
            </w:r>
          </w:p>
        </w:tc>
        <w:tc>
          <w:tcPr>
            <w:tcW w:w="866" w:type="pct"/>
            <w:shd w:val="clear" w:color="auto" w:fill="auto"/>
            <w:hideMark/>
          </w:tcPr>
          <w:p w14:paraId="6B62CF1E" w14:textId="77777777" w:rsidR="006210F3" w:rsidRPr="00B87CC5" w:rsidRDefault="006210F3" w:rsidP="00CD315F">
            <w:pPr>
              <w:pStyle w:val="TableText"/>
              <w:spacing w:before="20" w:after="20"/>
              <w:rPr>
                <w:rFonts w:cs="Calibri"/>
                <w:szCs w:val="18"/>
              </w:rPr>
            </w:pPr>
            <w:r w:rsidRPr="00B87CC5">
              <w:rPr>
                <w:rFonts w:cs="Calibri"/>
                <w:szCs w:val="18"/>
              </w:rPr>
              <w:t>1.1% population average growth rate 2022–40</w:t>
            </w:r>
          </w:p>
        </w:tc>
      </w:tr>
      <w:tr w:rsidR="00343E68" w:rsidRPr="00B87CC5" w14:paraId="4732F47B" w14:textId="77777777" w:rsidTr="006E361C">
        <w:trPr>
          <w:trHeight w:val="170"/>
        </w:trPr>
        <w:tc>
          <w:tcPr>
            <w:tcW w:w="374" w:type="pct"/>
            <w:vMerge/>
            <w:vAlign w:val="center"/>
            <w:hideMark/>
          </w:tcPr>
          <w:p w14:paraId="3BCA76EB"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6140F787" w14:textId="77777777" w:rsidR="006210F3" w:rsidRPr="00B87CC5" w:rsidRDefault="006210F3" w:rsidP="00CD315F">
            <w:pPr>
              <w:pStyle w:val="TableText"/>
              <w:spacing w:before="20" w:after="20"/>
              <w:rPr>
                <w:rFonts w:cs="Calibri"/>
                <w:szCs w:val="18"/>
              </w:rPr>
            </w:pPr>
            <w:r w:rsidRPr="00B87CC5">
              <w:rPr>
                <w:rFonts w:cs="Calibri"/>
                <w:szCs w:val="18"/>
              </w:rPr>
              <w:t xml:space="preserve">Gross domestic product </w:t>
            </w:r>
            <w:r w:rsidRPr="00B87CC5">
              <w:rPr>
                <w:rFonts w:cs="Calibri"/>
                <w:szCs w:val="18"/>
              </w:rPr>
              <w:br/>
              <w:t>(real 2009/10 NZ$, production measure)</w:t>
            </w:r>
          </w:p>
        </w:tc>
        <w:tc>
          <w:tcPr>
            <w:tcW w:w="1032" w:type="pct"/>
          </w:tcPr>
          <w:p w14:paraId="1464CDF0" w14:textId="77777777" w:rsidR="006210F3" w:rsidRPr="00B87CC5" w:rsidRDefault="006210F3" w:rsidP="00CD315F">
            <w:pPr>
              <w:pStyle w:val="TableText"/>
              <w:spacing w:before="20" w:after="20"/>
              <w:rPr>
                <w:rFonts w:cs="Calibri"/>
                <w:szCs w:val="18"/>
              </w:rPr>
            </w:pPr>
            <w:r w:rsidRPr="00B87CC5">
              <w:rPr>
                <w:rFonts w:cs="Calibri"/>
                <w:szCs w:val="18"/>
              </w:rPr>
              <w:t>Increases from NZ$276 billion in 2022 to NZ$385 billion in 2040 and NZ$431 billion in 2050</w:t>
            </w:r>
          </w:p>
        </w:tc>
        <w:tc>
          <w:tcPr>
            <w:tcW w:w="1108" w:type="pct"/>
            <w:shd w:val="clear" w:color="auto" w:fill="auto"/>
            <w:hideMark/>
          </w:tcPr>
          <w:p w14:paraId="7A3D2622" w14:textId="77777777" w:rsidR="006210F3" w:rsidRPr="00B87CC5" w:rsidRDefault="006210F3" w:rsidP="00CD315F">
            <w:pPr>
              <w:pStyle w:val="TableText"/>
              <w:spacing w:before="20" w:after="20"/>
              <w:rPr>
                <w:rFonts w:cs="Calibri"/>
                <w:szCs w:val="18"/>
              </w:rPr>
            </w:pPr>
            <w:r w:rsidRPr="00B87CC5">
              <w:rPr>
                <w:rFonts w:cs="Calibri"/>
                <w:szCs w:val="18"/>
              </w:rPr>
              <w:t>1.9% average real growth rate 2022–40</w:t>
            </w:r>
          </w:p>
        </w:tc>
        <w:tc>
          <w:tcPr>
            <w:tcW w:w="729" w:type="pct"/>
            <w:shd w:val="clear" w:color="auto" w:fill="auto"/>
            <w:hideMark/>
          </w:tcPr>
          <w:p w14:paraId="16ECDE2A" w14:textId="77777777" w:rsidR="006210F3" w:rsidRPr="00B87CC5" w:rsidRDefault="006210F3" w:rsidP="00CD315F">
            <w:pPr>
              <w:pStyle w:val="TableText"/>
              <w:spacing w:before="20" w:after="20"/>
              <w:rPr>
                <w:rFonts w:cs="Calibri"/>
                <w:szCs w:val="18"/>
              </w:rPr>
            </w:pPr>
            <w:r w:rsidRPr="00B87CC5">
              <w:rPr>
                <w:rFonts w:cs="Calibri"/>
                <w:szCs w:val="18"/>
              </w:rPr>
              <w:t>1.4% average real growth rate 2022–40</w:t>
            </w:r>
          </w:p>
        </w:tc>
        <w:tc>
          <w:tcPr>
            <w:tcW w:w="866" w:type="pct"/>
            <w:shd w:val="clear" w:color="auto" w:fill="auto"/>
            <w:hideMark/>
          </w:tcPr>
          <w:p w14:paraId="1813B5D2" w14:textId="77777777" w:rsidR="006210F3" w:rsidRPr="00B87CC5" w:rsidRDefault="006210F3" w:rsidP="00CD315F">
            <w:pPr>
              <w:pStyle w:val="TableText"/>
              <w:spacing w:before="20" w:after="20"/>
              <w:rPr>
                <w:rFonts w:cs="Calibri"/>
                <w:szCs w:val="18"/>
              </w:rPr>
            </w:pPr>
            <w:r w:rsidRPr="00B87CC5">
              <w:rPr>
                <w:rFonts w:cs="Calibri"/>
                <w:szCs w:val="18"/>
              </w:rPr>
              <w:t>2.4% average real growth rate 2022–40</w:t>
            </w:r>
          </w:p>
        </w:tc>
      </w:tr>
      <w:tr w:rsidR="006210F3" w:rsidRPr="00B87CC5" w14:paraId="617CA890" w14:textId="77777777" w:rsidTr="006E361C">
        <w:trPr>
          <w:trHeight w:val="170"/>
        </w:trPr>
        <w:tc>
          <w:tcPr>
            <w:tcW w:w="374" w:type="pct"/>
            <w:vMerge/>
            <w:vAlign w:val="center"/>
            <w:hideMark/>
          </w:tcPr>
          <w:p w14:paraId="08D9FF8F"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2E2DC181" w14:textId="77777777" w:rsidR="006210F3" w:rsidRPr="00B87CC5" w:rsidRDefault="006210F3" w:rsidP="00CD315F">
            <w:pPr>
              <w:pStyle w:val="TableText"/>
              <w:spacing w:before="20" w:after="20"/>
              <w:rPr>
                <w:rFonts w:cs="Calibri"/>
                <w:szCs w:val="18"/>
              </w:rPr>
            </w:pPr>
            <w:r w:rsidRPr="00B87CC5">
              <w:rPr>
                <w:rFonts w:cs="Calibri"/>
                <w:szCs w:val="18"/>
              </w:rPr>
              <w:t xml:space="preserve">Oil price </w:t>
            </w:r>
            <w:r w:rsidRPr="00B87CC5">
              <w:rPr>
                <w:rFonts w:cs="Calibri"/>
                <w:szCs w:val="18"/>
              </w:rPr>
              <w:br/>
              <w:t>(real 2023 US$ per barrel (</w:t>
            </w:r>
            <w:proofErr w:type="spellStart"/>
            <w:r w:rsidRPr="00B87CC5">
              <w:rPr>
                <w:rFonts w:cs="Calibri"/>
                <w:szCs w:val="18"/>
              </w:rPr>
              <w:t>bbl</w:t>
            </w:r>
            <w:proofErr w:type="spellEnd"/>
            <w:r w:rsidRPr="00B87CC5">
              <w:rPr>
                <w:rFonts w:cs="Calibri"/>
                <w:szCs w:val="18"/>
              </w:rPr>
              <w:t>))</w:t>
            </w:r>
          </w:p>
        </w:tc>
        <w:tc>
          <w:tcPr>
            <w:tcW w:w="1032" w:type="pct"/>
            <w:shd w:val="clear" w:color="auto" w:fill="FFFFFF" w:themeFill="background1"/>
          </w:tcPr>
          <w:p w14:paraId="2C654051" w14:textId="77777777" w:rsidR="006210F3" w:rsidRPr="00B87CC5" w:rsidRDefault="006210F3" w:rsidP="00CD315F">
            <w:pPr>
              <w:pStyle w:val="TableText"/>
              <w:spacing w:before="20" w:after="20"/>
              <w:rPr>
                <w:rFonts w:cs="Calibri"/>
                <w:szCs w:val="18"/>
              </w:rPr>
            </w:pPr>
            <w:r w:rsidRPr="00B87CC5">
              <w:rPr>
                <w:rFonts w:cs="Calibri"/>
                <w:szCs w:val="18"/>
              </w:rPr>
              <w:t xml:space="preserve">Falls from US$84 per </w:t>
            </w:r>
            <w:proofErr w:type="spellStart"/>
            <w:r w:rsidRPr="00B87CC5">
              <w:rPr>
                <w:rFonts w:cs="Calibri"/>
                <w:szCs w:val="18"/>
              </w:rPr>
              <w:t>bbl</w:t>
            </w:r>
            <w:proofErr w:type="spellEnd"/>
            <w:r w:rsidRPr="00B87CC5">
              <w:rPr>
                <w:rFonts w:cs="Calibri"/>
                <w:szCs w:val="18"/>
              </w:rPr>
              <w:t xml:space="preserve"> in 2023 to US$65 per </w:t>
            </w:r>
            <w:proofErr w:type="spellStart"/>
            <w:r w:rsidRPr="00B87CC5">
              <w:rPr>
                <w:rFonts w:cs="Calibri"/>
                <w:szCs w:val="18"/>
              </w:rPr>
              <w:t>bbl</w:t>
            </w:r>
            <w:proofErr w:type="spellEnd"/>
            <w:r w:rsidRPr="00B87CC5">
              <w:rPr>
                <w:rFonts w:cs="Calibri"/>
                <w:szCs w:val="18"/>
              </w:rPr>
              <w:t xml:space="preserve"> in 2030, then remains constant</w:t>
            </w:r>
          </w:p>
        </w:tc>
        <w:tc>
          <w:tcPr>
            <w:tcW w:w="1108" w:type="pct"/>
            <w:shd w:val="clear" w:color="auto" w:fill="auto"/>
            <w:hideMark/>
          </w:tcPr>
          <w:p w14:paraId="43611DB8" w14:textId="77777777" w:rsidR="006210F3" w:rsidRPr="00B87CC5" w:rsidRDefault="006210F3" w:rsidP="00CD315F">
            <w:pPr>
              <w:pStyle w:val="TableText"/>
              <w:spacing w:before="20" w:after="20"/>
              <w:rPr>
                <w:rFonts w:cs="Calibri"/>
                <w:szCs w:val="18"/>
              </w:rPr>
            </w:pPr>
            <w:r w:rsidRPr="00B87CC5">
              <w:rPr>
                <w:rFonts w:cs="Calibri"/>
                <w:szCs w:val="18"/>
              </w:rPr>
              <w:t xml:space="preserve">Falls from US$84 per </w:t>
            </w:r>
            <w:proofErr w:type="spellStart"/>
            <w:r w:rsidRPr="00B87CC5">
              <w:rPr>
                <w:rFonts w:cs="Calibri"/>
                <w:szCs w:val="18"/>
              </w:rPr>
              <w:t>bbl</w:t>
            </w:r>
            <w:proofErr w:type="spellEnd"/>
            <w:r w:rsidRPr="00B87CC5">
              <w:rPr>
                <w:rFonts w:cs="Calibri"/>
                <w:szCs w:val="18"/>
              </w:rPr>
              <w:t xml:space="preserve"> in 2023 to US$65 per </w:t>
            </w:r>
            <w:proofErr w:type="spellStart"/>
            <w:r w:rsidRPr="00B87CC5">
              <w:rPr>
                <w:rFonts w:cs="Calibri"/>
                <w:szCs w:val="18"/>
              </w:rPr>
              <w:t>bbl</w:t>
            </w:r>
            <w:proofErr w:type="spellEnd"/>
            <w:r w:rsidRPr="00B87CC5">
              <w:rPr>
                <w:rFonts w:cs="Calibri"/>
                <w:szCs w:val="18"/>
              </w:rPr>
              <w:t xml:space="preserve"> in 2030 then remains constant</w:t>
            </w:r>
          </w:p>
        </w:tc>
        <w:tc>
          <w:tcPr>
            <w:tcW w:w="729" w:type="pct"/>
            <w:shd w:val="clear" w:color="auto" w:fill="auto"/>
            <w:hideMark/>
          </w:tcPr>
          <w:p w14:paraId="7FBE01D1" w14:textId="77777777" w:rsidR="006210F3" w:rsidRPr="00B87CC5" w:rsidRDefault="006210F3" w:rsidP="00CD315F">
            <w:pPr>
              <w:pStyle w:val="TableText"/>
              <w:spacing w:before="20" w:after="20"/>
              <w:rPr>
                <w:rFonts w:cs="Calibri"/>
                <w:szCs w:val="18"/>
              </w:rPr>
            </w:pPr>
            <w:r w:rsidRPr="00B87CC5">
              <w:rPr>
                <w:rFonts w:cs="Calibri"/>
                <w:szCs w:val="18"/>
              </w:rPr>
              <w:t>US</w:t>
            </w:r>
            <w:r w:rsidRPr="00B87CC5" w:rsidDel="00C5368A">
              <w:rPr>
                <w:rFonts w:cs="Calibri"/>
                <w:szCs w:val="18"/>
              </w:rPr>
              <w:t>$</w:t>
            </w:r>
            <w:r w:rsidRPr="00B87CC5">
              <w:rPr>
                <w:rFonts w:cs="Calibri"/>
                <w:szCs w:val="18"/>
              </w:rPr>
              <w:t xml:space="preserve">100 per </w:t>
            </w:r>
            <w:proofErr w:type="spellStart"/>
            <w:r w:rsidRPr="00B87CC5">
              <w:rPr>
                <w:rFonts w:cs="Calibri"/>
                <w:szCs w:val="18"/>
              </w:rPr>
              <w:t>bbl</w:t>
            </w:r>
            <w:proofErr w:type="spellEnd"/>
            <w:r w:rsidRPr="00B87CC5">
              <w:rPr>
                <w:rFonts w:cs="Calibri"/>
                <w:szCs w:val="18"/>
              </w:rPr>
              <w:t xml:space="preserve"> from 2025 onwards</w:t>
            </w:r>
          </w:p>
        </w:tc>
        <w:tc>
          <w:tcPr>
            <w:tcW w:w="866" w:type="pct"/>
            <w:shd w:val="clear" w:color="auto" w:fill="auto"/>
            <w:hideMark/>
          </w:tcPr>
          <w:p w14:paraId="3758B74C" w14:textId="77777777" w:rsidR="006210F3" w:rsidRPr="00B87CC5" w:rsidRDefault="006210F3" w:rsidP="00CD315F">
            <w:pPr>
              <w:pStyle w:val="TableText"/>
              <w:spacing w:before="20" w:after="20"/>
              <w:rPr>
                <w:rFonts w:cs="Calibri"/>
                <w:szCs w:val="18"/>
              </w:rPr>
            </w:pPr>
            <w:r w:rsidRPr="00B87CC5">
              <w:rPr>
                <w:rFonts w:cs="Calibri"/>
                <w:szCs w:val="18"/>
              </w:rPr>
              <w:t>US</w:t>
            </w:r>
            <w:r w:rsidRPr="00B87CC5" w:rsidDel="00C5368A">
              <w:rPr>
                <w:rFonts w:cs="Calibri"/>
                <w:szCs w:val="18"/>
              </w:rPr>
              <w:t>$</w:t>
            </w:r>
            <w:r w:rsidRPr="00B87CC5">
              <w:rPr>
                <w:rFonts w:cs="Calibri"/>
                <w:szCs w:val="18"/>
              </w:rPr>
              <w:t xml:space="preserve">40 per </w:t>
            </w:r>
            <w:proofErr w:type="spellStart"/>
            <w:r w:rsidRPr="00B87CC5">
              <w:rPr>
                <w:rFonts w:cs="Calibri"/>
                <w:szCs w:val="18"/>
              </w:rPr>
              <w:t>bbl</w:t>
            </w:r>
            <w:proofErr w:type="spellEnd"/>
            <w:r w:rsidRPr="00B87CC5">
              <w:rPr>
                <w:rFonts w:cs="Calibri"/>
                <w:szCs w:val="18"/>
              </w:rPr>
              <w:t xml:space="preserve"> from 2030 onwards</w:t>
            </w:r>
          </w:p>
        </w:tc>
      </w:tr>
      <w:tr w:rsidR="006210F3" w:rsidRPr="00B87CC5" w14:paraId="51A157E2" w14:textId="77777777" w:rsidTr="006E361C">
        <w:trPr>
          <w:trHeight w:val="170"/>
        </w:trPr>
        <w:tc>
          <w:tcPr>
            <w:tcW w:w="374" w:type="pct"/>
            <w:vMerge/>
            <w:vAlign w:val="center"/>
            <w:hideMark/>
          </w:tcPr>
          <w:p w14:paraId="065B80DF"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7F6B9558" w14:textId="77777777" w:rsidR="006210F3" w:rsidRPr="00B87CC5" w:rsidRDefault="006210F3" w:rsidP="00CD315F">
            <w:pPr>
              <w:pStyle w:val="TableText"/>
              <w:spacing w:before="20" w:after="20"/>
              <w:rPr>
                <w:rFonts w:cs="Calibri"/>
                <w:szCs w:val="18"/>
              </w:rPr>
            </w:pPr>
            <w:r w:rsidRPr="00B87CC5">
              <w:rPr>
                <w:rFonts w:cs="Calibri"/>
                <w:szCs w:val="18"/>
              </w:rPr>
              <w:t xml:space="preserve">Exchange rate </w:t>
            </w:r>
            <w:r w:rsidRPr="00B87CC5">
              <w:rPr>
                <w:rFonts w:cs="Calibri"/>
                <w:szCs w:val="18"/>
              </w:rPr>
              <w:br/>
              <w:t>(US$/NZ$)</w:t>
            </w:r>
          </w:p>
        </w:tc>
        <w:tc>
          <w:tcPr>
            <w:tcW w:w="1032" w:type="pct"/>
            <w:shd w:val="clear" w:color="auto" w:fill="FFFFFF" w:themeFill="background1"/>
          </w:tcPr>
          <w:p w14:paraId="5D4D42DC" w14:textId="77777777" w:rsidR="006210F3" w:rsidRPr="00B87CC5" w:rsidRDefault="006210F3" w:rsidP="00CD315F">
            <w:pPr>
              <w:pStyle w:val="TableText"/>
              <w:spacing w:before="20" w:after="20"/>
              <w:rPr>
                <w:rFonts w:cs="Calibri"/>
                <w:szCs w:val="18"/>
              </w:rPr>
            </w:pPr>
            <w:r w:rsidRPr="00B87CC5">
              <w:rPr>
                <w:rFonts w:cs="Calibri"/>
                <w:szCs w:val="18"/>
              </w:rPr>
              <w:t>Constant at 0.65</w:t>
            </w:r>
          </w:p>
        </w:tc>
        <w:tc>
          <w:tcPr>
            <w:tcW w:w="1108" w:type="pct"/>
            <w:shd w:val="clear" w:color="auto" w:fill="auto"/>
            <w:hideMark/>
          </w:tcPr>
          <w:p w14:paraId="780ACF5B" w14:textId="77777777" w:rsidR="006210F3" w:rsidRPr="00B87CC5" w:rsidRDefault="006210F3" w:rsidP="00CD315F">
            <w:pPr>
              <w:pStyle w:val="TableText"/>
              <w:spacing w:before="20" w:after="20"/>
              <w:rPr>
                <w:rFonts w:cs="Calibri"/>
                <w:szCs w:val="18"/>
              </w:rPr>
            </w:pPr>
            <w:r w:rsidRPr="00B87CC5">
              <w:rPr>
                <w:rFonts w:cs="Calibri"/>
                <w:szCs w:val="18"/>
              </w:rPr>
              <w:t>Constant at 0.65</w:t>
            </w:r>
          </w:p>
        </w:tc>
        <w:tc>
          <w:tcPr>
            <w:tcW w:w="729" w:type="pct"/>
            <w:shd w:val="clear" w:color="auto" w:fill="auto"/>
            <w:hideMark/>
          </w:tcPr>
          <w:p w14:paraId="51C1C34E"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116E5AE2"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439D72B5" w14:textId="77777777" w:rsidTr="006E361C">
        <w:trPr>
          <w:trHeight w:val="170"/>
        </w:trPr>
        <w:tc>
          <w:tcPr>
            <w:tcW w:w="374" w:type="pct"/>
            <w:vMerge/>
            <w:vAlign w:val="center"/>
            <w:hideMark/>
          </w:tcPr>
          <w:p w14:paraId="35B55364"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084CF873" w14:textId="77777777" w:rsidR="006210F3" w:rsidRPr="00B87CC5" w:rsidRDefault="006210F3" w:rsidP="00CD315F">
            <w:pPr>
              <w:pStyle w:val="TableText"/>
              <w:spacing w:before="20" w:after="20"/>
              <w:rPr>
                <w:rFonts w:cs="Calibri"/>
                <w:szCs w:val="18"/>
              </w:rPr>
            </w:pPr>
            <w:r w:rsidRPr="00B87CC5">
              <w:rPr>
                <w:rFonts w:cs="Calibri"/>
                <w:szCs w:val="18"/>
              </w:rPr>
              <w:t>Greenhouse Gas Inventory</w:t>
            </w:r>
          </w:p>
        </w:tc>
        <w:tc>
          <w:tcPr>
            <w:tcW w:w="1032" w:type="pct"/>
            <w:shd w:val="clear" w:color="auto" w:fill="FFFFFF" w:themeFill="background1"/>
          </w:tcPr>
          <w:p w14:paraId="0BE41472" w14:textId="77777777" w:rsidR="006210F3" w:rsidRPr="00B87CC5" w:rsidRDefault="006210F3" w:rsidP="00CD315F">
            <w:pPr>
              <w:pStyle w:val="TableText"/>
              <w:spacing w:before="20" w:after="20"/>
              <w:rPr>
                <w:rFonts w:cs="Calibri"/>
                <w:szCs w:val="18"/>
              </w:rPr>
            </w:pPr>
            <w:r w:rsidRPr="00B87CC5">
              <w:rPr>
                <w:rFonts w:cs="Calibri"/>
                <w:szCs w:val="18"/>
              </w:rPr>
              <w:t>2023</w:t>
            </w:r>
          </w:p>
        </w:tc>
        <w:tc>
          <w:tcPr>
            <w:tcW w:w="1108" w:type="pct"/>
            <w:shd w:val="clear" w:color="auto" w:fill="auto"/>
            <w:hideMark/>
          </w:tcPr>
          <w:p w14:paraId="47F10386" w14:textId="77777777" w:rsidR="006210F3" w:rsidRPr="00B87CC5" w:rsidRDefault="006210F3" w:rsidP="00CD315F">
            <w:pPr>
              <w:pStyle w:val="TableText"/>
              <w:spacing w:before="20" w:after="20"/>
              <w:rPr>
                <w:rFonts w:cs="Calibri"/>
                <w:szCs w:val="18"/>
              </w:rPr>
            </w:pPr>
            <w:r w:rsidRPr="00B87CC5">
              <w:rPr>
                <w:rFonts w:cs="Calibri"/>
                <w:szCs w:val="18"/>
              </w:rPr>
              <w:t>2024</w:t>
            </w:r>
          </w:p>
        </w:tc>
        <w:tc>
          <w:tcPr>
            <w:tcW w:w="729" w:type="pct"/>
            <w:shd w:val="clear" w:color="auto" w:fill="auto"/>
            <w:hideMark/>
          </w:tcPr>
          <w:p w14:paraId="042108AB"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02564B90"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7FADC6DC" w14:textId="77777777" w:rsidTr="006E361C">
        <w:trPr>
          <w:trHeight w:val="170"/>
        </w:trPr>
        <w:tc>
          <w:tcPr>
            <w:tcW w:w="374" w:type="pct"/>
            <w:vMerge/>
            <w:vAlign w:val="center"/>
            <w:hideMark/>
          </w:tcPr>
          <w:p w14:paraId="0A4667B8"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4A05BFC8" w14:textId="77777777" w:rsidR="006210F3" w:rsidRPr="00B87CC5" w:rsidRDefault="006210F3" w:rsidP="00CD315F">
            <w:pPr>
              <w:pStyle w:val="TableText"/>
              <w:spacing w:before="20" w:after="20"/>
              <w:rPr>
                <w:rFonts w:cs="Calibri"/>
                <w:szCs w:val="18"/>
              </w:rPr>
            </w:pPr>
            <w:r w:rsidRPr="00B87CC5">
              <w:rPr>
                <w:rFonts w:cs="Calibri"/>
                <w:szCs w:val="18"/>
              </w:rPr>
              <w:t>Public discount rate</w:t>
            </w:r>
          </w:p>
        </w:tc>
        <w:tc>
          <w:tcPr>
            <w:tcW w:w="1032" w:type="pct"/>
            <w:shd w:val="clear" w:color="auto" w:fill="FFFFFF" w:themeFill="background1"/>
          </w:tcPr>
          <w:p w14:paraId="599B2F80" w14:textId="77777777" w:rsidR="006210F3" w:rsidRPr="00B87CC5" w:rsidRDefault="006210F3" w:rsidP="00CD315F">
            <w:pPr>
              <w:pStyle w:val="TableText"/>
              <w:spacing w:before="20" w:after="20"/>
              <w:rPr>
                <w:rFonts w:cs="Calibri"/>
                <w:szCs w:val="18"/>
              </w:rPr>
            </w:pPr>
            <w:r w:rsidRPr="00B87CC5">
              <w:rPr>
                <w:rFonts w:cs="Calibri"/>
                <w:szCs w:val="18"/>
              </w:rPr>
              <w:t>Not applicable (NA)</w:t>
            </w:r>
          </w:p>
        </w:tc>
        <w:tc>
          <w:tcPr>
            <w:tcW w:w="1108" w:type="pct"/>
            <w:shd w:val="clear" w:color="auto" w:fill="FFFFFF" w:themeFill="background1"/>
            <w:hideMark/>
          </w:tcPr>
          <w:p w14:paraId="317A2528" w14:textId="77777777" w:rsidR="006210F3" w:rsidRPr="00B87CC5" w:rsidRDefault="006210F3" w:rsidP="00CD315F">
            <w:pPr>
              <w:pStyle w:val="TableText"/>
              <w:spacing w:before="20" w:after="20"/>
              <w:rPr>
                <w:rFonts w:cs="Calibri"/>
                <w:szCs w:val="18"/>
              </w:rPr>
            </w:pPr>
            <w:r w:rsidRPr="00B87CC5">
              <w:rPr>
                <w:rFonts w:cs="Calibri"/>
                <w:szCs w:val="18"/>
              </w:rPr>
              <w:t>5%</w:t>
            </w:r>
          </w:p>
        </w:tc>
        <w:tc>
          <w:tcPr>
            <w:tcW w:w="729" w:type="pct"/>
            <w:shd w:val="clear" w:color="auto" w:fill="auto"/>
            <w:hideMark/>
          </w:tcPr>
          <w:p w14:paraId="35F03956"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5BD46EDC"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4AB1A72C" w14:textId="77777777" w:rsidTr="006E361C">
        <w:trPr>
          <w:trHeight w:val="170"/>
        </w:trPr>
        <w:tc>
          <w:tcPr>
            <w:tcW w:w="1265" w:type="pct"/>
            <w:gridSpan w:val="2"/>
            <w:shd w:val="clear" w:color="auto" w:fill="1C556C" w:themeFill="accent1"/>
            <w:vAlign w:val="center"/>
            <w:hideMark/>
          </w:tcPr>
          <w:p w14:paraId="48B2D710" w14:textId="77777777" w:rsidR="006210F3" w:rsidRPr="00B87CC5" w:rsidRDefault="006210F3" w:rsidP="00CD315F">
            <w:pPr>
              <w:spacing w:before="20" w:after="20" w:line="240" w:lineRule="auto"/>
              <w:jc w:val="center"/>
              <w:rPr>
                <w:rFonts w:eastAsia="Times New Roman" w:cs="Calibri"/>
                <w:b/>
                <w:bCs/>
                <w:color w:val="FFFFFF"/>
                <w:sz w:val="18"/>
                <w:szCs w:val="18"/>
              </w:rPr>
            </w:pPr>
            <w:r w:rsidRPr="00B87CC5">
              <w:rPr>
                <w:rFonts w:eastAsia="Times New Roman" w:cs="Calibri"/>
                <w:b/>
                <w:bCs/>
                <w:color w:val="FFFFFF"/>
                <w:sz w:val="18"/>
                <w:szCs w:val="18"/>
              </w:rPr>
              <w:t>CARBON PRICING</w:t>
            </w:r>
          </w:p>
        </w:tc>
        <w:tc>
          <w:tcPr>
            <w:tcW w:w="1032" w:type="pct"/>
            <w:shd w:val="clear" w:color="auto" w:fill="1C556C" w:themeFill="accent1"/>
          </w:tcPr>
          <w:p w14:paraId="0FF16572" w14:textId="77777777" w:rsidR="006210F3" w:rsidRPr="00B87CC5" w:rsidRDefault="006210F3" w:rsidP="00CD315F">
            <w:pPr>
              <w:spacing w:before="20" w:after="20" w:line="240" w:lineRule="auto"/>
              <w:jc w:val="left"/>
              <w:rPr>
                <w:rFonts w:eastAsia="Times New Roman" w:cs="Calibri"/>
                <w:b/>
                <w:bCs/>
                <w:color w:val="FFFFFF"/>
                <w:sz w:val="18"/>
                <w:szCs w:val="18"/>
              </w:rPr>
            </w:pPr>
          </w:p>
        </w:tc>
        <w:tc>
          <w:tcPr>
            <w:tcW w:w="1108" w:type="pct"/>
            <w:shd w:val="clear" w:color="auto" w:fill="1C556C" w:themeFill="accent1"/>
            <w:vAlign w:val="center"/>
            <w:hideMark/>
          </w:tcPr>
          <w:p w14:paraId="3ACD77B8"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c>
          <w:tcPr>
            <w:tcW w:w="729" w:type="pct"/>
            <w:shd w:val="clear" w:color="auto" w:fill="1C556C" w:themeFill="accent1"/>
            <w:vAlign w:val="center"/>
            <w:hideMark/>
          </w:tcPr>
          <w:p w14:paraId="7776953F"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c>
          <w:tcPr>
            <w:tcW w:w="866" w:type="pct"/>
            <w:shd w:val="clear" w:color="auto" w:fill="1C556C" w:themeFill="accent1"/>
            <w:vAlign w:val="center"/>
            <w:hideMark/>
          </w:tcPr>
          <w:p w14:paraId="1B489610"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r>
      <w:tr w:rsidR="006210F3" w:rsidRPr="00B87CC5" w14:paraId="5E730A11" w14:textId="77777777" w:rsidTr="006E361C">
        <w:trPr>
          <w:trHeight w:val="170"/>
        </w:trPr>
        <w:tc>
          <w:tcPr>
            <w:tcW w:w="374" w:type="pct"/>
            <w:vMerge w:val="restart"/>
            <w:shd w:val="clear" w:color="auto" w:fill="E7E7E7"/>
            <w:textDirection w:val="btLr"/>
            <w:vAlign w:val="center"/>
            <w:hideMark/>
          </w:tcPr>
          <w:p w14:paraId="1C672824" w14:textId="77777777" w:rsidR="006210F3" w:rsidRPr="00B87CC5" w:rsidRDefault="006210F3" w:rsidP="00CD315F">
            <w:pPr>
              <w:pStyle w:val="TableText"/>
              <w:spacing w:before="20" w:after="20"/>
              <w:jc w:val="center"/>
              <w:rPr>
                <w:rFonts w:cs="Calibri"/>
                <w:b/>
                <w:szCs w:val="18"/>
              </w:rPr>
            </w:pPr>
            <w:r w:rsidRPr="00B87CC5">
              <w:rPr>
                <w:rFonts w:cs="Calibri"/>
                <w:b/>
                <w:szCs w:val="18"/>
              </w:rPr>
              <w:t>Prices</w:t>
            </w:r>
          </w:p>
        </w:tc>
        <w:tc>
          <w:tcPr>
            <w:tcW w:w="891" w:type="pct"/>
            <w:shd w:val="clear" w:color="auto" w:fill="D9D9D9" w:themeFill="background1" w:themeFillShade="D9"/>
            <w:hideMark/>
          </w:tcPr>
          <w:p w14:paraId="3C7BA8CC" w14:textId="77777777" w:rsidR="006210F3" w:rsidRPr="00B87CC5" w:rsidRDefault="006210F3" w:rsidP="00CD315F">
            <w:pPr>
              <w:pStyle w:val="TableText"/>
              <w:spacing w:before="20" w:after="20"/>
              <w:rPr>
                <w:rFonts w:cs="Calibri"/>
                <w:szCs w:val="18"/>
              </w:rPr>
            </w:pPr>
            <w:r w:rsidRPr="00B87CC5">
              <w:rPr>
                <w:rFonts w:cs="Calibri"/>
                <w:szCs w:val="18"/>
              </w:rPr>
              <w:t>NZU price (real 2023 NZ$)</w:t>
            </w:r>
          </w:p>
        </w:tc>
        <w:tc>
          <w:tcPr>
            <w:tcW w:w="1032" w:type="pct"/>
            <w:shd w:val="clear" w:color="auto" w:fill="FFFFFF" w:themeFill="background1"/>
          </w:tcPr>
          <w:p w14:paraId="6F076B08" w14:textId="77777777" w:rsidR="006210F3" w:rsidRPr="00B87CC5" w:rsidRDefault="006210F3" w:rsidP="00CD315F">
            <w:pPr>
              <w:pStyle w:val="TableText"/>
              <w:spacing w:before="20" w:after="20"/>
              <w:rPr>
                <w:rFonts w:cs="Calibri"/>
                <w:spacing w:val="-2"/>
                <w:szCs w:val="18"/>
              </w:rPr>
            </w:pPr>
            <w:r w:rsidRPr="00B87CC5">
              <w:rPr>
                <w:rFonts w:cs="Calibri"/>
                <w:spacing w:val="-2"/>
                <w:szCs w:val="18"/>
              </w:rPr>
              <w:t>Increases from NZ$47 in 2022 to NZ$171 in 2040 and NZ$230 in 2050</w:t>
            </w:r>
          </w:p>
        </w:tc>
        <w:tc>
          <w:tcPr>
            <w:tcW w:w="1108" w:type="pct"/>
            <w:shd w:val="clear" w:color="auto" w:fill="auto"/>
            <w:hideMark/>
          </w:tcPr>
          <w:p w14:paraId="0AA1F258" w14:textId="77777777" w:rsidR="006210F3" w:rsidRPr="00B87CC5" w:rsidRDefault="006210F3" w:rsidP="00CD315F">
            <w:pPr>
              <w:pStyle w:val="TableText"/>
              <w:spacing w:before="20" w:after="20"/>
              <w:rPr>
                <w:rFonts w:cs="Calibri"/>
                <w:szCs w:val="18"/>
              </w:rPr>
            </w:pPr>
            <w:r w:rsidRPr="00B87CC5">
              <w:rPr>
                <w:rFonts w:cs="Calibri"/>
                <w:szCs w:val="18"/>
              </w:rPr>
              <w:t>Increases to NZ$75 in 2028, then falls to NZ$50 by 2035</w:t>
            </w:r>
          </w:p>
        </w:tc>
        <w:tc>
          <w:tcPr>
            <w:tcW w:w="729" w:type="pct"/>
            <w:shd w:val="clear" w:color="auto" w:fill="auto"/>
            <w:hideMark/>
          </w:tcPr>
          <w:p w14:paraId="01DAC4C2" w14:textId="77777777" w:rsidR="006210F3" w:rsidRPr="00B87CC5" w:rsidRDefault="006210F3" w:rsidP="00CD315F">
            <w:pPr>
              <w:pStyle w:val="TableText"/>
              <w:spacing w:before="20" w:after="20"/>
              <w:rPr>
                <w:rFonts w:cs="Calibri"/>
                <w:szCs w:val="18"/>
              </w:rPr>
            </w:pPr>
            <w:r w:rsidRPr="00B87CC5">
              <w:rPr>
                <w:rFonts w:cs="Calibri"/>
                <w:szCs w:val="18"/>
              </w:rPr>
              <w:t>Rises to NZ$70 in 2028 and remains there</w:t>
            </w:r>
          </w:p>
        </w:tc>
        <w:tc>
          <w:tcPr>
            <w:tcW w:w="866" w:type="pct"/>
            <w:shd w:val="clear" w:color="auto" w:fill="auto"/>
            <w:hideMark/>
          </w:tcPr>
          <w:p w14:paraId="40BAEF17" w14:textId="77777777" w:rsidR="006210F3" w:rsidRPr="00B87CC5" w:rsidRDefault="006210F3" w:rsidP="00CD315F">
            <w:pPr>
              <w:pStyle w:val="TableText"/>
              <w:spacing w:before="20" w:after="20"/>
              <w:rPr>
                <w:rFonts w:cs="Calibri"/>
                <w:szCs w:val="18"/>
              </w:rPr>
            </w:pPr>
            <w:r w:rsidRPr="00B87CC5">
              <w:rPr>
                <w:rFonts w:cs="Calibri"/>
                <w:szCs w:val="18"/>
              </w:rPr>
              <w:t>Falls to NZ$35 by 2025</w:t>
            </w:r>
          </w:p>
        </w:tc>
      </w:tr>
      <w:tr w:rsidR="006210F3" w:rsidRPr="00B87CC5" w14:paraId="32F21644" w14:textId="77777777" w:rsidTr="006E361C">
        <w:trPr>
          <w:trHeight w:val="170"/>
        </w:trPr>
        <w:tc>
          <w:tcPr>
            <w:tcW w:w="374" w:type="pct"/>
            <w:vMerge/>
            <w:vAlign w:val="center"/>
            <w:hideMark/>
          </w:tcPr>
          <w:p w14:paraId="7E560E4E"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466FC843" w14:textId="77777777" w:rsidR="006210F3" w:rsidRPr="00B87CC5" w:rsidRDefault="006210F3" w:rsidP="00CD315F">
            <w:pPr>
              <w:pStyle w:val="TableText"/>
              <w:spacing w:before="20" w:after="20"/>
              <w:rPr>
                <w:rFonts w:cs="Calibri"/>
                <w:szCs w:val="18"/>
              </w:rPr>
            </w:pPr>
            <w:r w:rsidRPr="00B87CC5">
              <w:rPr>
                <w:rFonts w:cs="Calibri"/>
                <w:szCs w:val="18"/>
              </w:rPr>
              <w:t>Biogenic methane price</w:t>
            </w:r>
          </w:p>
        </w:tc>
        <w:tc>
          <w:tcPr>
            <w:tcW w:w="1032" w:type="pct"/>
            <w:shd w:val="clear" w:color="auto" w:fill="FFFFFF" w:themeFill="background1"/>
          </w:tcPr>
          <w:p w14:paraId="49628AFB" w14:textId="77777777" w:rsidR="006210F3" w:rsidRPr="00B87CC5" w:rsidRDefault="006210F3" w:rsidP="00CD315F">
            <w:pPr>
              <w:pStyle w:val="TableText"/>
              <w:spacing w:before="20" w:after="20"/>
              <w:rPr>
                <w:rFonts w:cs="Calibri"/>
                <w:szCs w:val="18"/>
              </w:rPr>
            </w:pPr>
            <w:r w:rsidRPr="00B87CC5">
              <w:rPr>
                <w:rFonts w:cs="Calibri"/>
                <w:szCs w:val="18"/>
              </w:rPr>
              <w:t>Agriculture pricing scheme starting in 2025: 5 cents per kg methane</w:t>
            </w:r>
          </w:p>
          <w:p w14:paraId="647A9473" w14:textId="554ED0C5" w:rsidR="006210F3" w:rsidRPr="00B87CC5" w:rsidRDefault="006210F3" w:rsidP="00CD315F">
            <w:pPr>
              <w:pStyle w:val="TableText"/>
              <w:spacing w:before="20" w:after="20"/>
              <w:rPr>
                <w:rFonts w:cs="Calibri"/>
                <w:szCs w:val="18"/>
              </w:rPr>
            </w:pPr>
            <w:r w:rsidRPr="00B87CC5">
              <w:rPr>
                <w:rFonts w:cs="Calibri"/>
                <w:szCs w:val="18"/>
              </w:rPr>
              <w:t>NZ$5 per t CO</w:t>
            </w:r>
            <w:r w:rsidRPr="00B87CC5">
              <w:rPr>
                <w:rFonts w:cs="Calibri"/>
                <w:szCs w:val="18"/>
                <w:vertAlign w:val="subscript"/>
              </w:rPr>
              <w:t>2</w:t>
            </w:r>
            <w:r w:rsidRPr="00B87CC5">
              <w:rPr>
                <w:rFonts w:cs="Calibri"/>
                <w:szCs w:val="18"/>
              </w:rPr>
              <w:t xml:space="preserve">-e </w:t>
            </w:r>
            <w:r w:rsidR="000238B4" w:rsidRPr="00B87CC5">
              <w:rPr>
                <w:rFonts w:cs="Calibri"/>
                <w:szCs w:val="18"/>
              </w:rPr>
              <w:t>long</w:t>
            </w:r>
            <w:r w:rsidR="000238B4">
              <w:rPr>
                <w:rFonts w:cs="Calibri"/>
                <w:szCs w:val="18"/>
              </w:rPr>
              <w:t>-</w:t>
            </w:r>
            <w:r w:rsidRPr="00B87CC5">
              <w:rPr>
                <w:rFonts w:cs="Calibri"/>
                <w:szCs w:val="18"/>
              </w:rPr>
              <w:t>lived gas price increasing by $0.50/t per year</w:t>
            </w:r>
          </w:p>
          <w:p w14:paraId="4D9DF4BD" w14:textId="77777777" w:rsidR="006210F3" w:rsidRPr="00B87CC5" w:rsidRDefault="006210F3" w:rsidP="00CD315F">
            <w:pPr>
              <w:pStyle w:val="TableText"/>
              <w:spacing w:before="20" w:after="20"/>
              <w:rPr>
                <w:rFonts w:cs="Calibri"/>
                <w:szCs w:val="18"/>
              </w:rPr>
            </w:pPr>
            <w:r w:rsidRPr="00B87CC5">
              <w:rPr>
                <w:rFonts w:cs="Calibri"/>
                <w:szCs w:val="18"/>
              </w:rPr>
              <w:t>$100 per t CO</w:t>
            </w:r>
            <w:r w:rsidRPr="00B87CC5">
              <w:rPr>
                <w:rFonts w:cs="Calibri"/>
                <w:szCs w:val="18"/>
                <w:vertAlign w:val="subscript"/>
              </w:rPr>
              <w:t>2</w:t>
            </w:r>
            <w:r w:rsidRPr="00B87CC5">
              <w:rPr>
                <w:rFonts w:cs="Calibri"/>
                <w:szCs w:val="18"/>
              </w:rPr>
              <w:t>-e reduced incentive payment</w:t>
            </w:r>
          </w:p>
        </w:tc>
        <w:tc>
          <w:tcPr>
            <w:tcW w:w="1108" w:type="pct"/>
            <w:shd w:val="clear" w:color="auto" w:fill="auto"/>
          </w:tcPr>
          <w:p w14:paraId="3FC2E541"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729" w:type="pct"/>
            <w:shd w:val="clear" w:color="auto" w:fill="auto"/>
          </w:tcPr>
          <w:p w14:paraId="32E1CC5A"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866" w:type="pct"/>
            <w:shd w:val="clear" w:color="auto" w:fill="auto"/>
          </w:tcPr>
          <w:p w14:paraId="1B695517" w14:textId="77777777" w:rsidR="006210F3" w:rsidRPr="00B87CC5" w:rsidRDefault="006210F3" w:rsidP="00CD315F">
            <w:pPr>
              <w:pStyle w:val="TableText"/>
              <w:spacing w:before="20" w:after="20"/>
              <w:rPr>
                <w:rFonts w:cs="Calibri"/>
                <w:szCs w:val="18"/>
              </w:rPr>
            </w:pPr>
            <w:r w:rsidRPr="00B87CC5">
              <w:rPr>
                <w:rFonts w:cs="Calibri"/>
                <w:szCs w:val="18"/>
              </w:rPr>
              <w:t>None</w:t>
            </w:r>
          </w:p>
        </w:tc>
      </w:tr>
      <w:tr w:rsidR="006210F3" w:rsidRPr="00B87CC5" w14:paraId="1E5E62DE" w14:textId="77777777" w:rsidTr="006E361C">
        <w:trPr>
          <w:trHeight w:val="170"/>
        </w:trPr>
        <w:tc>
          <w:tcPr>
            <w:tcW w:w="1265" w:type="pct"/>
            <w:gridSpan w:val="2"/>
            <w:shd w:val="clear" w:color="auto" w:fill="1C556C" w:themeFill="accent1"/>
            <w:hideMark/>
          </w:tcPr>
          <w:p w14:paraId="0C4D106A" w14:textId="77777777" w:rsidR="006210F3" w:rsidRPr="00B87CC5" w:rsidRDefault="006210F3" w:rsidP="00CD315F">
            <w:pPr>
              <w:keepNext/>
              <w:spacing w:before="20" w:after="20" w:line="240" w:lineRule="auto"/>
              <w:jc w:val="center"/>
              <w:rPr>
                <w:rFonts w:eastAsia="Times New Roman" w:cs="Calibri"/>
                <w:b/>
                <w:bCs/>
                <w:color w:val="FFFFFF"/>
                <w:sz w:val="18"/>
                <w:szCs w:val="18"/>
              </w:rPr>
            </w:pPr>
            <w:r w:rsidRPr="00B87CC5">
              <w:rPr>
                <w:rFonts w:eastAsia="Times New Roman" w:cs="Calibri"/>
                <w:b/>
                <w:bCs/>
                <w:color w:val="FFFFFF"/>
                <w:sz w:val="18"/>
                <w:szCs w:val="18"/>
              </w:rPr>
              <w:lastRenderedPageBreak/>
              <w:t>TRANSPORT</w:t>
            </w:r>
          </w:p>
        </w:tc>
        <w:tc>
          <w:tcPr>
            <w:tcW w:w="1032" w:type="pct"/>
            <w:shd w:val="clear" w:color="auto" w:fill="1C556C" w:themeFill="accent1"/>
          </w:tcPr>
          <w:p w14:paraId="037B6098" w14:textId="77777777" w:rsidR="006210F3" w:rsidRPr="00B87CC5" w:rsidRDefault="006210F3" w:rsidP="00CD315F">
            <w:pPr>
              <w:spacing w:before="20" w:after="20" w:line="240" w:lineRule="auto"/>
              <w:jc w:val="left"/>
              <w:rPr>
                <w:rFonts w:eastAsia="Times New Roman" w:cs="Calibri"/>
                <w:b/>
                <w:bCs/>
                <w:color w:val="FFFFFF"/>
                <w:sz w:val="18"/>
                <w:szCs w:val="18"/>
              </w:rPr>
            </w:pPr>
          </w:p>
        </w:tc>
        <w:tc>
          <w:tcPr>
            <w:tcW w:w="1108" w:type="pct"/>
            <w:shd w:val="clear" w:color="auto" w:fill="1C556C" w:themeFill="accent1"/>
            <w:hideMark/>
          </w:tcPr>
          <w:p w14:paraId="2F354F88"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c>
          <w:tcPr>
            <w:tcW w:w="729" w:type="pct"/>
            <w:shd w:val="clear" w:color="auto" w:fill="1C556C" w:themeFill="accent1"/>
            <w:hideMark/>
          </w:tcPr>
          <w:p w14:paraId="2B38E39B"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c>
          <w:tcPr>
            <w:tcW w:w="866" w:type="pct"/>
            <w:shd w:val="clear" w:color="auto" w:fill="1C556C" w:themeFill="accent1"/>
            <w:hideMark/>
          </w:tcPr>
          <w:p w14:paraId="40808AEC"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r>
      <w:tr w:rsidR="006210F3" w:rsidRPr="00B87CC5" w14:paraId="13B00FD3" w14:textId="77777777" w:rsidTr="006E361C">
        <w:trPr>
          <w:trHeight w:val="567"/>
        </w:trPr>
        <w:tc>
          <w:tcPr>
            <w:tcW w:w="374" w:type="pct"/>
            <w:vMerge w:val="restart"/>
            <w:shd w:val="clear" w:color="auto" w:fill="E7E7E7"/>
            <w:textDirection w:val="btLr"/>
            <w:vAlign w:val="center"/>
            <w:hideMark/>
          </w:tcPr>
          <w:p w14:paraId="26039E0A" w14:textId="77777777" w:rsidR="006210F3" w:rsidRPr="00B87CC5" w:rsidRDefault="006210F3" w:rsidP="00CD315F">
            <w:pPr>
              <w:pStyle w:val="TableText"/>
              <w:keepNext/>
              <w:spacing w:before="20" w:after="20"/>
              <w:jc w:val="center"/>
              <w:rPr>
                <w:rFonts w:cs="Calibri"/>
                <w:b/>
                <w:szCs w:val="18"/>
              </w:rPr>
            </w:pPr>
            <w:r w:rsidRPr="00B87CC5">
              <w:rPr>
                <w:rFonts w:cs="Calibri"/>
                <w:b/>
                <w:szCs w:val="18"/>
              </w:rPr>
              <w:t>Transport</w:t>
            </w:r>
          </w:p>
        </w:tc>
        <w:tc>
          <w:tcPr>
            <w:tcW w:w="891" w:type="pct"/>
            <w:shd w:val="clear" w:color="auto" w:fill="D9D9D9" w:themeFill="background1" w:themeFillShade="D9"/>
            <w:hideMark/>
          </w:tcPr>
          <w:p w14:paraId="73D2B2BB" w14:textId="77777777" w:rsidR="006210F3" w:rsidRPr="00B87CC5" w:rsidRDefault="006210F3" w:rsidP="00CD315F">
            <w:pPr>
              <w:pStyle w:val="TableText"/>
              <w:spacing w:before="20" w:after="20"/>
              <w:rPr>
                <w:rFonts w:cs="Calibri"/>
                <w:b/>
                <w:szCs w:val="18"/>
              </w:rPr>
            </w:pPr>
            <w:r w:rsidRPr="00B87CC5">
              <w:rPr>
                <w:rFonts w:cs="Calibri"/>
                <w:b/>
                <w:szCs w:val="18"/>
              </w:rPr>
              <w:t>Total vehicle kilometres travelled (VKT)</w:t>
            </w:r>
          </w:p>
        </w:tc>
        <w:tc>
          <w:tcPr>
            <w:tcW w:w="1032" w:type="pct"/>
          </w:tcPr>
          <w:p w14:paraId="751FAC9D" w14:textId="77777777" w:rsidR="006210F3" w:rsidRPr="00B87CC5" w:rsidRDefault="006210F3" w:rsidP="00CD315F">
            <w:pPr>
              <w:pStyle w:val="TableText"/>
              <w:spacing w:before="20" w:after="20"/>
              <w:rPr>
                <w:rFonts w:cs="Calibri"/>
                <w:szCs w:val="18"/>
              </w:rPr>
            </w:pPr>
            <w:r w:rsidRPr="00B87CC5">
              <w:rPr>
                <w:rFonts w:cs="Calibri"/>
                <w:szCs w:val="18"/>
              </w:rPr>
              <w:t>As modelled by Ministry of Transport (</w:t>
            </w:r>
            <w:proofErr w:type="spellStart"/>
            <w:r w:rsidRPr="00B87CC5">
              <w:rPr>
                <w:rFonts w:cs="Calibri"/>
                <w:szCs w:val="18"/>
              </w:rPr>
              <w:t>MoT</w:t>
            </w:r>
            <w:proofErr w:type="spellEnd"/>
            <w:r w:rsidRPr="00B87CC5">
              <w:rPr>
                <w:rFonts w:cs="Calibri"/>
                <w:szCs w:val="18"/>
              </w:rPr>
              <w:t>)</w:t>
            </w:r>
          </w:p>
        </w:tc>
        <w:tc>
          <w:tcPr>
            <w:tcW w:w="1108" w:type="pct"/>
            <w:shd w:val="clear" w:color="auto" w:fill="auto"/>
            <w:hideMark/>
          </w:tcPr>
          <w:p w14:paraId="5B2DE677" w14:textId="77777777" w:rsidR="006210F3" w:rsidRPr="00B87CC5" w:rsidRDefault="006210F3" w:rsidP="00CD315F">
            <w:pPr>
              <w:pStyle w:val="TableText"/>
              <w:spacing w:before="20" w:after="20"/>
              <w:rPr>
                <w:rFonts w:cs="Calibri"/>
                <w:szCs w:val="18"/>
              </w:rPr>
            </w:pPr>
            <w:r w:rsidRPr="00B87CC5">
              <w:rPr>
                <w:rFonts w:cs="Calibri"/>
                <w:szCs w:val="18"/>
              </w:rPr>
              <w:t>–0.1% to 0.5% change in annual VKT per vehicle</w:t>
            </w:r>
          </w:p>
        </w:tc>
        <w:tc>
          <w:tcPr>
            <w:tcW w:w="729" w:type="pct"/>
            <w:shd w:val="clear" w:color="auto" w:fill="auto"/>
            <w:hideMark/>
          </w:tcPr>
          <w:p w14:paraId="0AEF3E92" w14:textId="77777777" w:rsidR="006210F3" w:rsidRPr="00B87CC5" w:rsidRDefault="006210F3" w:rsidP="00CD315F">
            <w:pPr>
              <w:pStyle w:val="TableText"/>
              <w:spacing w:before="20" w:after="20"/>
              <w:rPr>
                <w:rFonts w:cs="Calibri"/>
                <w:szCs w:val="18"/>
              </w:rPr>
            </w:pPr>
            <w:r w:rsidRPr="00B87CC5">
              <w:rPr>
                <w:rFonts w:cs="Calibri"/>
                <w:szCs w:val="18"/>
              </w:rPr>
              <w:t>No change in annual VKT per vehicle</w:t>
            </w:r>
          </w:p>
        </w:tc>
        <w:tc>
          <w:tcPr>
            <w:tcW w:w="866" w:type="pct"/>
            <w:shd w:val="clear" w:color="auto" w:fill="auto"/>
            <w:hideMark/>
          </w:tcPr>
          <w:p w14:paraId="17402AA1" w14:textId="77777777" w:rsidR="006210F3" w:rsidRPr="00B87CC5" w:rsidRDefault="006210F3" w:rsidP="00CD315F">
            <w:pPr>
              <w:pStyle w:val="TableText"/>
              <w:spacing w:before="20" w:after="20"/>
              <w:rPr>
                <w:rFonts w:cs="Calibri"/>
                <w:szCs w:val="18"/>
              </w:rPr>
            </w:pPr>
            <w:r w:rsidRPr="00B87CC5">
              <w:rPr>
                <w:rFonts w:cs="Calibri"/>
                <w:szCs w:val="18"/>
              </w:rPr>
              <w:t>0.15% to 0.65% increase in annual VKT per vehicle</w:t>
            </w:r>
          </w:p>
        </w:tc>
      </w:tr>
      <w:tr w:rsidR="00343E68" w:rsidRPr="00B87CC5" w14:paraId="4DA3CFF9" w14:textId="77777777" w:rsidTr="006E361C">
        <w:trPr>
          <w:trHeight w:val="170"/>
        </w:trPr>
        <w:tc>
          <w:tcPr>
            <w:tcW w:w="374" w:type="pct"/>
            <w:vMerge/>
            <w:vAlign w:val="center"/>
            <w:hideMark/>
          </w:tcPr>
          <w:p w14:paraId="645BC101"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2F083BC6" w14:textId="77777777" w:rsidR="006210F3" w:rsidRPr="00B87CC5" w:rsidRDefault="006210F3" w:rsidP="00CD315F">
            <w:pPr>
              <w:pStyle w:val="TableText"/>
              <w:spacing w:before="20" w:after="20"/>
              <w:rPr>
                <w:rFonts w:cs="Calibri"/>
                <w:szCs w:val="18"/>
              </w:rPr>
            </w:pPr>
            <w:r w:rsidRPr="00B87CC5">
              <w:rPr>
                <w:rFonts w:cs="Calibri"/>
                <w:szCs w:val="18"/>
              </w:rPr>
              <w:t>Domestic air passenger-kilometres</w:t>
            </w:r>
          </w:p>
        </w:tc>
        <w:tc>
          <w:tcPr>
            <w:tcW w:w="1032" w:type="pct"/>
          </w:tcPr>
          <w:p w14:paraId="69E9F0CC"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4EC7A218" w14:textId="77777777" w:rsidR="006210F3" w:rsidRPr="00B87CC5" w:rsidRDefault="006210F3" w:rsidP="00CD315F">
            <w:pPr>
              <w:pStyle w:val="TableText"/>
              <w:spacing w:before="20" w:after="20"/>
              <w:rPr>
                <w:rFonts w:cs="Calibri"/>
                <w:szCs w:val="18"/>
              </w:rPr>
            </w:pPr>
            <w:r w:rsidRPr="00B87CC5">
              <w:rPr>
                <w:rFonts w:cs="Calibri"/>
                <w:szCs w:val="18"/>
              </w:rPr>
              <w:t>From 7.4 billion in 2019 to 10.4 billion in 2035 and 13.4 billion in 2050</w:t>
            </w:r>
          </w:p>
        </w:tc>
        <w:tc>
          <w:tcPr>
            <w:tcW w:w="729" w:type="pct"/>
            <w:shd w:val="clear" w:color="auto" w:fill="auto"/>
            <w:hideMark/>
          </w:tcPr>
          <w:p w14:paraId="5BA24058"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7A8B50B3"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343E68" w:rsidRPr="00B87CC5" w14:paraId="776DED50" w14:textId="77777777" w:rsidTr="006E361C">
        <w:trPr>
          <w:trHeight w:val="170"/>
        </w:trPr>
        <w:tc>
          <w:tcPr>
            <w:tcW w:w="374" w:type="pct"/>
            <w:vMerge/>
            <w:vAlign w:val="center"/>
            <w:hideMark/>
          </w:tcPr>
          <w:p w14:paraId="206E617F"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459EF70A" w14:textId="77777777" w:rsidR="006210F3" w:rsidRPr="00B87CC5" w:rsidRDefault="006210F3" w:rsidP="00CD315F">
            <w:pPr>
              <w:pStyle w:val="TableText"/>
              <w:spacing w:before="20" w:after="20"/>
              <w:rPr>
                <w:rFonts w:cs="Calibri"/>
                <w:szCs w:val="18"/>
              </w:rPr>
            </w:pPr>
            <w:r w:rsidRPr="00B87CC5">
              <w:rPr>
                <w:rFonts w:cs="Calibri"/>
                <w:szCs w:val="18"/>
              </w:rPr>
              <w:t xml:space="preserve">International aviation demand (annual growth) </w:t>
            </w:r>
          </w:p>
        </w:tc>
        <w:tc>
          <w:tcPr>
            <w:tcW w:w="1032" w:type="pct"/>
          </w:tcPr>
          <w:p w14:paraId="7E78136B"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5F8DF970" w14:textId="77777777" w:rsidR="006210F3" w:rsidRPr="00B87CC5" w:rsidRDefault="006210F3" w:rsidP="00CD315F">
            <w:pPr>
              <w:pStyle w:val="TableText"/>
              <w:spacing w:before="20" w:after="20"/>
              <w:rPr>
                <w:rFonts w:cs="Calibri"/>
                <w:szCs w:val="18"/>
              </w:rPr>
            </w:pPr>
            <w:r w:rsidRPr="00B87CC5">
              <w:rPr>
                <w:rFonts w:cs="Calibri"/>
                <w:szCs w:val="18"/>
              </w:rPr>
              <w:t>3.2% in 2025</w:t>
            </w:r>
            <w:r w:rsidRPr="00B87CC5">
              <w:rPr>
                <w:rFonts w:cs="Calibri"/>
                <w:szCs w:val="18"/>
              </w:rPr>
              <w:br/>
              <w:t>2.9% from 2031 to 2050</w:t>
            </w:r>
          </w:p>
        </w:tc>
        <w:tc>
          <w:tcPr>
            <w:tcW w:w="729" w:type="pct"/>
            <w:shd w:val="clear" w:color="auto" w:fill="auto"/>
            <w:hideMark/>
          </w:tcPr>
          <w:p w14:paraId="64A72A68"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7C12C71F"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50924488" w14:textId="77777777" w:rsidTr="006E361C">
        <w:trPr>
          <w:trHeight w:val="170"/>
        </w:trPr>
        <w:tc>
          <w:tcPr>
            <w:tcW w:w="374" w:type="pct"/>
            <w:vMerge/>
            <w:vAlign w:val="center"/>
            <w:hideMark/>
          </w:tcPr>
          <w:p w14:paraId="4F361C69"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69ECB5D8" w14:textId="77777777" w:rsidR="006210F3" w:rsidRPr="00B87CC5" w:rsidRDefault="006210F3" w:rsidP="00CD315F">
            <w:pPr>
              <w:pStyle w:val="TableText"/>
              <w:spacing w:before="20" w:after="20"/>
              <w:rPr>
                <w:rFonts w:cs="Calibri"/>
                <w:szCs w:val="18"/>
              </w:rPr>
            </w:pPr>
            <w:r w:rsidRPr="00B87CC5">
              <w:rPr>
                <w:rFonts w:cs="Calibri"/>
                <w:szCs w:val="18"/>
              </w:rPr>
              <w:t>Public transport mode share by distance (% of household travel)</w:t>
            </w:r>
          </w:p>
        </w:tc>
        <w:tc>
          <w:tcPr>
            <w:tcW w:w="1032" w:type="pct"/>
            <w:shd w:val="clear" w:color="auto" w:fill="FFFFFF" w:themeFill="background1"/>
          </w:tcPr>
          <w:p w14:paraId="3909072C"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2A64E573" w14:textId="77777777" w:rsidR="006210F3" w:rsidRPr="00B87CC5" w:rsidRDefault="006210F3" w:rsidP="00CD315F">
            <w:pPr>
              <w:pStyle w:val="TableText"/>
              <w:spacing w:before="20" w:after="20"/>
              <w:rPr>
                <w:rFonts w:cs="Calibri"/>
                <w:szCs w:val="18"/>
              </w:rPr>
            </w:pPr>
            <w:r w:rsidRPr="00B87CC5">
              <w:rPr>
                <w:rFonts w:cs="Calibri"/>
                <w:szCs w:val="18"/>
              </w:rPr>
              <w:t xml:space="preserve">From 3.5% in 2019 to: </w:t>
            </w:r>
            <w:r w:rsidRPr="00B87CC5">
              <w:rPr>
                <w:rFonts w:cs="Calibri"/>
                <w:szCs w:val="18"/>
              </w:rPr>
              <w:br/>
              <w:t xml:space="preserve">5.3% in 2035 </w:t>
            </w:r>
            <w:r w:rsidRPr="00B87CC5">
              <w:rPr>
                <w:rFonts w:cs="Calibri"/>
                <w:szCs w:val="18"/>
              </w:rPr>
              <w:br/>
              <w:t>6.3% in 2050</w:t>
            </w:r>
          </w:p>
        </w:tc>
        <w:tc>
          <w:tcPr>
            <w:tcW w:w="729" w:type="pct"/>
            <w:shd w:val="clear" w:color="auto" w:fill="auto"/>
            <w:hideMark/>
          </w:tcPr>
          <w:p w14:paraId="7BC324AC"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0862C7A9"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12CE7964" w14:textId="77777777" w:rsidTr="006E361C">
        <w:trPr>
          <w:trHeight w:val="170"/>
        </w:trPr>
        <w:tc>
          <w:tcPr>
            <w:tcW w:w="374" w:type="pct"/>
            <w:vMerge/>
            <w:vAlign w:val="center"/>
            <w:hideMark/>
          </w:tcPr>
          <w:p w14:paraId="165C00B5"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6293D76D" w14:textId="77777777" w:rsidR="006210F3" w:rsidRPr="00B87CC5" w:rsidRDefault="006210F3" w:rsidP="00CD315F">
            <w:pPr>
              <w:pStyle w:val="TableText"/>
              <w:spacing w:before="20" w:after="20"/>
              <w:rPr>
                <w:rFonts w:cs="Calibri"/>
                <w:szCs w:val="18"/>
              </w:rPr>
            </w:pPr>
            <w:r w:rsidRPr="00B87CC5">
              <w:rPr>
                <w:rFonts w:cs="Calibri"/>
                <w:szCs w:val="18"/>
              </w:rPr>
              <w:t>Walking mode share by distance (% of household travel)</w:t>
            </w:r>
          </w:p>
        </w:tc>
        <w:tc>
          <w:tcPr>
            <w:tcW w:w="1032" w:type="pct"/>
            <w:shd w:val="clear" w:color="auto" w:fill="FFFFFF" w:themeFill="background1"/>
          </w:tcPr>
          <w:p w14:paraId="5CBC48DD"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3E441F13" w14:textId="77777777" w:rsidR="006210F3" w:rsidRPr="00B87CC5" w:rsidRDefault="006210F3" w:rsidP="00CD315F">
            <w:pPr>
              <w:pStyle w:val="TableText"/>
              <w:spacing w:before="20" w:after="20"/>
              <w:rPr>
                <w:rFonts w:cs="Calibri"/>
                <w:szCs w:val="18"/>
              </w:rPr>
            </w:pPr>
            <w:r w:rsidRPr="00B87CC5">
              <w:rPr>
                <w:rFonts w:cs="Calibri"/>
                <w:szCs w:val="18"/>
              </w:rPr>
              <w:t xml:space="preserve">From 1.6% in 2019 to: </w:t>
            </w:r>
            <w:r w:rsidRPr="00B87CC5">
              <w:rPr>
                <w:rFonts w:cs="Calibri"/>
                <w:szCs w:val="18"/>
              </w:rPr>
              <w:br/>
              <w:t xml:space="preserve">1.5% in 2035 </w:t>
            </w:r>
            <w:r w:rsidRPr="00B87CC5">
              <w:rPr>
                <w:rFonts w:cs="Calibri"/>
                <w:szCs w:val="18"/>
              </w:rPr>
              <w:br/>
              <w:t>1.4% in 2050</w:t>
            </w:r>
          </w:p>
        </w:tc>
        <w:tc>
          <w:tcPr>
            <w:tcW w:w="729" w:type="pct"/>
            <w:shd w:val="clear" w:color="auto" w:fill="auto"/>
            <w:hideMark/>
          </w:tcPr>
          <w:p w14:paraId="5668FF1B"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150F9B88"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5F43F9E0" w14:textId="77777777" w:rsidTr="006E361C">
        <w:trPr>
          <w:trHeight w:val="170"/>
        </w:trPr>
        <w:tc>
          <w:tcPr>
            <w:tcW w:w="374" w:type="pct"/>
            <w:vMerge/>
            <w:vAlign w:val="center"/>
            <w:hideMark/>
          </w:tcPr>
          <w:p w14:paraId="1613A1A9"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0A2D89F1" w14:textId="77777777" w:rsidR="006210F3" w:rsidRPr="00B87CC5" w:rsidRDefault="006210F3" w:rsidP="00CD315F">
            <w:pPr>
              <w:pStyle w:val="TableText"/>
              <w:spacing w:before="20" w:after="20"/>
              <w:rPr>
                <w:rFonts w:cs="Calibri"/>
                <w:szCs w:val="18"/>
              </w:rPr>
            </w:pPr>
            <w:r w:rsidRPr="00B87CC5">
              <w:rPr>
                <w:rFonts w:cs="Calibri"/>
                <w:szCs w:val="18"/>
              </w:rPr>
              <w:t>Cycling mode share by distance (% of household travel)</w:t>
            </w:r>
          </w:p>
        </w:tc>
        <w:tc>
          <w:tcPr>
            <w:tcW w:w="1032" w:type="pct"/>
            <w:shd w:val="clear" w:color="auto" w:fill="FFFFFF" w:themeFill="background1"/>
          </w:tcPr>
          <w:p w14:paraId="1011A936"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10953B1C" w14:textId="77777777" w:rsidR="006210F3" w:rsidRPr="00B87CC5" w:rsidRDefault="006210F3" w:rsidP="00CD315F">
            <w:pPr>
              <w:pStyle w:val="TableText"/>
              <w:spacing w:before="20" w:after="20"/>
              <w:rPr>
                <w:rFonts w:cs="Calibri"/>
                <w:szCs w:val="18"/>
              </w:rPr>
            </w:pPr>
            <w:r w:rsidRPr="00B87CC5">
              <w:rPr>
                <w:rFonts w:cs="Calibri"/>
                <w:szCs w:val="18"/>
              </w:rPr>
              <w:t>Roughly constant at 0.6% from 2019</w:t>
            </w:r>
          </w:p>
        </w:tc>
        <w:tc>
          <w:tcPr>
            <w:tcW w:w="729" w:type="pct"/>
            <w:shd w:val="clear" w:color="auto" w:fill="auto"/>
            <w:hideMark/>
          </w:tcPr>
          <w:p w14:paraId="48096761"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2BCFD5A6"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7F36E894" w14:textId="77777777" w:rsidTr="006E361C">
        <w:trPr>
          <w:trHeight w:val="170"/>
        </w:trPr>
        <w:tc>
          <w:tcPr>
            <w:tcW w:w="374" w:type="pct"/>
            <w:vMerge/>
            <w:vAlign w:val="center"/>
            <w:hideMark/>
          </w:tcPr>
          <w:p w14:paraId="4DD5E589"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21D38679" w14:textId="77777777" w:rsidR="006210F3" w:rsidRPr="00B87CC5" w:rsidRDefault="006210F3" w:rsidP="00CD315F">
            <w:pPr>
              <w:pStyle w:val="TableText"/>
              <w:spacing w:before="20" w:after="20"/>
              <w:rPr>
                <w:rFonts w:cs="Calibri"/>
                <w:szCs w:val="18"/>
              </w:rPr>
            </w:pPr>
            <w:r w:rsidRPr="00B87CC5">
              <w:rPr>
                <w:rFonts w:cs="Calibri"/>
                <w:szCs w:val="18"/>
              </w:rPr>
              <w:t>Rail / coastal shipping freight mode share (% of tonne-kilometres)</w:t>
            </w:r>
          </w:p>
        </w:tc>
        <w:tc>
          <w:tcPr>
            <w:tcW w:w="1032" w:type="pct"/>
            <w:shd w:val="clear" w:color="auto" w:fill="FFFFFF" w:themeFill="background1"/>
          </w:tcPr>
          <w:p w14:paraId="4ADA914B"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3E04D312" w14:textId="77777777" w:rsidR="006210F3" w:rsidRPr="00B87CC5" w:rsidRDefault="006210F3" w:rsidP="00CD315F">
            <w:pPr>
              <w:pStyle w:val="TableText"/>
              <w:spacing w:before="20" w:after="20"/>
              <w:rPr>
                <w:rFonts w:cs="Calibri"/>
                <w:szCs w:val="18"/>
              </w:rPr>
            </w:pPr>
            <w:r w:rsidRPr="00B87CC5">
              <w:rPr>
                <w:rFonts w:cs="Calibri"/>
                <w:szCs w:val="18"/>
              </w:rPr>
              <w:t xml:space="preserve">From 13.7% / 12.4% in 2019 to 12.8% / 11.6% in 2035 </w:t>
            </w:r>
            <w:r w:rsidRPr="00B87CC5">
              <w:rPr>
                <w:rFonts w:cs="Calibri"/>
                <w:szCs w:val="18"/>
              </w:rPr>
              <w:br/>
              <w:t>12.8% / 11.7% in 2050</w:t>
            </w:r>
          </w:p>
        </w:tc>
        <w:tc>
          <w:tcPr>
            <w:tcW w:w="729" w:type="pct"/>
            <w:shd w:val="clear" w:color="auto" w:fill="auto"/>
            <w:hideMark/>
          </w:tcPr>
          <w:p w14:paraId="5A2237CC"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6DC37A47"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68ED3D5D" w14:textId="77777777" w:rsidTr="006E361C">
        <w:trPr>
          <w:trHeight w:val="170"/>
        </w:trPr>
        <w:tc>
          <w:tcPr>
            <w:tcW w:w="374" w:type="pct"/>
            <w:vMerge/>
            <w:vAlign w:val="center"/>
            <w:hideMark/>
          </w:tcPr>
          <w:p w14:paraId="78858074"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349DEABC" w14:textId="77777777" w:rsidR="006210F3" w:rsidRPr="00B87CC5" w:rsidRDefault="006210F3" w:rsidP="00CD315F">
            <w:pPr>
              <w:pStyle w:val="TableText"/>
              <w:spacing w:before="20" w:after="20"/>
              <w:rPr>
                <w:rFonts w:cs="Calibri"/>
                <w:szCs w:val="18"/>
              </w:rPr>
            </w:pPr>
            <w:r w:rsidRPr="00B87CC5">
              <w:rPr>
                <w:rFonts w:cs="Calibri"/>
                <w:szCs w:val="18"/>
              </w:rPr>
              <w:t>Cost of electric vehicle (EV) batteries (real 2023 US$ per kWh)</w:t>
            </w:r>
          </w:p>
        </w:tc>
        <w:tc>
          <w:tcPr>
            <w:tcW w:w="1032" w:type="pct"/>
            <w:shd w:val="clear" w:color="auto" w:fill="FFFFFF" w:themeFill="background1"/>
          </w:tcPr>
          <w:p w14:paraId="29430D3C"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0C5F6F99" w14:textId="77777777" w:rsidR="006210F3" w:rsidRPr="00B87CC5" w:rsidRDefault="006210F3" w:rsidP="00CD315F">
            <w:pPr>
              <w:pStyle w:val="TableText"/>
              <w:spacing w:before="20" w:after="20"/>
              <w:rPr>
                <w:rFonts w:cs="Calibri"/>
                <w:szCs w:val="18"/>
              </w:rPr>
            </w:pPr>
            <w:r w:rsidRPr="00B87CC5">
              <w:rPr>
                <w:rFonts w:cs="Calibri"/>
                <w:szCs w:val="18"/>
              </w:rPr>
              <w:t>152 in 2023</w:t>
            </w:r>
            <w:r w:rsidRPr="00B87CC5">
              <w:rPr>
                <w:rFonts w:cs="Calibri"/>
                <w:szCs w:val="18"/>
              </w:rPr>
              <w:br/>
              <w:t>52 in 2035</w:t>
            </w:r>
            <w:r w:rsidRPr="00B87CC5">
              <w:rPr>
                <w:rFonts w:cs="Calibri"/>
                <w:szCs w:val="18"/>
              </w:rPr>
              <w:br/>
              <w:t>37 in 2050</w:t>
            </w:r>
          </w:p>
        </w:tc>
        <w:tc>
          <w:tcPr>
            <w:tcW w:w="729" w:type="pct"/>
            <w:shd w:val="clear" w:color="auto" w:fill="auto"/>
            <w:hideMark/>
          </w:tcPr>
          <w:p w14:paraId="4448E7EB" w14:textId="77777777" w:rsidR="006210F3" w:rsidRPr="00B87CC5" w:rsidRDefault="006210F3" w:rsidP="00CD315F">
            <w:pPr>
              <w:pStyle w:val="TableText"/>
              <w:spacing w:before="20" w:after="20"/>
              <w:rPr>
                <w:rFonts w:cs="Calibri"/>
                <w:szCs w:val="18"/>
              </w:rPr>
            </w:pPr>
            <w:r w:rsidRPr="00B87CC5">
              <w:rPr>
                <w:rFonts w:cs="Calibri"/>
                <w:szCs w:val="18"/>
              </w:rPr>
              <w:t>Accelerated battery cost reductions</w:t>
            </w:r>
          </w:p>
        </w:tc>
        <w:tc>
          <w:tcPr>
            <w:tcW w:w="866" w:type="pct"/>
            <w:shd w:val="clear" w:color="auto" w:fill="auto"/>
            <w:hideMark/>
          </w:tcPr>
          <w:p w14:paraId="3BF60A13"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0E612A8F" w14:textId="77777777" w:rsidTr="006E361C">
        <w:trPr>
          <w:trHeight w:val="170"/>
        </w:trPr>
        <w:tc>
          <w:tcPr>
            <w:tcW w:w="374" w:type="pct"/>
            <w:vMerge/>
            <w:vAlign w:val="center"/>
            <w:hideMark/>
          </w:tcPr>
          <w:p w14:paraId="7057F70B"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79AD4E2A" w14:textId="77777777" w:rsidR="006210F3" w:rsidRPr="00B87CC5" w:rsidRDefault="006210F3" w:rsidP="00CD315F">
            <w:pPr>
              <w:pStyle w:val="TableText"/>
              <w:spacing w:before="20" w:after="20"/>
              <w:rPr>
                <w:rFonts w:cs="Calibri"/>
                <w:szCs w:val="18"/>
              </w:rPr>
            </w:pPr>
            <w:r w:rsidRPr="00B87CC5">
              <w:rPr>
                <w:rFonts w:cs="Calibri"/>
                <w:szCs w:val="18"/>
              </w:rPr>
              <w:t>Capital cost penalties on light passenger EVs</w:t>
            </w:r>
          </w:p>
        </w:tc>
        <w:tc>
          <w:tcPr>
            <w:tcW w:w="1032" w:type="pct"/>
            <w:shd w:val="clear" w:color="auto" w:fill="FFFFFF" w:themeFill="background1"/>
          </w:tcPr>
          <w:p w14:paraId="089C9420"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79EB54A1" w14:textId="77777777" w:rsidR="006210F3" w:rsidRPr="00B87CC5" w:rsidRDefault="006210F3" w:rsidP="00CD315F">
            <w:pPr>
              <w:pStyle w:val="TableText"/>
              <w:spacing w:before="20" w:after="20"/>
              <w:rPr>
                <w:rFonts w:cs="Calibri"/>
                <w:szCs w:val="18"/>
              </w:rPr>
            </w:pPr>
            <w:r w:rsidRPr="00B87CC5">
              <w:rPr>
                <w:rFonts w:cs="Calibri"/>
                <w:szCs w:val="18"/>
              </w:rPr>
              <w:t>20% ending 2035</w:t>
            </w:r>
          </w:p>
        </w:tc>
        <w:tc>
          <w:tcPr>
            <w:tcW w:w="729" w:type="pct"/>
            <w:shd w:val="clear" w:color="auto" w:fill="auto"/>
            <w:hideMark/>
          </w:tcPr>
          <w:p w14:paraId="541AAFDB"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1ED938B5"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343E68" w:rsidRPr="00B87CC5" w14:paraId="7132D9EF" w14:textId="77777777" w:rsidTr="006E361C">
        <w:trPr>
          <w:trHeight w:val="170"/>
        </w:trPr>
        <w:tc>
          <w:tcPr>
            <w:tcW w:w="374" w:type="pct"/>
            <w:vMerge/>
            <w:vAlign w:val="center"/>
            <w:hideMark/>
          </w:tcPr>
          <w:p w14:paraId="40AA6945"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6495542E" w14:textId="77777777" w:rsidR="006210F3" w:rsidRPr="00B87CC5" w:rsidRDefault="006210F3" w:rsidP="00CD315F">
            <w:pPr>
              <w:pStyle w:val="TableText"/>
              <w:spacing w:before="20" w:after="20"/>
              <w:rPr>
                <w:rFonts w:cs="Calibri"/>
                <w:szCs w:val="18"/>
              </w:rPr>
            </w:pPr>
            <w:r w:rsidRPr="00B87CC5">
              <w:rPr>
                <w:rFonts w:cs="Calibri"/>
                <w:szCs w:val="18"/>
              </w:rPr>
              <w:t>EV uptake</w:t>
            </w:r>
          </w:p>
        </w:tc>
        <w:tc>
          <w:tcPr>
            <w:tcW w:w="1032" w:type="pct"/>
          </w:tcPr>
          <w:p w14:paraId="4FCB59ED"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4745C48B" w14:textId="77777777" w:rsidR="006210F3" w:rsidRPr="00B87CC5" w:rsidRDefault="006210F3" w:rsidP="00CD315F">
            <w:pPr>
              <w:pStyle w:val="TableText"/>
              <w:spacing w:before="20" w:after="20"/>
              <w:rPr>
                <w:rFonts w:cs="Calibri"/>
                <w:szCs w:val="18"/>
              </w:rPr>
            </w:pPr>
            <w:r w:rsidRPr="00B87CC5">
              <w:rPr>
                <w:rFonts w:cs="Calibri"/>
                <w:szCs w:val="18"/>
              </w:rPr>
              <w:t>Based on total cost of ownership with medium price sensitivity</w:t>
            </w:r>
          </w:p>
        </w:tc>
        <w:tc>
          <w:tcPr>
            <w:tcW w:w="729" w:type="pct"/>
            <w:shd w:val="clear" w:color="auto" w:fill="auto"/>
            <w:hideMark/>
          </w:tcPr>
          <w:p w14:paraId="5A91F477" w14:textId="77777777" w:rsidR="006210F3" w:rsidRPr="00B87CC5" w:rsidRDefault="006210F3" w:rsidP="00CD315F">
            <w:pPr>
              <w:pStyle w:val="TableText"/>
              <w:spacing w:before="20" w:after="20"/>
              <w:rPr>
                <w:rFonts w:cs="Calibri"/>
                <w:szCs w:val="18"/>
              </w:rPr>
            </w:pPr>
            <w:r w:rsidRPr="00B87CC5">
              <w:rPr>
                <w:rFonts w:cs="Calibri"/>
                <w:szCs w:val="18"/>
              </w:rPr>
              <w:t>Based on total cost of ownership with low price sensitivity</w:t>
            </w:r>
          </w:p>
        </w:tc>
        <w:tc>
          <w:tcPr>
            <w:tcW w:w="866" w:type="pct"/>
            <w:shd w:val="clear" w:color="auto" w:fill="auto"/>
            <w:hideMark/>
          </w:tcPr>
          <w:p w14:paraId="2C5C6F9E" w14:textId="77777777" w:rsidR="006210F3" w:rsidRPr="00B87CC5" w:rsidRDefault="006210F3" w:rsidP="00CD315F">
            <w:pPr>
              <w:pStyle w:val="TableText"/>
              <w:spacing w:before="20" w:after="20"/>
              <w:rPr>
                <w:rFonts w:cs="Calibri"/>
                <w:szCs w:val="18"/>
              </w:rPr>
            </w:pPr>
            <w:r w:rsidRPr="00B87CC5">
              <w:rPr>
                <w:rFonts w:cs="Calibri"/>
                <w:szCs w:val="18"/>
              </w:rPr>
              <w:t>Based on total cost of ownership with high price sensitivity</w:t>
            </w:r>
          </w:p>
        </w:tc>
      </w:tr>
      <w:tr w:rsidR="00343E68" w:rsidRPr="00B87CC5" w14:paraId="0AC9236D" w14:textId="77777777" w:rsidTr="006E361C">
        <w:trPr>
          <w:trHeight w:val="170"/>
        </w:trPr>
        <w:tc>
          <w:tcPr>
            <w:tcW w:w="374" w:type="pct"/>
            <w:vMerge/>
            <w:vAlign w:val="center"/>
            <w:hideMark/>
          </w:tcPr>
          <w:p w14:paraId="46DFA859"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0D4A485C" w14:textId="77777777" w:rsidR="006210F3" w:rsidRPr="00B87CC5" w:rsidRDefault="006210F3" w:rsidP="00CD315F">
            <w:pPr>
              <w:pStyle w:val="TableText"/>
              <w:spacing w:before="20" w:after="20"/>
              <w:rPr>
                <w:rFonts w:cs="Calibri"/>
                <w:szCs w:val="18"/>
              </w:rPr>
            </w:pPr>
            <w:r w:rsidRPr="00B87CC5">
              <w:rPr>
                <w:rFonts w:cs="Calibri"/>
                <w:szCs w:val="18"/>
              </w:rPr>
              <w:t>EV uptake sensitivity to charger density</w:t>
            </w:r>
          </w:p>
        </w:tc>
        <w:tc>
          <w:tcPr>
            <w:tcW w:w="1032" w:type="pct"/>
          </w:tcPr>
          <w:p w14:paraId="75C6A5B8" w14:textId="77777777" w:rsidR="006210F3" w:rsidRPr="00B87CC5" w:rsidRDefault="006210F3" w:rsidP="00CD315F">
            <w:pPr>
              <w:pStyle w:val="TableText"/>
              <w:spacing w:before="20" w:after="20"/>
              <w:rPr>
                <w:rFonts w:cs="Calibri"/>
                <w:szCs w:val="18"/>
              </w:rPr>
            </w:pPr>
            <w:r w:rsidRPr="00B87CC5">
              <w:rPr>
                <w:rFonts w:cs="Calibri"/>
                <w:szCs w:val="18"/>
              </w:rPr>
              <w:t>Not used</w:t>
            </w:r>
          </w:p>
        </w:tc>
        <w:tc>
          <w:tcPr>
            <w:tcW w:w="1108" w:type="pct"/>
            <w:shd w:val="clear" w:color="auto" w:fill="auto"/>
            <w:hideMark/>
          </w:tcPr>
          <w:p w14:paraId="60D07BCD" w14:textId="77777777" w:rsidR="006210F3" w:rsidRPr="00B87CC5" w:rsidRDefault="006210F3" w:rsidP="00CD315F">
            <w:pPr>
              <w:pStyle w:val="TableText"/>
              <w:spacing w:before="20" w:after="20"/>
              <w:rPr>
                <w:rFonts w:cs="Calibri"/>
                <w:szCs w:val="18"/>
              </w:rPr>
            </w:pPr>
            <w:r w:rsidRPr="00B87CC5">
              <w:rPr>
                <w:rFonts w:cs="Calibri"/>
                <w:szCs w:val="18"/>
              </w:rPr>
              <w:t>Charger density that will result in virtually no constraints on EV uptake</w:t>
            </w:r>
          </w:p>
        </w:tc>
        <w:tc>
          <w:tcPr>
            <w:tcW w:w="729" w:type="pct"/>
            <w:shd w:val="clear" w:color="auto" w:fill="auto"/>
            <w:hideMark/>
          </w:tcPr>
          <w:p w14:paraId="392A6055"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29BE7632"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343E68" w:rsidRPr="00B87CC5" w14:paraId="4783D510" w14:textId="77777777" w:rsidTr="006E361C">
        <w:trPr>
          <w:trHeight w:val="170"/>
        </w:trPr>
        <w:tc>
          <w:tcPr>
            <w:tcW w:w="374" w:type="pct"/>
            <w:vMerge/>
            <w:vAlign w:val="center"/>
            <w:hideMark/>
          </w:tcPr>
          <w:p w14:paraId="6160B61B"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56371BC6" w14:textId="77777777" w:rsidR="006210F3" w:rsidRPr="00B87CC5" w:rsidRDefault="006210F3" w:rsidP="00CD315F">
            <w:pPr>
              <w:pStyle w:val="TableText"/>
              <w:spacing w:before="20" w:after="20"/>
              <w:rPr>
                <w:rFonts w:cs="Calibri"/>
                <w:szCs w:val="18"/>
              </w:rPr>
            </w:pPr>
            <w:r w:rsidRPr="00B87CC5">
              <w:rPr>
                <w:rFonts w:cs="Calibri"/>
                <w:szCs w:val="18"/>
              </w:rPr>
              <w:t>Road user charges exemption ends</w:t>
            </w:r>
          </w:p>
        </w:tc>
        <w:tc>
          <w:tcPr>
            <w:tcW w:w="1032" w:type="pct"/>
          </w:tcPr>
          <w:p w14:paraId="1B315F56" w14:textId="77777777" w:rsidR="006210F3" w:rsidRPr="00B87CC5" w:rsidRDefault="006210F3" w:rsidP="00CD315F">
            <w:pPr>
              <w:pStyle w:val="TableText"/>
              <w:spacing w:before="20" w:after="20"/>
              <w:rPr>
                <w:rFonts w:cs="Calibri"/>
                <w:szCs w:val="18"/>
              </w:rPr>
            </w:pPr>
            <w:proofErr w:type="gramStart"/>
            <w:r w:rsidRPr="00B87CC5">
              <w:rPr>
                <w:rFonts w:cs="Calibri"/>
                <w:szCs w:val="18"/>
              </w:rPr>
              <w:t>Current EV road</w:t>
            </w:r>
            <w:proofErr w:type="gramEnd"/>
            <w:r w:rsidRPr="00B87CC5">
              <w:rPr>
                <w:rFonts w:cs="Calibri"/>
                <w:szCs w:val="18"/>
              </w:rPr>
              <w:t xml:space="preserve"> user charges exemption for light and heavy vehicles</w:t>
            </w:r>
          </w:p>
        </w:tc>
        <w:tc>
          <w:tcPr>
            <w:tcW w:w="1108" w:type="pct"/>
            <w:shd w:val="clear" w:color="auto" w:fill="auto"/>
            <w:hideMark/>
          </w:tcPr>
          <w:p w14:paraId="50232901" w14:textId="77777777" w:rsidR="006210F3" w:rsidRPr="00B87CC5" w:rsidRDefault="006210F3" w:rsidP="00CD315F">
            <w:pPr>
              <w:pStyle w:val="TableText"/>
              <w:spacing w:before="20" w:after="20"/>
              <w:rPr>
                <w:rFonts w:eastAsia="Times New Roman" w:cs="Calibri"/>
                <w:szCs w:val="18"/>
              </w:rPr>
            </w:pPr>
            <w:r w:rsidRPr="00B87CC5">
              <w:rPr>
                <w:rFonts w:cs="Calibri"/>
                <w:szCs w:val="18"/>
              </w:rPr>
              <w:t xml:space="preserve">Light: 2024 </w:t>
            </w:r>
          </w:p>
          <w:p w14:paraId="6FE8DF21" w14:textId="77777777" w:rsidR="006210F3" w:rsidRPr="00B87CC5" w:rsidRDefault="006210F3" w:rsidP="00CD315F">
            <w:pPr>
              <w:pStyle w:val="TableText"/>
              <w:spacing w:before="20" w:after="20"/>
              <w:rPr>
                <w:rFonts w:cs="Calibri"/>
                <w:szCs w:val="18"/>
              </w:rPr>
            </w:pPr>
            <w:r w:rsidRPr="00B87CC5">
              <w:rPr>
                <w:rFonts w:cs="Calibri"/>
                <w:szCs w:val="18"/>
              </w:rPr>
              <w:t>Heavy: 2028</w:t>
            </w:r>
          </w:p>
        </w:tc>
        <w:tc>
          <w:tcPr>
            <w:tcW w:w="729" w:type="pct"/>
            <w:shd w:val="clear" w:color="auto" w:fill="auto"/>
            <w:hideMark/>
          </w:tcPr>
          <w:p w14:paraId="53C4F809"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466C65A2"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343E68" w:rsidRPr="00B87CC5" w14:paraId="48B76577" w14:textId="77777777" w:rsidTr="006E361C">
        <w:trPr>
          <w:trHeight w:val="170"/>
        </w:trPr>
        <w:tc>
          <w:tcPr>
            <w:tcW w:w="374" w:type="pct"/>
            <w:vMerge/>
            <w:vAlign w:val="center"/>
            <w:hideMark/>
          </w:tcPr>
          <w:p w14:paraId="27919F28"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18937AEE" w14:textId="77777777" w:rsidR="006210F3" w:rsidRPr="00B87CC5" w:rsidRDefault="006210F3" w:rsidP="00CD315F">
            <w:pPr>
              <w:pStyle w:val="TableText"/>
              <w:spacing w:before="20" w:after="20"/>
              <w:rPr>
                <w:rFonts w:cs="Calibri"/>
                <w:szCs w:val="18"/>
              </w:rPr>
            </w:pPr>
            <w:r w:rsidRPr="00B87CC5">
              <w:rPr>
                <w:rFonts w:cs="Calibri"/>
                <w:szCs w:val="18"/>
              </w:rPr>
              <w:t>Effects of clean car discount</w:t>
            </w:r>
          </w:p>
        </w:tc>
        <w:tc>
          <w:tcPr>
            <w:tcW w:w="1032" w:type="pct"/>
          </w:tcPr>
          <w:p w14:paraId="6CDFB52E" w14:textId="77777777" w:rsidR="006210F3" w:rsidRPr="00B87CC5" w:rsidRDefault="006210F3" w:rsidP="00CD315F">
            <w:pPr>
              <w:pStyle w:val="TableText"/>
              <w:spacing w:before="20" w:after="20"/>
              <w:rPr>
                <w:rFonts w:cs="Calibri"/>
                <w:szCs w:val="18"/>
              </w:rPr>
            </w:pPr>
            <w:r w:rsidRPr="00B87CC5">
              <w:rPr>
                <w:rFonts w:cs="Calibri"/>
                <w:szCs w:val="18"/>
              </w:rPr>
              <w:t>Clean vehicle package</w:t>
            </w:r>
          </w:p>
        </w:tc>
        <w:tc>
          <w:tcPr>
            <w:tcW w:w="1108" w:type="pct"/>
            <w:shd w:val="clear" w:color="auto" w:fill="auto"/>
            <w:hideMark/>
          </w:tcPr>
          <w:p w14:paraId="5D3692CE" w14:textId="77777777" w:rsidR="006210F3" w:rsidRPr="00B87CC5" w:rsidRDefault="006210F3" w:rsidP="00CD315F">
            <w:pPr>
              <w:pStyle w:val="TableText"/>
              <w:spacing w:before="20" w:after="20"/>
              <w:rPr>
                <w:rFonts w:cs="Calibri"/>
                <w:szCs w:val="18"/>
              </w:rPr>
            </w:pPr>
            <w:r w:rsidRPr="00B87CC5">
              <w:rPr>
                <w:rFonts w:cs="Calibri"/>
                <w:szCs w:val="18"/>
              </w:rPr>
              <w:t>Discontinued 2024</w:t>
            </w:r>
          </w:p>
        </w:tc>
        <w:tc>
          <w:tcPr>
            <w:tcW w:w="729" w:type="pct"/>
            <w:shd w:val="clear" w:color="auto" w:fill="auto"/>
            <w:hideMark/>
          </w:tcPr>
          <w:p w14:paraId="11AAD4A9"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61AD197B"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343E68" w:rsidRPr="00B87CC5" w14:paraId="3454CD3F" w14:textId="77777777" w:rsidTr="006E361C">
        <w:trPr>
          <w:trHeight w:val="170"/>
        </w:trPr>
        <w:tc>
          <w:tcPr>
            <w:tcW w:w="374" w:type="pct"/>
            <w:vMerge/>
            <w:vAlign w:val="center"/>
            <w:hideMark/>
          </w:tcPr>
          <w:p w14:paraId="3EBC61A5"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5BFAC17E" w14:textId="05FCE8C5" w:rsidR="006210F3" w:rsidRPr="00B87CC5" w:rsidRDefault="006210F3" w:rsidP="00CD315F">
            <w:pPr>
              <w:pStyle w:val="TableText"/>
              <w:spacing w:before="20" w:after="20"/>
              <w:rPr>
                <w:rFonts w:cs="Calibri"/>
                <w:szCs w:val="18"/>
              </w:rPr>
            </w:pPr>
            <w:r w:rsidRPr="00B87CC5">
              <w:rPr>
                <w:rFonts w:cs="Calibri"/>
                <w:szCs w:val="18"/>
              </w:rPr>
              <w:t>Effects of Clean Car Standard</w:t>
            </w:r>
          </w:p>
        </w:tc>
        <w:tc>
          <w:tcPr>
            <w:tcW w:w="1032" w:type="pct"/>
          </w:tcPr>
          <w:p w14:paraId="3DDDF4B6"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0701C037" w14:textId="77777777" w:rsidR="006210F3" w:rsidRPr="00B87CC5" w:rsidRDefault="006210F3" w:rsidP="00CD315F">
            <w:pPr>
              <w:pStyle w:val="TableText"/>
              <w:spacing w:before="20" w:after="20"/>
              <w:rPr>
                <w:rFonts w:cs="Calibri"/>
                <w:szCs w:val="18"/>
              </w:rPr>
            </w:pPr>
            <w:r w:rsidRPr="00B87CC5">
              <w:rPr>
                <w:rFonts w:cs="Calibri"/>
                <w:szCs w:val="18"/>
              </w:rPr>
              <w:t>Published target and fees till 2027. Assumed to continue after 2027, following trend of published target</w:t>
            </w:r>
          </w:p>
        </w:tc>
        <w:tc>
          <w:tcPr>
            <w:tcW w:w="729" w:type="pct"/>
            <w:shd w:val="clear" w:color="auto" w:fill="auto"/>
            <w:hideMark/>
          </w:tcPr>
          <w:p w14:paraId="6937A624"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16ED9AB5"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343E68" w:rsidRPr="00B87CC5" w14:paraId="3DCED705" w14:textId="77777777" w:rsidTr="006E361C">
        <w:trPr>
          <w:trHeight w:val="170"/>
        </w:trPr>
        <w:tc>
          <w:tcPr>
            <w:tcW w:w="374" w:type="pct"/>
            <w:vMerge/>
            <w:vAlign w:val="center"/>
            <w:hideMark/>
          </w:tcPr>
          <w:p w14:paraId="3452CC45"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6773397F" w14:textId="77777777" w:rsidR="006210F3" w:rsidRPr="00B87CC5" w:rsidRDefault="006210F3" w:rsidP="00CD315F">
            <w:pPr>
              <w:pStyle w:val="TableText"/>
              <w:spacing w:before="20" w:after="20"/>
              <w:rPr>
                <w:rFonts w:cs="Calibri"/>
                <w:szCs w:val="18"/>
              </w:rPr>
            </w:pPr>
            <w:r w:rsidRPr="00B87CC5">
              <w:rPr>
                <w:rFonts w:cs="Calibri"/>
                <w:szCs w:val="18"/>
              </w:rPr>
              <w:t xml:space="preserve">Emissions intensity of internal combustion engine vehicles entering the fleet </w:t>
            </w:r>
          </w:p>
        </w:tc>
        <w:tc>
          <w:tcPr>
            <w:tcW w:w="1032" w:type="pct"/>
          </w:tcPr>
          <w:p w14:paraId="4A71B373"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06FE155A" w14:textId="77777777" w:rsidR="006210F3" w:rsidRPr="00B87CC5" w:rsidRDefault="006210F3" w:rsidP="00CD315F">
            <w:pPr>
              <w:pStyle w:val="TableText"/>
              <w:spacing w:before="20" w:after="20"/>
              <w:rPr>
                <w:rFonts w:cs="Calibri"/>
                <w:szCs w:val="18"/>
              </w:rPr>
            </w:pPr>
            <w:r w:rsidRPr="00B87CC5">
              <w:rPr>
                <w:rFonts w:cs="Calibri"/>
                <w:szCs w:val="18"/>
              </w:rPr>
              <w:t>Moderate downwards trend</w:t>
            </w:r>
          </w:p>
        </w:tc>
        <w:tc>
          <w:tcPr>
            <w:tcW w:w="729" w:type="pct"/>
            <w:shd w:val="clear" w:color="auto" w:fill="auto"/>
            <w:hideMark/>
          </w:tcPr>
          <w:p w14:paraId="5C85D79D"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15AD8B89"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73A8B1EF" w14:textId="77777777" w:rsidTr="006E361C">
        <w:trPr>
          <w:trHeight w:val="170"/>
        </w:trPr>
        <w:tc>
          <w:tcPr>
            <w:tcW w:w="374" w:type="pct"/>
            <w:vMerge/>
            <w:vAlign w:val="center"/>
            <w:hideMark/>
          </w:tcPr>
          <w:p w14:paraId="431BA2E6"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1645215B" w14:textId="3296CF65" w:rsidR="006210F3" w:rsidRPr="00B87CC5" w:rsidRDefault="006210F3" w:rsidP="00CD315F">
            <w:pPr>
              <w:pStyle w:val="TableText"/>
              <w:spacing w:before="20" w:after="20"/>
              <w:rPr>
                <w:rFonts w:cs="Calibri"/>
                <w:szCs w:val="18"/>
              </w:rPr>
            </w:pPr>
            <w:r w:rsidRPr="00B87CC5">
              <w:rPr>
                <w:rFonts w:cs="Calibri"/>
                <w:szCs w:val="18"/>
              </w:rPr>
              <w:t xml:space="preserve">Hydrogen shares of </w:t>
            </w:r>
            <w:r w:rsidR="00E02433" w:rsidRPr="00B87CC5">
              <w:rPr>
                <w:rFonts w:cs="Calibri"/>
                <w:szCs w:val="18"/>
              </w:rPr>
              <w:t>zero</w:t>
            </w:r>
            <w:r w:rsidR="00E02433">
              <w:rPr>
                <w:rFonts w:cs="Calibri"/>
                <w:szCs w:val="18"/>
              </w:rPr>
              <w:t>-</w:t>
            </w:r>
            <w:r w:rsidRPr="00B87CC5">
              <w:rPr>
                <w:rFonts w:cs="Calibri"/>
                <w:szCs w:val="18"/>
              </w:rPr>
              <w:t>emission</w:t>
            </w:r>
            <w:r w:rsidR="00E02433">
              <w:rPr>
                <w:rFonts w:cs="Calibri"/>
                <w:szCs w:val="18"/>
              </w:rPr>
              <w:t>s</w:t>
            </w:r>
            <w:r w:rsidRPr="00B87CC5">
              <w:rPr>
                <w:rFonts w:cs="Calibri"/>
                <w:szCs w:val="18"/>
              </w:rPr>
              <w:t xml:space="preserve"> heavy vehicles</w:t>
            </w:r>
          </w:p>
        </w:tc>
        <w:tc>
          <w:tcPr>
            <w:tcW w:w="1032" w:type="pct"/>
            <w:shd w:val="clear" w:color="auto" w:fill="FFFFFF" w:themeFill="background1"/>
          </w:tcPr>
          <w:p w14:paraId="751D64B1"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1108" w:type="pct"/>
            <w:shd w:val="clear" w:color="auto" w:fill="auto"/>
            <w:hideMark/>
          </w:tcPr>
          <w:p w14:paraId="03ACC2D4"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729" w:type="pct"/>
            <w:shd w:val="clear" w:color="auto" w:fill="auto"/>
            <w:hideMark/>
          </w:tcPr>
          <w:p w14:paraId="15BB017B"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42348395"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26034B49" w14:textId="77777777" w:rsidTr="006E361C">
        <w:trPr>
          <w:trHeight w:val="170"/>
        </w:trPr>
        <w:tc>
          <w:tcPr>
            <w:tcW w:w="374" w:type="pct"/>
            <w:vMerge/>
            <w:vAlign w:val="center"/>
            <w:hideMark/>
          </w:tcPr>
          <w:p w14:paraId="29BF109E"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21ED3B5E" w14:textId="77777777" w:rsidR="006210F3" w:rsidRPr="00B87CC5" w:rsidRDefault="006210F3" w:rsidP="00CD315F">
            <w:pPr>
              <w:pStyle w:val="TableText"/>
              <w:spacing w:before="20" w:after="20"/>
              <w:rPr>
                <w:rFonts w:cs="Calibri"/>
                <w:szCs w:val="18"/>
              </w:rPr>
            </w:pPr>
            <w:r w:rsidRPr="00B87CC5">
              <w:rPr>
                <w:rFonts w:cs="Calibri"/>
                <w:szCs w:val="18"/>
              </w:rPr>
              <w:t>Rail efficiency improvements</w:t>
            </w:r>
          </w:p>
        </w:tc>
        <w:tc>
          <w:tcPr>
            <w:tcW w:w="1032" w:type="pct"/>
            <w:shd w:val="clear" w:color="auto" w:fill="FFFFFF" w:themeFill="background1"/>
          </w:tcPr>
          <w:p w14:paraId="250B40F1"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3BC73571" w14:textId="77777777" w:rsidR="006210F3" w:rsidRPr="00B87CC5" w:rsidRDefault="006210F3" w:rsidP="00CD315F">
            <w:pPr>
              <w:pStyle w:val="TableText"/>
              <w:spacing w:before="20" w:after="20"/>
              <w:rPr>
                <w:rFonts w:cs="Calibri"/>
                <w:szCs w:val="18"/>
              </w:rPr>
            </w:pPr>
            <w:r w:rsidRPr="00B87CC5">
              <w:rPr>
                <w:rFonts w:cs="Calibri"/>
                <w:szCs w:val="18"/>
              </w:rPr>
              <w:t>0.25% per year</w:t>
            </w:r>
          </w:p>
        </w:tc>
        <w:tc>
          <w:tcPr>
            <w:tcW w:w="729" w:type="pct"/>
            <w:shd w:val="clear" w:color="auto" w:fill="auto"/>
            <w:hideMark/>
          </w:tcPr>
          <w:p w14:paraId="645A0C5C"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6D991D3B"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553F6500" w14:textId="77777777" w:rsidTr="006E361C">
        <w:trPr>
          <w:trHeight w:val="170"/>
        </w:trPr>
        <w:tc>
          <w:tcPr>
            <w:tcW w:w="374" w:type="pct"/>
            <w:vMerge/>
            <w:vAlign w:val="center"/>
            <w:hideMark/>
          </w:tcPr>
          <w:p w14:paraId="676BE3E4"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3112A0C2" w14:textId="77777777" w:rsidR="006210F3" w:rsidRPr="00B87CC5" w:rsidRDefault="006210F3" w:rsidP="00CD315F">
            <w:pPr>
              <w:pStyle w:val="TableText"/>
              <w:spacing w:before="20" w:after="20"/>
              <w:rPr>
                <w:rFonts w:cs="Calibri"/>
                <w:szCs w:val="18"/>
              </w:rPr>
            </w:pPr>
            <w:r w:rsidRPr="00B87CC5">
              <w:rPr>
                <w:rFonts w:cs="Calibri"/>
                <w:szCs w:val="18"/>
              </w:rPr>
              <w:t xml:space="preserve">Road low-carbon liquid fuels blending (%) </w:t>
            </w:r>
          </w:p>
        </w:tc>
        <w:tc>
          <w:tcPr>
            <w:tcW w:w="1032" w:type="pct"/>
            <w:shd w:val="clear" w:color="auto" w:fill="FFFFFF" w:themeFill="background1"/>
          </w:tcPr>
          <w:p w14:paraId="32AE00C7"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1108" w:type="pct"/>
            <w:shd w:val="clear" w:color="auto" w:fill="auto"/>
            <w:hideMark/>
          </w:tcPr>
          <w:p w14:paraId="5860A503"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729" w:type="pct"/>
            <w:shd w:val="clear" w:color="auto" w:fill="auto"/>
            <w:hideMark/>
          </w:tcPr>
          <w:p w14:paraId="0EA75250"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440D81F5"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5FBD4AD8" w14:textId="77777777" w:rsidTr="006E361C">
        <w:trPr>
          <w:trHeight w:val="170"/>
        </w:trPr>
        <w:tc>
          <w:tcPr>
            <w:tcW w:w="374" w:type="pct"/>
            <w:vMerge/>
            <w:vAlign w:val="center"/>
            <w:hideMark/>
          </w:tcPr>
          <w:p w14:paraId="7C129866"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706D745E" w14:textId="77777777" w:rsidR="006210F3" w:rsidRPr="00B87CC5" w:rsidRDefault="006210F3" w:rsidP="00CD315F">
            <w:pPr>
              <w:pStyle w:val="TableText"/>
              <w:spacing w:before="20" w:after="20"/>
              <w:rPr>
                <w:rFonts w:cs="Calibri"/>
                <w:szCs w:val="18"/>
              </w:rPr>
            </w:pPr>
            <w:r w:rsidRPr="00B87CC5">
              <w:rPr>
                <w:rFonts w:cs="Calibri"/>
                <w:szCs w:val="18"/>
              </w:rPr>
              <w:t xml:space="preserve">Rail electrification </w:t>
            </w:r>
            <w:r w:rsidRPr="00B87CC5">
              <w:rPr>
                <w:rFonts w:cs="Calibri"/>
                <w:szCs w:val="18"/>
              </w:rPr>
              <w:br/>
              <w:t>(share of tonne-km)</w:t>
            </w:r>
          </w:p>
        </w:tc>
        <w:tc>
          <w:tcPr>
            <w:tcW w:w="1032" w:type="pct"/>
            <w:shd w:val="clear" w:color="auto" w:fill="FFFFFF" w:themeFill="background1"/>
          </w:tcPr>
          <w:p w14:paraId="321628F8"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172E7E73" w14:textId="77777777" w:rsidR="006210F3" w:rsidRPr="00B87CC5" w:rsidRDefault="006210F3" w:rsidP="00CD315F">
            <w:pPr>
              <w:pStyle w:val="TableText"/>
              <w:spacing w:before="20" w:after="20"/>
              <w:rPr>
                <w:rFonts w:cs="Calibri"/>
                <w:szCs w:val="18"/>
              </w:rPr>
            </w:pPr>
            <w:r w:rsidRPr="00B87CC5">
              <w:rPr>
                <w:rFonts w:cs="Calibri"/>
                <w:szCs w:val="18"/>
              </w:rPr>
              <w:t>No further electrification</w:t>
            </w:r>
          </w:p>
        </w:tc>
        <w:tc>
          <w:tcPr>
            <w:tcW w:w="729" w:type="pct"/>
            <w:shd w:val="clear" w:color="auto" w:fill="auto"/>
            <w:hideMark/>
          </w:tcPr>
          <w:p w14:paraId="6DB5B8C6"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6F7E6A34"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328064D6" w14:textId="77777777" w:rsidTr="006E361C">
        <w:trPr>
          <w:trHeight w:val="170"/>
        </w:trPr>
        <w:tc>
          <w:tcPr>
            <w:tcW w:w="374" w:type="pct"/>
            <w:vMerge/>
            <w:vAlign w:val="center"/>
            <w:hideMark/>
          </w:tcPr>
          <w:p w14:paraId="7BED2758"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540B43DE" w14:textId="77777777" w:rsidR="006210F3" w:rsidRPr="00B87CC5" w:rsidRDefault="006210F3" w:rsidP="00CD315F">
            <w:pPr>
              <w:pStyle w:val="TableText"/>
              <w:spacing w:before="20" w:after="20"/>
              <w:rPr>
                <w:rFonts w:cs="Calibri"/>
                <w:szCs w:val="18"/>
              </w:rPr>
            </w:pPr>
            <w:r w:rsidRPr="00B87CC5">
              <w:rPr>
                <w:rFonts w:cs="Calibri"/>
                <w:szCs w:val="18"/>
              </w:rPr>
              <w:t>Additional electrification of coastal shipping (share of tonne-km)</w:t>
            </w:r>
          </w:p>
        </w:tc>
        <w:tc>
          <w:tcPr>
            <w:tcW w:w="1032" w:type="pct"/>
            <w:shd w:val="clear" w:color="auto" w:fill="FFFFFF" w:themeFill="background1"/>
          </w:tcPr>
          <w:p w14:paraId="4F3780E0"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1F57FA6D" w14:textId="77777777" w:rsidR="006210F3" w:rsidRPr="00B87CC5" w:rsidRDefault="006210F3" w:rsidP="00CD315F">
            <w:pPr>
              <w:pStyle w:val="TableText"/>
              <w:spacing w:before="20" w:after="20"/>
              <w:rPr>
                <w:rFonts w:cs="Calibri"/>
                <w:szCs w:val="18"/>
              </w:rPr>
            </w:pPr>
            <w:r w:rsidRPr="00B87CC5">
              <w:rPr>
                <w:rFonts w:cs="Calibri"/>
                <w:szCs w:val="18"/>
              </w:rPr>
              <w:t>Increases to 9% in 2026, 3% electrification by 2050</w:t>
            </w:r>
          </w:p>
        </w:tc>
        <w:tc>
          <w:tcPr>
            <w:tcW w:w="729" w:type="pct"/>
            <w:shd w:val="clear" w:color="auto" w:fill="auto"/>
            <w:hideMark/>
          </w:tcPr>
          <w:p w14:paraId="0D2EF467"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5D62CDDC"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2FDE9BC3" w14:textId="77777777" w:rsidTr="006E361C">
        <w:trPr>
          <w:trHeight w:val="170"/>
        </w:trPr>
        <w:tc>
          <w:tcPr>
            <w:tcW w:w="374" w:type="pct"/>
            <w:vMerge/>
            <w:vAlign w:val="center"/>
            <w:hideMark/>
          </w:tcPr>
          <w:p w14:paraId="02A93F83"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31F628EE" w14:textId="77777777" w:rsidR="006210F3" w:rsidRPr="00B87CC5" w:rsidRDefault="006210F3" w:rsidP="00CD315F">
            <w:pPr>
              <w:pStyle w:val="TableText"/>
              <w:spacing w:before="20" w:after="20"/>
              <w:rPr>
                <w:rFonts w:cs="Calibri"/>
                <w:szCs w:val="18"/>
              </w:rPr>
            </w:pPr>
            <w:r w:rsidRPr="00B87CC5">
              <w:rPr>
                <w:rFonts w:cs="Calibri"/>
                <w:szCs w:val="18"/>
              </w:rPr>
              <w:t>Coastal and international shipping efficiency improvements</w:t>
            </w:r>
          </w:p>
        </w:tc>
        <w:tc>
          <w:tcPr>
            <w:tcW w:w="1032" w:type="pct"/>
            <w:shd w:val="clear" w:color="auto" w:fill="FFFFFF" w:themeFill="background1"/>
          </w:tcPr>
          <w:p w14:paraId="4B8D0FF9" w14:textId="77777777" w:rsidR="006210F3" w:rsidRPr="00B87CC5" w:rsidRDefault="006210F3" w:rsidP="00CD315F">
            <w:pPr>
              <w:pStyle w:val="TableText"/>
              <w:spacing w:before="20" w:after="20"/>
              <w:rPr>
                <w:rFonts w:cs="Calibri"/>
                <w:szCs w:val="18"/>
              </w:rPr>
            </w:pPr>
            <w:r w:rsidRPr="00B87CC5">
              <w:rPr>
                <w:rFonts w:cs="Calibri"/>
                <w:szCs w:val="18"/>
              </w:rPr>
              <w:t xml:space="preserve">As modelled by </w:t>
            </w:r>
            <w:proofErr w:type="spellStart"/>
            <w:r w:rsidRPr="00B87CC5">
              <w:rPr>
                <w:rFonts w:cs="Calibri"/>
                <w:szCs w:val="18"/>
              </w:rPr>
              <w:t>MoT</w:t>
            </w:r>
            <w:proofErr w:type="spellEnd"/>
          </w:p>
        </w:tc>
        <w:tc>
          <w:tcPr>
            <w:tcW w:w="1108" w:type="pct"/>
            <w:shd w:val="clear" w:color="auto" w:fill="auto"/>
            <w:hideMark/>
          </w:tcPr>
          <w:p w14:paraId="7DAAA84F" w14:textId="77777777" w:rsidR="006210F3" w:rsidRPr="00B87CC5" w:rsidRDefault="006210F3" w:rsidP="00CD315F">
            <w:pPr>
              <w:pStyle w:val="TableText"/>
              <w:spacing w:before="20" w:after="20"/>
              <w:rPr>
                <w:rFonts w:cs="Calibri"/>
                <w:szCs w:val="18"/>
              </w:rPr>
            </w:pPr>
            <w:r w:rsidRPr="00B87CC5">
              <w:rPr>
                <w:rFonts w:cs="Calibri"/>
                <w:szCs w:val="18"/>
              </w:rPr>
              <w:t>1% per year</w:t>
            </w:r>
          </w:p>
        </w:tc>
        <w:tc>
          <w:tcPr>
            <w:tcW w:w="729" w:type="pct"/>
            <w:shd w:val="clear" w:color="auto" w:fill="auto"/>
            <w:hideMark/>
          </w:tcPr>
          <w:p w14:paraId="1707CB46"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210DF78D"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2EE5F4B6" w14:textId="77777777" w:rsidTr="006E361C">
        <w:trPr>
          <w:trHeight w:val="170"/>
        </w:trPr>
        <w:tc>
          <w:tcPr>
            <w:tcW w:w="374" w:type="pct"/>
            <w:vMerge/>
            <w:vAlign w:val="center"/>
            <w:hideMark/>
          </w:tcPr>
          <w:p w14:paraId="0A0A62E2"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4B801FD0" w14:textId="77777777" w:rsidR="006210F3" w:rsidRPr="00B87CC5" w:rsidRDefault="006210F3" w:rsidP="00CD315F">
            <w:pPr>
              <w:pStyle w:val="TableText"/>
              <w:spacing w:before="20" w:after="20"/>
              <w:rPr>
                <w:rFonts w:cs="Calibri"/>
                <w:szCs w:val="18"/>
              </w:rPr>
            </w:pPr>
            <w:r w:rsidRPr="00B87CC5">
              <w:rPr>
                <w:rFonts w:cs="Calibri"/>
                <w:szCs w:val="18"/>
              </w:rPr>
              <w:t>Electrification of air travel (share of passenger-km)</w:t>
            </w:r>
          </w:p>
        </w:tc>
        <w:tc>
          <w:tcPr>
            <w:tcW w:w="1032" w:type="pct"/>
            <w:shd w:val="clear" w:color="auto" w:fill="FFFFFF" w:themeFill="background1"/>
          </w:tcPr>
          <w:p w14:paraId="0D5152BF"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1108" w:type="pct"/>
            <w:shd w:val="clear" w:color="auto" w:fill="auto"/>
            <w:hideMark/>
          </w:tcPr>
          <w:p w14:paraId="03E0173F"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729" w:type="pct"/>
            <w:shd w:val="clear" w:color="auto" w:fill="auto"/>
            <w:hideMark/>
          </w:tcPr>
          <w:p w14:paraId="46E885A8"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615C5998"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5121D505" w14:textId="77777777" w:rsidTr="006E361C">
        <w:trPr>
          <w:trHeight w:val="170"/>
        </w:trPr>
        <w:tc>
          <w:tcPr>
            <w:tcW w:w="374" w:type="pct"/>
            <w:vMerge/>
            <w:vAlign w:val="center"/>
            <w:hideMark/>
          </w:tcPr>
          <w:p w14:paraId="46E9B173"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vAlign w:val="center"/>
            <w:hideMark/>
          </w:tcPr>
          <w:p w14:paraId="0E495F9F" w14:textId="77777777" w:rsidR="006210F3" w:rsidRPr="00B87CC5" w:rsidRDefault="006210F3" w:rsidP="00CD315F">
            <w:pPr>
              <w:pStyle w:val="TableText"/>
              <w:spacing w:before="20" w:after="20"/>
              <w:rPr>
                <w:rFonts w:cs="Calibri"/>
                <w:szCs w:val="18"/>
              </w:rPr>
            </w:pPr>
            <w:r w:rsidRPr="00B87CC5">
              <w:rPr>
                <w:rFonts w:cs="Calibri"/>
                <w:szCs w:val="18"/>
              </w:rPr>
              <w:t>Domestic aviation low-carbon liquid fuels</w:t>
            </w:r>
          </w:p>
        </w:tc>
        <w:tc>
          <w:tcPr>
            <w:tcW w:w="1032" w:type="pct"/>
            <w:shd w:val="clear" w:color="auto" w:fill="FFFFFF" w:themeFill="background1"/>
          </w:tcPr>
          <w:p w14:paraId="2FE61E3F" w14:textId="77777777" w:rsidR="006210F3" w:rsidRPr="00B87CC5" w:rsidRDefault="006210F3" w:rsidP="00CD315F">
            <w:pPr>
              <w:pStyle w:val="TableText"/>
              <w:spacing w:before="20" w:after="20"/>
              <w:rPr>
                <w:rFonts w:cs="Calibri"/>
                <w:szCs w:val="18"/>
              </w:rPr>
            </w:pPr>
            <w:r w:rsidRPr="00B87CC5">
              <w:rPr>
                <w:rFonts w:cs="Calibri"/>
                <w:szCs w:val="18"/>
              </w:rPr>
              <w:t>NA</w:t>
            </w:r>
          </w:p>
        </w:tc>
        <w:tc>
          <w:tcPr>
            <w:tcW w:w="1108" w:type="pct"/>
            <w:shd w:val="clear" w:color="auto" w:fill="auto"/>
            <w:hideMark/>
          </w:tcPr>
          <w:p w14:paraId="2A23154E" w14:textId="77777777" w:rsidR="006210F3" w:rsidRPr="00B87CC5" w:rsidRDefault="006210F3" w:rsidP="00CD315F">
            <w:pPr>
              <w:pStyle w:val="TableText"/>
              <w:spacing w:before="20" w:after="20"/>
              <w:rPr>
                <w:rFonts w:cs="Calibri"/>
                <w:szCs w:val="18"/>
              </w:rPr>
            </w:pPr>
            <w:r w:rsidRPr="00B87CC5">
              <w:rPr>
                <w:rFonts w:cs="Calibri"/>
                <w:szCs w:val="18"/>
              </w:rPr>
              <w:t>NA</w:t>
            </w:r>
          </w:p>
        </w:tc>
        <w:tc>
          <w:tcPr>
            <w:tcW w:w="729" w:type="pct"/>
            <w:shd w:val="clear" w:color="auto" w:fill="auto"/>
            <w:hideMark/>
          </w:tcPr>
          <w:p w14:paraId="1EF51094"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3A89BCEE"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41E67420" w14:textId="77777777" w:rsidTr="006E361C">
        <w:trPr>
          <w:trHeight w:val="170"/>
        </w:trPr>
        <w:tc>
          <w:tcPr>
            <w:tcW w:w="374" w:type="pct"/>
            <w:vMerge/>
            <w:vAlign w:val="center"/>
            <w:hideMark/>
          </w:tcPr>
          <w:p w14:paraId="19F60380"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vAlign w:val="center"/>
            <w:hideMark/>
          </w:tcPr>
          <w:p w14:paraId="0DF10172" w14:textId="77777777" w:rsidR="006210F3" w:rsidRPr="00B87CC5" w:rsidRDefault="006210F3" w:rsidP="00CD315F">
            <w:pPr>
              <w:pStyle w:val="TableText"/>
              <w:spacing w:before="20" w:after="20"/>
              <w:rPr>
                <w:rFonts w:cs="Calibri"/>
                <w:szCs w:val="18"/>
              </w:rPr>
            </w:pPr>
            <w:r w:rsidRPr="00B87CC5">
              <w:rPr>
                <w:rFonts w:cs="Calibri"/>
                <w:szCs w:val="18"/>
              </w:rPr>
              <w:t>International aviation low-carbon liquid fuels</w:t>
            </w:r>
          </w:p>
        </w:tc>
        <w:tc>
          <w:tcPr>
            <w:tcW w:w="1032" w:type="pct"/>
            <w:shd w:val="clear" w:color="auto" w:fill="FFFFFF" w:themeFill="background1"/>
          </w:tcPr>
          <w:p w14:paraId="71D131E0" w14:textId="77777777" w:rsidR="006210F3" w:rsidRPr="00B87CC5" w:rsidRDefault="006210F3" w:rsidP="00CD315F">
            <w:pPr>
              <w:pStyle w:val="TableText"/>
              <w:spacing w:before="20" w:after="20"/>
              <w:rPr>
                <w:rFonts w:cs="Calibri"/>
                <w:szCs w:val="18"/>
              </w:rPr>
            </w:pPr>
            <w:r w:rsidRPr="00B87CC5">
              <w:rPr>
                <w:rFonts w:cs="Calibri"/>
                <w:szCs w:val="18"/>
              </w:rPr>
              <w:t>NA</w:t>
            </w:r>
          </w:p>
        </w:tc>
        <w:tc>
          <w:tcPr>
            <w:tcW w:w="1108" w:type="pct"/>
            <w:shd w:val="clear" w:color="auto" w:fill="auto"/>
            <w:hideMark/>
          </w:tcPr>
          <w:p w14:paraId="017358D0" w14:textId="77777777" w:rsidR="006210F3" w:rsidRPr="00B87CC5" w:rsidRDefault="006210F3" w:rsidP="00CD315F">
            <w:pPr>
              <w:pStyle w:val="TableText"/>
              <w:spacing w:before="20" w:after="20"/>
              <w:rPr>
                <w:rFonts w:cs="Calibri"/>
                <w:szCs w:val="18"/>
              </w:rPr>
            </w:pPr>
            <w:r w:rsidRPr="00B87CC5">
              <w:rPr>
                <w:rFonts w:cs="Calibri"/>
                <w:szCs w:val="18"/>
              </w:rPr>
              <w:t>NA</w:t>
            </w:r>
          </w:p>
        </w:tc>
        <w:tc>
          <w:tcPr>
            <w:tcW w:w="729" w:type="pct"/>
            <w:shd w:val="clear" w:color="auto" w:fill="auto"/>
            <w:hideMark/>
          </w:tcPr>
          <w:p w14:paraId="4122CF8C"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6F80F93C"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40703AD9" w14:textId="77777777" w:rsidTr="006E361C">
        <w:trPr>
          <w:trHeight w:val="170"/>
        </w:trPr>
        <w:tc>
          <w:tcPr>
            <w:tcW w:w="374" w:type="pct"/>
            <w:vMerge/>
            <w:vAlign w:val="center"/>
            <w:hideMark/>
          </w:tcPr>
          <w:p w14:paraId="4101B6E2"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vAlign w:val="center"/>
            <w:hideMark/>
          </w:tcPr>
          <w:p w14:paraId="79D1CBF9" w14:textId="77777777" w:rsidR="006210F3" w:rsidRPr="00B87CC5" w:rsidRDefault="006210F3" w:rsidP="00CD315F">
            <w:pPr>
              <w:pStyle w:val="TableText"/>
              <w:spacing w:before="20" w:after="20"/>
              <w:rPr>
                <w:rFonts w:cs="Calibri"/>
                <w:szCs w:val="18"/>
              </w:rPr>
            </w:pPr>
            <w:r w:rsidRPr="00B87CC5">
              <w:rPr>
                <w:rFonts w:cs="Calibri"/>
                <w:szCs w:val="18"/>
              </w:rPr>
              <w:t>International shipping low-carbon liquid fuels</w:t>
            </w:r>
          </w:p>
        </w:tc>
        <w:tc>
          <w:tcPr>
            <w:tcW w:w="1032" w:type="pct"/>
            <w:shd w:val="clear" w:color="auto" w:fill="FFFFFF" w:themeFill="background1"/>
          </w:tcPr>
          <w:p w14:paraId="008B016D" w14:textId="77777777" w:rsidR="006210F3" w:rsidRPr="00B87CC5" w:rsidRDefault="006210F3" w:rsidP="00CD315F">
            <w:pPr>
              <w:pStyle w:val="TableText"/>
              <w:spacing w:before="20" w:after="20"/>
              <w:rPr>
                <w:rFonts w:cs="Calibri"/>
                <w:szCs w:val="18"/>
              </w:rPr>
            </w:pPr>
            <w:r w:rsidRPr="00B87CC5">
              <w:rPr>
                <w:rFonts w:cs="Calibri"/>
                <w:szCs w:val="18"/>
              </w:rPr>
              <w:t>NA</w:t>
            </w:r>
          </w:p>
        </w:tc>
        <w:tc>
          <w:tcPr>
            <w:tcW w:w="1108" w:type="pct"/>
            <w:shd w:val="clear" w:color="auto" w:fill="auto"/>
            <w:hideMark/>
          </w:tcPr>
          <w:p w14:paraId="6FC270B6" w14:textId="77777777" w:rsidR="006210F3" w:rsidRPr="00B87CC5" w:rsidRDefault="006210F3" w:rsidP="00CD315F">
            <w:pPr>
              <w:pStyle w:val="TableText"/>
              <w:spacing w:before="20" w:after="20"/>
              <w:rPr>
                <w:rFonts w:cs="Calibri"/>
                <w:szCs w:val="18"/>
              </w:rPr>
            </w:pPr>
            <w:r w:rsidRPr="00B87CC5">
              <w:rPr>
                <w:rFonts w:cs="Calibri"/>
                <w:szCs w:val="18"/>
              </w:rPr>
              <w:t>NA</w:t>
            </w:r>
          </w:p>
        </w:tc>
        <w:tc>
          <w:tcPr>
            <w:tcW w:w="729" w:type="pct"/>
            <w:shd w:val="clear" w:color="auto" w:fill="auto"/>
            <w:hideMark/>
          </w:tcPr>
          <w:p w14:paraId="116AE637"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4D0E80CE"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427B8776" w14:textId="77777777" w:rsidTr="006E361C">
        <w:trPr>
          <w:trHeight w:val="170"/>
        </w:trPr>
        <w:tc>
          <w:tcPr>
            <w:tcW w:w="374" w:type="pct"/>
            <w:vMerge/>
            <w:vAlign w:val="center"/>
            <w:hideMark/>
          </w:tcPr>
          <w:p w14:paraId="2C8E72C5"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vAlign w:val="center"/>
            <w:hideMark/>
          </w:tcPr>
          <w:p w14:paraId="5BBEF68B" w14:textId="77777777" w:rsidR="006210F3" w:rsidRDefault="006210F3" w:rsidP="00CD315F">
            <w:pPr>
              <w:pStyle w:val="TableText"/>
              <w:spacing w:before="20" w:after="20"/>
              <w:rPr>
                <w:rFonts w:cs="Calibri"/>
                <w:szCs w:val="18"/>
              </w:rPr>
            </w:pPr>
            <w:r w:rsidRPr="00B87CC5">
              <w:rPr>
                <w:rFonts w:cs="Calibri"/>
                <w:szCs w:val="18"/>
              </w:rPr>
              <w:t>Low-carbon liquid fuel demand</w:t>
            </w:r>
          </w:p>
          <w:p w14:paraId="6FD5C488" w14:textId="77777777" w:rsidR="0015426C" w:rsidRPr="00B87CC5" w:rsidRDefault="0015426C" w:rsidP="00CD315F">
            <w:pPr>
              <w:pStyle w:val="TableText"/>
              <w:spacing w:before="20" w:after="20"/>
              <w:rPr>
                <w:rFonts w:cs="Calibri"/>
                <w:szCs w:val="18"/>
              </w:rPr>
            </w:pPr>
          </w:p>
        </w:tc>
        <w:tc>
          <w:tcPr>
            <w:tcW w:w="1032" w:type="pct"/>
            <w:shd w:val="clear" w:color="auto" w:fill="FFFFFF" w:themeFill="background1"/>
          </w:tcPr>
          <w:p w14:paraId="76E194DB"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1108" w:type="pct"/>
            <w:shd w:val="clear" w:color="auto" w:fill="auto"/>
            <w:hideMark/>
          </w:tcPr>
          <w:p w14:paraId="471894B6"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729" w:type="pct"/>
            <w:shd w:val="clear" w:color="auto" w:fill="auto"/>
            <w:hideMark/>
          </w:tcPr>
          <w:p w14:paraId="150DED66"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52592F61"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4D03F408" w14:textId="77777777" w:rsidTr="006E361C">
        <w:trPr>
          <w:trHeight w:val="170"/>
        </w:trPr>
        <w:tc>
          <w:tcPr>
            <w:tcW w:w="1265" w:type="pct"/>
            <w:gridSpan w:val="2"/>
            <w:shd w:val="clear" w:color="auto" w:fill="1C556C" w:themeFill="accent1"/>
            <w:vAlign w:val="center"/>
            <w:hideMark/>
          </w:tcPr>
          <w:p w14:paraId="180890F0" w14:textId="77777777" w:rsidR="006210F3" w:rsidRPr="00B87CC5" w:rsidRDefault="006210F3" w:rsidP="00CD315F">
            <w:pPr>
              <w:spacing w:before="20" w:after="20" w:line="240" w:lineRule="auto"/>
              <w:jc w:val="center"/>
              <w:rPr>
                <w:rFonts w:eastAsia="Times New Roman" w:cs="Calibri"/>
                <w:b/>
                <w:bCs/>
                <w:color w:val="FFFFFF"/>
                <w:sz w:val="18"/>
                <w:szCs w:val="18"/>
              </w:rPr>
            </w:pPr>
            <w:r w:rsidRPr="00B87CC5">
              <w:rPr>
                <w:rFonts w:eastAsia="Times New Roman" w:cs="Calibri"/>
                <w:b/>
                <w:bCs/>
                <w:color w:val="FFFFFF"/>
                <w:sz w:val="18"/>
                <w:szCs w:val="18"/>
              </w:rPr>
              <w:t>ENERGY, INDUSTRY AND BUILDINGS</w:t>
            </w:r>
          </w:p>
        </w:tc>
        <w:tc>
          <w:tcPr>
            <w:tcW w:w="1032" w:type="pct"/>
            <w:shd w:val="clear" w:color="auto" w:fill="1C556C" w:themeFill="accent1"/>
          </w:tcPr>
          <w:p w14:paraId="1BACFD37" w14:textId="77777777" w:rsidR="006210F3" w:rsidRPr="00B87CC5" w:rsidRDefault="006210F3" w:rsidP="00CD315F">
            <w:pPr>
              <w:spacing w:before="20" w:after="20" w:line="240" w:lineRule="auto"/>
              <w:jc w:val="left"/>
              <w:rPr>
                <w:rFonts w:eastAsia="Times New Roman" w:cs="Calibri"/>
                <w:b/>
                <w:bCs/>
                <w:color w:val="FFFFFF"/>
                <w:sz w:val="18"/>
                <w:szCs w:val="18"/>
              </w:rPr>
            </w:pPr>
          </w:p>
        </w:tc>
        <w:tc>
          <w:tcPr>
            <w:tcW w:w="1108" w:type="pct"/>
            <w:shd w:val="clear" w:color="auto" w:fill="1C556C" w:themeFill="accent1"/>
            <w:vAlign w:val="center"/>
            <w:hideMark/>
          </w:tcPr>
          <w:p w14:paraId="567AD908"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c>
          <w:tcPr>
            <w:tcW w:w="729" w:type="pct"/>
            <w:shd w:val="clear" w:color="auto" w:fill="1C556C" w:themeFill="accent1"/>
            <w:vAlign w:val="center"/>
            <w:hideMark/>
          </w:tcPr>
          <w:p w14:paraId="41E4EEA2"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c>
          <w:tcPr>
            <w:tcW w:w="866" w:type="pct"/>
            <w:shd w:val="clear" w:color="auto" w:fill="1C556C" w:themeFill="accent1"/>
            <w:vAlign w:val="center"/>
            <w:hideMark/>
          </w:tcPr>
          <w:p w14:paraId="06A397D1"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r>
      <w:tr w:rsidR="006210F3" w:rsidRPr="00B87CC5" w14:paraId="68A4F91D" w14:textId="77777777" w:rsidTr="006E361C">
        <w:trPr>
          <w:trHeight w:val="170"/>
        </w:trPr>
        <w:tc>
          <w:tcPr>
            <w:tcW w:w="374" w:type="pct"/>
            <w:vMerge w:val="restart"/>
            <w:shd w:val="clear" w:color="auto" w:fill="E7E7E7"/>
            <w:textDirection w:val="btLr"/>
            <w:vAlign w:val="center"/>
            <w:hideMark/>
          </w:tcPr>
          <w:p w14:paraId="2BB5BF35" w14:textId="77777777" w:rsidR="006210F3" w:rsidRPr="00B87CC5" w:rsidRDefault="006210F3" w:rsidP="00CD315F">
            <w:pPr>
              <w:pStyle w:val="TableText"/>
              <w:spacing w:before="20" w:after="20"/>
              <w:jc w:val="center"/>
              <w:rPr>
                <w:rFonts w:cs="Calibri"/>
                <w:b/>
                <w:szCs w:val="18"/>
              </w:rPr>
            </w:pPr>
            <w:r w:rsidRPr="00B87CC5">
              <w:rPr>
                <w:rFonts w:cs="Calibri"/>
                <w:b/>
                <w:szCs w:val="18"/>
              </w:rPr>
              <w:lastRenderedPageBreak/>
              <w:t>Industry and energy</w:t>
            </w:r>
          </w:p>
        </w:tc>
        <w:tc>
          <w:tcPr>
            <w:tcW w:w="891" w:type="pct"/>
            <w:shd w:val="clear" w:color="auto" w:fill="D9D9D9" w:themeFill="background1" w:themeFillShade="D9"/>
            <w:hideMark/>
          </w:tcPr>
          <w:p w14:paraId="76752818" w14:textId="77777777" w:rsidR="006210F3" w:rsidRPr="00B87CC5" w:rsidRDefault="006210F3" w:rsidP="00CD315F">
            <w:pPr>
              <w:pStyle w:val="TableText"/>
              <w:spacing w:before="20" w:after="20"/>
              <w:rPr>
                <w:rFonts w:cs="Calibri"/>
                <w:szCs w:val="18"/>
              </w:rPr>
            </w:pPr>
            <w:r w:rsidRPr="00B87CC5">
              <w:rPr>
                <w:rFonts w:cs="Calibri"/>
                <w:szCs w:val="18"/>
              </w:rPr>
              <w:t>Gas and LPG demand</w:t>
            </w:r>
          </w:p>
        </w:tc>
        <w:tc>
          <w:tcPr>
            <w:tcW w:w="1032" w:type="pct"/>
            <w:shd w:val="clear" w:color="auto" w:fill="FFFFFF" w:themeFill="background1"/>
          </w:tcPr>
          <w:p w14:paraId="07902ABE"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40C45E9D" w14:textId="77777777" w:rsidR="006210F3" w:rsidRPr="00B87CC5" w:rsidRDefault="006210F3" w:rsidP="00CD315F">
            <w:pPr>
              <w:pStyle w:val="TableText"/>
              <w:spacing w:before="20" w:after="20"/>
              <w:rPr>
                <w:rFonts w:cs="Calibri"/>
                <w:szCs w:val="18"/>
              </w:rPr>
            </w:pPr>
            <w:r w:rsidRPr="00B87CC5">
              <w:rPr>
                <w:rFonts w:cs="Calibri"/>
                <w:szCs w:val="18"/>
              </w:rPr>
              <w:t>Responds to energy and New Zealand Emissions Trading Scheme prices</w:t>
            </w:r>
          </w:p>
        </w:tc>
        <w:tc>
          <w:tcPr>
            <w:tcW w:w="729" w:type="pct"/>
            <w:shd w:val="clear" w:color="auto" w:fill="auto"/>
            <w:hideMark/>
          </w:tcPr>
          <w:p w14:paraId="486E9197"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54D41E8D"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0792680A" w14:textId="77777777" w:rsidTr="006E361C">
        <w:trPr>
          <w:trHeight w:val="170"/>
        </w:trPr>
        <w:tc>
          <w:tcPr>
            <w:tcW w:w="374" w:type="pct"/>
            <w:vMerge/>
            <w:vAlign w:val="center"/>
            <w:hideMark/>
          </w:tcPr>
          <w:p w14:paraId="1BF5AAF9"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3AACD957" w14:textId="77777777" w:rsidR="006210F3" w:rsidRPr="00B87CC5" w:rsidRDefault="006210F3" w:rsidP="00CD315F">
            <w:pPr>
              <w:pStyle w:val="TableText"/>
              <w:spacing w:before="20" w:after="20"/>
              <w:rPr>
                <w:rFonts w:cs="Calibri"/>
                <w:szCs w:val="18"/>
              </w:rPr>
            </w:pPr>
            <w:r w:rsidRPr="00B87CC5">
              <w:rPr>
                <w:rFonts w:cs="Calibri"/>
                <w:szCs w:val="18"/>
              </w:rPr>
              <w:t>Household heating demand reduction relative to 2023</w:t>
            </w:r>
          </w:p>
        </w:tc>
        <w:tc>
          <w:tcPr>
            <w:tcW w:w="1032" w:type="pct"/>
            <w:shd w:val="clear" w:color="auto" w:fill="FFFFFF" w:themeFill="background1"/>
          </w:tcPr>
          <w:p w14:paraId="141AB201"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5F2B8A35" w14:textId="77777777" w:rsidR="006210F3" w:rsidRPr="00B87CC5" w:rsidRDefault="006210F3" w:rsidP="00CD315F">
            <w:pPr>
              <w:pStyle w:val="TableText"/>
              <w:spacing w:before="20" w:after="20"/>
              <w:rPr>
                <w:rFonts w:cs="Calibri"/>
                <w:szCs w:val="18"/>
              </w:rPr>
            </w:pPr>
            <w:r w:rsidRPr="00B87CC5">
              <w:rPr>
                <w:rFonts w:cs="Calibri"/>
                <w:szCs w:val="18"/>
              </w:rPr>
              <w:t>2.8% in 2030</w:t>
            </w:r>
          </w:p>
        </w:tc>
        <w:tc>
          <w:tcPr>
            <w:tcW w:w="729" w:type="pct"/>
            <w:shd w:val="clear" w:color="auto" w:fill="auto"/>
            <w:hideMark/>
          </w:tcPr>
          <w:p w14:paraId="2461F5C9"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5D1EF463"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33C878FD" w14:textId="77777777" w:rsidTr="006E361C">
        <w:trPr>
          <w:trHeight w:val="170"/>
        </w:trPr>
        <w:tc>
          <w:tcPr>
            <w:tcW w:w="374" w:type="pct"/>
            <w:vMerge/>
            <w:vAlign w:val="center"/>
            <w:hideMark/>
          </w:tcPr>
          <w:p w14:paraId="16ADF498"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2A8D1E19" w14:textId="77777777" w:rsidR="006210F3" w:rsidRPr="00B87CC5" w:rsidRDefault="006210F3" w:rsidP="00CD315F">
            <w:pPr>
              <w:pStyle w:val="TableText"/>
              <w:spacing w:before="20" w:after="20"/>
              <w:rPr>
                <w:rFonts w:cs="Calibri"/>
                <w:szCs w:val="18"/>
              </w:rPr>
            </w:pPr>
            <w:r w:rsidRPr="00B87CC5">
              <w:rPr>
                <w:rFonts w:cs="Calibri"/>
                <w:szCs w:val="18"/>
              </w:rPr>
              <w:t>Commercial and public building heating demand reduction relative to 2023</w:t>
            </w:r>
          </w:p>
        </w:tc>
        <w:tc>
          <w:tcPr>
            <w:tcW w:w="1032" w:type="pct"/>
            <w:shd w:val="clear" w:color="auto" w:fill="FFFFFF" w:themeFill="background1"/>
          </w:tcPr>
          <w:p w14:paraId="02C86560"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5CE5C181" w14:textId="77777777" w:rsidR="006210F3" w:rsidRPr="00B87CC5" w:rsidRDefault="006210F3" w:rsidP="00CD315F">
            <w:pPr>
              <w:pStyle w:val="TableText"/>
              <w:spacing w:before="20" w:after="20"/>
              <w:rPr>
                <w:rFonts w:cs="Calibri"/>
                <w:szCs w:val="18"/>
              </w:rPr>
            </w:pPr>
            <w:r w:rsidRPr="00B87CC5">
              <w:rPr>
                <w:rFonts w:cs="Calibri"/>
                <w:szCs w:val="18"/>
              </w:rPr>
              <w:t>9.1% in 2030</w:t>
            </w:r>
          </w:p>
        </w:tc>
        <w:tc>
          <w:tcPr>
            <w:tcW w:w="729" w:type="pct"/>
            <w:shd w:val="clear" w:color="auto" w:fill="auto"/>
            <w:hideMark/>
          </w:tcPr>
          <w:p w14:paraId="753D6374"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4F1D5812"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22740BCB" w14:textId="77777777" w:rsidTr="006E361C">
        <w:trPr>
          <w:trHeight w:val="170"/>
        </w:trPr>
        <w:tc>
          <w:tcPr>
            <w:tcW w:w="374" w:type="pct"/>
            <w:vMerge/>
            <w:vAlign w:val="center"/>
            <w:hideMark/>
          </w:tcPr>
          <w:p w14:paraId="2CD66292"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37903AA7" w14:textId="77777777" w:rsidR="006210F3" w:rsidRPr="00B87CC5" w:rsidRDefault="006210F3" w:rsidP="00CD315F">
            <w:pPr>
              <w:pStyle w:val="TableText"/>
              <w:spacing w:before="20" w:after="20"/>
              <w:rPr>
                <w:rFonts w:cs="Calibri"/>
                <w:szCs w:val="18"/>
              </w:rPr>
            </w:pPr>
            <w:r w:rsidRPr="00B87CC5">
              <w:rPr>
                <w:rFonts w:cs="Calibri"/>
                <w:szCs w:val="18"/>
              </w:rPr>
              <w:t>Phase-out date for fossil gas heating in commercial buildings</w:t>
            </w:r>
          </w:p>
        </w:tc>
        <w:tc>
          <w:tcPr>
            <w:tcW w:w="1032" w:type="pct"/>
            <w:shd w:val="clear" w:color="auto" w:fill="FFFFFF" w:themeFill="background1"/>
          </w:tcPr>
          <w:p w14:paraId="3326FAAD" w14:textId="77777777" w:rsidR="006210F3" w:rsidRPr="00B87CC5" w:rsidRDefault="006210F3" w:rsidP="00CD315F">
            <w:pPr>
              <w:pStyle w:val="TableText"/>
              <w:spacing w:before="20" w:after="20"/>
              <w:rPr>
                <w:rFonts w:cs="Calibri"/>
                <w:szCs w:val="18"/>
              </w:rPr>
            </w:pPr>
            <w:r w:rsidRPr="00B87CC5">
              <w:rPr>
                <w:rFonts w:cs="Calibri"/>
                <w:szCs w:val="18"/>
              </w:rPr>
              <w:t>NA</w:t>
            </w:r>
          </w:p>
        </w:tc>
        <w:tc>
          <w:tcPr>
            <w:tcW w:w="1108" w:type="pct"/>
            <w:shd w:val="clear" w:color="auto" w:fill="auto"/>
            <w:hideMark/>
          </w:tcPr>
          <w:p w14:paraId="796B88CC"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729" w:type="pct"/>
            <w:shd w:val="clear" w:color="auto" w:fill="auto"/>
            <w:hideMark/>
          </w:tcPr>
          <w:p w14:paraId="2D6C0507"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2409AE65"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7E6AF12F" w14:textId="77777777" w:rsidTr="006E361C">
        <w:trPr>
          <w:trHeight w:val="170"/>
        </w:trPr>
        <w:tc>
          <w:tcPr>
            <w:tcW w:w="374" w:type="pct"/>
            <w:vMerge/>
            <w:vAlign w:val="center"/>
            <w:hideMark/>
          </w:tcPr>
          <w:p w14:paraId="58F53FF0"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53A2C82E" w14:textId="77777777" w:rsidR="006210F3" w:rsidRPr="00B87CC5" w:rsidRDefault="006210F3" w:rsidP="00CD315F">
            <w:pPr>
              <w:pStyle w:val="TableText"/>
              <w:spacing w:before="20" w:after="20"/>
              <w:rPr>
                <w:rFonts w:cs="Calibri"/>
                <w:szCs w:val="18"/>
              </w:rPr>
            </w:pPr>
            <w:r w:rsidRPr="00B87CC5">
              <w:rPr>
                <w:rFonts w:cs="Calibri"/>
                <w:szCs w:val="18"/>
              </w:rPr>
              <w:t>Phase-out date for fossil gas heating in residential buildings</w:t>
            </w:r>
          </w:p>
        </w:tc>
        <w:tc>
          <w:tcPr>
            <w:tcW w:w="1032" w:type="pct"/>
            <w:shd w:val="clear" w:color="auto" w:fill="FFFFFF" w:themeFill="background1"/>
          </w:tcPr>
          <w:p w14:paraId="26E67F6E" w14:textId="77777777" w:rsidR="006210F3" w:rsidRPr="00B87CC5" w:rsidRDefault="006210F3" w:rsidP="00CD315F">
            <w:pPr>
              <w:pStyle w:val="TableText"/>
              <w:spacing w:before="20" w:after="20"/>
              <w:rPr>
                <w:rFonts w:cs="Calibri"/>
                <w:szCs w:val="18"/>
              </w:rPr>
            </w:pPr>
            <w:r w:rsidRPr="00B87CC5">
              <w:rPr>
                <w:rFonts w:cs="Calibri"/>
                <w:szCs w:val="18"/>
              </w:rPr>
              <w:t>NA</w:t>
            </w:r>
          </w:p>
        </w:tc>
        <w:tc>
          <w:tcPr>
            <w:tcW w:w="1108" w:type="pct"/>
            <w:shd w:val="clear" w:color="auto" w:fill="auto"/>
            <w:hideMark/>
          </w:tcPr>
          <w:p w14:paraId="73B355F5"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729" w:type="pct"/>
            <w:shd w:val="clear" w:color="auto" w:fill="auto"/>
            <w:hideMark/>
          </w:tcPr>
          <w:p w14:paraId="41F57E48"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01FA67C0"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285CE424" w14:textId="77777777" w:rsidTr="006E361C">
        <w:trPr>
          <w:trHeight w:val="170"/>
        </w:trPr>
        <w:tc>
          <w:tcPr>
            <w:tcW w:w="374" w:type="pct"/>
            <w:vMerge/>
            <w:vAlign w:val="center"/>
            <w:hideMark/>
          </w:tcPr>
          <w:p w14:paraId="67B3A05E"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711C367F" w14:textId="77777777" w:rsidR="006210F3" w:rsidRPr="00B87CC5" w:rsidRDefault="006210F3" w:rsidP="00CD315F">
            <w:pPr>
              <w:pStyle w:val="TableText"/>
              <w:spacing w:before="20" w:after="20"/>
              <w:rPr>
                <w:rFonts w:cs="Calibri"/>
                <w:szCs w:val="18"/>
              </w:rPr>
            </w:pPr>
            <w:r w:rsidRPr="00B87CC5">
              <w:rPr>
                <w:rFonts w:cs="Calibri"/>
                <w:szCs w:val="18"/>
              </w:rPr>
              <w:t>Methanol production</w:t>
            </w:r>
          </w:p>
        </w:tc>
        <w:tc>
          <w:tcPr>
            <w:tcW w:w="1032" w:type="pct"/>
            <w:shd w:val="clear" w:color="auto" w:fill="FFFFFF" w:themeFill="background1"/>
          </w:tcPr>
          <w:p w14:paraId="6263AC1B" w14:textId="77777777" w:rsidR="006210F3" w:rsidRPr="00B87CC5" w:rsidRDefault="006210F3" w:rsidP="00CD315F">
            <w:pPr>
              <w:pStyle w:val="TableText"/>
              <w:spacing w:before="20" w:after="20"/>
              <w:rPr>
                <w:rFonts w:cs="Calibri"/>
                <w:szCs w:val="18"/>
              </w:rPr>
            </w:pPr>
            <w:r w:rsidRPr="00B87CC5">
              <w:rPr>
                <w:rFonts w:cs="Calibri"/>
                <w:szCs w:val="18"/>
              </w:rPr>
              <w:t xml:space="preserve">Methanex closes </w:t>
            </w:r>
            <w:proofErr w:type="spellStart"/>
            <w:r w:rsidRPr="00B87CC5">
              <w:rPr>
                <w:rFonts w:cs="Calibri"/>
                <w:szCs w:val="18"/>
              </w:rPr>
              <w:t>Motunui</w:t>
            </w:r>
            <w:proofErr w:type="spellEnd"/>
            <w:r w:rsidRPr="00B87CC5">
              <w:rPr>
                <w:rFonts w:cs="Calibri"/>
                <w:szCs w:val="18"/>
              </w:rPr>
              <w:t xml:space="preserve"> trains end of 2029 and 2039. Other chemical production is constant. </w:t>
            </w:r>
            <w:r w:rsidRPr="00B87CC5">
              <w:rPr>
                <w:rFonts w:cs="Calibri"/>
                <w:szCs w:val="18"/>
              </w:rPr>
              <w:br/>
              <w:t>3.7% reduction in emissions for methanol from 2024 onwards</w:t>
            </w:r>
          </w:p>
        </w:tc>
        <w:tc>
          <w:tcPr>
            <w:tcW w:w="1108" w:type="pct"/>
            <w:shd w:val="clear" w:color="auto" w:fill="auto"/>
            <w:hideMark/>
          </w:tcPr>
          <w:p w14:paraId="24CE7F52" w14:textId="77777777" w:rsidR="006210F3" w:rsidRPr="00B87CC5" w:rsidRDefault="006210F3" w:rsidP="00CD315F">
            <w:pPr>
              <w:pStyle w:val="TableText"/>
              <w:spacing w:before="20" w:after="20"/>
              <w:rPr>
                <w:rFonts w:cs="Calibri"/>
                <w:szCs w:val="18"/>
              </w:rPr>
            </w:pPr>
            <w:r w:rsidRPr="00B87CC5">
              <w:rPr>
                <w:rFonts w:cs="Calibri"/>
                <w:szCs w:val="18"/>
              </w:rPr>
              <w:t>Same as 2023 projections</w:t>
            </w:r>
          </w:p>
        </w:tc>
        <w:tc>
          <w:tcPr>
            <w:tcW w:w="729" w:type="pct"/>
            <w:shd w:val="clear" w:color="auto" w:fill="auto"/>
            <w:hideMark/>
          </w:tcPr>
          <w:p w14:paraId="20F73BC4" w14:textId="77777777" w:rsidR="006210F3" w:rsidRPr="00B87CC5" w:rsidRDefault="006210F3" w:rsidP="00CD315F">
            <w:pPr>
              <w:pStyle w:val="TableText"/>
              <w:spacing w:before="20" w:after="20"/>
              <w:rPr>
                <w:rFonts w:cs="Calibri"/>
                <w:szCs w:val="18"/>
              </w:rPr>
            </w:pPr>
            <w:r w:rsidRPr="00B87CC5">
              <w:rPr>
                <w:rFonts w:cs="Calibri"/>
                <w:szCs w:val="18"/>
              </w:rPr>
              <w:t xml:space="preserve">Methanex closes </w:t>
            </w:r>
            <w:proofErr w:type="spellStart"/>
            <w:r w:rsidRPr="00B87CC5">
              <w:rPr>
                <w:rFonts w:cs="Calibri"/>
                <w:szCs w:val="18"/>
              </w:rPr>
              <w:t>Motunui</w:t>
            </w:r>
            <w:proofErr w:type="spellEnd"/>
            <w:r w:rsidRPr="00B87CC5">
              <w:rPr>
                <w:rFonts w:cs="Calibri"/>
                <w:szCs w:val="18"/>
              </w:rPr>
              <w:t xml:space="preserve"> trains end of 2024 and 2037. Other chemical production is constant. </w:t>
            </w:r>
            <w:r w:rsidRPr="00B87CC5">
              <w:rPr>
                <w:rFonts w:cs="Calibri"/>
                <w:szCs w:val="18"/>
              </w:rPr>
              <w:br/>
              <w:t>3.7% reduction in emissions for methanol from 2024 onwards</w:t>
            </w:r>
          </w:p>
        </w:tc>
        <w:tc>
          <w:tcPr>
            <w:tcW w:w="866" w:type="pct"/>
            <w:shd w:val="clear" w:color="auto" w:fill="auto"/>
            <w:hideMark/>
          </w:tcPr>
          <w:p w14:paraId="47BC92EA" w14:textId="77777777" w:rsidR="006210F3" w:rsidRPr="00B87CC5" w:rsidRDefault="006210F3" w:rsidP="00CD315F">
            <w:pPr>
              <w:pStyle w:val="TableText"/>
              <w:spacing w:before="20" w:after="20"/>
              <w:rPr>
                <w:rFonts w:cs="Calibri"/>
                <w:szCs w:val="18"/>
              </w:rPr>
            </w:pPr>
            <w:proofErr w:type="spellStart"/>
            <w:r w:rsidRPr="00B87CC5">
              <w:rPr>
                <w:rFonts w:cs="Calibri"/>
                <w:szCs w:val="18"/>
              </w:rPr>
              <w:t>Waitara</w:t>
            </w:r>
            <w:proofErr w:type="spellEnd"/>
            <w:r w:rsidRPr="00B87CC5">
              <w:rPr>
                <w:rFonts w:cs="Calibri"/>
                <w:szCs w:val="18"/>
              </w:rPr>
              <w:t xml:space="preserve"> Valley trains reopen from 2026; all trains continue at full output</w:t>
            </w:r>
          </w:p>
        </w:tc>
      </w:tr>
      <w:tr w:rsidR="006210F3" w:rsidRPr="00B87CC5" w14:paraId="626894DC" w14:textId="77777777" w:rsidTr="006E361C">
        <w:trPr>
          <w:trHeight w:val="170"/>
        </w:trPr>
        <w:tc>
          <w:tcPr>
            <w:tcW w:w="374" w:type="pct"/>
            <w:vMerge/>
            <w:vAlign w:val="center"/>
            <w:hideMark/>
          </w:tcPr>
          <w:p w14:paraId="0EA8F759"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0325C2A4" w14:textId="77777777" w:rsidR="006210F3" w:rsidRPr="00B87CC5" w:rsidRDefault="006210F3" w:rsidP="00CD315F">
            <w:pPr>
              <w:pStyle w:val="TableText"/>
              <w:spacing w:before="20" w:after="20"/>
              <w:rPr>
                <w:rFonts w:cs="Calibri"/>
                <w:szCs w:val="18"/>
              </w:rPr>
            </w:pPr>
            <w:r w:rsidRPr="00B87CC5">
              <w:rPr>
                <w:rFonts w:cs="Calibri"/>
                <w:szCs w:val="18"/>
              </w:rPr>
              <w:t>Ammonia-urea production</w:t>
            </w:r>
          </w:p>
        </w:tc>
        <w:tc>
          <w:tcPr>
            <w:tcW w:w="1032" w:type="pct"/>
            <w:shd w:val="clear" w:color="auto" w:fill="FFFFFF" w:themeFill="background1"/>
          </w:tcPr>
          <w:p w14:paraId="5AA8AE9F" w14:textId="77777777" w:rsidR="006210F3" w:rsidRPr="00B87CC5" w:rsidRDefault="006210F3" w:rsidP="00CD315F">
            <w:pPr>
              <w:pStyle w:val="TableText"/>
              <w:spacing w:before="20" w:after="20"/>
              <w:rPr>
                <w:rFonts w:cs="Calibri"/>
                <w:szCs w:val="18"/>
              </w:rPr>
            </w:pPr>
            <w:r w:rsidRPr="00B87CC5">
              <w:rPr>
                <w:rFonts w:cs="Calibri"/>
                <w:szCs w:val="18"/>
              </w:rPr>
              <w:t>Production continues at current levels</w:t>
            </w:r>
          </w:p>
        </w:tc>
        <w:tc>
          <w:tcPr>
            <w:tcW w:w="1108" w:type="pct"/>
            <w:shd w:val="clear" w:color="auto" w:fill="auto"/>
            <w:hideMark/>
          </w:tcPr>
          <w:p w14:paraId="143FE794" w14:textId="77777777" w:rsidR="006210F3" w:rsidRPr="00B87CC5" w:rsidRDefault="006210F3" w:rsidP="00CD315F">
            <w:pPr>
              <w:pStyle w:val="TableText"/>
              <w:spacing w:before="20" w:after="20"/>
              <w:rPr>
                <w:rFonts w:cs="Calibri"/>
                <w:szCs w:val="18"/>
              </w:rPr>
            </w:pPr>
            <w:r w:rsidRPr="00B87CC5">
              <w:rPr>
                <w:rFonts w:cs="Calibri"/>
                <w:szCs w:val="18"/>
              </w:rPr>
              <w:t>Production continues at current levels</w:t>
            </w:r>
          </w:p>
        </w:tc>
        <w:tc>
          <w:tcPr>
            <w:tcW w:w="729" w:type="pct"/>
            <w:shd w:val="clear" w:color="auto" w:fill="auto"/>
            <w:hideMark/>
          </w:tcPr>
          <w:p w14:paraId="72A3CCC3"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10F3574B"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729A2333" w14:textId="77777777" w:rsidTr="006E361C">
        <w:trPr>
          <w:trHeight w:val="170"/>
        </w:trPr>
        <w:tc>
          <w:tcPr>
            <w:tcW w:w="374" w:type="pct"/>
            <w:vMerge/>
            <w:vAlign w:val="center"/>
            <w:hideMark/>
          </w:tcPr>
          <w:p w14:paraId="6123BA19"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32A74CCA" w14:textId="77777777" w:rsidR="006210F3" w:rsidRPr="00B87CC5" w:rsidRDefault="006210F3" w:rsidP="00CD315F">
            <w:pPr>
              <w:pStyle w:val="TableText"/>
              <w:spacing w:before="20" w:after="20"/>
              <w:rPr>
                <w:rFonts w:cs="Calibri"/>
                <w:szCs w:val="18"/>
              </w:rPr>
            </w:pPr>
            <w:r w:rsidRPr="00B87CC5">
              <w:rPr>
                <w:rFonts w:cs="Calibri"/>
                <w:szCs w:val="18"/>
              </w:rPr>
              <w:t>Aluminium production</w:t>
            </w:r>
          </w:p>
        </w:tc>
        <w:tc>
          <w:tcPr>
            <w:tcW w:w="1032" w:type="pct"/>
            <w:shd w:val="clear" w:color="auto" w:fill="FFFFFF" w:themeFill="background1"/>
          </w:tcPr>
          <w:p w14:paraId="5739B6F3" w14:textId="77777777" w:rsidR="006210F3" w:rsidRPr="00B87CC5" w:rsidRDefault="006210F3" w:rsidP="00CD315F">
            <w:pPr>
              <w:pStyle w:val="TableText"/>
              <w:spacing w:before="20" w:after="20"/>
              <w:rPr>
                <w:rFonts w:cs="Calibri"/>
                <w:szCs w:val="18"/>
              </w:rPr>
            </w:pPr>
            <w:r w:rsidRPr="00B87CC5">
              <w:rPr>
                <w:rFonts w:cs="Calibri"/>
                <w:szCs w:val="18"/>
              </w:rPr>
              <w:t>Production ceases at end of 2024</w:t>
            </w:r>
          </w:p>
        </w:tc>
        <w:tc>
          <w:tcPr>
            <w:tcW w:w="1108" w:type="pct"/>
            <w:shd w:val="clear" w:color="auto" w:fill="auto"/>
            <w:hideMark/>
          </w:tcPr>
          <w:p w14:paraId="5C2C72C0" w14:textId="77777777" w:rsidR="006210F3" w:rsidRPr="00B87CC5" w:rsidRDefault="006210F3" w:rsidP="00CD315F">
            <w:pPr>
              <w:pStyle w:val="TableText"/>
              <w:spacing w:before="20" w:after="20"/>
              <w:rPr>
                <w:rFonts w:cs="Calibri"/>
                <w:szCs w:val="18"/>
              </w:rPr>
            </w:pPr>
            <w:r w:rsidRPr="00B87CC5">
              <w:rPr>
                <w:rFonts w:cs="Calibri"/>
                <w:szCs w:val="18"/>
              </w:rPr>
              <w:t>Production continues at current levels</w:t>
            </w:r>
          </w:p>
        </w:tc>
        <w:tc>
          <w:tcPr>
            <w:tcW w:w="729" w:type="pct"/>
            <w:shd w:val="clear" w:color="auto" w:fill="auto"/>
            <w:hideMark/>
          </w:tcPr>
          <w:p w14:paraId="303B0DDC" w14:textId="77777777" w:rsidR="006210F3" w:rsidRPr="00B87CC5" w:rsidRDefault="006210F3" w:rsidP="00CD315F">
            <w:pPr>
              <w:pStyle w:val="TableText"/>
              <w:spacing w:before="20" w:after="20"/>
              <w:rPr>
                <w:rFonts w:cs="Calibri"/>
                <w:szCs w:val="18"/>
              </w:rPr>
            </w:pPr>
            <w:r w:rsidRPr="00B87CC5">
              <w:rPr>
                <w:rFonts w:cs="Calibri"/>
                <w:szCs w:val="18"/>
              </w:rPr>
              <w:t>Production ceases 2025</w:t>
            </w:r>
          </w:p>
        </w:tc>
        <w:tc>
          <w:tcPr>
            <w:tcW w:w="866" w:type="pct"/>
            <w:shd w:val="clear" w:color="auto" w:fill="auto"/>
            <w:hideMark/>
          </w:tcPr>
          <w:p w14:paraId="648F9027" w14:textId="77777777" w:rsidR="006210F3" w:rsidRPr="00B87CC5" w:rsidRDefault="006210F3" w:rsidP="00CD315F">
            <w:pPr>
              <w:pStyle w:val="TableText"/>
              <w:spacing w:before="20" w:after="20"/>
              <w:rPr>
                <w:rFonts w:cs="Calibri"/>
                <w:szCs w:val="18"/>
              </w:rPr>
            </w:pPr>
            <w:r w:rsidRPr="00B87CC5">
              <w:rPr>
                <w:rFonts w:cs="Calibri"/>
                <w:szCs w:val="18"/>
              </w:rPr>
              <w:t>Production continues at current levels</w:t>
            </w:r>
          </w:p>
        </w:tc>
      </w:tr>
      <w:tr w:rsidR="006210F3" w:rsidRPr="00B87CC5" w14:paraId="46BD3527" w14:textId="77777777" w:rsidTr="006E361C">
        <w:trPr>
          <w:trHeight w:val="170"/>
        </w:trPr>
        <w:tc>
          <w:tcPr>
            <w:tcW w:w="374" w:type="pct"/>
            <w:vMerge/>
            <w:vAlign w:val="center"/>
            <w:hideMark/>
          </w:tcPr>
          <w:p w14:paraId="1E453F1C"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6192D815" w14:textId="77777777" w:rsidR="006210F3" w:rsidRPr="00B87CC5" w:rsidRDefault="006210F3" w:rsidP="00CD315F">
            <w:pPr>
              <w:pStyle w:val="TableText"/>
              <w:spacing w:before="20" w:after="20"/>
              <w:rPr>
                <w:rFonts w:cs="Calibri"/>
                <w:szCs w:val="18"/>
              </w:rPr>
            </w:pPr>
            <w:r w:rsidRPr="00B87CC5">
              <w:rPr>
                <w:rFonts w:cs="Calibri"/>
                <w:szCs w:val="18"/>
              </w:rPr>
              <w:t>Steel production</w:t>
            </w:r>
          </w:p>
        </w:tc>
        <w:tc>
          <w:tcPr>
            <w:tcW w:w="1032" w:type="pct"/>
            <w:shd w:val="clear" w:color="auto" w:fill="FFFFFF" w:themeFill="background1"/>
          </w:tcPr>
          <w:p w14:paraId="59787F56" w14:textId="77777777" w:rsidR="006210F3" w:rsidRPr="00B87CC5" w:rsidRDefault="006210F3" w:rsidP="00CD315F">
            <w:pPr>
              <w:pStyle w:val="TableText"/>
              <w:spacing w:before="20" w:after="20"/>
              <w:rPr>
                <w:rFonts w:cs="Calibri"/>
                <w:szCs w:val="18"/>
              </w:rPr>
            </w:pPr>
            <w:r w:rsidRPr="00B87CC5">
              <w:rPr>
                <w:rFonts w:cs="Calibri"/>
                <w:szCs w:val="18"/>
              </w:rPr>
              <w:t>As modelled by Ministry of Business, Innovation and Employment (MBIE)</w:t>
            </w:r>
          </w:p>
        </w:tc>
        <w:tc>
          <w:tcPr>
            <w:tcW w:w="1108" w:type="pct"/>
            <w:shd w:val="clear" w:color="auto" w:fill="FFFFFF" w:themeFill="background1"/>
            <w:hideMark/>
          </w:tcPr>
          <w:p w14:paraId="7EB9DAAF" w14:textId="77777777" w:rsidR="006210F3" w:rsidRPr="00B87CC5" w:rsidRDefault="006210F3" w:rsidP="00CD315F">
            <w:pPr>
              <w:pStyle w:val="TableText"/>
              <w:spacing w:before="20" w:after="20"/>
              <w:rPr>
                <w:rFonts w:cs="Calibri"/>
                <w:szCs w:val="18"/>
              </w:rPr>
            </w:pPr>
            <w:r w:rsidRPr="00B87CC5">
              <w:rPr>
                <w:rFonts w:cs="Calibri"/>
                <w:szCs w:val="18"/>
              </w:rPr>
              <w:t>Electric arc furnace at 50% from 2027</w:t>
            </w:r>
          </w:p>
        </w:tc>
        <w:tc>
          <w:tcPr>
            <w:tcW w:w="729" w:type="pct"/>
            <w:shd w:val="clear" w:color="auto" w:fill="auto"/>
            <w:hideMark/>
          </w:tcPr>
          <w:p w14:paraId="3B07609D"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25123663"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03A6F58D" w14:textId="77777777" w:rsidTr="006E361C">
        <w:trPr>
          <w:trHeight w:val="170"/>
        </w:trPr>
        <w:tc>
          <w:tcPr>
            <w:tcW w:w="374" w:type="pct"/>
            <w:vMerge/>
            <w:vAlign w:val="center"/>
            <w:hideMark/>
          </w:tcPr>
          <w:p w14:paraId="63ACF40E"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7D1BA396" w14:textId="77777777" w:rsidR="006210F3" w:rsidRPr="00B87CC5" w:rsidRDefault="006210F3" w:rsidP="00CD315F">
            <w:pPr>
              <w:pStyle w:val="TableText"/>
              <w:spacing w:before="20" w:after="20"/>
              <w:rPr>
                <w:rFonts w:cs="Calibri"/>
                <w:szCs w:val="18"/>
              </w:rPr>
            </w:pPr>
            <w:r w:rsidRPr="00B87CC5">
              <w:rPr>
                <w:rFonts w:cs="Calibri"/>
                <w:szCs w:val="18"/>
              </w:rPr>
              <w:t>Food processing fuel switching</w:t>
            </w:r>
          </w:p>
        </w:tc>
        <w:tc>
          <w:tcPr>
            <w:tcW w:w="1032" w:type="pct"/>
            <w:shd w:val="clear" w:color="auto" w:fill="FFFFFF" w:themeFill="background1"/>
          </w:tcPr>
          <w:p w14:paraId="285F9DEA"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7739ED8D" w14:textId="77777777" w:rsidR="006210F3" w:rsidRPr="00B87CC5" w:rsidRDefault="006210F3" w:rsidP="00CD315F">
            <w:pPr>
              <w:pStyle w:val="TableText"/>
              <w:spacing w:before="20" w:after="20"/>
              <w:rPr>
                <w:rFonts w:cs="Calibri"/>
                <w:szCs w:val="18"/>
              </w:rPr>
            </w:pPr>
            <w:r w:rsidRPr="00B87CC5">
              <w:rPr>
                <w:rFonts w:cs="Calibri"/>
                <w:szCs w:val="18"/>
              </w:rPr>
              <w:t xml:space="preserve">Coal phased out by 2037, fossil gas use continues </w:t>
            </w:r>
          </w:p>
        </w:tc>
        <w:tc>
          <w:tcPr>
            <w:tcW w:w="729" w:type="pct"/>
            <w:shd w:val="clear" w:color="auto" w:fill="auto"/>
            <w:hideMark/>
          </w:tcPr>
          <w:p w14:paraId="045B285F"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38287896"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0197E0ED" w14:textId="77777777" w:rsidTr="006E361C">
        <w:trPr>
          <w:trHeight w:val="170"/>
        </w:trPr>
        <w:tc>
          <w:tcPr>
            <w:tcW w:w="374" w:type="pct"/>
            <w:vMerge/>
            <w:vAlign w:val="center"/>
            <w:hideMark/>
          </w:tcPr>
          <w:p w14:paraId="3726DAA5"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689EBD29" w14:textId="77777777" w:rsidR="006210F3" w:rsidRPr="00B87CC5" w:rsidRDefault="006210F3" w:rsidP="00CD315F">
            <w:pPr>
              <w:pStyle w:val="TableText"/>
              <w:spacing w:before="20" w:after="20"/>
              <w:rPr>
                <w:rFonts w:cs="Calibri"/>
                <w:szCs w:val="18"/>
              </w:rPr>
            </w:pPr>
            <w:r w:rsidRPr="00B87CC5">
              <w:rPr>
                <w:rFonts w:cs="Calibri"/>
                <w:szCs w:val="18"/>
              </w:rPr>
              <w:t>Food processing energy efficiency improvement</w:t>
            </w:r>
          </w:p>
        </w:tc>
        <w:tc>
          <w:tcPr>
            <w:tcW w:w="1032" w:type="pct"/>
            <w:shd w:val="clear" w:color="auto" w:fill="FFFFFF" w:themeFill="background1"/>
          </w:tcPr>
          <w:p w14:paraId="2CCBCA34"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2118ED7B" w14:textId="77777777" w:rsidR="006210F3" w:rsidRPr="00B87CC5" w:rsidRDefault="006210F3" w:rsidP="00CD315F">
            <w:pPr>
              <w:pStyle w:val="TableText"/>
              <w:spacing w:before="20" w:after="20"/>
              <w:rPr>
                <w:rFonts w:cs="Calibri"/>
                <w:szCs w:val="18"/>
              </w:rPr>
            </w:pPr>
            <w:r w:rsidRPr="00B87CC5">
              <w:rPr>
                <w:rFonts w:cs="Calibri"/>
                <w:szCs w:val="18"/>
              </w:rPr>
              <w:t>Dairy: 0.7 % per year</w:t>
            </w:r>
            <w:r w:rsidRPr="00B87CC5">
              <w:rPr>
                <w:rFonts w:cs="Calibri"/>
                <w:szCs w:val="18"/>
              </w:rPr>
              <w:br/>
              <w:t>Meat: 0.6 % per year</w:t>
            </w:r>
            <w:r w:rsidRPr="00B87CC5">
              <w:rPr>
                <w:rFonts w:cs="Calibri"/>
                <w:szCs w:val="18"/>
              </w:rPr>
              <w:br/>
              <w:t>Other food: 0.8% per year</w:t>
            </w:r>
          </w:p>
        </w:tc>
        <w:tc>
          <w:tcPr>
            <w:tcW w:w="729" w:type="pct"/>
            <w:shd w:val="clear" w:color="auto" w:fill="auto"/>
            <w:hideMark/>
          </w:tcPr>
          <w:p w14:paraId="545B5130"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4E467F8B"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38DB1AEC" w14:textId="77777777" w:rsidTr="006E361C">
        <w:trPr>
          <w:trHeight w:val="170"/>
        </w:trPr>
        <w:tc>
          <w:tcPr>
            <w:tcW w:w="374" w:type="pct"/>
            <w:vMerge/>
            <w:vAlign w:val="center"/>
            <w:hideMark/>
          </w:tcPr>
          <w:p w14:paraId="3A9C8704"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21F470A9" w14:textId="77777777" w:rsidR="006210F3" w:rsidRPr="00B87CC5" w:rsidRDefault="006210F3" w:rsidP="00CD315F">
            <w:pPr>
              <w:pStyle w:val="TableText"/>
              <w:spacing w:before="20" w:after="20"/>
              <w:rPr>
                <w:rFonts w:cs="Calibri"/>
                <w:szCs w:val="18"/>
              </w:rPr>
            </w:pPr>
            <w:proofErr w:type="spellStart"/>
            <w:r w:rsidRPr="00B87CC5">
              <w:rPr>
                <w:rFonts w:cs="Calibri"/>
                <w:szCs w:val="18"/>
              </w:rPr>
              <w:t>Kinleith</w:t>
            </w:r>
            <w:proofErr w:type="spellEnd"/>
            <w:r w:rsidRPr="00B87CC5">
              <w:rPr>
                <w:rFonts w:cs="Calibri"/>
                <w:szCs w:val="18"/>
              </w:rPr>
              <w:t xml:space="preserve"> pulp mill conversion date to high-efficiency recovery boiler</w:t>
            </w:r>
          </w:p>
        </w:tc>
        <w:tc>
          <w:tcPr>
            <w:tcW w:w="1032" w:type="pct"/>
            <w:shd w:val="clear" w:color="auto" w:fill="FFFFFF" w:themeFill="background1"/>
          </w:tcPr>
          <w:p w14:paraId="3992B7EC"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1108" w:type="pct"/>
            <w:shd w:val="clear" w:color="auto" w:fill="FFFFFF" w:themeFill="background1"/>
            <w:hideMark/>
          </w:tcPr>
          <w:p w14:paraId="4CA698DF"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729" w:type="pct"/>
            <w:shd w:val="clear" w:color="auto" w:fill="auto"/>
            <w:hideMark/>
          </w:tcPr>
          <w:p w14:paraId="2E438F6F"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70E268CB"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1D60E162" w14:textId="77777777" w:rsidTr="006E361C">
        <w:trPr>
          <w:trHeight w:val="170"/>
        </w:trPr>
        <w:tc>
          <w:tcPr>
            <w:tcW w:w="374" w:type="pct"/>
            <w:vMerge/>
            <w:vAlign w:val="center"/>
            <w:hideMark/>
          </w:tcPr>
          <w:p w14:paraId="48A4AE38"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70BC760E" w14:textId="77777777" w:rsidR="006210F3" w:rsidRPr="00B87CC5" w:rsidRDefault="006210F3" w:rsidP="00CD315F">
            <w:pPr>
              <w:pStyle w:val="TableText"/>
              <w:spacing w:before="20" w:after="20"/>
              <w:rPr>
                <w:rFonts w:cs="Calibri"/>
                <w:szCs w:val="18"/>
              </w:rPr>
            </w:pPr>
            <w:r w:rsidRPr="00B87CC5">
              <w:rPr>
                <w:rFonts w:cs="Calibri"/>
                <w:szCs w:val="18"/>
              </w:rPr>
              <w:t>Low-carbon liquid fuel utilisation</w:t>
            </w:r>
          </w:p>
        </w:tc>
        <w:tc>
          <w:tcPr>
            <w:tcW w:w="1032" w:type="pct"/>
            <w:shd w:val="clear" w:color="auto" w:fill="FFFFFF" w:themeFill="background1"/>
          </w:tcPr>
          <w:p w14:paraId="0909DD84" w14:textId="77777777" w:rsidR="006210F3" w:rsidRPr="00B87CC5" w:rsidRDefault="006210F3" w:rsidP="00CD315F">
            <w:pPr>
              <w:pStyle w:val="TableText"/>
              <w:spacing w:before="20" w:after="20"/>
              <w:rPr>
                <w:rFonts w:cs="Calibri"/>
                <w:szCs w:val="18"/>
              </w:rPr>
            </w:pPr>
            <w:r w:rsidRPr="00B87CC5">
              <w:rPr>
                <w:rFonts w:cs="Calibri"/>
                <w:szCs w:val="18"/>
              </w:rPr>
              <w:t>Follows road transport assumptions</w:t>
            </w:r>
          </w:p>
        </w:tc>
        <w:tc>
          <w:tcPr>
            <w:tcW w:w="1108" w:type="pct"/>
            <w:shd w:val="clear" w:color="auto" w:fill="FFFFFF" w:themeFill="background1"/>
            <w:hideMark/>
          </w:tcPr>
          <w:p w14:paraId="5A83D01E" w14:textId="77777777" w:rsidR="006210F3" w:rsidRPr="00B87CC5" w:rsidRDefault="006210F3" w:rsidP="00CD315F">
            <w:pPr>
              <w:pStyle w:val="TableText"/>
              <w:spacing w:before="20" w:after="20"/>
              <w:rPr>
                <w:rFonts w:cs="Calibri"/>
                <w:szCs w:val="18"/>
              </w:rPr>
            </w:pPr>
            <w:r w:rsidRPr="00B87CC5">
              <w:rPr>
                <w:rFonts w:cs="Calibri"/>
                <w:szCs w:val="18"/>
              </w:rPr>
              <w:t>Follows road transport assumptions</w:t>
            </w:r>
          </w:p>
        </w:tc>
        <w:tc>
          <w:tcPr>
            <w:tcW w:w="729" w:type="pct"/>
            <w:shd w:val="clear" w:color="auto" w:fill="auto"/>
            <w:hideMark/>
          </w:tcPr>
          <w:p w14:paraId="0DD3ED76"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16498430"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3A09EA1E" w14:textId="77777777" w:rsidTr="006E361C">
        <w:trPr>
          <w:trHeight w:val="170"/>
        </w:trPr>
        <w:tc>
          <w:tcPr>
            <w:tcW w:w="374" w:type="pct"/>
            <w:vMerge/>
            <w:vAlign w:val="center"/>
            <w:hideMark/>
          </w:tcPr>
          <w:p w14:paraId="28B32C11"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7CAE5C3E" w14:textId="77777777" w:rsidR="006210F3" w:rsidRPr="00B87CC5" w:rsidRDefault="006210F3" w:rsidP="00CD315F">
            <w:pPr>
              <w:pStyle w:val="TableText"/>
              <w:spacing w:before="20" w:after="20"/>
              <w:rPr>
                <w:rFonts w:cs="Calibri"/>
                <w:szCs w:val="18"/>
              </w:rPr>
            </w:pPr>
            <w:r w:rsidRPr="00B87CC5">
              <w:rPr>
                <w:rFonts w:cs="Calibri"/>
                <w:szCs w:val="18"/>
              </w:rPr>
              <w:t>Cement production – displacement of coal</w:t>
            </w:r>
          </w:p>
        </w:tc>
        <w:tc>
          <w:tcPr>
            <w:tcW w:w="1032" w:type="pct"/>
            <w:shd w:val="clear" w:color="auto" w:fill="FFFFFF" w:themeFill="background1"/>
          </w:tcPr>
          <w:p w14:paraId="4815AF15"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02EA9C83" w14:textId="77777777" w:rsidR="006210F3" w:rsidRPr="00B87CC5" w:rsidRDefault="006210F3" w:rsidP="00CD315F">
            <w:pPr>
              <w:pStyle w:val="TableText"/>
              <w:spacing w:before="20" w:after="20"/>
              <w:rPr>
                <w:rFonts w:cs="Calibri"/>
                <w:szCs w:val="18"/>
              </w:rPr>
            </w:pPr>
            <w:r w:rsidRPr="00B87CC5">
              <w:rPr>
                <w:rFonts w:cs="Calibri"/>
                <w:szCs w:val="18"/>
              </w:rPr>
              <w:t>Production continues at current levels with no further displacement of coal</w:t>
            </w:r>
          </w:p>
        </w:tc>
        <w:tc>
          <w:tcPr>
            <w:tcW w:w="729" w:type="pct"/>
            <w:shd w:val="clear" w:color="auto" w:fill="auto"/>
            <w:hideMark/>
          </w:tcPr>
          <w:p w14:paraId="7D8305EF"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26879272"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0666DCAE" w14:textId="77777777" w:rsidTr="006E361C">
        <w:trPr>
          <w:trHeight w:val="170"/>
        </w:trPr>
        <w:tc>
          <w:tcPr>
            <w:tcW w:w="374" w:type="pct"/>
            <w:vMerge/>
            <w:vAlign w:val="center"/>
            <w:hideMark/>
          </w:tcPr>
          <w:p w14:paraId="29675E69"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7D9DAFFE" w14:textId="77777777" w:rsidR="006210F3" w:rsidRPr="00B87CC5" w:rsidRDefault="006210F3" w:rsidP="00CD315F">
            <w:pPr>
              <w:pStyle w:val="TableText"/>
              <w:spacing w:before="20" w:after="20"/>
              <w:rPr>
                <w:rFonts w:cs="Calibri"/>
                <w:szCs w:val="18"/>
              </w:rPr>
            </w:pPr>
            <w:r w:rsidRPr="00B87CC5">
              <w:rPr>
                <w:rFonts w:cs="Calibri"/>
                <w:szCs w:val="18"/>
              </w:rPr>
              <w:t>Committed renewable electricity generation build</w:t>
            </w:r>
          </w:p>
        </w:tc>
        <w:tc>
          <w:tcPr>
            <w:tcW w:w="1032" w:type="pct"/>
            <w:shd w:val="clear" w:color="auto" w:fill="FFFFFF" w:themeFill="background1"/>
          </w:tcPr>
          <w:p w14:paraId="257598EA"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2B780361" w14:textId="77777777" w:rsidR="006210F3" w:rsidRPr="00B87CC5" w:rsidRDefault="006210F3" w:rsidP="00CD315F">
            <w:pPr>
              <w:pStyle w:val="TableText"/>
              <w:spacing w:before="20" w:after="20"/>
              <w:rPr>
                <w:rFonts w:cs="Calibri"/>
                <w:szCs w:val="18"/>
              </w:rPr>
            </w:pPr>
            <w:r w:rsidRPr="00B87CC5">
              <w:rPr>
                <w:rFonts w:cs="Calibri"/>
                <w:szCs w:val="18"/>
              </w:rPr>
              <w:t>3.7 TWh by 2035</w:t>
            </w:r>
          </w:p>
        </w:tc>
        <w:tc>
          <w:tcPr>
            <w:tcW w:w="729" w:type="pct"/>
            <w:shd w:val="clear" w:color="auto" w:fill="auto"/>
            <w:hideMark/>
          </w:tcPr>
          <w:p w14:paraId="362666D2"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7A43642C"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39978A43" w14:textId="77777777" w:rsidTr="006E361C">
        <w:trPr>
          <w:trHeight w:val="170"/>
        </w:trPr>
        <w:tc>
          <w:tcPr>
            <w:tcW w:w="374" w:type="pct"/>
            <w:vMerge/>
            <w:vAlign w:val="center"/>
            <w:hideMark/>
          </w:tcPr>
          <w:p w14:paraId="332CB9E2"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55E3CF31" w14:textId="77777777" w:rsidR="006210F3" w:rsidRPr="00B87CC5" w:rsidRDefault="006210F3" w:rsidP="00CD315F">
            <w:pPr>
              <w:pStyle w:val="TableText"/>
              <w:spacing w:before="20" w:after="20"/>
              <w:rPr>
                <w:rFonts w:cs="Calibri"/>
                <w:szCs w:val="18"/>
              </w:rPr>
            </w:pPr>
            <w:r w:rsidRPr="00B87CC5">
              <w:rPr>
                <w:rFonts w:cs="Calibri"/>
                <w:szCs w:val="18"/>
              </w:rPr>
              <w:t>Renewable electricity generation capital cost reductions</w:t>
            </w:r>
          </w:p>
        </w:tc>
        <w:tc>
          <w:tcPr>
            <w:tcW w:w="1032" w:type="pct"/>
            <w:shd w:val="clear" w:color="auto" w:fill="FFFFFF" w:themeFill="background1"/>
          </w:tcPr>
          <w:p w14:paraId="1F907E91"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05544C82" w14:textId="77777777" w:rsidR="006210F3" w:rsidRPr="00B87CC5" w:rsidRDefault="006210F3" w:rsidP="00CD315F">
            <w:pPr>
              <w:pStyle w:val="TableText"/>
              <w:spacing w:before="20" w:after="20"/>
              <w:rPr>
                <w:rFonts w:cs="Calibri"/>
                <w:szCs w:val="18"/>
              </w:rPr>
            </w:pPr>
            <w:r w:rsidRPr="00B87CC5">
              <w:rPr>
                <w:rFonts w:cs="Calibri"/>
                <w:szCs w:val="18"/>
              </w:rPr>
              <w:t>Onshore wind: 0.3% per year, offshore wind: 1.1%, utility solar: 1% per year, geothermal: 0.07% per year</w:t>
            </w:r>
          </w:p>
        </w:tc>
        <w:tc>
          <w:tcPr>
            <w:tcW w:w="729" w:type="pct"/>
            <w:shd w:val="clear" w:color="auto" w:fill="auto"/>
            <w:hideMark/>
          </w:tcPr>
          <w:p w14:paraId="0E07C3D0"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5AEFB8F6"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1605B2D5" w14:textId="77777777" w:rsidTr="006E361C">
        <w:trPr>
          <w:trHeight w:val="170"/>
        </w:trPr>
        <w:tc>
          <w:tcPr>
            <w:tcW w:w="374" w:type="pct"/>
            <w:vMerge/>
            <w:vAlign w:val="center"/>
            <w:hideMark/>
          </w:tcPr>
          <w:p w14:paraId="059FFE77"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65F1D1B4" w14:textId="77777777" w:rsidR="006210F3" w:rsidRPr="00B87CC5" w:rsidRDefault="006210F3" w:rsidP="00CD315F">
            <w:pPr>
              <w:pStyle w:val="TableText"/>
              <w:spacing w:before="20" w:after="20"/>
              <w:rPr>
                <w:rFonts w:cs="Calibri"/>
                <w:szCs w:val="18"/>
              </w:rPr>
            </w:pPr>
            <w:r w:rsidRPr="00B87CC5">
              <w:rPr>
                <w:rFonts w:cs="Calibri"/>
                <w:szCs w:val="18"/>
              </w:rPr>
              <w:t>Electricity system demand-side response</w:t>
            </w:r>
          </w:p>
        </w:tc>
        <w:tc>
          <w:tcPr>
            <w:tcW w:w="1032" w:type="pct"/>
            <w:shd w:val="clear" w:color="auto" w:fill="FFFFFF" w:themeFill="background1"/>
          </w:tcPr>
          <w:p w14:paraId="0906C242"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6357059D" w14:textId="77777777" w:rsidR="006210F3" w:rsidRPr="00B87CC5" w:rsidRDefault="006210F3" w:rsidP="00CD315F">
            <w:pPr>
              <w:pStyle w:val="TableText"/>
              <w:spacing w:before="20" w:after="20"/>
              <w:rPr>
                <w:rFonts w:cs="Calibri"/>
                <w:szCs w:val="18"/>
              </w:rPr>
            </w:pPr>
            <w:r w:rsidRPr="00B87CC5">
              <w:rPr>
                <w:rFonts w:cs="Calibri"/>
                <w:szCs w:val="18"/>
              </w:rPr>
              <w:t>Very low level</w:t>
            </w:r>
          </w:p>
        </w:tc>
        <w:tc>
          <w:tcPr>
            <w:tcW w:w="729" w:type="pct"/>
            <w:shd w:val="clear" w:color="auto" w:fill="auto"/>
            <w:hideMark/>
          </w:tcPr>
          <w:p w14:paraId="1C7F3540"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572A8A3A"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5819A071" w14:textId="77777777" w:rsidTr="006E361C">
        <w:trPr>
          <w:trHeight w:val="170"/>
        </w:trPr>
        <w:tc>
          <w:tcPr>
            <w:tcW w:w="374" w:type="pct"/>
            <w:vMerge/>
            <w:vAlign w:val="center"/>
            <w:hideMark/>
          </w:tcPr>
          <w:p w14:paraId="73AA4E19"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6783022D" w14:textId="77777777" w:rsidR="006210F3" w:rsidRPr="00B87CC5" w:rsidRDefault="006210F3" w:rsidP="00CD315F">
            <w:pPr>
              <w:pStyle w:val="TableText"/>
              <w:spacing w:before="20" w:after="20"/>
              <w:rPr>
                <w:rFonts w:cs="Calibri"/>
                <w:szCs w:val="18"/>
              </w:rPr>
            </w:pPr>
            <w:r w:rsidRPr="00B87CC5">
              <w:rPr>
                <w:rFonts w:cs="Calibri"/>
                <w:szCs w:val="18"/>
              </w:rPr>
              <w:t>Grid-scale batteries (cost decline from NZ$1,077 per kWh in 2022)</w:t>
            </w:r>
          </w:p>
        </w:tc>
        <w:tc>
          <w:tcPr>
            <w:tcW w:w="1032" w:type="pct"/>
            <w:shd w:val="clear" w:color="auto" w:fill="FFFFFF" w:themeFill="background1"/>
          </w:tcPr>
          <w:p w14:paraId="27F7642C"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58CAAE12" w14:textId="77777777" w:rsidR="006210F3" w:rsidRPr="00B87CC5" w:rsidRDefault="006210F3" w:rsidP="00CD315F">
            <w:pPr>
              <w:pStyle w:val="TableText"/>
              <w:spacing w:before="20" w:after="20"/>
              <w:rPr>
                <w:rFonts w:cs="Calibri"/>
                <w:szCs w:val="18"/>
              </w:rPr>
            </w:pPr>
            <w:r w:rsidRPr="00B87CC5">
              <w:rPr>
                <w:rFonts w:cs="Calibri"/>
                <w:szCs w:val="18"/>
              </w:rPr>
              <w:t>2.5% per year cost decline</w:t>
            </w:r>
          </w:p>
        </w:tc>
        <w:tc>
          <w:tcPr>
            <w:tcW w:w="729" w:type="pct"/>
            <w:shd w:val="clear" w:color="auto" w:fill="auto"/>
            <w:hideMark/>
          </w:tcPr>
          <w:p w14:paraId="7284CA51" w14:textId="77777777" w:rsidR="006210F3" w:rsidRPr="00B87CC5" w:rsidRDefault="006210F3" w:rsidP="00CD315F">
            <w:pPr>
              <w:pStyle w:val="TableText"/>
              <w:spacing w:before="20" w:after="20"/>
              <w:rPr>
                <w:rFonts w:cs="Calibri"/>
                <w:szCs w:val="18"/>
              </w:rPr>
            </w:pPr>
            <w:r w:rsidRPr="00B87CC5">
              <w:rPr>
                <w:rFonts w:cs="Calibri"/>
                <w:szCs w:val="18"/>
              </w:rPr>
              <w:t>4% per year cost decline</w:t>
            </w:r>
          </w:p>
        </w:tc>
        <w:tc>
          <w:tcPr>
            <w:tcW w:w="866" w:type="pct"/>
            <w:shd w:val="clear" w:color="auto" w:fill="auto"/>
            <w:hideMark/>
          </w:tcPr>
          <w:p w14:paraId="6B528733" w14:textId="77777777" w:rsidR="006210F3" w:rsidRPr="00B87CC5" w:rsidRDefault="006210F3" w:rsidP="00CD315F">
            <w:pPr>
              <w:pStyle w:val="TableText"/>
              <w:spacing w:before="20" w:after="20"/>
              <w:rPr>
                <w:rFonts w:cs="Calibri"/>
                <w:szCs w:val="18"/>
              </w:rPr>
            </w:pPr>
            <w:r w:rsidRPr="00B87CC5">
              <w:rPr>
                <w:rFonts w:cs="Calibri"/>
                <w:szCs w:val="18"/>
              </w:rPr>
              <w:t>1.5% per year cost decline</w:t>
            </w:r>
          </w:p>
        </w:tc>
      </w:tr>
      <w:tr w:rsidR="006210F3" w:rsidRPr="00B87CC5" w14:paraId="7C602074" w14:textId="77777777" w:rsidTr="006E361C">
        <w:trPr>
          <w:trHeight w:val="170"/>
        </w:trPr>
        <w:tc>
          <w:tcPr>
            <w:tcW w:w="374" w:type="pct"/>
            <w:vMerge/>
            <w:vAlign w:val="center"/>
            <w:hideMark/>
          </w:tcPr>
          <w:p w14:paraId="6A2D0510"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5C2813DF" w14:textId="77777777" w:rsidR="006210F3" w:rsidRPr="00B87CC5" w:rsidRDefault="006210F3" w:rsidP="00CD315F">
            <w:pPr>
              <w:pStyle w:val="TableText"/>
              <w:spacing w:before="20" w:after="20"/>
              <w:rPr>
                <w:rFonts w:cs="Calibri"/>
                <w:szCs w:val="18"/>
              </w:rPr>
            </w:pPr>
            <w:r w:rsidRPr="00B87CC5">
              <w:rPr>
                <w:rFonts w:cs="Calibri"/>
                <w:szCs w:val="18"/>
              </w:rPr>
              <w:t>Residential rooftop solar</w:t>
            </w:r>
          </w:p>
        </w:tc>
        <w:tc>
          <w:tcPr>
            <w:tcW w:w="1032" w:type="pct"/>
            <w:shd w:val="clear" w:color="auto" w:fill="FFFFFF" w:themeFill="background1"/>
          </w:tcPr>
          <w:p w14:paraId="088F42C8"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7B01B44A" w14:textId="77777777" w:rsidR="006210F3" w:rsidRPr="00B87CC5" w:rsidRDefault="006210F3" w:rsidP="00CD315F">
            <w:pPr>
              <w:pStyle w:val="TableText"/>
              <w:spacing w:before="20" w:after="20"/>
              <w:rPr>
                <w:rFonts w:cs="Calibri"/>
                <w:szCs w:val="18"/>
              </w:rPr>
            </w:pPr>
            <w:r w:rsidRPr="00B87CC5">
              <w:rPr>
                <w:rFonts w:cs="Calibri"/>
                <w:szCs w:val="18"/>
              </w:rPr>
              <w:t>0.3% annual increase in proportion of total installation control points (ICPs) with rooftop solar</w:t>
            </w:r>
            <w:r w:rsidRPr="00B87CC5">
              <w:rPr>
                <w:rFonts w:cs="Calibri"/>
                <w:szCs w:val="18"/>
              </w:rPr>
              <w:br/>
              <w:t>Average capacity of new installations 7 kW</w:t>
            </w:r>
          </w:p>
        </w:tc>
        <w:tc>
          <w:tcPr>
            <w:tcW w:w="729" w:type="pct"/>
            <w:shd w:val="clear" w:color="auto" w:fill="auto"/>
            <w:hideMark/>
          </w:tcPr>
          <w:p w14:paraId="0B6E7F96"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292144FB"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24DE93A6" w14:textId="77777777" w:rsidTr="006E361C">
        <w:trPr>
          <w:trHeight w:val="170"/>
        </w:trPr>
        <w:tc>
          <w:tcPr>
            <w:tcW w:w="374" w:type="pct"/>
            <w:vMerge/>
            <w:vAlign w:val="center"/>
            <w:hideMark/>
          </w:tcPr>
          <w:p w14:paraId="0ECA0917"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77CB7013" w14:textId="77777777" w:rsidR="006210F3" w:rsidRPr="00B87CC5" w:rsidRDefault="006210F3" w:rsidP="00CD315F">
            <w:pPr>
              <w:pStyle w:val="TableText"/>
              <w:spacing w:before="20" w:after="20"/>
              <w:rPr>
                <w:rFonts w:cs="Calibri"/>
                <w:szCs w:val="18"/>
              </w:rPr>
            </w:pPr>
            <w:r w:rsidRPr="00B87CC5">
              <w:rPr>
                <w:rFonts w:cs="Calibri"/>
                <w:szCs w:val="18"/>
              </w:rPr>
              <w:t>Geothermal carbon capture and storage</w:t>
            </w:r>
          </w:p>
        </w:tc>
        <w:tc>
          <w:tcPr>
            <w:tcW w:w="1032" w:type="pct"/>
            <w:shd w:val="clear" w:color="auto" w:fill="FFFFFF" w:themeFill="background1"/>
          </w:tcPr>
          <w:p w14:paraId="529775FF"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1796A376" w14:textId="77777777" w:rsidR="006210F3" w:rsidRPr="00B87CC5" w:rsidRDefault="006210F3" w:rsidP="00CD315F">
            <w:pPr>
              <w:pStyle w:val="TableText"/>
              <w:spacing w:before="20" w:after="20"/>
              <w:rPr>
                <w:rFonts w:cs="Calibri"/>
                <w:szCs w:val="18"/>
              </w:rPr>
            </w:pPr>
            <w:proofErr w:type="spellStart"/>
            <w:r w:rsidRPr="00B87CC5">
              <w:rPr>
                <w:rFonts w:cs="Calibri"/>
                <w:szCs w:val="18"/>
              </w:rPr>
              <w:t>Ngāwhā</w:t>
            </w:r>
            <w:proofErr w:type="spellEnd"/>
            <w:r w:rsidRPr="00B87CC5">
              <w:rPr>
                <w:rFonts w:cs="Calibri"/>
                <w:szCs w:val="18"/>
              </w:rPr>
              <w:t>: 100% capture rate applied in 2024</w:t>
            </w:r>
          </w:p>
        </w:tc>
        <w:tc>
          <w:tcPr>
            <w:tcW w:w="729" w:type="pct"/>
            <w:shd w:val="clear" w:color="auto" w:fill="auto"/>
            <w:hideMark/>
          </w:tcPr>
          <w:p w14:paraId="0909A7F5"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527D1D6C"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226AE884" w14:textId="77777777" w:rsidTr="006E361C">
        <w:trPr>
          <w:trHeight w:val="170"/>
        </w:trPr>
        <w:tc>
          <w:tcPr>
            <w:tcW w:w="374" w:type="pct"/>
            <w:vMerge/>
            <w:vAlign w:val="center"/>
            <w:hideMark/>
          </w:tcPr>
          <w:p w14:paraId="09D311DD"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0160F480" w14:textId="77777777" w:rsidR="006210F3" w:rsidRPr="00B87CC5" w:rsidRDefault="006210F3" w:rsidP="00CD315F">
            <w:pPr>
              <w:pStyle w:val="TableText"/>
              <w:spacing w:before="20" w:after="20"/>
              <w:rPr>
                <w:rFonts w:cs="Calibri"/>
                <w:szCs w:val="18"/>
              </w:rPr>
            </w:pPr>
            <w:r w:rsidRPr="00B87CC5">
              <w:rPr>
                <w:rFonts w:cs="Calibri"/>
                <w:szCs w:val="18"/>
              </w:rPr>
              <w:t>Electrification rate of recreational marine</w:t>
            </w:r>
          </w:p>
        </w:tc>
        <w:tc>
          <w:tcPr>
            <w:tcW w:w="1032" w:type="pct"/>
            <w:shd w:val="clear" w:color="auto" w:fill="FFFFFF" w:themeFill="background1"/>
          </w:tcPr>
          <w:p w14:paraId="7F90823A"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65E0DFF5" w14:textId="77777777" w:rsidR="006210F3" w:rsidRPr="00B87CC5" w:rsidRDefault="006210F3" w:rsidP="00CD315F">
            <w:pPr>
              <w:pStyle w:val="TableText"/>
              <w:spacing w:before="20" w:after="20"/>
              <w:rPr>
                <w:rFonts w:cs="Calibri"/>
                <w:szCs w:val="18"/>
              </w:rPr>
            </w:pPr>
            <w:r w:rsidRPr="00B87CC5">
              <w:rPr>
                <w:rFonts w:cs="Calibri"/>
                <w:szCs w:val="18"/>
              </w:rPr>
              <w:t>No further electrification</w:t>
            </w:r>
          </w:p>
        </w:tc>
        <w:tc>
          <w:tcPr>
            <w:tcW w:w="729" w:type="pct"/>
            <w:shd w:val="clear" w:color="auto" w:fill="auto"/>
            <w:hideMark/>
          </w:tcPr>
          <w:p w14:paraId="7EFCAD2A"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3E8C2B6E"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5A579533" w14:textId="77777777" w:rsidTr="006E361C">
        <w:trPr>
          <w:trHeight w:val="170"/>
        </w:trPr>
        <w:tc>
          <w:tcPr>
            <w:tcW w:w="374" w:type="pct"/>
            <w:vMerge/>
            <w:vAlign w:val="center"/>
            <w:hideMark/>
          </w:tcPr>
          <w:p w14:paraId="7A66C35A"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536144C3" w14:textId="77777777" w:rsidR="006210F3" w:rsidRPr="00B87CC5" w:rsidRDefault="006210F3" w:rsidP="00CD315F">
            <w:pPr>
              <w:pStyle w:val="TableText"/>
              <w:spacing w:before="20" w:after="20"/>
              <w:rPr>
                <w:rFonts w:cs="Calibri"/>
                <w:szCs w:val="18"/>
              </w:rPr>
            </w:pPr>
            <w:r w:rsidRPr="00B87CC5">
              <w:rPr>
                <w:rFonts w:cs="Calibri"/>
                <w:szCs w:val="18"/>
              </w:rPr>
              <w:t>Off-road motive power</w:t>
            </w:r>
          </w:p>
        </w:tc>
        <w:tc>
          <w:tcPr>
            <w:tcW w:w="1032" w:type="pct"/>
            <w:shd w:val="clear" w:color="auto" w:fill="FFFFFF" w:themeFill="background1"/>
          </w:tcPr>
          <w:p w14:paraId="5597CA6D"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3B3D8C6B" w14:textId="77777777" w:rsidR="006210F3" w:rsidRPr="00B87CC5" w:rsidRDefault="006210F3" w:rsidP="00CD315F">
            <w:pPr>
              <w:pStyle w:val="TableText"/>
              <w:spacing w:before="20" w:after="20"/>
              <w:rPr>
                <w:rFonts w:cs="Calibri"/>
                <w:szCs w:val="18"/>
              </w:rPr>
            </w:pPr>
            <w:r w:rsidRPr="00B87CC5">
              <w:rPr>
                <w:rFonts w:cs="Calibri"/>
                <w:szCs w:val="18"/>
              </w:rPr>
              <w:t>Electrification follows that for heavy trucks with a 10-year lag</w:t>
            </w:r>
          </w:p>
        </w:tc>
        <w:tc>
          <w:tcPr>
            <w:tcW w:w="729" w:type="pct"/>
            <w:shd w:val="clear" w:color="auto" w:fill="auto"/>
            <w:hideMark/>
          </w:tcPr>
          <w:p w14:paraId="4340B006"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23ADB724"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48A1CDBB" w14:textId="77777777" w:rsidTr="006E361C">
        <w:trPr>
          <w:trHeight w:val="170"/>
        </w:trPr>
        <w:tc>
          <w:tcPr>
            <w:tcW w:w="374" w:type="pct"/>
            <w:vMerge/>
            <w:vAlign w:val="center"/>
            <w:hideMark/>
          </w:tcPr>
          <w:p w14:paraId="6D03BD69"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04949278" w14:textId="77777777" w:rsidR="006210F3" w:rsidRDefault="006210F3" w:rsidP="00CD315F">
            <w:pPr>
              <w:pStyle w:val="TableText"/>
              <w:spacing w:before="20" w:after="20"/>
              <w:rPr>
                <w:rFonts w:cs="Calibri"/>
                <w:szCs w:val="18"/>
              </w:rPr>
            </w:pPr>
            <w:r w:rsidRPr="00B87CC5">
              <w:rPr>
                <w:rFonts w:cs="Calibri"/>
                <w:szCs w:val="18"/>
              </w:rPr>
              <w:t>New industrial electricity load – data centres</w:t>
            </w:r>
          </w:p>
          <w:p w14:paraId="12C065BF" w14:textId="77777777" w:rsidR="0015426C" w:rsidRDefault="0015426C" w:rsidP="00CD315F">
            <w:pPr>
              <w:pStyle w:val="TableText"/>
              <w:spacing w:before="20" w:after="20"/>
              <w:rPr>
                <w:rFonts w:cs="Calibri"/>
                <w:szCs w:val="18"/>
              </w:rPr>
            </w:pPr>
          </w:p>
          <w:p w14:paraId="438656F6" w14:textId="77777777" w:rsidR="0015426C" w:rsidRPr="00B87CC5" w:rsidRDefault="0015426C" w:rsidP="00CD315F">
            <w:pPr>
              <w:pStyle w:val="TableText"/>
              <w:spacing w:before="20" w:after="20"/>
              <w:rPr>
                <w:rFonts w:cs="Calibri"/>
                <w:szCs w:val="18"/>
              </w:rPr>
            </w:pPr>
          </w:p>
        </w:tc>
        <w:tc>
          <w:tcPr>
            <w:tcW w:w="1032" w:type="pct"/>
            <w:shd w:val="clear" w:color="auto" w:fill="FFFFFF" w:themeFill="background1"/>
          </w:tcPr>
          <w:p w14:paraId="13C2F1EA" w14:textId="77777777" w:rsidR="006210F3" w:rsidRPr="00B87CC5" w:rsidRDefault="006210F3" w:rsidP="00CD315F">
            <w:pPr>
              <w:pStyle w:val="TableText"/>
              <w:spacing w:before="20" w:after="20"/>
              <w:rPr>
                <w:rFonts w:cs="Calibri"/>
                <w:szCs w:val="18"/>
              </w:rPr>
            </w:pPr>
            <w:r w:rsidRPr="00B87CC5">
              <w:rPr>
                <w:rFonts w:cs="Calibri"/>
                <w:szCs w:val="18"/>
              </w:rPr>
              <w:t>As modelled by MBIE</w:t>
            </w:r>
          </w:p>
        </w:tc>
        <w:tc>
          <w:tcPr>
            <w:tcW w:w="1108" w:type="pct"/>
            <w:shd w:val="clear" w:color="auto" w:fill="FFFFFF" w:themeFill="background1"/>
            <w:hideMark/>
          </w:tcPr>
          <w:p w14:paraId="38C7499E" w14:textId="77777777" w:rsidR="006210F3" w:rsidRPr="00B87CC5" w:rsidRDefault="006210F3" w:rsidP="00CD315F">
            <w:pPr>
              <w:pStyle w:val="TableText"/>
              <w:spacing w:before="20" w:after="20"/>
              <w:rPr>
                <w:rFonts w:cs="Calibri"/>
                <w:szCs w:val="18"/>
              </w:rPr>
            </w:pPr>
            <w:r w:rsidRPr="00B87CC5">
              <w:rPr>
                <w:rFonts w:cs="Calibri"/>
                <w:szCs w:val="18"/>
              </w:rPr>
              <w:t>62 MW demand phased in from 2023 to 2025</w:t>
            </w:r>
          </w:p>
        </w:tc>
        <w:tc>
          <w:tcPr>
            <w:tcW w:w="729" w:type="pct"/>
            <w:shd w:val="clear" w:color="auto" w:fill="auto"/>
            <w:hideMark/>
          </w:tcPr>
          <w:p w14:paraId="5060014C"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0E1EA4B8"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70B746A0" w14:textId="77777777" w:rsidTr="006E361C">
        <w:trPr>
          <w:trHeight w:val="170"/>
        </w:trPr>
        <w:tc>
          <w:tcPr>
            <w:tcW w:w="1265" w:type="pct"/>
            <w:gridSpan w:val="2"/>
            <w:shd w:val="clear" w:color="auto" w:fill="1C556C" w:themeFill="accent1"/>
            <w:vAlign w:val="center"/>
            <w:hideMark/>
          </w:tcPr>
          <w:p w14:paraId="025E6331" w14:textId="77777777" w:rsidR="006210F3" w:rsidRPr="00B87CC5" w:rsidRDefault="006210F3" w:rsidP="0015426C">
            <w:pPr>
              <w:keepNext/>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lastRenderedPageBreak/>
              <w:t>LAND (AGRICULTURE AND FORESTRY)</w:t>
            </w:r>
          </w:p>
        </w:tc>
        <w:tc>
          <w:tcPr>
            <w:tcW w:w="1032" w:type="pct"/>
            <w:shd w:val="clear" w:color="auto" w:fill="1C556C" w:themeFill="accent1"/>
          </w:tcPr>
          <w:p w14:paraId="7A10039F" w14:textId="77777777" w:rsidR="006210F3" w:rsidRPr="00B87CC5" w:rsidRDefault="006210F3" w:rsidP="00CD315F">
            <w:pPr>
              <w:spacing w:before="20" w:after="20" w:line="240" w:lineRule="auto"/>
              <w:jc w:val="left"/>
              <w:rPr>
                <w:rFonts w:eastAsia="Times New Roman" w:cs="Calibri"/>
                <w:b/>
                <w:bCs/>
                <w:color w:val="FFFFFF"/>
                <w:sz w:val="18"/>
                <w:szCs w:val="18"/>
              </w:rPr>
            </w:pPr>
          </w:p>
        </w:tc>
        <w:tc>
          <w:tcPr>
            <w:tcW w:w="1108" w:type="pct"/>
            <w:shd w:val="clear" w:color="auto" w:fill="1C556C" w:themeFill="accent1"/>
            <w:vAlign w:val="center"/>
            <w:hideMark/>
          </w:tcPr>
          <w:p w14:paraId="5367ED23"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c>
          <w:tcPr>
            <w:tcW w:w="729" w:type="pct"/>
            <w:shd w:val="clear" w:color="auto" w:fill="1C556C" w:themeFill="accent1"/>
            <w:vAlign w:val="center"/>
            <w:hideMark/>
          </w:tcPr>
          <w:p w14:paraId="55014ABB"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c>
          <w:tcPr>
            <w:tcW w:w="866" w:type="pct"/>
            <w:shd w:val="clear" w:color="auto" w:fill="1C556C" w:themeFill="accent1"/>
            <w:vAlign w:val="center"/>
            <w:hideMark/>
          </w:tcPr>
          <w:p w14:paraId="2D9CBACE"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r>
      <w:tr w:rsidR="006210F3" w:rsidRPr="00B87CC5" w14:paraId="08ABE3F8" w14:textId="77777777" w:rsidTr="006E361C">
        <w:trPr>
          <w:trHeight w:val="170"/>
        </w:trPr>
        <w:tc>
          <w:tcPr>
            <w:tcW w:w="374" w:type="pct"/>
            <w:vMerge w:val="restart"/>
            <w:shd w:val="clear" w:color="auto" w:fill="E7E7E7"/>
            <w:textDirection w:val="btLr"/>
            <w:vAlign w:val="center"/>
            <w:hideMark/>
          </w:tcPr>
          <w:p w14:paraId="421D6781" w14:textId="77777777" w:rsidR="006210F3" w:rsidRPr="00B87CC5" w:rsidRDefault="006210F3" w:rsidP="00CD315F">
            <w:pPr>
              <w:pStyle w:val="TableText"/>
              <w:spacing w:before="20" w:after="20"/>
              <w:jc w:val="center"/>
              <w:rPr>
                <w:rFonts w:cs="Calibri"/>
                <w:b/>
                <w:szCs w:val="18"/>
              </w:rPr>
            </w:pPr>
            <w:r w:rsidRPr="00B87CC5">
              <w:rPr>
                <w:rFonts w:cs="Calibri"/>
                <w:b/>
                <w:szCs w:val="18"/>
              </w:rPr>
              <w:t>Land-use change</w:t>
            </w:r>
          </w:p>
        </w:tc>
        <w:tc>
          <w:tcPr>
            <w:tcW w:w="891" w:type="pct"/>
            <w:shd w:val="clear" w:color="auto" w:fill="D9D9D9" w:themeFill="background1" w:themeFillShade="D9"/>
            <w:hideMark/>
          </w:tcPr>
          <w:p w14:paraId="7D18919B" w14:textId="77777777" w:rsidR="006210F3" w:rsidRPr="00B87CC5" w:rsidRDefault="006210F3" w:rsidP="00CD315F">
            <w:pPr>
              <w:pStyle w:val="TableText"/>
              <w:spacing w:before="20" w:after="20"/>
              <w:rPr>
                <w:rFonts w:cs="Calibri"/>
                <w:szCs w:val="18"/>
              </w:rPr>
            </w:pPr>
            <w:r w:rsidRPr="00B87CC5">
              <w:rPr>
                <w:rFonts w:cs="Calibri"/>
                <w:szCs w:val="18"/>
              </w:rPr>
              <w:t>Afforestation 2022–50</w:t>
            </w:r>
            <w:r w:rsidRPr="00B87CC5">
              <w:rPr>
                <w:rFonts w:cs="Calibri"/>
                <w:szCs w:val="18"/>
              </w:rPr>
              <w:br/>
              <w:t>(million hectares)</w:t>
            </w:r>
          </w:p>
        </w:tc>
        <w:tc>
          <w:tcPr>
            <w:tcW w:w="1032" w:type="pct"/>
          </w:tcPr>
          <w:p w14:paraId="3296EE08" w14:textId="77777777" w:rsidR="006210F3" w:rsidRPr="00B87CC5" w:rsidRDefault="006210F3" w:rsidP="00CD315F">
            <w:pPr>
              <w:pStyle w:val="TableText"/>
              <w:spacing w:before="20" w:after="20"/>
              <w:rPr>
                <w:rFonts w:cs="Calibri"/>
                <w:szCs w:val="18"/>
              </w:rPr>
            </w:pPr>
            <w:r w:rsidRPr="00B87CC5">
              <w:rPr>
                <w:rFonts w:cs="Calibri"/>
                <w:szCs w:val="18"/>
              </w:rPr>
              <w:t xml:space="preserve">1.1 </w:t>
            </w:r>
            <w:proofErr w:type="spellStart"/>
            <w:r w:rsidRPr="00B87CC5">
              <w:rPr>
                <w:rFonts w:cs="Calibri"/>
                <w:szCs w:val="18"/>
              </w:rPr>
              <w:t>Mha</w:t>
            </w:r>
            <w:proofErr w:type="spellEnd"/>
            <w:r w:rsidRPr="00B87CC5">
              <w:rPr>
                <w:rFonts w:cs="Calibri"/>
                <w:szCs w:val="18"/>
              </w:rPr>
              <w:t xml:space="preserve"> exotic afforestation</w:t>
            </w:r>
          </w:p>
          <w:p w14:paraId="63367329" w14:textId="77777777" w:rsidR="006210F3" w:rsidRPr="00B87CC5" w:rsidRDefault="006210F3" w:rsidP="00CD315F">
            <w:pPr>
              <w:pStyle w:val="TableText"/>
              <w:spacing w:before="20" w:after="20"/>
              <w:rPr>
                <w:rFonts w:cs="Calibri"/>
                <w:szCs w:val="18"/>
              </w:rPr>
            </w:pPr>
            <w:r w:rsidRPr="00B87CC5">
              <w:rPr>
                <w:rFonts w:cs="Calibri"/>
                <w:szCs w:val="18"/>
              </w:rPr>
              <w:t xml:space="preserve">0.08 </w:t>
            </w:r>
            <w:proofErr w:type="spellStart"/>
            <w:r w:rsidRPr="00B87CC5">
              <w:rPr>
                <w:rFonts w:cs="Calibri"/>
                <w:szCs w:val="18"/>
              </w:rPr>
              <w:t>Mha</w:t>
            </w:r>
            <w:proofErr w:type="spellEnd"/>
            <w:r w:rsidRPr="00B87CC5">
              <w:rPr>
                <w:rFonts w:cs="Calibri"/>
                <w:szCs w:val="18"/>
              </w:rPr>
              <w:t xml:space="preserve"> native afforestation</w:t>
            </w:r>
          </w:p>
          <w:p w14:paraId="3AECC5F5" w14:textId="77777777" w:rsidR="006210F3" w:rsidRPr="00B87CC5" w:rsidRDefault="006210F3" w:rsidP="00CD315F">
            <w:pPr>
              <w:pStyle w:val="TableText"/>
              <w:spacing w:before="20" w:after="20"/>
              <w:rPr>
                <w:rFonts w:cs="Calibri"/>
                <w:szCs w:val="18"/>
              </w:rPr>
            </w:pPr>
            <w:r w:rsidRPr="00B87CC5">
              <w:rPr>
                <w:rFonts w:cs="Calibri"/>
                <w:szCs w:val="18"/>
              </w:rPr>
              <w:t xml:space="preserve">1.2 </w:t>
            </w:r>
            <w:proofErr w:type="spellStart"/>
            <w:r w:rsidRPr="00B87CC5">
              <w:rPr>
                <w:rFonts w:cs="Calibri"/>
                <w:szCs w:val="18"/>
              </w:rPr>
              <w:t>Mha</w:t>
            </w:r>
            <w:proofErr w:type="spellEnd"/>
            <w:r w:rsidRPr="00B87CC5">
              <w:rPr>
                <w:rFonts w:cs="Calibri"/>
                <w:szCs w:val="18"/>
              </w:rPr>
              <w:t xml:space="preserve"> total afforestation</w:t>
            </w:r>
          </w:p>
        </w:tc>
        <w:tc>
          <w:tcPr>
            <w:tcW w:w="1108" w:type="pct"/>
            <w:shd w:val="clear" w:color="auto" w:fill="FFFFFF" w:themeFill="background1"/>
            <w:hideMark/>
          </w:tcPr>
          <w:p w14:paraId="28732E95" w14:textId="77777777" w:rsidR="006210F3" w:rsidRPr="00B87CC5" w:rsidRDefault="006210F3" w:rsidP="00CD315F">
            <w:pPr>
              <w:pStyle w:val="TableText"/>
              <w:spacing w:before="20" w:after="20"/>
              <w:rPr>
                <w:rFonts w:cs="Calibri"/>
                <w:szCs w:val="18"/>
              </w:rPr>
            </w:pPr>
            <w:r w:rsidRPr="00B87CC5">
              <w:rPr>
                <w:rFonts w:cs="Calibri"/>
                <w:szCs w:val="18"/>
              </w:rPr>
              <w:t xml:space="preserve">0.9 </w:t>
            </w:r>
            <w:proofErr w:type="spellStart"/>
            <w:r w:rsidRPr="00B87CC5">
              <w:rPr>
                <w:rFonts w:cs="Calibri"/>
                <w:szCs w:val="18"/>
              </w:rPr>
              <w:t>Mha</w:t>
            </w:r>
            <w:proofErr w:type="spellEnd"/>
            <w:r w:rsidRPr="00B87CC5">
              <w:rPr>
                <w:rFonts w:cs="Calibri"/>
                <w:szCs w:val="18"/>
              </w:rPr>
              <w:t xml:space="preserve"> exotic afforestation</w:t>
            </w:r>
          </w:p>
          <w:p w14:paraId="65CED727" w14:textId="77777777" w:rsidR="006210F3" w:rsidRPr="00B87CC5" w:rsidRDefault="006210F3" w:rsidP="00CD315F">
            <w:pPr>
              <w:pStyle w:val="TableText"/>
              <w:spacing w:before="20" w:after="20"/>
              <w:rPr>
                <w:rFonts w:cs="Calibri"/>
                <w:szCs w:val="18"/>
              </w:rPr>
            </w:pPr>
            <w:r w:rsidRPr="00B87CC5">
              <w:rPr>
                <w:rFonts w:cs="Calibri"/>
                <w:szCs w:val="18"/>
              </w:rPr>
              <w:t xml:space="preserve">0.03 </w:t>
            </w:r>
            <w:proofErr w:type="spellStart"/>
            <w:r w:rsidRPr="00B87CC5">
              <w:rPr>
                <w:rFonts w:cs="Calibri"/>
                <w:szCs w:val="18"/>
              </w:rPr>
              <w:t>Mha</w:t>
            </w:r>
            <w:proofErr w:type="spellEnd"/>
            <w:r w:rsidRPr="00B87CC5">
              <w:rPr>
                <w:rFonts w:cs="Calibri"/>
                <w:szCs w:val="18"/>
              </w:rPr>
              <w:t xml:space="preserve"> native afforestation</w:t>
            </w:r>
          </w:p>
          <w:p w14:paraId="4B20E8E1" w14:textId="77777777" w:rsidR="006210F3" w:rsidRPr="00B87CC5" w:rsidRDefault="006210F3" w:rsidP="00CD315F">
            <w:pPr>
              <w:pStyle w:val="TableText"/>
              <w:spacing w:before="20" w:after="20"/>
              <w:rPr>
                <w:rFonts w:cs="Calibri"/>
                <w:szCs w:val="18"/>
              </w:rPr>
            </w:pPr>
            <w:r w:rsidRPr="00B87CC5">
              <w:rPr>
                <w:rFonts w:cs="Calibri"/>
                <w:szCs w:val="18"/>
              </w:rPr>
              <w:t xml:space="preserve">0.93 </w:t>
            </w:r>
            <w:proofErr w:type="spellStart"/>
            <w:r w:rsidRPr="00B87CC5">
              <w:rPr>
                <w:rFonts w:cs="Calibri"/>
                <w:szCs w:val="18"/>
              </w:rPr>
              <w:t>Mha</w:t>
            </w:r>
            <w:proofErr w:type="spellEnd"/>
            <w:r w:rsidRPr="00B87CC5">
              <w:rPr>
                <w:rFonts w:cs="Calibri"/>
                <w:szCs w:val="18"/>
              </w:rPr>
              <w:t xml:space="preserve"> total afforestation</w:t>
            </w:r>
          </w:p>
        </w:tc>
        <w:tc>
          <w:tcPr>
            <w:tcW w:w="729" w:type="pct"/>
            <w:shd w:val="clear" w:color="auto" w:fill="auto"/>
            <w:hideMark/>
          </w:tcPr>
          <w:p w14:paraId="4892E74A" w14:textId="77777777" w:rsidR="006210F3" w:rsidRPr="00B87CC5" w:rsidRDefault="006210F3" w:rsidP="00CD315F">
            <w:pPr>
              <w:pStyle w:val="TableText"/>
              <w:spacing w:before="20" w:after="20"/>
              <w:rPr>
                <w:rFonts w:cs="Calibri"/>
                <w:szCs w:val="18"/>
              </w:rPr>
            </w:pPr>
            <w:r w:rsidRPr="00B87CC5">
              <w:rPr>
                <w:rFonts w:cs="Calibri"/>
                <w:szCs w:val="18"/>
              </w:rPr>
              <w:t xml:space="preserve">1.1 </w:t>
            </w:r>
            <w:proofErr w:type="spellStart"/>
            <w:r w:rsidRPr="00B87CC5">
              <w:rPr>
                <w:rFonts w:cs="Calibri"/>
                <w:szCs w:val="18"/>
              </w:rPr>
              <w:t>Mha</w:t>
            </w:r>
            <w:proofErr w:type="spellEnd"/>
            <w:r w:rsidRPr="00B87CC5">
              <w:rPr>
                <w:rFonts w:cs="Calibri"/>
                <w:szCs w:val="18"/>
              </w:rPr>
              <w:t xml:space="preserve"> exotic afforestation</w:t>
            </w:r>
          </w:p>
          <w:p w14:paraId="46BFDCC5" w14:textId="77777777" w:rsidR="006210F3" w:rsidRPr="00B87CC5" w:rsidRDefault="006210F3" w:rsidP="00CD315F">
            <w:pPr>
              <w:pStyle w:val="TableText"/>
              <w:spacing w:before="20" w:after="20"/>
              <w:rPr>
                <w:rFonts w:cs="Calibri"/>
                <w:szCs w:val="18"/>
              </w:rPr>
            </w:pPr>
            <w:r w:rsidRPr="00B87CC5">
              <w:rPr>
                <w:rFonts w:cs="Calibri"/>
                <w:szCs w:val="18"/>
              </w:rPr>
              <w:t xml:space="preserve">0.03 </w:t>
            </w:r>
            <w:proofErr w:type="spellStart"/>
            <w:r w:rsidRPr="00B87CC5">
              <w:rPr>
                <w:rFonts w:cs="Calibri"/>
                <w:szCs w:val="18"/>
              </w:rPr>
              <w:t>Mha</w:t>
            </w:r>
            <w:proofErr w:type="spellEnd"/>
            <w:r w:rsidRPr="00B87CC5">
              <w:rPr>
                <w:rFonts w:cs="Calibri"/>
                <w:szCs w:val="18"/>
              </w:rPr>
              <w:t xml:space="preserve"> native afforestation</w:t>
            </w:r>
          </w:p>
          <w:p w14:paraId="49855811" w14:textId="77777777" w:rsidR="006210F3" w:rsidRPr="00B87CC5" w:rsidRDefault="006210F3" w:rsidP="00CD315F">
            <w:pPr>
              <w:pStyle w:val="TableText"/>
              <w:spacing w:before="20" w:after="20"/>
              <w:rPr>
                <w:rFonts w:cs="Calibri"/>
                <w:szCs w:val="18"/>
              </w:rPr>
            </w:pPr>
            <w:r w:rsidRPr="00B87CC5">
              <w:rPr>
                <w:rFonts w:cs="Calibri"/>
                <w:szCs w:val="18"/>
              </w:rPr>
              <w:t xml:space="preserve">1.14 </w:t>
            </w:r>
            <w:proofErr w:type="spellStart"/>
            <w:r w:rsidRPr="00B87CC5">
              <w:rPr>
                <w:rFonts w:cs="Calibri"/>
                <w:szCs w:val="18"/>
              </w:rPr>
              <w:t>Mha</w:t>
            </w:r>
            <w:proofErr w:type="spellEnd"/>
            <w:r w:rsidRPr="00B87CC5">
              <w:rPr>
                <w:rFonts w:cs="Calibri"/>
                <w:szCs w:val="18"/>
              </w:rPr>
              <w:t xml:space="preserve"> total afforestation</w:t>
            </w:r>
          </w:p>
        </w:tc>
        <w:tc>
          <w:tcPr>
            <w:tcW w:w="866" w:type="pct"/>
            <w:shd w:val="clear" w:color="auto" w:fill="auto"/>
            <w:hideMark/>
          </w:tcPr>
          <w:p w14:paraId="1B907099" w14:textId="77777777" w:rsidR="006210F3" w:rsidRPr="00B87CC5" w:rsidRDefault="006210F3" w:rsidP="00CD315F">
            <w:pPr>
              <w:pStyle w:val="TableText"/>
              <w:spacing w:before="20" w:after="20"/>
              <w:rPr>
                <w:rFonts w:cs="Calibri"/>
                <w:szCs w:val="18"/>
              </w:rPr>
            </w:pPr>
            <w:r w:rsidRPr="00B87CC5">
              <w:rPr>
                <w:rFonts w:cs="Calibri"/>
                <w:szCs w:val="18"/>
              </w:rPr>
              <w:t xml:space="preserve">0.7 </w:t>
            </w:r>
            <w:proofErr w:type="spellStart"/>
            <w:r w:rsidRPr="00B87CC5">
              <w:rPr>
                <w:rFonts w:cs="Calibri"/>
                <w:szCs w:val="18"/>
              </w:rPr>
              <w:t>Mha</w:t>
            </w:r>
            <w:proofErr w:type="spellEnd"/>
            <w:r w:rsidRPr="00B87CC5">
              <w:rPr>
                <w:rFonts w:cs="Calibri"/>
                <w:szCs w:val="18"/>
              </w:rPr>
              <w:t xml:space="preserve"> exotic afforestation</w:t>
            </w:r>
          </w:p>
          <w:p w14:paraId="0F3C710E" w14:textId="77777777" w:rsidR="006210F3" w:rsidRPr="00B87CC5" w:rsidRDefault="006210F3" w:rsidP="00CD315F">
            <w:pPr>
              <w:pStyle w:val="TableText"/>
              <w:spacing w:before="20" w:after="20"/>
              <w:rPr>
                <w:rFonts w:cs="Calibri"/>
                <w:szCs w:val="18"/>
              </w:rPr>
            </w:pPr>
            <w:r w:rsidRPr="00B87CC5">
              <w:rPr>
                <w:rFonts w:cs="Calibri"/>
                <w:szCs w:val="18"/>
              </w:rPr>
              <w:t xml:space="preserve">0.03 </w:t>
            </w:r>
            <w:proofErr w:type="spellStart"/>
            <w:r w:rsidRPr="00B87CC5">
              <w:rPr>
                <w:rFonts w:cs="Calibri"/>
                <w:szCs w:val="18"/>
              </w:rPr>
              <w:t>Mha</w:t>
            </w:r>
            <w:proofErr w:type="spellEnd"/>
            <w:r w:rsidRPr="00B87CC5">
              <w:rPr>
                <w:rFonts w:cs="Calibri"/>
                <w:szCs w:val="18"/>
              </w:rPr>
              <w:t xml:space="preserve"> native afforestation</w:t>
            </w:r>
          </w:p>
          <w:p w14:paraId="1CC9E6E7" w14:textId="77777777" w:rsidR="006210F3" w:rsidRPr="00B87CC5" w:rsidRDefault="006210F3" w:rsidP="00CD315F">
            <w:pPr>
              <w:pStyle w:val="TableText"/>
              <w:spacing w:before="20" w:after="20"/>
              <w:rPr>
                <w:rFonts w:cs="Calibri"/>
                <w:szCs w:val="18"/>
              </w:rPr>
            </w:pPr>
            <w:r w:rsidRPr="00B87CC5">
              <w:rPr>
                <w:rFonts w:cs="Calibri"/>
                <w:szCs w:val="18"/>
              </w:rPr>
              <w:t xml:space="preserve">0.72 </w:t>
            </w:r>
            <w:proofErr w:type="spellStart"/>
            <w:r w:rsidRPr="00B87CC5">
              <w:rPr>
                <w:rFonts w:cs="Calibri"/>
                <w:szCs w:val="18"/>
              </w:rPr>
              <w:t>Mha</w:t>
            </w:r>
            <w:proofErr w:type="spellEnd"/>
            <w:r w:rsidRPr="00B87CC5">
              <w:rPr>
                <w:rFonts w:cs="Calibri"/>
                <w:szCs w:val="18"/>
              </w:rPr>
              <w:t xml:space="preserve"> total afforestation</w:t>
            </w:r>
          </w:p>
        </w:tc>
      </w:tr>
      <w:tr w:rsidR="006210F3" w:rsidRPr="00B87CC5" w14:paraId="4DC89A18" w14:textId="77777777" w:rsidTr="006E361C">
        <w:trPr>
          <w:trHeight w:val="170"/>
        </w:trPr>
        <w:tc>
          <w:tcPr>
            <w:tcW w:w="374" w:type="pct"/>
            <w:vMerge/>
            <w:vAlign w:val="center"/>
            <w:hideMark/>
          </w:tcPr>
          <w:p w14:paraId="45554F79"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74D6BF81" w14:textId="77777777" w:rsidR="006210F3" w:rsidRPr="00B87CC5" w:rsidRDefault="006210F3" w:rsidP="00CD315F">
            <w:pPr>
              <w:pStyle w:val="TableText"/>
              <w:spacing w:before="20" w:after="20"/>
              <w:rPr>
                <w:rFonts w:cs="Calibri"/>
                <w:szCs w:val="18"/>
              </w:rPr>
            </w:pPr>
            <w:r w:rsidRPr="00B87CC5">
              <w:rPr>
                <w:rFonts w:cs="Calibri"/>
                <w:szCs w:val="18"/>
              </w:rPr>
              <w:t>Exotic deforestation</w:t>
            </w:r>
          </w:p>
        </w:tc>
        <w:tc>
          <w:tcPr>
            <w:tcW w:w="1032" w:type="pct"/>
          </w:tcPr>
          <w:p w14:paraId="6D7D9CF0" w14:textId="77777777" w:rsidR="006210F3" w:rsidRPr="00B87CC5" w:rsidRDefault="006210F3" w:rsidP="00CD315F">
            <w:pPr>
              <w:pStyle w:val="TableText"/>
              <w:spacing w:before="20" w:after="20"/>
              <w:rPr>
                <w:rFonts w:cs="Calibri"/>
                <w:color w:val="000000"/>
                <w:szCs w:val="18"/>
              </w:rPr>
            </w:pPr>
            <w:r w:rsidRPr="00B87CC5">
              <w:rPr>
                <w:rFonts w:cs="Calibri"/>
                <w:color w:val="000000"/>
                <w:szCs w:val="18"/>
              </w:rPr>
              <w:t>Post-1989 (P89): 1,010 ha per year, zero from 2037</w:t>
            </w:r>
            <w:r w:rsidRPr="00B87CC5">
              <w:rPr>
                <w:rFonts w:cs="Calibri"/>
                <w:color w:val="000000"/>
                <w:szCs w:val="18"/>
              </w:rPr>
              <w:br/>
            </w:r>
            <w:proofErr w:type="gramStart"/>
            <w:r w:rsidRPr="00B87CC5">
              <w:rPr>
                <w:rFonts w:cs="Calibri"/>
                <w:color w:val="000000"/>
                <w:szCs w:val="18"/>
              </w:rPr>
              <w:t>Pre-1990</w:t>
            </w:r>
            <w:proofErr w:type="gramEnd"/>
            <w:r w:rsidRPr="00B87CC5">
              <w:rPr>
                <w:rFonts w:cs="Calibri"/>
                <w:color w:val="000000"/>
                <w:szCs w:val="18"/>
              </w:rPr>
              <w:t xml:space="preserve"> (P90): 118 ha per year</w:t>
            </w:r>
          </w:p>
        </w:tc>
        <w:tc>
          <w:tcPr>
            <w:tcW w:w="1108" w:type="pct"/>
            <w:shd w:val="clear" w:color="auto" w:fill="FFFFFF" w:themeFill="background1"/>
            <w:hideMark/>
          </w:tcPr>
          <w:p w14:paraId="06FAA4BE" w14:textId="77777777" w:rsidR="006210F3" w:rsidRPr="00B87CC5" w:rsidRDefault="006210F3" w:rsidP="00CD315F">
            <w:pPr>
              <w:pStyle w:val="TableText"/>
              <w:spacing w:before="20" w:after="20"/>
              <w:rPr>
                <w:rFonts w:cs="Calibri"/>
                <w:szCs w:val="18"/>
              </w:rPr>
            </w:pPr>
            <w:r w:rsidRPr="00B87CC5">
              <w:rPr>
                <w:rFonts w:cs="Calibri"/>
                <w:szCs w:val="18"/>
              </w:rPr>
              <w:t>Same as 2023 projections</w:t>
            </w:r>
          </w:p>
        </w:tc>
        <w:tc>
          <w:tcPr>
            <w:tcW w:w="729" w:type="pct"/>
            <w:shd w:val="clear" w:color="auto" w:fill="auto"/>
            <w:hideMark/>
          </w:tcPr>
          <w:p w14:paraId="588EC2BF" w14:textId="77777777" w:rsidR="006210F3" w:rsidRPr="00B87CC5" w:rsidRDefault="006210F3" w:rsidP="00CD315F">
            <w:pPr>
              <w:pStyle w:val="TableText"/>
              <w:spacing w:before="20" w:after="20"/>
              <w:rPr>
                <w:rFonts w:cs="Calibri"/>
                <w:color w:val="000000"/>
                <w:szCs w:val="18"/>
              </w:rPr>
            </w:pPr>
            <w:r w:rsidRPr="00B87CC5">
              <w:rPr>
                <w:rFonts w:cs="Calibri"/>
                <w:color w:val="000000"/>
                <w:szCs w:val="18"/>
              </w:rPr>
              <w:t>P89: 500 ha per year, zero from 2037</w:t>
            </w:r>
            <w:r w:rsidRPr="00B87CC5">
              <w:rPr>
                <w:rFonts w:cs="Calibri"/>
                <w:color w:val="000000"/>
                <w:szCs w:val="18"/>
              </w:rPr>
              <w:br/>
              <w:t>P90: 42 ha per year</w:t>
            </w:r>
            <w:r w:rsidRPr="00B87CC5" w:rsidDel="006D5C94">
              <w:rPr>
                <w:rFonts w:cs="Calibri"/>
                <w:color w:val="000000"/>
                <w:szCs w:val="18"/>
              </w:rPr>
              <w:t xml:space="preserve"> </w:t>
            </w:r>
          </w:p>
        </w:tc>
        <w:tc>
          <w:tcPr>
            <w:tcW w:w="866" w:type="pct"/>
            <w:shd w:val="clear" w:color="auto" w:fill="auto"/>
            <w:hideMark/>
          </w:tcPr>
          <w:p w14:paraId="77D1FC4A" w14:textId="77777777" w:rsidR="006210F3" w:rsidRPr="00B87CC5" w:rsidRDefault="006210F3" w:rsidP="00CD315F">
            <w:pPr>
              <w:pStyle w:val="TableText"/>
              <w:spacing w:before="20" w:after="20"/>
              <w:rPr>
                <w:rFonts w:cs="Calibri"/>
                <w:color w:val="000000"/>
                <w:szCs w:val="18"/>
              </w:rPr>
            </w:pPr>
            <w:r w:rsidRPr="00B87CC5">
              <w:rPr>
                <w:rFonts w:cs="Calibri"/>
                <w:color w:val="000000"/>
                <w:szCs w:val="18"/>
              </w:rPr>
              <w:t>P89: 1,530ha per year, zero from 2037</w:t>
            </w:r>
            <w:r w:rsidRPr="00B87CC5">
              <w:rPr>
                <w:rFonts w:cs="Calibri"/>
                <w:color w:val="000000"/>
                <w:szCs w:val="18"/>
              </w:rPr>
              <w:br/>
              <w:t>P90: 118 ha per year</w:t>
            </w:r>
            <w:r w:rsidRPr="00B87CC5" w:rsidDel="006D5C94">
              <w:rPr>
                <w:rFonts w:cs="Calibri"/>
                <w:color w:val="000000"/>
                <w:szCs w:val="18"/>
              </w:rPr>
              <w:t xml:space="preserve"> </w:t>
            </w:r>
          </w:p>
        </w:tc>
      </w:tr>
      <w:tr w:rsidR="006210F3" w:rsidRPr="00B87CC5" w14:paraId="7407C3AF" w14:textId="77777777" w:rsidTr="006E361C">
        <w:trPr>
          <w:trHeight w:val="170"/>
        </w:trPr>
        <w:tc>
          <w:tcPr>
            <w:tcW w:w="374" w:type="pct"/>
            <w:vMerge/>
            <w:vAlign w:val="center"/>
            <w:hideMark/>
          </w:tcPr>
          <w:p w14:paraId="23CC6443"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732F1423" w14:textId="77777777" w:rsidR="006210F3" w:rsidRPr="00B87CC5" w:rsidRDefault="006210F3" w:rsidP="00CD315F">
            <w:pPr>
              <w:pStyle w:val="TableText"/>
              <w:spacing w:before="20" w:after="20"/>
              <w:rPr>
                <w:rFonts w:cs="Calibri"/>
                <w:szCs w:val="18"/>
              </w:rPr>
            </w:pPr>
            <w:r w:rsidRPr="00B87CC5">
              <w:rPr>
                <w:rFonts w:cs="Calibri"/>
                <w:szCs w:val="18"/>
              </w:rPr>
              <w:t>Horticulture</w:t>
            </w:r>
          </w:p>
        </w:tc>
        <w:tc>
          <w:tcPr>
            <w:tcW w:w="1032" w:type="pct"/>
          </w:tcPr>
          <w:p w14:paraId="70246C96" w14:textId="77777777" w:rsidR="006210F3" w:rsidRPr="00B87CC5" w:rsidRDefault="006210F3" w:rsidP="00CD315F">
            <w:pPr>
              <w:pStyle w:val="TableText"/>
              <w:spacing w:before="20" w:after="20"/>
              <w:rPr>
                <w:rFonts w:cs="Calibri"/>
                <w:szCs w:val="18"/>
              </w:rPr>
            </w:pPr>
            <w:r w:rsidRPr="00B87CC5">
              <w:rPr>
                <w:rFonts w:cs="Calibri"/>
                <w:szCs w:val="18"/>
              </w:rPr>
              <w:t>Roughly constant at 0.6% from 2019</w:t>
            </w:r>
          </w:p>
        </w:tc>
        <w:tc>
          <w:tcPr>
            <w:tcW w:w="1108" w:type="pct"/>
            <w:shd w:val="clear" w:color="auto" w:fill="FFFFFF" w:themeFill="background1"/>
            <w:hideMark/>
          </w:tcPr>
          <w:p w14:paraId="4066A9A8" w14:textId="77777777" w:rsidR="006210F3" w:rsidRPr="00B87CC5" w:rsidRDefault="006210F3" w:rsidP="00CD315F">
            <w:pPr>
              <w:pStyle w:val="TableText"/>
              <w:spacing w:before="20" w:after="20"/>
              <w:rPr>
                <w:rFonts w:cs="Calibri"/>
                <w:szCs w:val="18"/>
              </w:rPr>
            </w:pPr>
            <w:r w:rsidRPr="00B87CC5">
              <w:rPr>
                <w:rFonts w:cs="Calibri"/>
                <w:szCs w:val="18"/>
              </w:rPr>
              <w:t>Same as 2023 projections</w:t>
            </w:r>
          </w:p>
        </w:tc>
        <w:tc>
          <w:tcPr>
            <w:tcW w:w="729" w:type="pct"/>
            <w:shd w:val="clear" w:color="auto" w:fill="auto"/>
            <w:hideMark/>
          </w:tcPr>
          <w:p w14:paraId="3D8772EA"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10504F88"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3EE02648" w14:textId="77777777" w:rsidTr="006E361C">
        <w:trPr>
          <w:trHeight w:val="170"/>
        </w:trPr>
        <w:tc>
          <w:tcPr>
            <w:tcW w:w="374" w:type="pct"/>
            <w:vMerge w:val="restart"/>
            <w:shd w:val="clear" w:color="auto" w:fill="E7E7E7"/>
            <w:textDirection w:val="btLr"/>
            <w:vAlign w:val="center"/>
            <w:hideMark/>
          </w:tcPr>
          <w:p w14:paraId="68EB0203" w14:textId="77777777" w:rsidR="006210F3" w:rsidRPr="00B87CC5" w:rsidRDefault="006210F3" w:rsidP="00CD315F">
            <w:pPr>
              <w:pStyle w:val="TableText"/>
              <w:spacing w:before="20" w:after="20"/>
              <w:jc w:val="center"/>
              <w:rPr>
                <w:rFonts w:cs="Calibri"/>
                <w:b/>
                <w:szCs w:val="18"/>
              </w:rPr>
            </w:pPr>
            <w:r w:rsidRPr="00B87CC5">
              <w:rPr>
                <w:rFonts w:cs="Calibri"/>
                <w:b/>
                <w:szCs w:val="18"/>
              </w:rPr>
              <w:t>Agriculture</w:t>
            </w:r>
          </w:p>
        </w:tc>
        <w:tc>
          <w:tcPr>
            <w:tcW w:w="891" w:type="pct"/>
            <w:shd w:val="clear" w:color="auto" w:fill="D9D9D9" w:themeFill="background1" w:themeFillShade="D9"/>
            <w:hideMark/>
          </w:tcPr>
          <w:p w14:paraId="1AB92D98" w14:textId="77777777" w:rsidR="006210F3" w:rsidRPr="00B87CC5" w:rsidRDefault="006210F3" w:rsidP="00CD315F">
            <w:pPr>
              <w:pStyle w:val="TableText"/>
              <w:spacing w:before="20" w:after="20"/>
              <w:rPr>
                <w:rFonts w:eastAsia="Times New Roman" w:cs="Calibri"/>
                <w:szCs w:val="18"/>
              </w:rPr>
            </w:pPr>
            <w:r w:rsidRPr="00B87CC5">
              <w:rPr>
                <w:rFonts w:cs="Calibri"/>
                <w:szCs w:val="18"/>
              </w:rPr>
              <w:t>Livestock</w:t>
            </w:r>
          </w:p>
          <w:p w14:paraId="4D16E766" w14:textId="41A9A9AD" w:rsidR="006210F3" w:rsidRPr="00B87CC5" w:rsidRDefault="006210F3" w:rsidP="00CD315F">
            <w:pPr>
              <w:pStyle w:val="TableText"/>
              <w:spacing w:before="20" w:after="20"/>
              <w:rPr>
                <w:rFonts w:cs="Calibri"/>
                <w:szCs w:val="18"/>
              </w:rPr>
            </w:pPr>
            <w:r w:rsidRPr="00B87CC5">
              <w:rPr>
                <w:rFonts w:cs="Calibri"/>
                <w:szCs w:val="18"/>
              </w:rPr>
              <w:t>(change from 2022 to 2030)</w:t>
            </w:r>
          </w:p>
        </w:tc>
        <w:tc>
          <w:tcPr>
            <w:tcW w:w="1032" w:type="pct"/>
          </w:tcPr>
          <w:p w14:paraId="02B82354" w14:textId="77777777" w:rsidR="006210F3" w:rsidRPr="00B87CC5" w:rsidRDefault="006210F3" w:rsidP="00CD315F">
            <w:pPr>
              <w:pStyle w:val="TableText"/>
              <w:spacing w:before="20" w:after="20"/>
              <w:rPr>
                <w:rFonts w:eastAsia="Times New Roman" w:cs="Calibri"/>
                <w:szCs w:val="18"/>
              </w:rPr>
            </w:pPr>
            <w:r w:rsidRPr="00B87CC5">
              <w:rPr>
                <w:rFonts w:cs="Calibri"/>
                <w:szCs w:val="18"/>
              </w:rPr>
              <w:t>Dairy cattle decrease from 6.1 million to 5.7 million</w:t>
            </w:r>
          </w:p>
          <w:p w14:paraId="6D2FF6E0" w14:textId="77777777" w:rsidR="006210F3" w:rsidRPr="00B87CC5" w:rsidRDefault="006210F3" w:rsidP="00CD315F">
            <w:pPr>
              <w:pStyle w:val="TableText"/>
              <w:spacing w:before="20" w:after="20"/>
              <w:rPr>
                <w:rFonts w:cs="Calibri"/>
                <w:szCs w:val="18"/>
              </w:rPr>
            </w:pPr>
            <w:r w:rsidRPr="00B87CC5">
              <w:rPr>
                <w:rFonts w:cs="Calibri"/>
                <w:szCs w:val="18"/>
              </w:rPr>
              <w:t>Beef cattle decrease from 3.9 million to 3.5 million</w:t>
            </w:r>
          </w:p>
          <w:p w14:paraId="641ED368" w14:textId="77777777" w:rsidR="006210F3" w:rsidRPr="00B87CC5" w:rsidRDefault="006210F3" w:rsidP="00CD315F">
            <w:pPr>
              <w:pStyle w:val="TableText"/>
              <w:spacing w:before="20" w:after="20"/>
              <w:rPr>
                <w:rFonts w:cs="Calibri"/>
                <w:szCs w:val="18"/>
              </w:rPr>
            </w:pPr>
            <w:r w:rsidRPr="00B87CC5">
              <w:rPr>
                <w:rFonts w:cs="Calibri"/>
                <w:szCs w:val="18"/>
              </w:rPr>
              <w:t>Sheep decrease from 25.8 million to 21.4 million</w:t>
            </w:r>
          </w:p>
        </w:tc>
        <w:tc>
          <w:tcPr>
            <w:tcW w:w="1108" w:type="pct"/>
            <w:shd w:val="clear" w:color="auto" w:fill="FFFFFF" w:themeFill="background1"/>
            <w:hideMark/>
          </w:tcPr>
          <w:p w14:paraId="0DA11A12" w14:textId="77777777" w:rsidR="006210F3" w:rsidRPr="00B87CC5" w:rsidRDefault="006210F3" w:rsidP="00CD315F">
            <w:pPr>
              <w:pStyle w:val="TableText"/>
              <w:spacing w:before="20" w:after="20"/>
              <w:rPr>
                <w:rFonts w:eastAsia="Times New Roman" w:cs="Calibri"/>
                <w:szCs w:val="18"/>
              </w:rPr>
            </w:pPr>
            <w:r w:rsidRPr="00B87CC5">
              <w:rPr>
                <w:rFonts w:cs="Calibri"/>
                <w:szCs w:val="18"/>
              </w:rPr>
              <w:t xml:space="preserve">Dairy cattle decrease from 5.9 million </w:t>
            </w:r>
            <w:r w:rsidRPr="00B87CC5">
              <w:rPr>
                <w:rFonts w:eastAsia="Times New Roman" w:cs="Calibri"/>
                <w:szCs w:val="18"/>
              </w:rPr>
              <w:t xml:space="preserve">to </w:t>
            </w:r>
            <w:r w:rsidRPr="00B87CC5">
              <w:rPr>
                <w:rFonts w:cs="Calibri"/>
                <w:szCs w:val="18"/>
              </w:rPr>
              <w:t>5.7 million</w:t>
            </w:r>
          </w:p>
          <w:p w14:paraId="7871DD7B" w14:textId="77777777" w:rsidR="006210F3" w:rsidRPr="00B87CC5" w:rsidRDefault="006210F3" w:rsidP="00CD315F">
            <w:pPr>
              <w:pStyle w:val="TableText"/>
              <w:spacing w:before="20" w:after="20"/>
              <w:rPr>
                <w:rFonts w:eastAsia="Times New Roman" w:cs="Calibri"/>
                <w:szCs w:val="18"/>
              </w:rPr>
            </w:pPr>
            <w:r w:rsidRPr="00B87CC5">
              <w:rPr>
                <w:rFonts w:cs="Calibri"/>
                <w:szCs w:val="18"/>
              </w:rPr>
              <w:t xml:space="preserve">Beef cattle decrease </w:t>
            </w:r>
            <w:r w:rsidRPr="00B87CC5">
              <w:rPr>
                <w:rFonts w:eastAsia="Times New Roman" w:cs="Calibri"/>
                <w:szCs w:val="18"/>
              </w:rPr>
              <w:t>fro</w:t>
            </w:r>
            <w:r w:rsidRPr="00B87CC5">
              <w:rPr>
                <w:rFonts w:cs="Calibri"/>
                <w:szCs w:val="18"/>
              </w:rPr>
              <w:t>m 3.8 million to 3.5 million</w:t>
            </w:r>
          </w:p>
          <w:p w14:paraId="434AB9AF" w14:textId="77777777" w:rsidR="006210F3" w:rsidRPr="00B87CC5" w:rsidRDefault="006210F3" w:rsidP="00CD315F">
            <w:pPr>
              <w:pStyle w:val="TableText"/>
              <w:spacing w:before="20" w:after="20"/>
              <w:rPr>
                <w:rFonts w:cs="Calibri"/>
                <w:szCs w:val="18"/>
              </w:rPr>
            </w:pPr>
            <w:r w:rsidRPr="00B87CC5">
              <w:rPr>
                <w:rFonts w:cs="Calibri"/>
                <w:szCs w:val="18"/>
              </w:rPr>
              <w:t xml:space="preserve">Sheep decrease </w:t>
            </w:r>
            <w:r w:rsidRPr="00B87CC5">
              <w:rPr>
                <w:rFonts w:eastAsia="Times New Roman" w:cs="Calibri"/>
                <w:szCs w:val="18"/>
              </w:rPr>
              <w:t>from</w:t>
            </w:r>
            <w:r w:rsidRPr="00B87CC5">
              <w:rPr>
                <w:rFonts w:cs="Calibri"/>
                <w:szCs w:val="18"/>
              </w:rPr>
              <w:t xml:space="preserve"> 25.1 million to 21.2 million</w:t>
            </w:r>
          </w:p>
        </w:tc>
        <w:tc>
          <w:tcPr>
            <w:tcW w:w="729" w:type="pct"/>
            <w:shd w:val="clear" w:color="auto" w:fill="auto"/>
            <w:hideMark/>
          </w:tcPr>
          <w:p w14:paraId="24C24E1C" w14:textId="77777777" w:rsidR="006210F3" w:rsidRPr="00B87CC5" w:rsidRDefault="006210F3" w:rsidP="00CD315F">
            <w:pPr>
              <w:pStyle w:val="TableText"/>
              <w:spacing w:before="20" w:after="20"/>
              <w:rPr>
                <w:rFonts w:eastAsia="Times New Roman" w:cs="Calibri"/>
                <w:szCs w:val="18"/>
              </w:rPr>
            </w:pPr>
            <w:r w:rsidRPr="00B87CC5">
              <w:rPr>
                <w:rFonts w:cs="Calibri"/>
                <w:szCs w:val="18"/>
              </w:rPr>
              <w:t>Dairy cattle same as baseline</w:t>
            </w:r>
          </w:p>
          <w:p w14:paraId="4D3B525A" w14:textId="77777777" w:rsidR="006210F3" w:rsidRPr="00B87CC5" w:rsidRDefault="006210F3" w:rsidP="00CD315F">
            <w:pPr>
              <w:pStyle w:val="TableText"/>
              <w:spacing w:before="20" w:after="20"/>
              <w:rPr>
                <w:rFonts w:cs="Calibri"/>
                <w:szCs w:val="18"/>
              </w:rPr>
            </w:pPr>
            <w:r w:rsidRPr="00B87CC5">
              <w:rPr>
                <w:rFonts w:cs="Calibri"/>
                <w:szCs w:val="18"/>
              </w:rPr>
              <w:t>Beef cattle decrease from 3.8 million to 3.4 million</w:t>
            </w:r>
          </w:p>
          <w:p w14:paraId="77D319CA" w14:textId="77777777" w:rsidR="006210F3" w:rsidRPr="00B87CC5" w:rsidRDefault="006210F3" w:rsidP="00CD315F">
            <w:pPr>
              <w:pStyle w:val="TableText"/>
              <w:spacing w:before="20" w:after="20"/>
              <w:rPr>
                <w:rFonts w:cs="Calibri"/>
                <w:szCs w:val="18"/>
              </w:rPr>
            </w:pPr>
            <w:r w:rsidRPr="00B87CC5">
              <w:rPr>
                <w:rFonts w:cs="Calibri"/>
                <w:szCs w:val="18"/>
              </w:rPr>
              <w:t>Sheep decrease from 25.1 million to 21.</w:t>
            </w:r>
            <w:r w:rsidRPr="00B87CC5">
              <w:rPr>
                <w:rFonts w:eastAsia="Times New Roman" w:cs="Calibri"/>
                <w:szCs w:val="18"/>
              </w:rPr>
              <w:t>1 million</w:t>
            </w:r>
          </w:p>
        </w:tc>
        <w:tc>
          <w:tcPr>
            <w:tcW w:w="866" w:type="pct"/>
            <w:shd w:val="clear" w:color="auto" w:fill="auto"/>
            <w:hideMark/>
          </w:tcPr>
          <w:p w14:paraId="78914514" w14:textId="77777777" w:rsidR="006210F3" w:rsidRPr="00B87CC5" w:rsidRDefault="006210F3" w:rsidP="00CD315F">
            <w:pPr>
              <w:pStyle w:val="TableText"/>
              <w:spacing w:before="20" w:after="20"/>
              <w:rPr>
                <w:rFonts w:eastAsia="Times New Roman" w:cs="Calibri"/>
                <w:szCs w:val="18"/>
              </w:rPr>
            </w:pPr>
            <w:r w:rsidRPr="00B87CC5">
              <w:rPr>
                <w:rFonts w:cs="Calibri"/>
                <w:szCs w:val="18"/>
              </w:rPr>
              <w:t>Dairy cattle same as baseline</w:t>
            </w:r>
          </w:p>
          <w:p w14:paraId="78140347" w14:textId="77777777" w:rsidR="006210F3" w:rsidRPr="00B87CC5" w:rsidRDefault="006210F3" w:rsidP="00CD315F">
            <w:pPr>
              <w:pStyle w:val="TableText"/>
              <w:spacing w:before="20" w:after="20"/>
              <w:rPr>
                <w:rFonts w:eastAsia="Times New Roman" w:cs="Calibri"/>
                <w:szCs w:val="18"/>
              </w:rPr>
            </w:pPr>
            <w:r w:rsidRPr="00B87CC5">
              <w:rPr>
                <w:rFonts w:cs="Calibri"/>
                <w:szCs w:val="18"/>
              </w:rPr>
              <w:t>Beef cattle decrease from 3.8 million to 3.5 million</w:t>
            </w:r>
          </w:p>
          <w:p w14:paraId="32CEB41A" w14:textId="77777777" w:rsidR="006210F3" w:rsidRPr="00B87CC5" w:rsidRDefault="006210F3" w:rsidP="00CD315F">
            <w:pPr>
              <w:pStyle w:val="TableText"/>
              <w:spacing w:before="20" w:after="20"/>
              <w:rPr>
                <w:rFonts w:cs="Calibri"/>
                <w:szCs w:val="18"/>
              </w:rPr>
            </w:pPr>
            <w:r w:rsidRPr="00B87CC5">
              <w:rPr>
                <w:rFonts w:cs="Calibri"/>
                <w:szCs w:val="18"/>
              </w:rPr>
              <w:t>Sheep decrease from 25.1 million to 21.3 million</w:t>
            </w:r>
          </w:p>
        </w:tc>
      </w:tr>
      <w:tr w:rsidR="006210F3" w:rsidRPr="00B87CC5" w14:paraId="49A7E52D" w14:textId="77777777" w:rsidTr="006E361C">
        <w:trPr>
          <w:trHeight w:val="170"/>
        </w:trPr>
        <w:tc>
          <w:tcPr>
            <w:tcW w:w="374" w:type="pct"/>
            <w:vMerge/>
            <w:vAlign w:val="center"/>
            <w:hideMark/>
          </w:tcPr>
          <w:p w14:paraId="38297405"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2954B1D2" w14:textId="24DF2638" w:rsidR="006210F3" w:rsidRPr="00B87CC5" w:rsidRDefault="006210F3" w:rsidP="00CD315F">
            <w:pPr>
              <w:pStyle w:val="TableText"/>
              <w:spacing w:before="20" w:after="20"/>
              <w:rPr>
                <w:rFonts w:cs="Calibri"/>
                <w:szCs w:val="18"/>
              </w:rPr>
            </w:pPr>
            <w:r w:rsidRPr="00B87CC5">
              <w:rPr>
                <w:rFonts w:cs="Calibri"/>
                <w:szCs w:val="18"/>
              </w:rPr>
              <w:t>Average animal productivity</w:t>
            </w:r>
            <w:r w:rsidRPr="00B87CC5">
              <w:rPr>
                <w:rFonts w:cs="Calibri"/>
                <w:szCs w:val="18"/>
              </w:rPr>
              <w:br/>
              <w:t>(change between 2022 and 2050)</w:t>
            </w:r>
          </w:p>
        </w:tc>
        <w:tc>
          <w:tcPr>
            <w:tcW w:w="1032" w:type="pct"/>
          </w:tcPr>
          <w:p w14:paraId="31367C23" w14:textId="77777777" w:rsidR="006210F3" w:rsidRPr="00B87CC5" w:rsidRDefault="006210F3" w:rsidP="00CD315F">
            <w:pPr>
              <w:pStyle w:val="TableText"/>
              <w:spacing w:before="20" w:after="20"/>
              <w:rPr>
                <w:rFonts w:cs="Calibri"/>
                <w:szCs w:val="18"/>
              </w:rPr>
            </w:pPr>
            <w:r w:rsidRPr="00B87CC5">
              <w:rPr>
                <w:rFonts w:cs="Calibri"/>
                <w:szCs w:val="18"/>
              </w:rPr>
              <w:t>1% increase per year</w:t>
            </w:r>
          </w:p>
          <w:p w14:paraId="1245230F" w14:textId="77777777" w:rsidR="006210F3" w:rsidRPr="00B87CC5" w:rsidRDefault="006210F3" w:rsidP="00CD315F">
            <w:pPr>
              <w:pStyle w:val="TableText"/>
              <w:spacing w:before="20" w:after="20"/>
              <w:rPr>
                <w:rFonts w:cs="Calibri"/>
                <w:szCs w:val="18"/>
              </w:rPr>
            </w:pPr>
            <w:r w:rsidRPr="00B87CC5">
              <w:rPr>
                <w:rFonts w:cs="Calibri"/>
                <w:szCs w:val="18"/>
              </w:rPr>
              <w:t>Milk production per cow: 0.66% average increase per year between 2022 and 2050</w:t>
            </w:r>
          </w:p>
          <w:p w14:paraId="015EAFD9" w14:textId="77777777" w:rsidR="006210F3" w:rsidRPr="00B87CC5" w:rsidRDefault="006210F3" w:rsidP="00CD315F">
            <w:pPr>
              <w:pStyle w:val="TableText"/>
              <w:spacing w:before="20" w:after="20"/>
              <w:rPr>
                <w:rFonts w:eastAsia="Times New Roman" w:cs="Calibri"/>
                <w:szCs w:val="18"/>
              </w:rPr>
            </w:pPr>
            <w:r w:rsidRPr="00B87CC5">
              <w:rPr>
                <w:rFonts w:cs="Calibri"/>
                <w:szCs w:val="18"/>
              </w:rPr>
              <w:t xml:space="preserve">Adult sheep carcass weights 0.13% average increase per year </w:t>
            </w:r>
          </w:p>
          <w:p w14:paraId="288CD08E" w14:textId="77777777" w:rsidR="006210F3" w:rsidRPr="00B87CC5" w:rsidRDefault="006210F3" w:rsidP="00CD315F">
            <w:pPr>
              <w:pStyle w:val="TableText"/>
              <w:spacing w:before="20" w:after="20"/>
              <w:rPr>
                <w:rFonts w:cs="Calibri"/>
                <w:szCs w:val="18"/>
              </w:rPr>
            </w:pPr>
            <w:r w:rsidRPr="00B87CC5">
              <w:rPr>
                <w:rFonts w:cs="Calibri"/>
                <w:szCs w:val="18"/>
              </w:rPr>
              <w:t>Beef cattle carcass weights 0.12% to 0.16% average increase per year between 2022 and 2050</w:t>
            </w:r>
          </w:p>
        </w:tc>
        <w:tc>
          <w:tcPr>
            <w:tcW w:w="1108" w:type="pct"/>
            <w:shd w:val="clear" w:color="auto" w:fill="FFFFFF" w:themeFill="background1"/>
            <w:hideMark/>
          </w:tcPr>
          <w:p w14:paraId="3D299E52" w14:textId="77777777" w:rsidR="006210F3" w:rsidRPr="00B87CC5" w:rsidRDefault="006210F3" w:rsidP="00CD315F">
            <w:pPr>
              <w:pStyle w:val="TableText"/>
              <w:spacing w:before="20" w:after="20"/>
              <w:rPr>
                <w:rFonts w:cs="Calibri"/>
                <w:szCs w:val="18"/>
              </w:rPr>
            </w:pPr>
            <w:r w:rsidRPr="00B87CC5">
              <w:rPr>
                <w:rFonts w:cs="Calibri"/>
                <w:szCs w:val="18"/>
              </w:rPr>
              <w:t>1% increase per year</w:t>
            </w:r>
          </w:p>
        </w:tc>
        <w:tc>
          <w:tcPr>
            <w:tcW w:w="729" w:type="pct"/>
            <w:shd w:val="clear" w:color="auto" w:fill="auto"/>
            <w:hideMark/>
          </w:tcPr>
          <w:p w14:paraId="00AB80C1"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4E771686"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1CE694B0" w14:textId="77777777" w:rsidTr="006E361C">
        <w:trPr>
          <w:trHeight w:val="170"/>
        </w:trPr>
        <w:tc>
          <w:tcPr>
            <w:tcW w:w="374" w:type="pct"/>
            <w:vMerge/>
            <w:vAlign w:val="center"/>
            <w:hideMark/>
          </w:tcPr>
          <w:p w14:paraId="490FD420"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7F49B539" w14:textId="77777777" w:rsidR="006210F3" w:rsidRPr="00B87CC5" w:rsidRDefault="006210F3" w:rsidP="00CD315F">
            <w:pPr>
              <w:pStyle w:val="TableText"/>
              <w:spacing w:before="20" w:after="20"/>
              <w:rPr>
                <w:rFonts w:cs="Calibri"/>
                <w:szCs w:val="18"/>
              </w:rPr>
            </w:pPr>
            <w:r w:rsidRPr="00B87CC5">
              <w:rPr>
                <w:rFonts w:cs="Calibri"/>
                <w:szCs w:val="18"/>
              </w:rPr>
              <w:t xml:space="preserve">Agricultural pricing </w:t>
            </w:r>
          </w:p>
        </w:tc>
        <w:tc>
          <w:tcPr>
            <w:tcW w:w="1032" w:type="pct"/>
          </w:tcPr>
          <w:p w14:paraId="49BA5799" w14:textId="77777777" w:rsidR="006210F3" w:rsidRPr="00B87CC5" w:rsidRDefault="006210F3" w:rsidP="00CD315F">
            <w:pPr>
              <w:pStyle w:val="TableText"/>
              <w:spacing w:before="20" w:after="20"/>
              <w:rPr>
                <w:rFonts w:cs="Calibri"/>
                <w:szCs w:val="18"/>
              </w:rPr>
            </w:pPr>
            <w:r w:rsidRPr="00B87CC5">
              <w:rPr>
                <w:rFonts w:cs="Calibri"/>
                <w:szCs w:val="18"/>
              </w:rPr>
              <w:t>From 2025</w:t>
            </w:r>
          </w:p>
        </w:tc>
        <w:tc>
          <w:tcPr>
            <w:tcW w:w="1108" w:type="pct"/>
            <w:shd w:val="clear" w:color="auto" w:fill="FFFFFF" w:themeFill="background1"/>
            <w:hideMark/>
          </w:tcPr>
          <w:p w14:paraId="0CBF6738"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729" w:type="pct"/>
            <w:shd w:val="clear" w:color="auto" w:fill="auto"/>
            <w:hideMark/>
          </w:tcPr>
          <w:p w14:paraId="25E792A2"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3FF108AC"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32856D87" w14:textId="77777777" w:rsidTr="006E361C">
        <w:trPr>
          <w:trHeight w:val="170"/>
        </w:trPr>
        <w:tc>
          <w:tcPr>
            <w:tcW w:w="374" w:type="pct"/>
            <w:vMerge/>
            <w:vAlign w:val="center"/>
            <w:hideMark/>
          </w:tcPr>
          <w:p w14:paraId="54E2F47C"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21CA1D01" w14:textId="77777777" w:rsidR="006210F3" w:rsidRPr="00B87CC5" w:rsidRDefault="006210F3" w:rsidP="00CD315F">
            <w:pPr>
              <w:pStyle w:val="TableText"/>
              <w:spacing w:before="20" w:after="20"/>
              <w:rPr>
                <w:rFonts w:cs="Calibri"/>
                <w:szCs w:val="18"/>
              </w:rPr>
            </w:pPr>
            <w:r w:rsidRPr="00B87CC5">
              <w:rPr>
                <w:rFonts w:cs="Calibri"/>
                <w:szCs w:val="18"/>
              </w:rPr>
              <w:t>Share of urea fertiliser coated with urease inhibitor</w:t>
            </w:r>
          </w:p>
        </w:tc>
        <w:tc>
          <w:tcPr>
            <w:tcW w:w="1032" w:type="pct"/>
          </w:tcPr>
          <w:p w14:paraId="61C76EAD" w14:textId="77777777" w:rsidR="006210F3" w:rsidRPr="00B87CC5" w:rsidRDefault="006210F3" w:rsidP="00CD315F">
            <w:pPr>
              <w:pStyle w:val="TableText"/>
              <w:spacing w:before="20" w:after="20"/>
              <w:rPr>
                <w:rFonts w:cs="Calibri"/>
                <w:szCs w:val="18"/>
              </w:rPr>
            </w:pPr>
            <w:r w:rsidRPr="00B87CC5">
              <w:rPr>
                <w:rFonts w:cs="Calibri"/>
                <w:szCs w:val="18"/>
              </w:rPr>
              <w:t>49% in 2023, rising to 80% by 2030 and staying constant to 2050</w:t>
            </w:r>
          </w:p>
        </w:tc>
        <w:tc>
          <w:tcPr>
            <w:tcW w:w="1108" w:type="pct"/>
            <w:shd w:val="clear" w:color="auto" w:fill="FFFFFF" w:themeFill="background1"/>
            <w:hideMark/>
          </w:tcPr>
          <w:p w14:paraId="3AEDCF58" w14:textId="77777777" w:rsidR="006210F3" w:rsidRPr="00B87CC5" w:rsidRDefault="006210F3" w:rsidP="00CD315F">
            <w:pPr>
              <w:pStyle w:val="TableText"/>
              <w:spacing w:before="20" w:after="20"/>
              <w:rPr>
                <w:rFonts w:cs="Calibri"/>
                <w:szCs w:val="18"/>
              </w:rPr>
            </w:pPr>
            <w:r w:rsidRPr="00B87CC5">
              <w:rPr>
                <w:rFonts w:cs="Calibri"/>
                <w:szCs w:val="18"/>
              </w:rPr>
              <w:t>Same as 2023 projections</w:t>
            </w:r>
          </w:p>
        </w:tc>
        <w:tc>
          <w:tcPr>
            <w:tcW w:w="729" w:type="pct"/>
            <w:shd w:val="clear" w:color="auto" w:fill="auto"/>
            <w:hideMark/>
          </w:tcPr>
          <w:p w14:paraId="50383D68"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1898A1D7"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63B626D3" w14:textId="77777777" w:rsidTr="006E361C">
        <w:trPr>
          <w:trHeight w:val="170"/>
        </w:trPr>
        <w:tc>
          <w:tcPr>
            <w:tcW w:w="374" w:type="pct"/>
            <w:vMerge/>
            <w:vAlign w:val="center"/>
            <w:hideMark/>
          </w:tcPr>
          <w:p w14:paraId="43C7A544"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5D1BF7A5" w14:textId="77777777" w:rsidR="006210F3" w:rsidRPr="00B87CC5" w:rsidRDefault="006210F3" w:rsidP="00CD315F">
            <w:pPr>
              <w:pStyle w:val="TableText"/>
              <w:spacing w:before="20" w:after="20"/>
              <w:rPr>
                <w:rFonts w:cs="Calibri"/>
                <w:szCs w:val="18"/>
              </w:rPr>
            </w:pPr>
            <w:r w:rsidRPr="00B87CC5">
              <w:rPr>
                <w:rFonts w:cs="Calibri"/>
                <w:szCs w:val="18"/>
              </w:rPr>
              <w:t>Low-methane breeding</w:t>
            </w:r>
          </w:p>
        </w:tc>
        <w:tc>
          <w:tcPr>
            <w:tcW w:w="1032" w:type="pct"/>
            <w:shd w:val="clear" w:color="auto" w:fill="FFFFFF" w:themeFill="background1"/>
          </w:tcPr>
          <w:p w14:paraId="14F85BE5" w14:textId="77777777" w:rsidR="006210F3" w:rsidRPr="00B87CC5" w:rsidRDefault="006210F3" w:rsidP="00CD315F">
            <w:pPr>
              <w:pStyle w:val="TableText"/>
              <w:spacing w:before="20" w:after="20"/>
              <w:rPr>
                <w:rFonts w:cs="Calibri"/>
                <w:color w:val="000000"/>
                <w:szCs w:val="18"/>
              </w:rPr>
            </w:pPr>
            <w:r w:rsidRPr="00B87CC5">
              <w:rPr>
                <w:rFonts w:cs="Calibri"/>
                <w:color w:val="000000"/>
                <w:szCs w:val="18"/>
              </w:rPr>
              <w:t>Beef: Efficacy</w:t>
            </w:r>
            <w:r w:rsidRPr="00B87CC5" w:rsidDel="00E72540">
              <w:rPr>
                <w:rFonts w:cs="Calibri"/>
                <w:color w:val="000000"/>
                <w:szCs w:val="18"/>
              </w:rPr>
              <w:t xml:space="preserve"> </w:t>
            </w:r>
            <w:r w:rsidRPr="00B87CC5">
              <w:rPr>
                <w:rFonts w:cs="Calibri"/>
                <w:color w:val="000000"/>
                <w:szCs w:val="18"/>
              </w:rPr>
              <w:t>1.6%. Cost $160 per t CO</w:t>
            </w:r>
            <w:r w:rsidRPr="00B87CC5">
              <w:rPr>
                <w:rFonts w:cs="Calibri"/>
                <w:color w:val="000000"/>
                <w:szCs w:val="18"/>
                <w:vertAlign w:val="subscript"/>
              </w:rPr>
              <w:t>2</w:t>
            </w:r>
            <w:r w:rsidRPr="00B87CC5">
              <w:rPr>
                <w:rFonts w:cs="Calibri"/>
                <w:color w:val="000000"/>
                <w:szCs w:val="18"/>
              </w:rPr>
              <w:t>-e. Adoption year</w:t>
            </w:r>
            <w:r w:rsidRPr="00B87CC5" w:rsidDel="00E72540">
              <w:rPr>
                <w:rFonts w:cs="Calibri"/>
                <w:color w:val="000000"/>
                <w:szCs w:val="18"/>
              </w:rPr>
              <w:t xml:space="preserve"> </w:t>
            </w:r>
            <w:r w:rsidRPr="00B87CC5">
              <w:rPr>
                <w:rFonts w:cs="Calibri"/>
                <w:color w:val="000000"/>
                <w:szCs w:val="18"/>
              </w:rPr>
              <w:t>2030</w:t>
            </w:r>
          </w:p>
          <w:p w14:paraId="16EA29B3" w14:textId="77777777" w:rsidR="006210F3" w:rsidRPr="00B87CC5" w:rsidRDefault="006210F3" w:rsidP="00CD315F">
            <w:pPr>
              <w:pStyle w:val="TableText"/>
              <w:spacing w:before="20" w:after="20"/>
              <w:rPr>
                <w:rFonts w:cs="Calibri"/>
                <w:color w:val="000000"/>
                <w:szCs w:val="18"/>
              </w:rPr>
            </w:pPr>
            <w:r w:rsidRPr="00B87CC5">
              <w:rPr>
                <w:rFonts w:cs="Calibri"/>
                <w:color w:val="000000"/>
                <w:szCs w:val="18"/>
              </w:rPr>
              <w:t>Dairy: Efficacy 1.6%. Cost $160 per t CO</w:t>
            </w:r>
            <w:r w:rsidRPr="00B87CC5">
              <w:rPr>
                <w:rFonts w:cs="Calibri"/>
                <w:color w:val="000000"/>
                <w:szCs w:val="18"/>
                <w:vertAlign w:val="subscript"/>
              </w:rPr>
              <w:t>2</w:t>
            </w:r>
            <w:r w:rsidRPr="00B87CC5">
              <w:rPr>
                <w:rFonts w:cs="Calibri"/>
                <w:color w:val="000000"/>
                <w:szCs w:val="18"/>
              </w:rPr>
              <w:t>-e. Adoption year 2028</w:t>
            </w:r>
          </w:p>
          <w:p w14:paraId="304E72C6" w14:textId="77777777" w:rsidR="006210F3" w:rsidRPr="00B87CC5" w:rsidRDefault="006210F3" w:rsidP="00CD315F">
            <w:pPr>
              <w:pStyle w:val="TableText"/>
              <w:spacing w:before="20" w:after="20"/>
              <w:rPr>
                <w:rFonts w:cs="Calibri"/>
                <w:color w:val="000000"/>
                <w:szCs w:val="18"/>
              </w:rPr>
            </w:pPr>
            <w:r w:rsidRPr="00B87CC5">
              <w:rPr>
                <w:rFonts w:cs="Calibri"/>
                <w:color w:val="000000"/>
                <w:szCs w:val="18"/>
              </w:rPr>
              <w:t>Sheep: Efficacy 0.5% to 4.4%. Cost $20 per t CO</w:t>
            </w:r>
            <w:r w:rsidRPr="00B87CC5">
              <w:rPr>
                <w:rFonts w:cs="Calibri"/>
                <w:color w:val="000000"/>
                <w:szCs w:val="18"/>
                <w:vertAlign w:val="subscript"/>
              </w:rPr>
              <w:t>2</w:t>
            </w:r>
            <w:r w:rsidRPr="00B87CC5">
              <w:rPr>
                <w:rFonts w:cs="Calibri"/>
                <w:color w:val="000000"/>
                <w:szCs w:val="18"/>
              </w:rPr>
              <w:t>-e. Adoption year 2025</w:t>
            </w:r>
          </w:p>
        </w:tc>
        <w:tc>
          <w:tcPr>
            <w:tcW w:w="1108" w:type="pct"/>
            <w:shd w:val="clear" w:color="auto" w:fill="FFFFFF" w:themeFill="background1"/>
            <w:hideMark/>
          </w:tcPr>
          <w:p w14:paraId="4C95D8FD" w14:textId="2AE9A4D9" w:rsidR="006210F3" w:rsidRPr="00B87CC5" w:rsidRDefault="006210F3" w:rsidP="00CD315F">
            <w:pPr>
              <w:pStyle w:val="TableText"/>
              <w:spacing w:before="20" w:after="20"/>
              <w:rPr>
                <w:rFonts w:cs="Calibri"/>
                <w:color w:val="000000"/>
                <w:szCs w:val="18"/>
              </w:rPr>
            </w:pPr>
            <w:r w:rsidRPr="00B87CC5">
              <w:rPr>
                <w:rFonts w:cs="Calibri"/>
                <w:color w:val="000000"/>
                <w:szCs w:val="18"/>
              </w:rPr>
              <w:t xml:space="preserve">Dairy: Efficacy </w:t>
            </w:r>
            <w:r w:rsidR="00F43859">
              <w:rPr>
                <w:rFonts w:cs="Calibri"/>
                <w:color w:val="000000"/>
                <w:szCs w:val="18"/>
              </w:rPr>
              <w:t>up to 13</w:t>
            </w:r>
            <w:r w:rsidRPr="00B87CC5">
              <w:rPr>
                <w:rFonts w:cs="Calibri"/>
                <w:color w:val="000000"/>
                <w:szCs w:val="18"/>
              </w:rPr>
              <w:t>%</w:t>
            </w:r>
            <w:r w:rsidR="00F43859">
              <w:rPr>
                <w:rFonts w:cs="Calibri"/>
                <w:color w:val="000000"/>
                <w:szCs w:val="18"/>
              </w:rPr>
              <w:t xml:space="preserve"> by 2050</w:t>
            </w:r>
            <w:r w:rsidRPr="00B87CC5">
              <w:rPr>
                <w:rFonts w:cs="Calibri"/>
                <w:color w:val="000000"/>
                <w:szCs w:val="18"/>
              </w:rPr>
              <w:t>.</w:t>
            </w:r>
            <w:r w:rsidRPr="00B87CC5" w:rsidDel="00E72540">
              <w:rPr>
                <w:rFonts w:cs="Calibri"/>
                <w:color w:val="000000"/>
                <w:szCs w:val="18"/>
              </w:rPr>
              <w:t xml:space="preserve"> </w:t>
            </w:r>
            <w:r w:rsidRPr="00B87CC5">
              <w:rPr>
                <w:rFonts w:cs="Calibri"/>
                <w:color w:val="000000"/>
                <w:szCs w:val="18"/>
              </w:rPr>
              <w:t>Cost $</w:t>
            </w:r>
            <w:r w:rsidR="00F43859">
              <w:rPr>
                <w:rFonts w:cs="Calibri"/>
                <w:color w:val="000000"/>
                <w:szCs w:val="18"/>
              </w:rPr>
              <w:t>25</w:t>
            </w:r>
            <w:r w:rsidR="00F43859" w:rsidRPr="00B87CC5">
              <w:rPr>
                <w:rFonts w:cs="Calibri"/>
                <w:color w:val="000000"/>
                <w:szCs w:val="18"/>
              </w:rPr>
              <w:t xml:space="preserve"> </w:t>
            </w:r>
            <w:r w:rsidRPr="00B87CC5">
              <w:rPr>
                <w:rFonts w:cs="Calibri"/>
                <w:color w:val="000000"/>
                <w:szCs w:val="18"/>
              </w:rPr>
              <w:t>per t CO</w:t>
            </w:r>
            <w:r w:rsidRPr="00B87CC5">
              <w:rPr>
                <w:rFonts w:cs="Calibri"/>
                <w:color w:val="000000"/>
                <w:szCs w:val="18"/>
                <w:vertAlign w:val="subscript"/>
              </w:rPr>
              <w:t>2</w:t>
            </w:r>
            <w:r w:rsidRPr="00B87CC5">
              <w:rPr>
                <w:rFonts w:cs="Calibri"/>
                <w:color w:val="000000"/>
                <w:szCs w:val="18"/>
              </w:rPr>
              <w:t>-e.</w:t>
            </w:r>
            <w:r w:rsidRPr="00B87CC5" w:rsidDel="00E72540">
              <w:rPr>
                <w:rFonts w:cs="Calibri"/>
                <w:color w:val="000000"/>
                <w:szCs w:val="18"/>
              </w:rPr>
              <w:t xml:space="preserve"> </w:t>
            </w:r>
            <w:r w:rsidRPr="00B87CC5">
              <w:rPr>
                <w:rFonts w:cs="Calibri"/>
                <w:color w:val="000000"/>
                <w:szCs w:val="18"/>
              </w:rPr>
              <w:t xml:space="preserve">Peak adoption 4%. </w:t>
            </w:r>
            <w:r w:rsidR="00672084">
              <w:rPr>
                <w:rFonts w:cs="Calibri"/>
                <w:color w:val="000000"/>
                <w:szCs w:val="18"/>
              </w:rPr>
              <w:t>Available</w:t>
            </w:r>
            <w:r w:rsidRPr="00B87CC5">
              <w:rPr>
                <w:rFonts w:cs="Calibri"/>
                <w:color w:val="000000"/>
                <w:szCs w:val="18"/>
              </w:rPr>
              <w:t xml:space="preserve"> year </w:t>
            </w:r>
            <w:r w:rsidR="00672084" w:rsidRPr="00B87CC5">
              <w:rPr>
                <w:rFonts w:cs="Calibri"/>
                <w:color w:val="000000"/>
                <w:szCs w:val="18"/>
              </w:rPr>
              <w:t>202</w:t>
            </w:r>
            <w:r w:rsidR="00672084">
              <w:rPr>
                <w:rFonts w:cs="Calibri"/>
                <w:color w:val="000000"/>
                <w:szCs w:val="18"/>
              </w:rPr>
              <w:t>9</w:t>
            </w:r>
            <w:r w:rsidRPr="00B87CC5">
              <w:rPr>
                <w:rFonts w:cs="Calibri"/>
                <w:color w:val="000000"/>
                <w:szCs w:val="18"/>
              </w:rPr>
              <w:t>.</w:t>
            </w:r>
            <w:r w:rsidR="00E4003E" w:rsidRPr="00B87CC5">
              <w:rPr>
                <w:rFonts w:cs="Calibri"/>
                <w:color w:val="000000"/>
                <w:szCs w:val="18"/>
              </w:rPr>
              <w:t xml:space="preserve"> </w:t>
            </w:r>
            <w:r w:rsidRPr="00B87CC5">
              <w:rPr>
                <w:rFonts w:cs="Calibri"/>
                <w:color w:val="000000"/>
                <w:szCs w:val="18"/>
              </w:rPr>
              <w:t xml:space="preserve">Peak adoption year </w:t>
            </w:r>
            <w:r w:rsidR="00672084" w:rsidRPr="00B87CC5">
              <w:rPr>
                <w:rFonts w:cs="Calibri"/>
                <w:color w:val="000000"/>
                <w:szCs w:val="18"/>
              </w:rPr>
              <w:t>20</w:t>
            </w:r>
            <w:r w:rsidR="00672084">
              <w:rPr>
                <w:rFonts w:cs="Calibri"/>
                <w:color w:val="000000"/>
                <w:szCs w:val="18"/>
              </w:rPr>
              <w:t>42.</w:t>
            </w:r>
          </w:p>
          <w:p w14:paraId="2BB2518E" w14:textId="49B5B31F" w:rsidR="006210F3" w:rsidRPr="00B87CC5" w:rsidRDefault="006210F3" w:rsidP="00CD315F">
            <w:pPr>
              <w:pStyle w:val="TableText"/>
              <w:spacing w:before="20" w:after="20"/>
              <w:rPr>
                <w:rFonts w:cs="Calibri"/>
                <w:color w:val="000000"/>
                <w:szCs w:val="18"/>
              </w:rPr>
            </w:pPr>
            <w:r w:rsidRPr="00B87CC5">
              <w:rPr>
                <w:rFonts w:cs="Calibri"/>
                <w:color w:val="000000"/>
                <w:szCs w:val="18"/>
              </w:rPr>
              <w:t>Sheep: Efficacy</w:t>
            </w:r>
            <w:r w:rsidRPr="00B87CC5" w:rsidDel="00E72540">
              <w:rPr>
                <w:rFonts w:cs="Calibri"/>
                <w:color w:val="000000"/>
                <w:szCs w:val="18"/>
              </w:rPr>
              <w:t xml:space="preserve"> </w:t>
            </w:r>
            <w:r w:rsidR="00F43859">
              <w:rPr>
                <w:rFonts w:cs="Calibri"/>
                <w:color w:val="000000"/>
                <w:szCs w:val="18"/>
              </w:rPr>
              <w:t>up to 17% by 2050</w:t>
            </w:r>
            <w:r w:rsidRPr="00B87CC5">
              <w:rPr>
                <w:rFonts w:cs="Calibri"/>
                <w:color w:val="000000"/>
                <w:szCs w:val="18"/>
              </w:rPr>
              <w:t>. Cost $2 per t CO</w:t>
            </w:r>
            <w:r w:rsidRPr="00B87CC5">
              <w:rPr>
                <w:rFonts w:cs="Calibri"/>
                <w:color w:val="000000"/>
                <w:szCs w:val="18"/>
                <w:vertAlign w:val="subscript"/>
              </w:rPr>
              <w:t>2</w:t>
            </w:r>
            <w:r w:rsidRPr="00B87CC5">
              <w:rPr>
                <w:rFonts w:cs="Calibri"/>
                <w:color w:val="000000"/>
                <w:szCs w:val="18"/>
              </w:rPr>
              <w:t>-e.</w:t>
            </w:r>
            <w:r w:rsidRPr="00B87CC5" w:rsidDel="00E72540">
              <w:rPr>
                <w:rFonts w:cs="Calibri"/>
                <w:color w:val="000000"/>
                <w:szCs w:val="18"/>
              </w:rPr>
              <w:t xml:space="preserve"> </w:t>
            </w:r>
            <w:r w:rsidRPr="00B87CC5">
              <w:rPr>
                <w:rFonts w:cs="Calibri"/>
                <w:color w:val="000000"/>
                <w:szCs w:val="18"/>
              </w:rPr>
              <w:t xml:space="preserve">Peak adoption </w:t>
            </w:r>
            <w:r w:rsidR="00672084">
              <w:rPr>
                <w:rFonts w:cs="Calibri"/>
                <w:color w:val="000000"/>
                <w:szCs w:val="18"/>
              </w:rPr>
              <w:t>4</w:t>
            </w:r>
            <w:r w:rsidRPr="00B87CC5">
              <w:rPr>
                <w:rFonts w:cs="Calibri"/>
                <w:color w:val="000000"/>
                <w:szCs w:val="18"/>
              </w:rPr>
              <w:t xml:space="preserve">%. </w:t>
            </w:r>
            <w:r w:rsidR="00672084" w:rsidRPr="00B87CC5">
              <w:rPr>
                <w:rFonts w:cs="Calibri"/>
                <w:color w:val="000000"/>
                <w:szCs w:val="18"/>
              </w:rPr>
              <w:t>A</w:t>
            </w:r>
            <w:r w:rsidR="00672084">
              <w:rPr>
                <w:rFonts w:cs="Calibri"/>
                <w:color w:val="000000"/>
                <w:szCs w:val="18"/>
              </w:rPr>
              <w:t>vailable</w:t>
            </w:r>
            <w:r w:rsidR="00672084" w:rsidRPr="00B87CC5">
              <w:rPr>
                <w:rFonts w:cs="Calibri"/>
                <w:color w:val="000000"/>
                <w:szCs w:val="18"/>
              </w:rPr>
              <w:t xml:space="preserve"> </w:t>
            </w:r>
            <w:r w:rsidRPr="00B87CC5">
              <w:rPr>
                <w:rFonts w:cs="Calibri"/>
                <w:color w:val="000000"/>
                <w:szCs w:val="18"/>
              </w:rPr>
              <w:t xml:space="preserve">year </w:t>
            </w:r>
            <w:r w:rsidR="00672084" w:rsidRPr="00B87CC5">
              <w:rPr>
                <w:rFonts w:cs="Calibri"/>
                <w:color w:val="000000"/>
                <w:szCs w:val="18"/>
              </w:rPr>
              <w:t>202</w:t>
            </w:r>
            <w:r w:rsidR="00672084">
              <w:rPr>
                <w:rFonts w:cs="Calibri"/>
                <w:color w:val="000000"/>
                <w:szCs w:val="18"/>
              </w:rPr>
              <w:t>6</w:t>
            </w:r>
            <w:r w:rsidRPr="00B87CC5">
              <w:rPr>
                <w:rFonts w:cs="Calibri"/>
                <w:color w:val="000000"/>
                <w:szCs w:val="18"/>
              </w:rPr>
              <w:t xml:space="preserve">. Peak adoption year </w:t>
            </w:r>
            <w:r w:rsidR="00672084" w:rsidRPr="00B87CC5">
              <w:rPr>
                <w:rFonts w:cs="Calibri"/>
                <w:color w:val="000000"/>
                <w:szCs w:val="18"/>
              </w:rPr>
              <w:t>20</w:t>
            </w:r>
            <w:r w:rsidR="00672084">
              <w:rPr>
                <w:rFonts w:cs="Calibri"/>
                <w:color w:val="000000"/>
                <w:szCs w:val="18"/>
              </w:rPr>
              <w:t>41</w:t>
            </w:r>
          </w:p>
          <w:p w14:paraId="72EF80C9" w14:textId="1184B127" w:rsidR="006210F3" w:rsidRPr="00B87CC5" w:rsidRDefault="006210F3" w:rsidP="00CD315F">
            <w:pPr>
              <w:pStyle w:val="TableText"/>
              <w:spacing w:before="20" w:after="20"/>
              <w:rPr>
                <w:rFonts w:cs="Calibri"/>
                <w:szCs w:val="18"/>
              </w:rPr>
            </w:pPr>
            <w:r w:rsidRPr="00B87CC5">
              <w:rPr>
                <w:rFonts w:cs="Calibri"/>
                <w:color w:val="000000"/>
                <w:szCs w:val="18"/>
              </w:rPr>
              <w:t>Beef: Efficacy</w:t>
            </w:r>
            <w:r w:rsidRPr="00B87CC5" w:rsidDel="00E72540">
              <w:rPr>
                <w:rFonts w:cs="Calibri"/>
                <w:color w:val="000000"/>
                <w:szCs w:val="18"/>
              </w:rPr>
              <w:t xml:space="preserve"> </w:t>
            </w:r>
            <w:r w:rsidR="00F43859">
              <w:rPr>
                <w:rFonts w:cs="Calibri"/>
                <w:color w:val="000000"/>
                <w:szCs w:val="18"/>
              </w:rPr>
              <w:t>up to 8</w:t>
            </w:r>
            <w:r w:rsidRPr="00B87CC5">
              <w:rPr>
                <w:rFonts w:cs="Calibri"/>
                <w:color w:val="000000"/>
                <w:szCs w:val="18"/>
              </w:rPr>
              <w:t>%</w:t>
            </w:r>
            <w:r w:rsidR="00F43859">
              <w:rPr>
                <w:rFonts w:cs="Calibri"/>
                <w:color w:val="000000"/>
                <w:szCs w:val="18"/>
              </w:rPr>
              <w:t xml:space="preserve"> by 2050</w:t>
            </w:r>
            <w:r w:rsidRPr="00B87CC5">
              <w:rPr>
                <w:rFonts w:cs="Calibri"/>
                <w:color w:val="000000"/>
                <w:szCs w:val="18"/>
              </w:rPr>
              <w:t>. Cost</w:t>
            </w:r>
            <w:r w:rsidRPr="00B87CC5" w:rsidDel="00E72540">
              <w:rPr>
                <w:rFonts w:cs="Calibri"/>
                <w:color w:val="000000"/>
                <w:szCs w:val="18"/>
              </w:rPr>
              <w:t xml:space="preserve"> </w:t>
            </w:r>
            <w:r w:rsidRPr="00B87CC5">
              <w:rPr>
                <w:rFonts w:cs="Calibri"/>
                <w:color w:val="000000"/>
                <w:szCs w:val="18"/>
              </w:rPr>
              <w:t>$</w:t>
            </w:r>
            <w:r w:rsidR="00F43859">
              <w:rPr>
                <w:rFonts w:cs="Calibri"/>
                <w:color w:val="000000"/>
                <w:szCs w:val="18"/>
              </w:rPr>
              <w:t>6</w:t>
            </w:r>
            <w:r w:rsidR="00F43859" w:rsidRPr="00B87CC5">
              <w:rPr>
                <w:rFonts w:cs="Calibri"/>
                <w:color w:val="000000"/>
                <w:szCs w:val="18"/>
              </w:rPr>
              <w:t xml:space="preserve"> </w:t>
            </w:r>
            <w:r w:rsidRPr="00B87CC5">
              <w:rPr>
                <w:rFonts w:cs="Calibri"/>
                <w:color w:val="000000"/>
                <w:szCs w:val="18"/>
              </w:rPr>
              <w:t>per t CO</w:t>
            </w:r>
            <w:r w:rsidRPr="00B87CC5">
              <w:rPr>
                <w:rFonts w:cs="Calibri"/>
                <w:color w:val="000000"/>
                <w:szCs w:val="18"/>
                <w:vertAlign w:val="subscript"/>
              </w:rPr>
              <w:t>2</w:t>
            </w:r>
            <w:r w:rsidRPr="00B87CC5">
              <w:rPr>
                <w:rFonts w:cs="Calibri"/>
                <w:color w:val="000000"/>
                <w:szCs w:val="18"/>
              </w:rPr>
              <w:t xml:space="preserve">-e. Peak adoption </w:t>
            </w:r>
            <w:r w:rsidR="00672084">
              <w:rPr>
                <w:rFonts w:cs="Calibri"/>
                <w:color w:val="000000"/>
                <w:szCs w:val="18"/>
              </w:rPr>
              <w:t>1</w:t>
            </w:r>
            <w:r w:rsidRPr="00B87CC5">
              <w:rPr>
                <w:rFonts w:cs="Calibri"/>
                <w:color w:val="000000"/>
                <w:szCs w:val="18"/>
              </w:rPr>
              <w:t>%. A</w:t>
            </w:r>
            <w:r w:rsidR="00672084">
              <w:rPr>
                <w:rFonts w:cs="Calibri"/>
                <w:color w:val="000000"/>
                <w:szCs w:val="18"/>
              </w:rPr>
              <w:t>vailable</w:t>
            </w:r>
            <w:r w:rsidRPr="00B87CC5">
              <w:rPr>
                <w:rFonts w:cs="Calibri"/>
                <w:color w:val="000000"/>
                <w:szCs w:val="18"/>
              </w:rPr>
              <w:t xml:space="preserve"> year </w:t>
            </w:r>
            <w:r w:rsidR="00672084" w:rsidRPr="00B87CC5">
              <w:rPr>
                <w:rFonts w:cs="Calibri"/>
                <w:color w:val="000000"/>
                <w:szCs w:val="18"/>
              </w:rPr>
              <w:t>203</w:t>
            </w:r>
            <w:r w:rsidR="00672084">
              <w:rPr>
                <w:rFonts w:cs="Calibri"/>
                <w:color w:val="000000"/>
                <w:szCs w:val="18"/>
              </w:rPr>
              <w:t>5</w:t>
            </w:r>
            <w:r w:rsidRPr="00B87CC5">
              <w:rPr>
                <w:rFonts w:cs="Calibri"/>
                <w:color w:val="000000"/>
                <w:szCs w:val="18"/>
              </w:rPr>
              <w:t>. Peak adoption year 20</w:t>
            </w:r>
            <w:r w:rsidR="00672084">
              <w:rPr>
                <w:rFonts w:cs="Calibri"/>
                <w:color w:val="000000"/>
                <w:szCs w:val="18"/>
              </w:rPr>
              <w:t>52</w:t>
            </w:r>
          </w:p>
        </w:tc>
        <w:tc>
          <w:tcPr>
            <w:tcW w:w="729" w:type="pct"/>
            <w:shd w:val="clear" w:color="auto" w:fill="auto"/>
            <w:hideMark/>
          </w:tcPr>
          <w:p w14:paraId="692C94CE"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6E55915A"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787665BB" w14:textId="77777777" w:rsidTr="006E361C">
        <w:trPr>
          <w:trHeight w:val="170"/>
        </w:trPr>
        <w:tc>
          <w:tcPr>
            <w:tcW w:w="374" w:type="pct"/>
            <w:vMerge/>
            <w:vAlign w:val="center"/>
            <w:hideMark/>
          </w:tcPr>
          <w:p w14:paraId="5DFC53AD"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34230AAF" w14:textId="77777777" w:rsidR="006210F3" w:rsidRPr="00B87CC5" w:rsidRDefault="006210F3" w:rsidP="00CD315F">
            <w:pPr>
              <w:pStyle w:val="TableText"/>
              <w:spacing w:before="20" w:after="20"/>
              <w:rPr>
                <w:rFonts w:cs="Calibri"/>
                <w:szCs w:val="18"/>
              </w:rPr>
            </w:pPr>
            <w:r w:rsidRPr="00B87CC5">
              <w:rPr>
                <w:rFonts w:cs="Calibri"/>
                <w:szCs w:val="18"/>
              </w:rPr>
              <w:t>Methane inhibitors (Bolus)</w:t>
            </w:r>
          </w:p>
        </w:tc>
        <w:tc>
          <w:tcPr>
            <w:tcW w:w="1032" w:type="pct"/>
            <w:shd w:val="clear" w:color="auto" w:fill="FFFFFF" w:themeFill="background1"/>
          </w:tcPr>
          <w:p w14:paraId="3F5DB890" w14:textId="77777777" w:rsidR="006210F3" w:rsidRPr="00B87CC5" w:rsidRDefault="006210F3" w:rsidP="00CD315F">
            <w:pPr>
              <w:pStyle w:val="TableText"/>
              <w:spacing w:before="20" w:after="20"/>
              <w:rPr>
                <w:rFonts w:cs="Calibri"/>
                <w:szCs w:val="18"/>
              </w:rPr>
            </w:pPr>
            <w:r w:rsidRPr="00B87CC5">
              <w:rPr>
                <w:rFonts w:cs="Calibri"/>
                <w:szCs w:val="18"/>
              </w:rPr>
              <w:t>None</w:t>
            </w:r>
          </w:p>
        </w:tc>
        <w:tc>
          <w:tcPr>
            <w:tcW w:w="1108" w:type="pct"/>
            <w:shd w:val="clear" w:color="auto" w:fill="FFFFFF" w:themeFill="background1"/>
            <w:hideMark/>
          </w:tcPr>
          <w:p w14:paraId="6D3CA84E" w14:textId="6DBBC1F7" w:rsidR="00F43859" w:rsidRDefault="006210F3" w:rsidP="00CD315F">
            <w:pPr>
              <w:pStyle w:val="TableText"/>
              <w:spacing w:before="20" w:after="20"/>
              <w:rPr>
                <w:rFonts w:cs="Calibri"/>
                <w:szCs w:val="18"/>
              </w:rPr>
            </w:pPr>
            <w:r w:rsidRPr="00B87CC5">
              <w:rPr>
                <w:rFonts w:cs="Calibri"/>
                <w:szCs w:val="18"/>
              </w:rPr>
              <w:t xml:space="preserve">Dairy and beef </w:t>
            </w:r>
            <w:r w:rsidR="00F43859">
              <w:rPr>
                <w:rFonts w:cs="Calibri"/>
                <w:szCs w:val="18"/>
              </w:rPr>
              <w:t>e</w:t>
            </w:r>
            <w:r w:rsidRPr="00B87CC5">
              <w:rPr>
                <w:rFonts w:cs="Calibri"/>
                <w:szCs w:val="18"/>
              </w:rPr>
              <w:t xml:space="preserve">fficacy </w:t>
            </w:r>
            <w:r w:rsidR="00F43859">
              <w:rPr>
                <w:rFonts w:cs="Calibri"/>
                <w:szCs w:val="18"/>
              </w:rPr>
              <w:t>45</w:t>
            </w:r>
            <w:r w:rsidRPr="00B87CC5">
              <w:rPr>
                <w:rFonts w:cs="Calibri"/>
                <w:szCs w:val="18"/>
              </w:rPr>
              <w:t xml:space="preserve">% reduction in ruminant methane. </w:t>
            </w:r>
          </w:p>
          <w:p w14:paraId="08270187" w14:textId="2A17D0AB" w:rsidR="00F43859" w:rsidRDefault="006210F3" w:rsidP="00CD315F">
            <w:pPr>
              <w:pStyle w:val="TableText"/>
              <w:spacing w:before="20" w:after="20"/>
              <w:rPr>
                <w:rFonts w:cs="Calibri"/>
                <w:szCs w:val="18"/>
              </w:rPr>
            </w:pPr>
            <w:r w:rsidRPr="00B87CC5">
              <w:rPr>
                <w:rFonts w:cs="Calibri"/>
                <w:szCs w:val="18"/>
              </w:rPr>
              <w:t>Cost $</w:t>
            </w:r>
            <w:r w:rsidR="00F43859">
              <w:rPr>
                <w:rFonts w:cs="Calibri"/>
                <w:szCs w:val="18"/>
              </w:rPr>
              <w:t>65</w:t>
            </w:r>
            <w:r w:rsidR="002150A2">
              <w:rPr>
                <w:rFonts w:cs="Calibri"/>
                <w:szCs w:val="18"/>
              </w:rPr>
              <w:t xml:space="preserve"> </w:t>
            </w:r>
            <w:r w:rsidRPr="00B87CC5">
              <w:rPr>
                <w:rFonts w:cs="Calibri"/>
                <w:szCs w:val="18"/>
              </w:rPr>
              <w:t>per t CO</w:t>
            </w:r>
            <w:r w:rsidRPr="00B87CC5">
              <w:rPr>
                <w:rFonts w:cs="Calibri"/>
                <w:szCs w:val="18"/>
                <w:vertAlign w:val="subscript"/>
              </w:rPr>
              <w:t>2</w:t>
            </w:r>
            <w:r w:rsidRPr="00B87CC5">
              <w:rPr>
                <w:rFonts w:cs="Calibri"/>
                <w:szCs w:val="18"/>
              </w:rPr>
              <w:t>-e</w:t>
            </w:r>
            <w:r w:rsidR="002150A2">
              <w:rPr>
                <w:rFonts w:cs="Calibri"/>
                <w:szCs w:val="18"/>
              </w:rPr>
              <w:t xml:space="preserve"> dairy, $77 beef</w:t>
            </w:r>
            <w:r w:rsidRPr="00B87CC5">
              <w:rPr>
                <w:rFonts w:cs="Calibri"/>
                <w:szCs w:val="18"/>
              </w:rPr>
              <w:t>.</w:t>
            </w:r>
            <w:r w:rsidR="00F43859">
              <w:rPr>
                <w:rFonts w:cs="Calibri"/>
                <w:szCs w:val="18"/>
              </w:rPr>
              <w:t xml:space="preserve"> </w:t>
            </w:r>
          </w:p>
          <w:p w14:paraId="097E2FC0" w14:textId="28774FCF" w:rsidR="006210F3" w:rsidRPr="00B87CC5" w:rsidRDefault="00F43859" w:rsidP="00CD315F">
            <w:pPr>
              <w:pStyle w:val="TableText"/>
              <w:spacing w:before="20" w:after="20"/>
              <w:rPr>
                <w:rFonts w:cs="Calibri"/>
                <w:szCs w:val="18"/>
              </w:rPr>
            </w:pPr>
            <w:r>
              <w:rPr>
                <w:rFonts w:cs="Calibri"/>
                <w:szCs w:val="18"/>
              </w:rPr>
              <w:t>Peak adoption 3% dairy, 2% beef</w:t>
            </w:r>
            <w:r w:rsidR="002150A2">
              <w:rPr>
                <w:rFonts w:cs="Calibri"/>
                <w:szCs w:val="18"/>
              </w:rPr>
              <w:t>.</w:t>
            </w:r>
            <w:r w:rsidR="006210F3" w:rsidRPr="00B87CC5">
              <w:rPr>
                <w:rFonts w:cs="Calibri"/>
                <w:szCs w:val="18"/>
              </w:rPr>
              <w:t xml:space="preserve"> </w:t>
            </w:r>
            <w:r w:rsidR="00672084" w:rsidRPr="00B87CC5">
              <w:rPr>
                <w:rFonts w:cs="Calibri"/>
                <w:szCs w:val="18"/>
              </w:rPr>
              <w:t>A</w:t>
            </w:r>
            <w:r w:rsidR="00672084">
              <w:rPr>
                <w:rFonts w:cs="Calibri"/>
                <w:szCs w:val="18"/>
              </w:rPr>
              <w:t>vailable</w:t>
            </w:r>
            <w:r w:rsidR="00672084" w:rsidRPr="00B87CC5">
              <w:rPr>
                <w:rFonts w:cs="Calibri"/>
                <w:szCs w:val="18"/>
              </w:rPr>
              <w:t xml:space="preserve"> </w:t>
            </w:r>
            <w:r w:rsidR="006210F3" w:rsidRPr="00B87CC5">
              <w:rPr>
                <w:rFonts w:cs="Calibri"/>
                <w:szCs w:val="18"/>
              </w:rPr>
              <w:t>year 20</w:t>
            </w:r>
            <w:r w:rsidR="00672084">
              <w:rPr>
                <w:rFonts w:cs="Calibri"/>
                <w:szCs w:val="18"/>
              </w:rPr>
              <w:t>28. Peak adoption year 2042</w:t>
            </w:r>
            <w:r>
              <w:rPr>
                <w:rFonts w:cs="Calibri"/>
                <w:szCs w:val="18"/>
              </w:rPr>
              <w:t xml:space="preserve"> dairy, 2047 beef.</w:t>
            </w:r>
          </w:p>
        </w:tc>
        <w:tc>
          <w:tcPr>
            <w:tcW w:w="729" w:type="pct"/>
            <w:shd w:val="clear" w:color="auto" w:fill="auto"/>
            <w:hideMark/>
          </w:tcPr>
          <w:p w14:paraId="48FA9E82"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FFFFFF" w:themeFill="background1"/>
            <w:hideMark/>
          </w:tcPr>
          <w:p w14:paraId="519FBF30"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4061CC26" w14:textId="77777777" w:rsidTr="006E361C">
        <w:trPr>
          <w:trHeight w:val="170"/>
        </w:trPr>
        <w:tc>
          <w:tcPr>
            <w:tcW w:w="374" w:type="pct"/>
            <w:vMerge/>
            <w:vAlign w:val="center"/>
            <w:hideMark/>
          </w:tcPr>
          <w:p w14:paraId="7129BA35" w14:textId="77777777" w:rsidR="006210F3" w:rsidRPr="00B87CC5" w:rsidRDefault="006210F3" w:rsidP="00CD315F">
            <w:pPr>
              <w:pStyle w:val="TableText"/>
              <w:spacing w:before="20" w:after="20"/>
              <w:rPr>
                <w:rFonts w:cs="Calibri"/>
                <w:szCs w:val="18"/>
              </w:rPr>
            </w:pPr>
          </w:p>
        </w:tc>
        <w:tc>
          <w:tcPr>
            <w:tcW w:w="891" w:type="pct"/>
            <w:shd w:val="clear" w:color="auto" w:fill="D9D9D9" w:themeFill="background1" w:themeFillShade="D9"/>
            <w:hideMark/>
          </w:tcPr>
          <w:p w14:paraId="68D96615" w14:textId="77777777" w:rsidR="006210F3" w:rsidRPr="00B87CC5" w:rsidRDefault="006210F3" w:rsidP="00CD315F">
            <w:pPr>
              <w:pStyle w:val="TableText"/>
              <w:spacing w:before="20" w:after="20"/>
              <w:rPr>
                <w:rFonts w:cs="Calibri"/>
                <w:szCs w:val="18"/>
              </w:rPr>
            </w:pPr>
            <w:proofErr w:type="spellStart"/>
            <w:r w:rsidRPr="00B87CC5">
              <w:rPr>
                <w:rFonts w:cs="Calibri"/>
                <w:szCs w:val="18"/>
              </w:rPr>
              <w:t>EcoPond</w:t>
            </w:r>
            <w:proofErr w:type="spellEnd"/>
            <w:r w:rsidRPr="00B87CC5">
              <w:rPr>
                <w:rFonts w:cs="Calibri"/>
                <w:szCs w:val="18"/>
              </w:rPr>
              <w:t>™</w:t>
            </w:r>
          </w:p>
        </w:tc>
        <w:tc>
          <w:tcPr>
            <w:tcW w:w="1032" w:type="pct"/>
            <w:shd w:val="clear" w:color="auto" w:fill="FFFFFF" w:themeFill="background1"/>
          </w:tcPr>
          <w:p w14:paraId="772E23F2" w14:textId="77777777" w:rsidR="006210F3" w:rsidRPr="00B87CC5" w:rsidRDefault="006210F3" w:rsidP="00CD315F">
            <w:pPr>
              <w:pStyle w:val="TableText"/>
              <w:spacing w:before="20" w:after="20"/>
              <w:rPr>
                <w:rFonts w:cs="Calibri"/>
                <w:szCs w:val="18"/>
              </w:rPr>
            </w:pPr>
            <w:r w:rsidRPr="00B87CC5">
              <w:rPr>
                <w:rFonts w:cs="Calibri"/>
                <w:szCs w:val="18"/>
              </w:rPr>
              <w:t>Efficacy: 90% methane from dairy effluent ponds. Cost: $143 per t CO</w:t>
            </w:r>
            <w:r w:rsidRPr="00B87CC5">
              <w:rPr>
                <w:rFonts w:cs="Calibri"/>
                <w:szCs w:val="18"/>
                <w:vertAlign w:val="subscript"/>
              </w:rPr>
              <w:t>2</w:t>
            </w:r>
            <w:r w:rsidRPr="00B87CC5">
              <w:rPr>
                <w:rFonts w:cs="Calibri"/>
                <w:szCs w:val="18"/>
              </w:rPr>
              <w:t xml:space="preserve">-e </w:t>
            </w:r>
          </w:p>
        </w:tc>
        <w:tc>
          <w:tcPr>
            <w:tcW w:w="1108" w:type="pct"/>
            <w:shd w:val="clear" w:color="auto" w:fill="auto"/>
            <w:hideMark/>
          </w:tcPr>
          <w:p w14:paraId="4025DF78" w14:textId="1DFCA102" w:rsidR="006210F3" w:rsidRPr="00B87CC5" w:rsidRDefault="006210F3" w:rsidP="00CD315F">
            <w:pPr>
              <w:pStyle w:val="TableText"/>
              <w:spacing w:before="20" w:after="20"/>
              <w:rPr>
                <w:rFonts w:cs="Calibri"/>
                <w:szCs w:val="18"/>
              </w:rPr>
            </w:pPr>
            <w:r w:rsidRPr="00B87CC5">
              <w:rPr>
                <w:rFonts w:cs="Calibri"/>
                <w:szCs w:val="18"/>
              </w:rPr>
              <w:t>Efficacy: 9</w:t>
            </w:r>
            <w:r w:rsidR="00F43859">
              <w:rPr>
                <w:rFonts w:cs="Calibri"/>
                <w:szCs w:val="18"/>
              </w:rPr>
              <w:t>2</w:t>
            </w:r>
            <w:r w:rsidRPr="00B87CC5">
              <w:rPr>
                <w:rFonts w:cs="Calibri"/>
                <w:szCs w:val="18"/>
              </w:rPr>
              <w:t>% methane from dairy effluent ponds.</w:t>
            </w:r>
            <w:r w:rsidR="00F43859">
              <w:rPr>
                <w:rFonts w:cs="Calibri"/>
                <w:szCs w:val="18"/>
              </w:rPr>
              <w:t xml:space="preserve"> Peak adoption 2%.</w:t>
            </w:r>
            <w:r w:rsidR="00672084">
              <w:rPr>
                <w:rFonts w:cs="Calibri"/>
                <w:szCs w:val="18"/>
              </w:rPr>
              <w:t xml:space="preserve"> Available year 2025.</w:t>
            </w:r>
            <w:r w:rsidRPr="00B87CC5" w:rsidDel="00BA3491">
              <w:rPr>
                <w:rFonts w:cs="Calibri"/>
                <w:szCs w:val="18"/>
              </w:rPr>
              <w:t xml:space="preserve"> </w:t>
            </w:r>
            <w:r w:rsidRPr="00B87CC5">
              <w:rPr>
                <w:rFonts w:cs="Calibri"/>
                <w:szCs w:val="18"/>
              </w:rPr>
              <w:t>Peak adoption year: 2037.</w:t>
            </w:r>
            <w:r w:rsidRPr="00B87CC5" w:rsidDel="001E322D">
              <w:rPr>
                <w:rFonts w:cs="Calibri"/>
                <w:szCs w:val="18"/>
              </w:rPr>
              <w:t xml:space="preserve"> </w:t>
            </w:r>
            <w:r w:rsidRPr="00B87CC5">
              <w:rPr>
                <w:rFonts w:cs="Calibri"/>
                <w:szCs w:val="18"/>
              </w:rPr>
              <w:t>Cost: $35 per t CO</w:t>
            </w:r>
            <w:r w:rsidRPr="00B87CC5">
              <w:rPr>
                <w:rFonts w:cs="Calibri"/>
                <w:szCs w:val="18"/>
                <w:vertAlign w:val="subscript"/>
              </w:rPr>
              <w:t>2</w:t>
            </w:r>
            <w:r w:rsidRPr="00B87CC5">
              <w:rPr>
                <w:rFonts w:cs="Calibri"/>
                <w:szCs w:val="18"/>
              </w:rPr>
              <w:t xml:space="preserve">-e </w:t>
            </w:r>
          </w:p>
        </w:tc>
        <w:tc>
          <w:tcPr>
            <w:tcW w:w="729" w:type="pct"/>
            <w:shd w:val="clear" w:color="auto" w:fill="auto"/>
            <w:hideMark/>
          </w:tcPr>
          <w:p w14:paraId="07FACF72"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3BF4FB84"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1BE6CF01" w14:textId="77777777" w:rsidTr="006E361C">
        <w:trPr>
          <w:trHeight w:val="170"/>
        </w:trPr>
        <w:tc>
          <w:tcPr>
            <w:tcW w:w="1265" w:type="pct"/>
            <w:gridSpan w:val="2"/>
            <w:shd w:val="clear" w:color="auto" w:fill="1C556C" w:themeFill="accent1"/>
            <w:vAlign w:val="center"/>
            <w:hideMark/>
          </w:tcPr>
          <w:p w14:paraId="02E19571" w14:textId="77777777" w:rsidR="006210F3" w:rsidRPr="00B87CC5" w:rsidRDefault="006210F3" w:rsidP="00CD315F">
            <w:pPr>
              <w:keepNext/>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WASTE AND F-GASES</w:t>
            </w:r>
          </w:p>
        </w:tc>
        <w:tc>
          <w:tcPr>
            <w:tcW w:w="1032" w:type="pct"/>
            <w:shd w:val="clear" w:color="auto" w:fill="1C556C" w:themeFill="accent1"/>
          </w:tcPr>
          <w:p w14:paraId="232EB60B" w14:textId="77777777" w:rsidR="006210F3" w:rsidRPr="00B87CC5" w:rsidRDefault="006210F3" w:rsidP="00CD315F">
            <w:pPr>
              <w:spacing w:before="20" w:after="20" w:line="240" w:lineRule="auto"/>
              <w:jc w:val="left"/>
              <w:rPr>
                <w:rFonts w:eastAsia="Times New Roman" w:cs="Calibri"/>
                <w:b/>
                <w:bCs/>
                <w:color w:val="FFFFFF"/>
                <w:sz w:val="18"/>
                <w:szCs w:val="18"/>
              </w:rPr>
            </w:pPr>
          </w:p>
        </w:tc>
        <w:tc>
          <w:tcPr>
            <w:tcW w:w="1108" w:type="pct"/>
            <w:shd w:val="clear" w:color="auto" w:fill="1C556C" w:themeFill="accent1"/>
            <w:vAlign w:val="center"/>
            <w:hideMark/>
          </w:tcPr>
          <w:p w14:paraId="520A7AFF"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c>
          <w:tcPr>
            <w:tcW w:w="729" w:type="pct"/>
            <w:shd w:val="clear" w:color="auto" w:fill="1C556C" w:themeFill="accent1"/>
            <w:vAlign w:val="center"/>
            <w:hideMark/>
          </w:tcPr>
          <w:p w14:paraId="771D5F8D"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c>
          <w:tcPr>
            <w:tcW w:w="866" w:type="pct"/>
            <w:shd w:val="clear" w:color="auto" w:fill="1C556C" w:themeFill="accent1"/>
            <w:vAlign w:val="center"/>
            <w:hideMark/>
          </w:tcPr>
          <w:p w14:paraId="3CE79909" w14:textId="77777777" w:rsidR="006210F3" w:rsidRPr="00B87CC5" w:rsidRDefault="006210F3" w:rsidP="00CD315F">
            <w:pPr>
              <w:spacing w:before="20" w:after="20" w:line="240" w:lineRule="auto"/>
              <w:jc w:val="left"/>
              <w:rPr>
                <w:rFonts w:eastAsia="Times New Roman" w:cs="Calibri"/>
                <w:b/>
                <w:bCs/>
                <w:color w:val="FFFFFF"/>
                <w:sz w:val="18"/>
                <w:szCs w:val="18"/>
              </w:rPr>
            </w:pPr>
            <w:r w:rsidRPr="00B87CC5">
              <w:rPr>
                <w:rFonts w:eastAsia="Times New Roman" w:cs="Calibri"/>
                <w:b/>
                <w:bCs/>
                <w:color w:val="FFFFFF"/>
                <w:sz w:val="18"/>
                <w:szCs w:val="18"/>
              </w:rPr>
              <w:t> </w:t>
            </w:r>
          </w:p>
        </w:tc>
      </w:tr>
      <w:tr w:rsidR="006210F3" w:rsidRPr="00B87CC5" w14:paraId="40EAFDE4" w14:textId="77777777" w:rsidTr="006E361C">
        <w:trPr>
          <w:trHeight w:val="170"/>
        </w:trPr>
        <w:tc>
          <w:tcPr>
            <w:tcW w:w="374" w:type="pct"/>
            <w:vMerge w:val="restart"/>
            <w:shd w:val="clear" w:color="auto" w:fill="E7E7E7"/>
            <w:textDirection w:val="btLr"/>
            <w:vAlign w:val="center"/>
            <w:hideMark/>
          </w:tcPr>
          <w:p w14:paraId="00A01FF3" w14:textId="77777777" w:rsidR="006210F3" w:rsidRPr="00B87CC5" w:rsidRDefault="006210F3" w:rsidP="00CD315F">
            <w:pPr>
              <w:pStyle w:val="TableText"/>
              <w:spacing w:before="20" w:after="20"/>
              <w:jc w:val="center"/>
              <w:rPr>
                <w:rFonts w:cs="Calibri"/>
                <w:b/>
                <w:szCs w:val="18"/>
              </w:rPr>
            </w:pPr>
            <w:r w:rsidRPr="00B87CC5">
              <w:rPr>
                <w:rFonts w:cs="Calibri"/>
                <w:b/>
                <w:szCs w:val="18"/>
              </w:rPr>
              <w:t>Waste</w:t>
            </w:r>
          </w:p>
        </w:tc>
        <w:tc>
          <w:tcPr>
            <w:tcW w:w="891" w:type="pct"/>
            <w:shd w:val="clear" w:color="auto" w:fill="E8E8E8"/>
            <w:hideMark/>
          </w:tcPr>
          <w:p w14:paraId="19F664CD" w14:textId="77777777" w:rsidR="006210F3" w:rsidRPr="00B87CC5" w:rsidRDefault="006210F3" w:rsidP="00CD315F">
            <w:pPr>
              <w:pStyle w:val="TableText"/>
              <w:spacing w:before="20" w:after="20"/>
              <w:rPr>
                <w:rFonts w:cs="Calibri"/>
                <w:color w:val="000000"/>
                <w:szCs w:val="18"/>
              </w:rPr>
            </w:pPr>
            <w:r w:rsidRPr="00B87CC5">
              <w:rPr>
                <w:rFonts w:cs="Calibri"/>
                <w:color w:val="000000"/>
                <w:szCs w:val="18"/>
              </w:rPr>
              <w:t>Optimal landfill gas (LFG) capture systems</w:t>
            </w:r>
          </w:p>
        </w:tc>
        <w:tc>
          <w:tcPr>
            <w:tcW w:w="1032" w:type="pct"/>
            <w:shd w:val="clear" w:color="auto" w:fill="FFFFFF" w:themeFill="background1"/>
          </w:tcPr>
          <w:p w14:paraId="1C85D6CE" w14:textId="77777777" w:rsidR="006210F3" w:rsidRPr="00B87CC5" w:rsidRDefault="006210F3" w:rsidP="00CD315F">
            <w:pPr>
              <w:pStyle w:val="TableText"/>
              <w:spacing w:before="20" w:after="20"/>
              <w:rPr>
                <w:rFonts w:cs="Calibri"/>
                <w:szCs w:val="18"/>
              </w:rPr>
            </w:pPr>
            <w:r w:rsidRPr="00B87CC5">
              <w:rPr>
                <w:rFonts w:cs="Calibri"/>
                <w:szCs w:val="18"/>
              </w:rPr>
              <w:t>Minimum LFG capture rates: Municipal open landfills have 68% in 2022, increasing to 69% in 2030</w:t>
            </w:r>
          </w:p>
          <w:p w14:paraId="558E6301" w14:textId="77777777" w:rsidR="006210F3" w:rsidRPr="00B87CC5" w:rsidRDefault="006210F3" w:rsidP="00CD315F">
            <w:pPr>
              <w:pStyle w:val="TableText"/>
              <w:spacing w:before="20" w:after="20"/>
              <w:rPr>
                <w:rFonts w:cs="Calibri"/>
                <w:szCs w:val="18"/>
              </w:rPr>
            </w:pPr>
            <w:r w:rsidRPr="00B87CC5">
              <w:rPr>
                <w:rFonts w:cs="Calibri"/>
                <w:szCs w:val="18"/>
              </w:rPr>
              <w:t xml:space="preserve">Municipal closed landfills have a constant efficiency of 52% </w:t>
            </w:r>
          </w:p>
          <w:p w14:paraId="52790E77" w14:textId="77777777" w:rsidR="006210F3" w:rsidRPr="00B87CC5" w:rsidRDefault="006210F3" w:rsidP="00CD315F">
            <w:pPr>
              <w:pStyle w:val="TableText"/>
              <w:spacing w:before="20" w:after="20"/>
              <w:rPr>
                <w:rFonts w:cs="Calibri"/>
                <w:szCs w:val="18"/>
              </w:rPr>
            </w:pPr>
            <w:r w:rsidRPr="00B87CC5">
              <w:rPr>
                <w:rFonts w:cs="Calibri"/>
                <w:szCs w:val="18"/>
              </w:rPr>
              <w:t xml:space="preserve">Municipal facilities with no LFG are assumed to have a 20% efficiency starting 2027, 39% in 2028 and 59% constant until 2050 </w:t>
            </w:r>
          </w:p>
        </w:tc>
        <w:tc>
          <w:tcPr>
            <w:tcW w:w="1108" w:type="pct"/>
            <w:shd w:val="clear" w:color="auto" w:fill="FFFFFF" w:themeFill="background1"/>
            <w:hideMark/>
          </w:tcPr>
          <w:p w14:paraId="092CDF5F" w14:textId="77777777" w:rsidR="006210F3" w:rsidRPr="00B87CC5" w:rsidRDefault="006210F3" w:rsidP="00CD315F">
            <w:pPr>
              <w:pStyle w:val="TableText"/>
              <w:spacing w:before="20" w:after="20"/>
              <w:rPr>
                <w:rFonts w:cs="Calibri"/>
                <w:szCs w:val="18"/>
              </w:rPr>
            </w:pPr>
            <w:r w:rsidRPr="00B87CC5">
              <w:rPr>
                <w:rFonts w:cs="Calibri"/>
                <w:szCs w:val="18"/>
              </w:rPr>
              <w:t>Municipal open landfills have a constant LFG efficiency of 68%</w:t>
            </w:r>
          </w:p>
          <w:p w14:paraId="198207D2" w14:textId="77777777" w:rsidR="006210F3" w:rsidRPr="00B87CC5" w:rsidRDefault="006210F3" w:rsidP="00CD315F">
            <w:pPr>
              <w:pStyle w:val="TableText"/>
              <w:spacing w:before="20" w:after="20"/>
              <w:rPr>
                <w:rFonts w:cs="Calibri"/>
                <w:szCs w:val="18"/>
              </w:rPr>
            </w:pPr>
            <w:r w:rsidRPr="00B87CC5">
              <w:rPr>
                <w:rFonts w:cs="Calibri"/>
                <w:szCs w:val="18"/>
              </w:rPr>
              <w:t>Municipal closed landfills have a constant LFG efficiency of 52%</w:t>
            </w:r>
          </w:p>
          <w:p w14:paraId="2C72C1A2" w14:textId="77777777" w:rsidR="006210F3" w:rsidRPr="00B87CC5" w:rsidRDefault="006210F3" w:rsidP="00CD315F">
            <w:pPr>
              <w:pStyle w:val="TableText"/>
              <w:spacing w:before="20" w:after="20"/>
              <w:rPr>
                <w:rFonts w:cs="Calibri"/>
                <w:szCs w:val="18"/>
              </w:rPr>
            </w:pPr>
            <w:r w:rsidRPr="00B87CC5">
              <w:rPr>
                <w:rFonts w:cs="Calibri"/>
                <w:szCs w:val="18"/>
              </w:rPr>
              <w:t>Municipal facilities with no LFG maintain no LFG until 2050</w:t>
            </w:r>
          </w:p>
        </w:tc>
        <w:tc>
          <w:tcPr>
            <w:tcW w:w="729" w:type="pct"/>
            <w:shd w:val="clear" w:color="auto" w:fill="auto"/>
            <w:hideMark/>
          </w:tcPr>
          <w:p w14:paraId="497B1C1F" w14:textId="77777777" w:rsidR="006210F3" w:rsidRPr="00B87CC5" w:rsidRDefault="006210F3" w:rsidP="00CD315F">
            <w:pPr>
              <w:pStyle w:val="TableText"/>
              <w:spacing w:before="20" w:after="20"/>
              <w:rPr>
                <w:rFonts w:cs="Calibri"/>
                <w:szCs w:val="18"/>
              </w:rPr>
            </w:pPr>
            <w:r w:rsidRPr="00B87CC5">
              <w:rPr>
                <w:rFonts w:cs="Calibri"/>
                <w:szCs w:val="18"/>
              </w:rPr>
              <w:t>Waste tonnage 1% lower by 2030</w:t>
            </w:r>
          </w:p>
        </w:tc>
        <w:tc>
          <w:tcPr>
            <w:tcW w:w="866" w:type="pct"/>
            <w:shd w:val="clear" w:color="auto" w:fill="auto"/>
            <w:hideMark/>
          </w:tcPr>
          <w:p w14:paraId="12F2BAEA" w14:textId="77777777" w:rsidR="006210F3" w:rsidRPr="00B87CC5" w:rsidRDefault="006210F3" w:rsidP="00CD315F">
            <w:pPr>
              <w:pStyle w:val="TableText"/>
              <w:spacing w:before="20" w:after="20"/>
              <w:rPr>
                <w:rFonts w:cs="Calibri"/>
                <w:szCs w:val="18"/>
              </w:rPr>
            </w:pPr>
            <w:r w:rsidRPr="00B87CC5">
              <w:rPr>
                <w:rFonts w:cs="Calibri"/>
                <w:szCs w:val="18"/>
              </w:rPr>
              <w:t>Waste tonnage 2% higher by 2030. Municipal open landfills have a constant LFG efficiency of 20%</w:t>
            </w:r>
          </w:p>
          <w:p w14:paraId="04F95AD5" w14:textId="77777777" w:rsidR="006210F3" w:rsidRPr="00B87CC5" w:rsidRDefault="006210F3" w:rsidP="00CD315F">
            <w:pPr>
              <w:pStyle w:val="TableText"/>
              <w:spacing w:before="20" w:after="20"/>
              <w:rPr>
                <w:rFonts w:cs="Calibri"/>
                <w:szCs w:val="18"/>
              </w:rPr>
            </w:pPr>
            <w:r w:rsidRPr="00B87CC5">
              <w:rPr>
                <w:rFonts w:cs="Calibri"/>
                <w:szCs w:val="18"/>
              </w:rPr>
              <w:t>Municipal closed landfills have a constant LFG efficiency of 20%</w:t>
            </w:r>
          </w:p>
          <w:p w14:paraId="6D1E5D37" w14:textId="77777777" w:rsidR="006210F3" w:rsidRPr="00B87CC5" w:rsidRDefault="006210F3" w:rsidP="00CD315F">
            <w:pPr>
              <w:pStyle w:val="TableText"/>
              <w:spacing w:before="20" w:after="20"/>
              <w:rPr>
                <w:rFonts w:cs="Calibri"/>
                <w:szCs w:val="18"/>
              </w:rPr>
            </w:pPr>
            <w:r w:rsidRPr="00B87CC5">
              <w:rPr>
                <w:rFonts w:cs="Calibri"/>
                <w:szCs w:val="18"/>
              </w:rPr>
              <w:t>Municipal facilities with no LFG maintain no LFG until 2050</w:t>
            </w:r>
          </w:p>
        </w:tc>
      </w:tr>
      <w:tr w:rsidR="006210F3" w:rsidRPr="00B87CC5" w14:paraId="726C42F3" w14:textId="77777777" w:rsidTr="006E361C">
        <w:trPr>
          <w:trHeight w:val="170"/>
        </w:trPr>
        <w:tc>
          <w:tcPr>
            <w:tcW w:w="374" w:type="pct"/>
            <w:vMerge/>
            <w:vAlign w:val="center"/>
            <w:hideMark/>
          </w:tcPr>
          <w:p w14:paraId="121AF7DC" w14:textId="77777777" w:rsidR="006210F3" w:rsidRPr="00B87CC5" w:rsidRDefault="006210F3" w:rsidP="00CD315F">
            <w:pPr>
              <w:pStyle w:val="TableText"/>
              <w:spacing w:before="20" w:after="20"/>
              <w:rPr>
                <w:rFonts w:cs="Calibri"/>
                <w:szCs w:val="18"/>
              </w:rPr>
            </w:pPr>
          </w:p>
        </w:tc>
        <w:tc>
          <w:tcPr>
            <w:tcW w:w="891" w:type="pct"/>
            <w:shd w:val="clear" w:color="auto" w:fill="E8E8E8"/>
            <w:hideMark/>
          </w:tcPr>
          <w:p w14:paraId="2FA37935" w14:textId="77777777" w:rsidR="006210F3" w:rsidRPr="00B87CC5" w:rsidRDefault="006210F3" w:rsidP="00CD315F">
            <w:pPr>
              <w:pStyle w:val="TableText"/>
              <w:spacing w:before="20" w:after="20"/>
              <w:rPr>
                <w:rFonts w:cs="Calibri"/>
                <w:szCs w:val="18"/>
              </w:rPr>
            </w:pPr>
            <w:r w:rsidRPr="00B87CC5">
              <w:rPr>
                <w:rFonts w:cs="Calibri"/>
                <w:szCs w:val="18"/>
              </w:rPr>
              <w:t>Anaerobic digestion (AD)</w:t>
            </w:r>
          </w:p>
        </w:tc>
        <w:tc>
          <w:tcPr>
            <w:tcW w:w="1032" w:type="pct"/>
            <w:shd w:val="clear" w:color="auto" w:fill="FFFFFF" w:themeFill="background1"/>
          </w:tcPr>
          <w:p w14:paraId="2D6DA844" w14:textId="77777777" w:rsidR="006210F3" w:rsidRPr="00B87CC5" w:rsidRDefault="006210F3" w:rsidP="00CD315F">
            <w:pPr>
              <w:pStyle w:val="TableText"/>
              <w:spacing w:before="20" w:after="20"/>
              <w:rPr>
                <w:rFonts w:cs="Calibri"/>
                <w:szCs w:val="18"/>
              </w:rPr>
            </w:pPr>
            <w:r w:rsidRPr="00B87CC5">
              <w:rPr>
                <w:rFonts w:cs="Calibri"/>
                <w:szCs w:val="18"/>
              </w:rPr>
              <w:t>Diversion to AD begins in 2023 at 7.5 kt per year, and increases to 23.2 kt per year in 2025,</w:t>
            </w:r>
            <w:r w:rsidRPr="00B87CC5" w:rsidDel="00573985">
              <w:rPr>
                <w:rFonts w:cs="Calibri"/>
                <w:szCs w:val="18"/>
              </w:rPr>
              <w:t xml:space="preserve"> </w:t>
            </w:r>
            <w:r w:rsidRPr="00B87CC5">
              <w:rPr>
                <w:rFonts w:cs="Calibri"/>
                <w:szCs w:val="18"/>
              </w:rPr>
              <w:t>78 kt per year (1% of municipal waste) in 2035 and 80 kt per year (2%) in 2050</w:t>
            </w:r>
          </w:p>
        </w:tc>
        <w:tc>
          <w:tcPr>
            <w:tcW w:w="1108" w:type="pct"/>
            <w:shd w:val="clear" w:color="auto" w:fill="FFFFFF" w:themeFill="background1"/>
            <w:hideMark/>
          </w:tcPr>
          <w:p w14:paraId="62DD1384" w14:textId="77777777" w:rsidR="006210F3" w:rsidRPr="00B87CC5" w:rsidRDefault="006210F3" w:rsidP="00CD315F">
            <w:pPr>
              <w:pStyle w:val="TableText"/>
              <w:spacing w:before="20" w:after="20"/>
              <w:rPr>
                <w:rFonts w:cs="Calibri"/>
                <w:szCs w:val="18"/>
              </w:rPr>
            </w:pPr>
            <w:r w:rsidRPr="00B87CC5">
              <w:rPr>
                <w:rFonts w:cs="Calibri"/>
                <w:szCs w:val="18"/>
              </w:rPr>
              <w:t>Diversion to AD in 2023 is 60 kt per year, and increases to 100 kt per year in 2025,</w:t>
            </w:r>
            <w:r w:rsidRPr="00B87CC5" w:rsidDel="00E50EAD">
              <w:rPr>
                <w:rFonts w:cs="Calibri"/>
                <w:szCs w:val="18"/>
              </w:rPr>
              <w:t xml:space="preserve"> </w:t>
            </w:r>
            <w:r w:rsidRPr="00B87CC5">
              <w:rPr>
                <w:rFonts w:cs="Calibri"/>
                <w:szCs w:val="18"/>
              </w:rPr>
              <w:t>140 kt per year (4% of municipal waste) in 2035, and 200 kt per year (6%) in 2050. Volumes based on total available capacity projections</w:t>
            </w:r>
          </w:p>
        </w:tc>
        <w:tc>
          <w:tcPr>
            <w:tcW w:w="729" w:type="pct"/>
            <w:shd w:val="clear" w:color="auto" w:fill="auto"/>
            <w:hideMark/>
          </w:tcPr>
          <w:p w14:paraId="56428E7C"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52611B97"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1F0D5BEE" w14:textId="77777777" w:rsidTr="006E361C">
        <w:trPr>
          <w:trHeight w:val="170"/>
        </w:trPr>
        <w:tc>
          <w:tcPr>
            <w:tcW w:w="374" w:type="pct"/>
            <w:vMerge/>
            <w:vAlign w:val="center"/>
            <w:hideMark/>
          </w:tcPr>
          <w:p w14:paraId="3E514EFA" w14:textId="77777777" w:rsidR="006210F3" w:rsidRPr="00B87CC5" w:rsidRDefault="006210F3" w:rsidP="00CD315F">
            <w:pPr>
              <w:pStyle w:val="TableText"/>
              <w:spacing w:before="20" w:after="20"/>
              <w:rPr>
                <w:rFonts w:cs="Calibri"/>
                <w:szCs w:val="18"/>
              </w:rPr>
            </w:pPr>
          </w:p>
        </w:tc>
        <w:tc>
          <w:tcPr>
            <w:tcW w:w="891" w:type="pct"/>
            <w:shd w:val="clear" w:color="auto" w:fill="E8E8E8"/>
            <w:hideMark/>
          </w:tcPr>
          <w:p w14:paraId="504F9979" w14:textId="77777777" w:rsidR="006210F3" w:rsidRPr="00B87CC5" w:rsidRDefault="006210F3" w:rsidP="00CD315F">
            <w:pPr>
              <w:pStyle w:val="TableText"/>
              <w:spacing w:before="20" w:after="20"/>
              <w:rPr>
                <w:rFonts w:cs="Calibri"/>
                <w:szCs w:val="18"/>
              </w:rPr>
            </w:pPr>
            <w:r w:rsidRPr="00B87CC5">
              <w:rPr>
                <w:rFonts w:cs="Calibri"/>
                <w:szCs w:val="18"/>
              </w:rPr>
              <w:t>Composting</w:t>
            </w:r>
          </w:p>
        </w:tc>
        <w:tc>
          <w:tcPr>
            <w:tcW w:w="1032" w:type="pct"/>
            <w:shd w:val="clear" w:color="auto" w:fill="FFFFFF" w:themeFill="background1"/>
          </w:tcPr>
          <w:p w14:paraId="18BF89D5" w14:textId="77777777" w:rsidR="006210F3" w:rsidRPr="00B87CC5" w:rsidRDefault="006210F3" w:rsidP="00CD315F">
            <w:pPr>
              <w:pStyle w:val="TableText"/>
              <w:spacing w:before="20" w:after="20"/>
              <w:rPr>
                <w:rFonts w:cs="Calibri"/>
                <w:szCs w:val="18"/>
              </w:rPr>
            </w:pPr>
            <w:r w:rsidRPr="00B87CC5">
              <w:rPr>
                <w:rFonts w:cs="Calibri"/>
                <w:szCs w:val="18"/>
              </w:rPr>
              <w:t>Diversion to composting increases from 2009 at 39 kt per year (1%) to 487 kt per year in 2025, 635 kt per year in 2035 and 678 kt per year (20%) in 2050</w:t>
            </w:r>
          </w:p>
        </w:tc>
        <w:tc>
          <w:tcPr>
            <w:tcW w:w="1108" w:type="pct"/>
            <w:shd w:val="clear" w:color="auto" w:fill="FFFFFF" w:themeFill="background1"/>
            <w:hideMark/>
          </w:tcPr>
          <w:p w14:paraId="07175FD0" w14:textId="77777777" w:rsidR="006210F3" w:rsidRPr="00B87CC5" w:rsidRDefault="006210F3" w:rsidP="00CD315F">
            <w:pPr>
              <w:pStyle w:val="TableText"/>
              <w:spacing w:before="20" w:after="20"/>
              <w:rPr>
                <w:rFonts w:cs="Calibri"/>
                <w:szCs w:val="18"/>
              </w:rPr>
            </w:pPr>
            <w:r w:rsidRPr="00B87CC5">
              <w:rPr>
                <w:rFonts w:cs="Calibri"/>
                <w:szCs w:val="18"/>
              </w:rPr>
              <w:t>Diversion to composting increases from 2009 at 39 kt per year (1%) to 495 kt per year in 2025, 553 kt per year in 2035 and 595 kt per year (17%) in 2050</w:t>
            </w:r>
          </w:p>
        </w:tc>
        <w:tc>
          <w:tcPr>
            <w:tcW w:w="729" w:type="pct"/>
            <w:shd w:val="clear" w:color="auto" w:fill="auto"/>
            <w:hideMark/>
          </w:tcPr>
          <w:p w14:paraId="26C36137" w14:textId="77777777" w:rsidR="006210F3" w:rsidRPr="00B87CC5" w:rsidRDefault="006210F3" w:rsidP="00CD315F">
            <w:pPr>
              <w:pStyle w:val="TableText"/>
              <w:spacing w:before="20" w:after="20"/>
              <w:rPr>
                <w:rFonts w:cs="Calibri"/>
                <w:szCs w:val="18"/>
              </w:rPr>
            </w:pPr>
            <w:r w:rsidRPr="00B87CC5">
              <w:rPr>
                <w:rFonts w:cs="Calibri"/>
                <w:szCs w:val="18"/>
              </w:rPr>
              <w:t>Diversion to composting increases from 2009 at 39 kt per year (1%) to 506 kt per year in 2025, 564 kt per year in 2035 and 605 kt per year (18%) in 2050</w:t>
            </w:r>
          </w:p>
        </w:tc>
        <w:tc>
          <w:tcPr>
            <w:tcW w:w="866" w:type="pct"/>
            <w:shd w:val="clear" w:color="auto" w:fill="auto"/>
            <w:hideMark/>
          </w:tcPr>
          <w:p w14:paraId="30754CBA" w14:textId="77777777" w:rsidR="006210F3" w:rsidRPr="00B87CC5" w:rsidRDefault="006210F3" w:rsidP="00CD315F">
            <w:pPr>
              <w:pStyle w:val="TableText"/>
              <w:spacing w:before="20" w:after="20"/>
              <w:rPr>
                <w:rFonts w:cs="Calibri"/>
                <w:szCs w:val="18"/>
              </w:rPr>
            </w:pPr>
            <w:r w:rsidRPr="00B87CC5">
              <w:rPr>
                <w:rFonts w:cs="Calibri"/>
                <w:szCs w:val="18"/>
              </w:rPr>
              <w:t>Diversion to composting increases from 2009 at 39 kt per year (1%) to 489 kt per year in 2025, 546 kt per year in 2035 and 588 kt per year (16%) in 2050</w:t>
            </w:r>
          </w:p>
        </w:tc>
      </w:tr>
      <w:tr w:rsidR="006210F3" w:rsidRPr="00B87CC5" w14:paraId="0B375A55" w14:textId="77777777" w:rsidTr="006E361C">
        <w:trPr>
          <w:trHeight w:val="170"/>
        </w:trPr>
        <w:tc>
          <w:tcPr>
            <w:tcW w:w="374" w:type="pct"/>
            <w:vMerge/>
            <w:vAlign w:val="center"/>
            <w:hideMark/>
          </w:tcPr>
          <w:p w14:paraId="5E8C8390" w14:textId="77777777" w:rsidR="006210F3" w:rsidRPr="00B87CC5" w:rsidRDefault="006210F3" w:rsidP="00CD315F">
            <w:pPr>
              <w:pStyle w:val="TableText"/>
              <w:spacing w:before="20" w:after="20"/>
              <w:rPr>
                <w:rFonts w:cs="Calibri"/>
                <w:szCs w:val="18"/>
              </w:rPr>
            </w:pPr>
          </w:p>
        </w:tc>
        <w:tc>
          <w:tcPr>
            <w:tcW w:w="891" w:type="pct"/>
            <w:shd w:val="clear" w:color="auto" w:fill="E8E8E8"/>
            <w:hideMark/>
          </w:tcPr>
          <w:p w14:paraId="4FA01DCD" w14:textId="77777777" w:rsidR="006210F3" w:rsidRPr="00B87CC5" w:rsidRDefault="006210F3" w:rsidP="00CD315F">
            <w:pPr>
              <w:pStyle w:val="TableText"/>
              <w:spacing w:before="20" w:after="20"/>
              <w:rPr>
                <w:rFonts w:cs="Calibri"/>
                <w:szCs w:val="18"/>
              </w:rPr>
            </w:pPr>
            <w:r w:rsidRPr="00B87CC5">
              <w:rPr>
                <w:rFonts w:cs="Calibri"/>
                <w:szCs w:val="18"/>
              </w:rPr>
              <w:t>Recycling</w:t>
            </w:r>
          </w:p>
        </w:tc>
        <w:tc>
          <w:tcPr>
            <w:tcW w:w="1032" w:type="pct"/>
          </w:tcPr>
          <w:p w14:paraId="4CA4304B" w14:textId="77777777" w:rsidR="006210F3" w:rsidRPr="00B87CC5" w:rsidRDefault="006210F3" w:rsidP="00CD315F">
            <w:pPr>
              <w:pStyle w:val="TableText"/>
              <w:spacing w:before="20" w:after="20"/>
              <w:rPr>
                <w:rFonts w:cs="Calibri"/>
                <w:szCs w:val="18"/>
              </w:rPr>
            </w:pPr>
            <w:r w:rsidRPr="00B87CC5">
              <w:rPr>
                <w:rFonts w:cs="Calibri"/>
                <w:szCs w:val="18"/>
              </w:rPr>
              <w:t>Not explicitly modelled but captured in overall waste placement</w:t>
            </w:r>
          </w:p>
        </w:tc>
        <w:tc>
          <w:tcPr>
            <w:tcW w:w="1108" w:type="pct"/>
            <w:shd w:val="clear" w:color="auto" w:fill="FFFFFF" w:themeFill="background1"/>
            <w:hideMark/>
          </w:tcPr>
          <w:p w14:paraId="51DD7986" w14:textId="77777777" w:rsidR="006210F3" w:rsidRPr="00B87CC5" w:rsidRDefault="006210F3" w:rsidP="00CD315F">
            <w:pPr>
              <w:pStyle w:val="TableText"/>
              <w:spacing w:before="20" w:after="20"/>
              <w:rPr>
                <w:rFonts w:cs="Calibri"/>
                <w:szCs w:val="18"/>
              </w:rPr>
            </w:pPr>
            <w:r w:rsidRPr="00B87CC5">
              <w:rPr>
                <w:rFonts w:cs="Calibri"/>
                <w:szCs w:val="18"/>
              </w:rPr>
              <w:t>Same as 2023 projections</w:t>
            </w:r>
          </w:p>
        </w:tc>
        <w:tc>
          <w:tcPr>
            <w:tcW w:w="729" w:type="pct"/>
            <w:shd w:val="clear" w:color="auto" w:fill="auto"/>
            <w:hideMark/>
          </w:tcPr>
          <w:p w14:paraId="388BE013"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691FFCEF"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r w:rsidR="006210F3" w:rsidRPr="00B87CC5" w14:paraId="2D5ADAA5" w14:textId="77777777" w:rsidTr="006E361C">
        <w:trPr>
          <w:trHeight w:val="170"/>
        </w:trPr>
        <w:tc>
          <w:tcPr>
            <w:tcW w:w="374" w:type="pct"/>
            <w:vMerge/>
            <w:vAlign w:val="center"/>
            <w:hideMark/>
          </w:tcPr>
          <w:p w14:paraId="65912BDE" w14:textId="77777777" w:rsidR="006210F3" w:rsidRPr="00B87CC5" w:rsidRDefault="006210F3" w:rsidP="00CD315F">
            <w:pPr>
              <w:pStyle w:val="TableText"/>
              <w:spacing w:before="20" w:after="20"/>
              <w:rPr>
                <w:rFonts w:cs="Calibri"/>
                <w:szCs w:val="18"/>
              </w:rPr>
            </w:pPr>
          </w:p>
        </w:tc>
        <w:tc>
          <w:tcPr>
            <w:tcW w:w="891" w:type="pct"/>
            <w:shd w:val="clear" w:color="auto" w:fill="E8E8E8"/>
            <w:hideMark/>
          </w:tcPr>
          <w:p w14:paraId="0D4CDE4F" w14:textId="7B6C2249" w:rsidR="006210F3" w:rsidRPr="00B87CC5" w:rsidRDefault="006210F3" w:rsidP="00CD315F">
            <w:pPr>
              <w:pStyle w:val="TableText"/>
              <w:spacing w:before="20" w:after="20"/>
              <w:rPr>
                <w:rFonts w:cs="Calibri"/>
                <w:szCs w:val="18"/>
              </w:rPr>
            </w:pPr>
            <w:r w:rsidRPr="00B87CC5">
              <w:rPr>
                <w:rFonts w:cs="Calibri"/>
                <w:szCs w:val="18"/>
              </w:rPr>
              <w:t>Waste placement</w:t>
            </w:r>
          </w:p>
        </w:tc>
        <w:tc>
          <w:tcPr>
            <w:tcW w:w="1032" w:type="pct"/>
            <w:shd w:val="clear" w:color="auto" w:fill="FFFFFF" w:themeFill="background1"/>
          </w:tcPr>
          <w:p w14:paraId="58F93D70" w14:textId="77777777" w:rsidR="006210F3" w:rsidRPr="00B87CC5" w:rsidRDefault="006210F3" w:rsidP="00CD315F">
            <w:pPr>
              <w:pStyle w:val="TableText"/>
              <w:spacing w:before="20" w:after="20"/>
              <w:rPr>
                <w:rFonts w:cs="Calibri"/>
                <w:szCs w:val="18"/>
              </w:rPr>
            </w:pPr>
            <w:r w:rsidRPr="00B87CC5">
              <w:rPr>
                <w:rFonts w:cs="Calibri"/>
                <w:szCs w:val="18"/>
              </w:rPr>
              <w:t>Municipal landfills: 3,380 kt in 2020, 3,316 kt in 2030, 3,381 kt in 2040 and 2,245 kt in 2050</w:t>
            </w:r>
          </w:p>
          <w:p w14:paraId="6CB6C920" w14:textId="77777777" w:rsidR="006210F3" w:rsidRPr="00B87CC5" w:rsidRDefault="006210F3" w:rsidP="00CD315F">
            <w:pPr>
              <w:pStyle w:val="TableText"/>
              <w:spacing w:before="20" w:after="20"/>
              <w:rPr>
                <w:rFonts w:cs="Calibri"/>
                <w:szCs w:val="18"/>
              </w:rPr>
            </w:pPr>
            <w:r w:rsidRPr="00B87CC5">
              <w:rPr>
                <w:rFonts w:cs="Calibri"/>
                <w:szCs w:val="18"/>
              </w:rPr>
              <w:t>Non-municipal landfills: 5,090 kt in 2020 and constant until 2050</w:t>
            </w:r>
          </w:p>
        </w:tc>
        <w:tc>
          <w:tcPr>
            <w:tcW w:w="1108" w:type="pct"/>
            <w:shd w:val="clear" w:color="auto" w:fill="FFFFFF" w:themeFill="background1"/>
            <w:hideMark/>
          </w:tcPr>
          <w:p w14:paraId="3B4ECFDB" w14:textId="77777777" w:rsidR="006210F3" w:rsidRPr="00B87CC5" w:rsidRDefault="006210F3" w:rsidP="00CD315F">
            <w:pPr>
              <w:pStyle w:val="TableText"/>
              <w:spacing w:before="20" w:after="20"/>
              <w:rPr>
                <w:rFonts w:cs="Calibri"/>
                <w:szCs w:val="18"/>
              </w:rPr>
            </w:pPr>
            <w:r w:rsidRPr="00B87CC5">
              <w:rPr>
                <w:rFonts w:cs="Calibri"/>
                <w:szCs w:val="18"/>
              </w:rPr>
              <w:t>Municipal landfills: 3,380 kt in 2020, 3,414 kt in 2030, 3,448 kt in 2040 and 3,545 kt in 2050</w:t>
            </w:r>
          </w:p>
          <w:p w14:paraId="5988C884" w14:textId="77777777" w:rsidR="006210F3" w:rsidRPr="00B87CC5" w:rsidRDefault="006210F3" w:rsidP="00CD315F">
            <w:pPr>
              <w:pStyle w:val="TableText"/>
              <w:spacing w:before="20" w:after="20"/>
              <w:rPr>
                <w:rFonts w:cs="Calibri"/>
                <w:szCs w:val="18"/>
              </w:rPr>
            </w:pPr>
            <w:r w:rsidRPr="00B87CC5">
              <w:rPr>
                <w:rFonts w:cs="Calibri"/>
                <w:szCs w:val="18"/>
              </w:rPr>
              <w:t>Non-municipal landfills: 5,090 kt in 2020 and constant until 2050</w:t>
            </w:r>
          </w:p>
        </w:tc>
        <w:tc>
          <w:tcPr>
            <w:tcW w:w="729" w:type="pct"/>
            <w:shd w:val="clear" w:color="auto" w:fill="auto"/>
            <w:hideMark/>
          </w:tcPr>
          <w:p w14:paraId="6F81667D" w14:textId="77777777" w:rsidR="006210F3" w:rsidRPr="00B87CC5" w:rsidRDefault="006210F3" w:rsidP="00CD315F">
            <w:pPr>
              <w:pStyle w:val="TableText"/>
              <w:spacing w:before="20" w:after="20"/>
              <w:rPr>
                <w:rFonts w:cs="Calibri"/>
                <w:szCs w:val="18"/>
              </w:rPr>
            </w:pPr>
            <w:r w:rsidRPr="00B87CC5">
              <w:rPr>
                <w:rFonts w:cs="Calibri"/>
                <w:szCs w:val="18"/>
              </w:rPr>
              <w:t>Municipal landfills: 3,380 kt in 2020, 3,378 kt in 2030, 3,381 kt in 2040 and 3,422 kt in 2050</w:t>
            </w:r>
          </w:p>
          <w:p w14:paraId="5245B0E3" w14:textId="77777777" w:rsidR="006210F3" w:rsidRPr="00B87CC5" w:rsidRDefault="006210F3" w:rsidP="00CD315F">
            <w:pPr>
              <w:pStyle w:val="TableText"/>
              <w:spacing w:before="20" w:after="20"/>
              <w:rPr>
                <w:rFonts w:cs="Calibri"/>
                <w:szCs w:val="18"/>
              </w:rPr>
            </w:pPr>
            <w:r w:rsidRPr="00B87CC5">
              <w:rPr>
                <w:rFonts w:cs="Calibri"/>
                <w:szCs w:val="18"/>
              </w:rPr>
              <w:t>Non-municipal landfills: 5,090 kt in 2020 and constant until 2050</w:t>
            </w:r>
          </w:p>
        </w:tc>
        <w:tc>
          <w:tcPr>
            <w:tcW w:w="866" w:type="pct"/>
            <w:shd w:val="clear" w:color="auto" w:fill="auto"/>
            <w:hideMark/>
          </w:tcPr>
          <w:p w14:paraId="569FC875" w14:textId="77777777" w:rsidR="006210F3" w:rsidRPr="00B87CC5" w:rsidRDefault="006210F3" w:rsidP="00CD315F">
            <w:pPr>
              <w:pStyle w:val="TableText"/>
              <w:spacing w:before="20" w:after="20"/>
              <w:rPr>
                <w:rFonts w:cs="Calibri"/>
                <w:szCs w:val="18"/>
              </w:rPr>
            </w:pPr>
            <w:r w:rsidRPr="00B87CC5">
              <w:rPr>
                <w:rFonts w:cs="Calibri"/>
                <w:szCs w:val="18"/>
              </w:rPr>
              <w:t>Municipal landfills: 3,380 kt in 2020, 3,489 kt in 2030, 3,604 kt in 2040 and 3,739 kt in 2050</w:t>
            </w:r>
          </w:p>
          <w:p w14:paraId="4ADA2218" w14:textId="77777777" w:rsidR="006210F3" w:rsidRPr="00B87CC5" w:rsidRDefault="006210F3" w:rsidP="00CD315F">
            <w:pPr>
              <w:pStyle w:val="TableText"/>
              <w:spacing w:before="20" w:after="20"/>
              <w:rPr>
                <w:rFonts w:cs="Calibri"/>
                <w:szCs w:val="18"/>
              </w:rPr>
            </w:pPr>
            <w:r w:rsidRPr="00B87CC5">
              <w:rPr>
                <w:rFonts w:cs="Calibri"/>
                <w:szCs w:val="18"/>
              </w:rPr>
              <w:t>Non-municipal landfills: 5,090 kt in 2020 and constant until 2050</w:t>
            </w:r>
          </w:p>
        </w:tc>
      </w:tr>
      <w:tr w:rsidR="006210F3" w:rsidRPr="00B87CC5" w14:paraId="658613AE" w14:textId="77777777" w:rsidTr="006E361C">
        <w:trPr>
          <w:trHeight w:val="170"/>
        </w:trPr>
        <w:tc>
          <w:tcPr>
            <w:tcW w:w="374" w:type="pct"/>
            <w:shd w:val="clear" w:color="auto" w:fill="E7E7E7"/>
            <w:vAlign w:val="center"/>
            <w:hideMark/>
          </w:tcPr>
          <w:p w14:paraId="1182C350" w14:textId="77777777" w:rsidR="006210F3" w:rsidRPr="00B87CC5" w:rsidRDefault="006210F3" w:rsidP="00CD315F">
            <w:pPr>
              <w:pStyle w:val="TableText"/>
              <w:spacing w:before="20" w:after="20"/>
              <w:rPr>
                <w:rFonts w:cs="Calibri"/>
                <w:szCs w:val="18"/>
              </w:rPr>
            </w:pPr>
            <w:r w:rsidRPr="00B87CC5">
              <w:rPr>
                <w:rFonts w:cs="Calibri"/>
                <w:szCs w:val="18"/>
              </w:rPr>
              <w:t>F-gases</w:t>
            </w:r>
          </w:p>
        </w:tc>
        <w:tc>
          <w:tcPr>
            <w:tcW w:w="891" w:type="pct"/>
            <w:shd w:val="clear" w:color="auto" w:fill="E8E8E8"/>
            <w:hideMark/>
          </w:tcPr>
          <w:p w14:paraId="608B7F98" w14:textId="77777777" w:rsidR="006210F3" w:rsidRPr="00B87CC5" w:rsidRDefault="006210F3" w:rsidP="00CD315F">
            <w:pPr>
              <w:pStyle w:val="TableText"/>
              <w:spacing w:before="20" w:after="20"/>
              <w:rPr>
                <w:rFonts w:cs="Calibri"/>
                <w:szCs w:val="18"/>
              </w:rPr>
            </w:pPr>
            <w:r w:rsidRPr="00B87CC5">
              <w:rPr>
                <w:rFonts w:cs="Calibri"/>
                <w:szCs w:val="18"/>
              </w:rPr>
              <w:t xml:space="preserve">Hydrofluorocarbons (HFCs) </w:t>
            </w:r>
            <w:r w:rsidRPr="00B87CC5">
              <w:rPr>
                <w:rFonts w:cs="Calibri"/>
                <w:szCs w:val="18"/>
              </w:rPr>
              <w:br/>
              <w:t>(reduction relative to 2022)</w:t>
            </w:r>
          </w:p>
        </w:tc>
        <w:tc>
          <w:tcPr>
            <w:tcW w:w="1032" w:type="pct"/>
            <w:shd w:val="clear" w:color="auto" w:fill="FFFFFF" w:themeFill="background1"/>
          </w:tcPr>
          <w:p w14:paraId="62AAD883" w14:textId="77777777" w:rsidR="006210F3" w:rsidRPr="00B87CC5" w:rsidRDefault="006210F3" w:rsidP="00CD315F">
            <w:pPr>
              <w:pStyle w:val="TableText"/>
              <w:spacing w:before="20" w:after="20"/>
              <w:rPr>
                <w:rFonts w:cs="Calibri"/>
                <w:szCs w:val="18"/>
              </w:rPr>
            </w:pPr>
            <w:r w:rsidRPr="00B87CC5">
              <w:rPr>
                <w:rFonts w:cs="Calibri"/>
                <w:szCs w:val="18"/>
              </w:rPr>
              <w:t>49% emissions reduction by 2040, 65% by 2050</w:t>
            </w:r>
          </w:p>
        </w:tc>
        <w:tc>
          <w:tcPr>
            <w:tcW w:w="1108" w:type="pct"/>
            <w:shd w:val="clear" w:color="auto" w:fill="FFFFFF" w:themeFill="background1"/>
            <w:hideMark/>
          </w:tcPr>
          <w:p w14:paraId="4F4101D1" w14:textId="77777777" w:rsidR="006210F3" w:rsidRPr="00B87CC5" w:rsidRDefault="006210F3" w:rsidP="00CD315F">
            <w:pPr>
              <w:pStyle w:val="TableText"/>
              <w:spacing w:before="20" w:after="20"/>
              <w:rPr>
                <w:rFonts w:cs="Calibri"/>
                <w:szCs w:val="18"/>
              </w:rPr>
            </w:pPr>
            <w:r w:rsidRPr="00B87CC5">
              <w:rPr>
                <w:rFonts w:cs="Calibri"/>
                <w:szCs w:val="18"/>
              </w:rPr>
              <w:t>Same as 2023 projections</w:t>
            </w:r>
          </w:p>
        </w:tc>
        <w:tc>
          <w:tcPr>
            <w:tcW w:w="729" w:type="pct"/>
            <w:shd w:val="clear" w:color="auto" w:fill="auto"/>
            <w:hideMark/>
          </w:tcPr>
          <w:p w14:paraId="0BEF7BCE"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c>
          <w:tcPr>
            <w:tcW w:w="866" w:type="pct"/>
            <w:shd w:val="clear" w:color="auto" w:fill="auto"/>
            <w:hideMark/>
          </w:tcPr>
          <w:p w14:paraId="7D6D4F3F" w14:textId="77777777" w:rsidR="006210F3" w:rsidRPr="00B87CC5" w:rsidRDefault="006210F3" w:rsidP="00CD315F">
            <w:pPr>
              <w:pStyle w:val="TableText"/>
              <w:spacing w:before="20" w:after="20"/>
              <w:rPr>
                <w:rFonts w:cs="Calibri"/>
                <w:szCs w:val="18"/>
              </w:rPr>
            </w:pPr>
            <w:r w:rsidRPr="00B87CC5">
              <w:rPr>
                <w:rFonts w:cs="Calibri"/>
                <w:szCs w:val="18"/>
              </w:rPr>
              <w:t>Same as baseline</w:t>
            </w:r>
          </w:p>
        </w:tc>
      </w:tr>
    </w:tbl>
    <w:p w14:paraId="105041AC" w14:textId="77777777" w:rsidR="00C2540A" w:rsidRPr="00B87CC5" w:rsidRDefault="00C2540A" w:rsidP="002D71C8">
      <w:pPr>
        <w:pStyle w:val="BodyText"/>
        <w:sectPr w:rsidR="00C2540A" w:rsidRPr="00B87CC5" w:rsidSect="00E26C7A">
          <w:headerReference w:type="even" r:id="rId49"/>
          <w:headerReference w:type="default" r:id="rId50"/>
          <w:footerReference w:type="default" r:id="rId51"/>
          <w:headerReference w:type="first" r:id="rId52"/>
          <w:pgSz w:w="16840" w:h="11907" w:orient="landscape" w:code="9"/>
          <w:pgMar w:top="1701" w:right="1134" w:bottom="1701" w:left="1134" w:header="567" w:footer="567" w:gutter="0"/>
          <w:cols w:space="720"/>
          <w:docGrid w:linePitch="299"/>
        </w:sectPr>
      </w:pPr>
    </w:p>
    <w:p w14:paraId="52EDBAE9" w14:textId="046EFA8E" w:rsidR="00C2540A" w:rsidRPr="00B87CC5" w:rsidRDefault="00C2540A" w:rsidP="0069513D">
      <w:pPr>
        <w:pStyle w:val="Heading1"/>
      </w:pPr>
      <w:bookmarkStart w:id="98" w:name="_Toc171609758"/>
      <w:r w:rsidRPr="00B87CC5">
        <w:lastRenderedPageBreak/>
        <w:t>Appendix 2</w:t>
      </w:r>
      <w:r w:rsidR="003C6167" w:rsidRPr="00B87CC5">
        <w:t>:</w:t>
      </w:r>
      <w:r w:rsidR="003C6167" w:rsidRPr="00B87CC5">
        <w:tab/>
      </w:r>
      <w:r w:rsidRPr="00B87CC5">
        <w:t xml:space="preserve">Intervention </w:t>
      </w:r>
      <w:r w:rsidR="00B2045A" w:rsidRPr="00B87CC5">
        <w:t>l</w:t>
      </w:r>
      <w:r w:rsidRPr="00B87CC5">
        <w:t xml:space="preserve">ogic </w:t>
      </w:r>
      <w:r w:rsidR="00B2045A" w:rsidRPr="00B87CC5">
        <w:t>m</w:t>
      </w:r>
      <w:r w:rsidRPr="00B87CC5">
        <w:t>apping</w:t>
      </w:r>
      <w:bookmarkEnd w:id="98"/>
    </w:p>
    <w:p w14:paraId="0860734E" w14:textId="448F78B7" w:rsidR="00C2540A" w:rsidRPr="00B87CC5" w:rsidRDefault="00C2540A" w:rsidP="002D71C8">
      <w:pPr>
        <w:pStyle w:val="Tableheading"/>
        <w:spacing w:before="0"/>
      </w:pPr>
      <w:bookmarkStart w:id="99" w:name="_Toc169108445"/>
      <w:bookmarkStart w:id="100" w:name="_Toc171609774"/>
      <w:r w:rsidRPr="00B87CC5">
        <w:t>Table</w:t>
      </w:r>
      <w:r w:rsidR="00163546" w:rsidRPr="00B87CC5">
        <w:t xml:space="preserve"> A2.1</w:t>
      </w:r>
      <w:r w:rsidR="00603400" w:rsidRPr="00B87CC5">
        <w:t>:</w:t>
      </w:r>
      <w:r w:rsidR="00603400" w:rsidRPr="00B87CC5">
        <w:tab/>
      </w:r>
      <w:r w:rsidRPr="00B87CC5">
        <w:t xml:space="preserve">Logic maps explaining links between </w:t>
      </w:r>
      <w:r w:rsidR="00453C58" w:rsidRPr="00B87CC5">
        <w:t xml:space="preserve">selected </w:t>
      </w:r>
      <w:r w:rsidRPr="00B87CC5">
        <w:t>policies and emissions impacts</w:t>
      </w:r>
      <w:bookmarkEnd w:id="99"/>
      <w:bookmarkEnd w:id="100"/>
    </w:p>
    <w:tbl>
      <w:tblPr>
        <w:tblW w:w="14459"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top w:w="28" w:type="dxa"/>
          <w:left w:w="85" w:type="dxa"/>
          <w:bottom w:w="28" w:type="dxa"/>
          <w:right w:w="85" w:type="dxa"/>
        </w:tblCellMar>
        <w:tblLook w:val="04A0" w:firstRow="1" w:lastRow="0" w:firstColumn="1" w:lastColumn="0" w:noHBand="0" w:noVBand="1"/>
      </w:tblPr>
      <w:tblGrid>
        <w:gridCol w:w="1596"/>
        <w:gridCol w:w="1814"/>
        <w:gridCol w:w="19"/>
        <w:gridCol w:w="1322"/>
        <w:gridCol w:w="4180"/>
        <w:gridCol w:w="5528"/>
      </w:tblGrid>
      <w:tr w:rsidR="002D71C8" w:rsidRPr="00B87CC5" w14:paraId="4672C6D5" w14:textId="77777777" w:rsidTr="00093E04">
        <w:trPr>
          <w:tblHeader/>
        </w:trPr>
        <w:tc>
          <w:tcPr>
            <w:tcW w:w="1596" w:type="dxa"/>
            <w:tcBorders>
              <w:bottom w:val="single" w:sz="4" w:space="0" w:color="1B556B" w:themeColor="text2"/>
            </w:tcBorders>
            <w:shd w:val="clear" w:color="auto" w:fill="1B556B" w:themeFill="text2"/>
            <w:vAlign w:val="bottom"/>
            <w:hideMark/>
          </w:tcPr>
          <w:p w14:paraId="773439B8" w14:textId="77777777" w:rsidR="00C2540A" w:rsidRPr="00B87CC5" w:rsidRDefault="00C2540A" w:rsidP="002D71C8">
            <w:pPr>
              <w:pStyle w:val="TableTextbold"/>
              <w:rPr>
                <w:rFonts w:ascii="Segoe UI" w:hAnsi="Segoe UI" w:cs="Segoe UI"/>
                <w:color w:val="FFFFFF" w:themeColor="background1"/>
              </w:rPr>
            </w:pPr>
            <w:r w:rsidRPr="00B87CC5">
              <w:rPr>
                <w:color w:val="FFFFFF" w:themeColor="background1"/>
              </w:rPr>
              <w:t>Sector and ERP2 proposed policy</w:t>
            </w:r>
          </w:p>
        </w:tc>
        <w:tc>
          <w:tcPr>
            <w:tcW w:w="3155" w:type="dxa"/>
            <w:gridSpan w:val="3"/>
            <w:shd w:val="clear" w:color="auto" w:fill="1B556B" w:themeFill="text2"/>
            <w:vAlign w:val="bottom"/>
            <w:hideMark/>
          </w:tcPr>
          <w:p w14:paraId="29974580" w14:textId="48E61DA8" w:rsidR="00C2540A" w:rsidRPr="00B87CC5" w:rsidRDefault="00C2540A" w:rsidP="002D71C8">
            <w:pPr>
              <w:pStyle w:val="TableTextbold"/>
              <w:rPr>
                <w:rFonts w:ascii="Segoe UI" w:hAnsi="Segoe UI" w:cs="Segoe UI"/>
                <w:color w:val="FFFFFF" w:themeColor="background1"/>
              </w:rPr>
            </w:pPr>
            <w:r w:rsidRPr="00B87CC5">
              <w:rPr>
                <w:color w:val="FFFFFF" w:themeColor="background1"/>
              </w:rPr>
              <w:t>If we do the following now </w:t>
            </w:r>
          </w:p>
        </w:tc>
        <w:tc>
          <w:tcPr>
            <w:tcW w:w="4180" w:type="dxa"/>
            <w:shd w:val="clear" w:color="auto" w:fill="1B556B" w:themeFill="text2"/>
            <w:vAlign w:val="bottom"/>
            <w:hideMark/>
          </w:tcPr>
          <w:p w14:paraId="2B520A81" w14:textId="439EDA40" w:rsidR="00C2540A" w:rsidRPr="00B87CC5" w:rsidRDefault="00C2540A" w:rsidP="002D71C8">
            <w:pPr>
              <w:pStyle w:val="TableTextbold"/>
              <w:rPr>
                <w:rFonts w:ascii="Segoe UI" w:hAnsi="Segoe UI" w:cs="Segoe UI"/>
                <w:color w:val="FFFFFF" w:themeColor="background1"/>
              </w:rPr>
            </w:pPr>
            <w:r w:rsidRPr="00B87CC5">
              <w:rPr>
                <w:color w:val="FFFFFF" w:themeColor="background1"/>
              </w:rPr>
              <w:t>Then by 2030 (</w:t>
            </w:r>
            <w:r w:rsidR="00F62E46" w:rsidRPr="00B87CC5">
              <w:rPr>
                <w:color w:val="FFFFFF" w:themeColor="background1"/>
              </w:rPr>
              <w:t>end of the second emissions budget</w:t>
            </w:r>
            <w:r w:rsidRPr="00B87CC5">
              <w:rPr>
                <w:color w:val="FFFFFF" w:themeColor="background1"/>
              </w:rPr>
              <w:t>) and by 2050, we can expect these changes to occur</w:t>
            </w:r>
            <w:r w:rsidR="00E4003E" w:rsidRPr="00B87CC5">
              <w:rPr>
                <w:color w:val="FFFFFF" w:themeColor="background1"/>
              </w:rPr>
              <w:t xml:space="preserve"> </w:t>
            </w:r>
          </w:p>
        </w:tc>
        <w:tc>
          <w:tcPr>
            <w:tcW w:w="5528" w:type="dxa"/>
            <w:shd w:val="clear" w:color="auto" w:fill="1B556B" w:themeFill="text2"/>
            <w:vAlign w:val="bottom"/>
            <w:hideMark/>
          </w:tcPr>
          <w:p w14:paraId="0569C9E3" w14:textId="4B88DC73" w:rsidR="00C2540A" w:rsidRPr="00B87CC5" w:rsidRDefault="00C2540A" w:rsidP="002D71C8">
            <w:pPr>
              <w:pStyle w:val="TableTextbold"/>
              <w:rPr>
                <w:rFonts w:ascii="Segoe UI" w:hAnsi="Segoe UI" w:cs="Segoe UI"/>
                <w:color w:val="FFFFFF" w:themeColor="background1"/>
              </w:rPr>
            </w:pPr>
            <w:r w:rsidRPr="00B87CC5">
              <w:rPr>
                <w:color w:val="FFFFFF" w:themeColor="background1"/>
              </w:rPr>
              <w:t xml:space="preserve">Which will lead to the following impacts on emissions in </w:t>
            </w:r>
            <w:r w:rsidR="00F62E46" w:rsidRPr="00B87CC5">
              <w:rPr>
                <w:color w:val="FFFFFF" w:themeColor="background1"/>
              </w:rPr>
              <w:t xml:space="preserve">the second emissions budget </w:t>
            </w:r>
            <w:r w:rsidRPr="00B87CC5">
              <w:rPr>
                <w:color w:val="FFFFFF" w:themeColor="background1"/>
              </w:rPr>
              <w:t>and future budgets</w:t>
            </w:r>
            <w:r w:rsidR="00E4003E" w:rsidRPr="00B87CC5">
              <w:rPr>
                <w:color w:val="FFFFFF" w:themeColor="background1"/>
              </w:rPr>
              <w:t xml:space="preserve"> </w:t>
            </w:r>
          </w:p>
        </w:tc>
      </w:tr>
      <w:tr w:rsidR="001C0DE1" w:rsidRPr="00B87CC5" w14:paraId="3C061848" w14:textId="77777777" w:rsidTr="00FF1C8C">
        <w:trPr>
          <w:trHeight w:val="615"/>
        </w:trPr>
        <w:tc>
          <w:tcPr>
            <w:tcW w:w="1596" w:type="dxa"/>
            <w:vMerge w:val="restart"/>
            <w:shd w:val="clear" w:color="auto" w:fill="D2DDE1" w:themeFill="background2"/>
          </w:tcPr>
          <w:p w14:paraId="3C42AA27" w14:textId="2DF87D71" w:rsidR="00C2540A" w:rsidRPr="00B87CC5" w:rsidRDefault="00F62E46" w:rsidP="002D71C8">
            <w:pPr>
              <w:pStyle w:val="TableTextbold"/>
            </w:pPr>
            <w:r w:rsidRPr="00B87CC5">
              <w:t xml:space="preserve">New Zealand </w:t>
            </w:r>
            <w:r w:rsidR="00C2540A" w:rsidRPr="00B87CC5">
              <w:t>Emissions Trading Scheme (</w:t>
            </w:r>
            <w:r w:rsidRPr="00B87CC5">
              <w:t xml:space="preserve">NZ </w:t>
            </w:r>
            <w:r w:rsidR="00C2540A" w:rsidRPr="00B87CC5">
              <w:t>ETS)</w:t>
            </w:r>
          </w:p>
          <w:p w14:paraId="14038F13" w14:textId="3D4C0A05" w:rsidR="00C2540A" w:rsidRPr="00B87CC5" w:rsidRDefault="00C2540A" w:rsidP="002D71C8">
            <w:pPr>
              <w:pStyle w:val="TableText"/>
            </w:pPr>
            <w:r w:rsidRPr="00B87CC5">
              <w:t>Supporting</w:t>
            </w:r>
            <w:r w:rsidR="00F62E46" w:rsidRPr="00B87CC5">
              <w:t xml:space="preserve"> NZ</w:t>
            </w:r>
            <w:r w:rsidRPr="00B87CC5">
              <w:t xml:space="preserve"> ETS credibility and confidence</w:t>
            </w:r>
          </w:p>
          <w:p w14:paraId="67949328" w14:textId="7C39D7F3" w:rsidR="00C2540A" w:rsidRPr="00B87CC5" w:rsidRDefault="00F62E46" w:rsidP="002D71C8">
            <w:pPr>
              <w:pStyle w:val="TableText"/>
            </w:pPr>
            <w:r w:rsidRPr="00B87CC5">
              <w:t xml:space="preserve">NZ </w:t>
            </w:r>
            <w:r w:rsidR="00C2540A" w:rsidRPr="00B87CC5">
              <w:t>ETS unit supply and price control settings (</w:t>
            </w:r>
            <w:r w:rsidRPr="00B87CC5">
              <w:t xml:space="preserve">NZ </w:t>
            </w:r>
            <w:r w:rsidR="00C2540A" w:rsidRPr="00B87CC5">
              <w:t>ETS settings)</w:t>
            </w:r>
          </w:p>
          <w:p w14:paraId="7273602B" w14:textId="4D59BD1E" w:rsidR="00C2540A" w:rsidRPr="00B87CC5" w:rsidRDefault="00C2540A" w:rsidP="00FF1C8C">
            <w:pPr>
              <w:pStyle w:val="TableText"/>
            </w:pPr>
            <w:r w:rsidRPr="00B87CC5">
              <w:t xml:space="preserve">Manage </w:t>
            </w:r>
            <w:r w:rsidR="00F62E46" w:rsidRPr="00B87CC5">
              <w:t xml:space="preserve">NZ </w:t>
            </w:r>
            <w:r w:rsidRPr="00B87CC5">
              <w:t>ETS impacts</w:t>
            </w:r>
          </w:p>
        </w:tc>
        <w:tc>
          <w:tcPr>
            <w:tcW w:w="3155" w:type="dxa"/>
            <w:gridSpan w:val="3"/>
            <w:shd w:val="clear" w:color="auto" w:fill="FFFFFF" w:themeFill="background1"/>
          </w:tcPr>
          <w:p w14:paraId="4F3D3606" w14:textId="0F7D498F" w:rsidR="00C2540A" w:rsidRPr="00B87CC5" w:rsidRDefault="00C2540A" w:rsidP="008A76D3">
            <w:pPr>
              <w:pStyle w:val="TableText"/>
              <w:spacing w:after="40"/>
              <w:rPr>
                <w:i/>
                <w:iCs/>
              </w:rPr>
            </w:pPr>
            <w:r w:rsidRPr="00B87CC5">
              <w:rPr>
                <w:i/>
                <w:iCs/>
              </w:rPr>
              <w:t>If we do the following now:</w:t>
            </w:r>
          </w:p>
          <w:p w14:paraId="7A4E6D4D" w14:textId="7ACC1AF5" w:rsidR="00C2540A" w:rsidRPr="00B87CC5" w:rsidRDefault="007E6E96" w:rsidP="008A76D3">
            <w:pPr>
              <w:pStyle w:val="TableBullet"/>
              <w:spacing w:after="40"/>
            </w:pPr>
            <w:r w:rsidRPr="00B87CC5">
              <w:t>c</w:t>
            </w:r>
            <w:r w:rsidR="00C2540A" w:rsidRPr="00B87CC5">
              <w:t>ommit to no vintaging</w:t>
            </w:r>
            <w:r w:rsidR="00F62E46" w:rsidRPr="00B87CC5">
              <w:t xml:space="preserve"> of</w:t>
            </w:r>
            <w:r w:rsidR="00C2540A" w:rsidRPr="00B87CC5">
              <w:t xml:space="preserve"> (putting expiry dates</w:t>
            </w:r>
            <w:r w:rsidR="00F62E46" w:rsidRPr="00B87CC5">
              <w:t xml:space="preserve"> on</w:t>
            </w:r>
            <w:r w:rsidR="00C2540A" w:rsidRPr="00B87CC5">
              <w:t xml:space="preserve">) </w:t>
            </w:r>
            <w:r w:rsidRPr="00B87CC5">
              <w:t>New Zealand Units (</w:t>
            </w:r>
            <w:r w:rsidR="00C2540A" w:rsidRPr="00B87CC5">
              <w:t>NZUs</w:t>
            </w:r>
            <w:r w:rsidRPr="00B87CC5">
              <w:t>)</w:t>
            </w:r>
            <w:r w:rsidR="00C2540A" w:rsidRPr="00B87CC5">
              <w:t xml:space="preserve"> and no differential treatment of NZUs from forestry</w:t>
            </w:r>
          </w:p>
          <w:p w14:paraId="2DC41D1B" w14:textId="5D955E6E" w:rsidR="00C2540A" w:rsidRPr="00B87CC5" w:rsidRDefault="007E6E96" w:rsidP="008A76D3">
            <w:pPr>
              <w:pStyle w:val="TableBullet"/>
              <w:spacing w:after="40"/>
            </w:pPr>
            <w:r w:rsidRPr="00B87CC5">
              <w:t>w</w:t>
            </w:r>
            <w:r w:rsidR="00C2540A" w:rsidRPr="00B87CC5">
              <w:t xml:space="preserve">ork to strengthen </w:t>
            </w:r>
            <w:r w:rsidRPr="00B87CC5">
              <w:t xml:space="preserve">NZ </w:t>
            </w:r>
            <w:r w:rsidR="00C2540A" w:rsidRPr="00B87CC5">
              <w:t>ETS market governance</w:t>
            </w:r>
          </w:p>
          <w:p w14:paraId="579D71A5" w14:textId="0FA331F4" w:rsidR="00C2540A" w:rsidRPr="00B87CC5" w:rsidRDefault="007E6E96" w:rsidP="008A76D3">
            <w:pPr>
              <w:pStyle w:val="TableBullet"/>
              <w:spacing w:after="40"/>
            </w:pPr>
            <w:r w:rsidRPr="00B87CC5">
              <w:t>p</w:t>
            </w:r>
            <w:r w:rsidR="00C2540A" w:rsidRPr="00B87CC5">
              <w:t xml:space="preserve">rovide </w:t>
            </w:r>
            <w:r w:rsidRPr="00B87CC5">
              <w:t xml:space="preserve">NZ </w:t>
            </w:r>
            <w:r w:rsidR="00C2540A" w:rsidRPr="00B87CC5">
              <w:t>ETS settings annually for the next five years</w:t>
            </w:r>
            <w:r w:rsidR="00B0187D" w:rsidRPr="00B87CC5">
              <w:t>,</w:t>
            </w:r>
            <w:r w:rsidR="00C2540A" w:rsidRPr="00B87CC5">
              <w:t xml:space="preserve"> </w:t>
            </w:r>
            <w:proofErr w:type="spellStart"/>
            <w:r w:rsidR="00C2540A" w:rsidRPr="00B87CC5">
              <w:t>ie</w:t>
            </w:r>
            <w:proofErr w:type="spellEnd"/>
            <w:r w:rsidR="00B0187D" w:rsidRPr="00B87CC5">
              <w:t>,</w:t>
            </w:r>
            <w:r w:rsidR="00C2540A" w:rsidRPr="00B87CC5">
              <w:t xml:space="preserve"> how many NZUs will made available at </w:t>
            </w:r>
            <w:proofErr w:type="gramStart"/>
            <w:r w:rsidR="00C2540A" w:rsidRPr="00B87CC5">
              <w:t>auction</w:t>
            </w:r>
            <w:proofErr w:type="gramEnd"/>
            <w:r w:rsidR="00C2540A" w:rsidRPr="00B87CC5">
              <w:t xml:space="preserve"> and under which range of price controls</w:t>
            </w:r>
          </w:p>
          <w:p w14:paraId="09709CF5" w14:textId="5AF4A4C7" w:rsidR="00C2540A" w:rsidRPr="00B87CC5" w:rsidRDefault="007E6E96" w:rsidP="002D71C8">
            <w:pPr>
              <w:pStyle w:val="TableBullet"/>
            </w:pPr>
            <w:r w:rsidRPr="00B87CC5">
              <w:t>m</w:t>
            </w:r>
            <w:r w:rsidR="00C2540A" w:rsidRPr="00B87CC5">
              <w:t xml:space="preserve">anage the impacts of the </w:t>
            </w:r>
            <w:r w:rsidR="00B0187D" w:rsidRPr="00B87CC5">
              <w:t xml:space="preserve">NZ </w:t>
            </w:r>
            <w:r w:rsidR="00C2540A" w:rsidRPr="00B87CC5">
              <w:t>ETS</w:t>
            </w:r>
            <w:r w:rsidR="00B0187D" w:rsidRPr="00B87CC5">
              <w:t>,</w:t>
            </w:r>
            <w:r w:rsidR="00C2540A" w:rsidRPr="00B87CC5">
              <w:t xml:space="preserve"> </w:t>
            </w:r>
            <w:proofErr w:type="spellStart"/>
            <w:r w:rsidR="00C2540A" w:rsidRPr="00B87CC5">
              <w:t>ie</w:t>
            </w:r>
            <w:proofErr w:type="spellEnd"/>
            <w:r w:rsidR="00B0187D" w:rsidRPr="00B87CC5">
              <w:t>,</w:t>
            </w:r>
            <w:r w:rsidR="00C2540A" w:rsidRPr="00B87CC5">
              <w:t xml:space="preserve"> risks associated with high rates of land-use change</w:t>
            </w:r>
            <w:r w:rsidR="00DE7168" w:rsidRPr="00B87CC5">
              <w:t>,</w:t>
            </w:r>
            <w:r w:rsidR="00C2540A" w:rsidRPr="00B87CC5">
              <w:rPr>
                <w:rFonts w:asciiTheme="minorHAnsi" w:hAnsiTheme="minorHAnsi" w:cstheme="minorHAnsi"/>
                <w:szCs w:val="18"/>
              </w:rPr>
              <w:t xml:space="preserve"> by limiting NZ ETS registrations for whole-farm conversions to new exotic forestry on productive agricultural land</w:t>
            </w:r>
          </w:p>
        </w:tc>
        <w:tc>
          <w:tcPr>
            <w:tcW w:w="4180" w:type="dxa"/>
            <w:shd w:val="clear" w:color="auto" w:fill="FFFFFF" w:themeFill="background1"/>
          </w:tcPr>
          <w:p w14:paraId="404214FB" w14:textId="76624A9E" w:rsidR="00C2540A" w:rsidRPr="00B87CC5" w:rsidRDefault="00EE36B6" w:rsidP="008A76D3">
            <w:pPr>
              <w:pStyle w:val="TableText"/>
              <w:spacing w:after="40"/>
              <w:rPr>
                <w:rFonts w:eastAsia="Times New Roman"/>
                <w:i/>
                <w:iCs/>
              </w:rPr>
            </w:pPr>
            <w:r w:rsidRPr="00B87CC5">
              <w:rPr>
                <w:i/>
                <w:iCs/>
              </w:rPr>
              <w:t>… b</w:t>
            </w:r>
            <w:r w:rsidR="00C2540A" w:rsidRPr="00B87CC5">
              <w:rPr>
                <w:i/>
                <w:iCs/>
              </w:rPr>
              <w:t>y 2030 we can expect</w:t>
            </w:r>
            <w:r w:rsidR="00C2540A" w:rsidRPr="00B87CC5">
              <w:rPr>
                <w:rFonts w:eastAsia="Times New Roman"/>
                <w:i/>
                <w:iCs/>
              </w:rPr>
              <w:t>:</w:t>
            </w:r>
          </w:p>
          <w:p w14:paraId="422BC0F1" w14:textId="2431EA6A" w:rsidR="00C2540A" w:rsidRPr="00B87CC5" w:rsidRDefault="00B0187D" w:rsidP="008A76D3">
            <w:pPr>
              <w:pStyle w:val="TableBullet"/>
              <w:spacing w:after="40"/>
            </w:pPr>
            <w:r w:rsidRPr="00B87CC5">
              <w:t>i</w:t>
            </w:r>
            <w:r w:rsidR="00C2540A" w:rsidRPr="00B87CC5">
              <w:t>mproved transparency of market information,</w:t>
            </w:r>
            <w:r w:rsidRPr="00B87CC5">
              <w:t xml:space="preserve"> so</w:t>
            </w:r>
            <w:r w:rsidR="00C2540A" w:rsidRPr="00B87CC5">
              <w:t xml:space="preserve"> market participants have a greater understanding of how the market works</w:t>
            </w:r>
          </w:p>
          <w:p w14:paraId="2395BCA3" w14:textId="101AF3E6" w:rsidR="00C2540A" w:rsidRPr="00B87CC5" w:rsidRDefault="00B0187D" w:rsidP="008A76D3">
            <w:pPr>
              <w:pStyle w:val="TableBullet"/>
              <w:spacing w:after="40"/>
            </w:pPr>
            <w:r w:rsidRPr="00B87CC5">
              <w:t>p</w:t>
            </w:r>
            <w:r w:rsidR="00C2540A" w:rsidRPr="00B87CC5">
              <w:t xml:space="preserve">redictability for future </w:t>
            </w:r>
            <w:r w:rsidRPr="00B87CC5">
              <w:t xml:space="preserve">NZ </w:t>
            </w:r>
            <w:r w:rsidR="00C2540A" w:rsidRPr="00B87CC5">
              <w:t>ETS auction settings</w:t>
            </w:r>
          </w:p>
          <w:p w14:paraId="42727FF3" w14:textId="7ABDD5AE" w:rsidR="00C2540A" w:rsidRPr="00B87CC5" w:rsidRDefault="00B0187D" w:rsidP="008A76D3">
            <w:pPr>
              <w:pStyle w:val="TableBullet"/>
              <w:spacing w:after="40"/>
            </w:pPr>
            <w:r w:rsidRPr="00B87CC5">
              <w:t>i</w:t>
            </w:r>
            <w:r w:rsidR="00C2540A" w:rsidRPr="00B87CC5">
              <w:t xml:space="preserve">ncreased confidence in the </w:t>
            </w:r>
            <w:r w:rsidRPr="00B87CC5">
              <w:t xml:space="preserve">NZ </w:t>
            </w:r>
            <w:r w:rsidR="00C2540A" w:rsidRPr="00B87CC5">
              <w:t xml:space="preserve">ETS market, </w:t>
            </w:r>
            <w:r w:rsidR="00DE7168" w:rsidRPr="00B87CC5">
              <w:t xml:space="preserve">which </w:t>
            </w:r>
            <w:r w:rsidR="00C2540A" w:rsidRPr="00B87CC5">
              <w:t>increas</w:t>
            </w:r>
            <w:r w:rsidR="00DE7168" w:rsidRPr="00B87CC5">
              <w:t>es</w:t>
            </w:r>
            <w:r w:rsidR="00C2540A" w:rsidRPr="00B87CC5">
              <w:t xml:space="preserve"> participation and improv</w:t>
            </w:r>
            <w:r w:rsidR="00DE7168" w:rsidRPr="00B87CC5">
              <w:t>es</w:t>
            </w:r>
            <w:r w:rsidR="00C2540A" w:rsidRPr="00B87CC5">
              <w:t xml:space="preserve"> incentives to reduce emissions and increase removals</w:t>
            </w:r>
          </w:p>
          <w:p w14:paraId="3DA352BD" w14:textId="4CD5E7F2" w:rsidR="00C2540A" w:rsidRPr="00B87CC5" w:rsidRDefault="00B0187D" w:rsidP="008A76D3">
            <w:pPr>
              <w:pStyle w:val="TableBullet"/>
              <w:spacing w:after="40"/>
            </w:pPr>
            <w:r w:rsidRPr="00B87CC5">
              <w:t>c</w:t>
            </w:r>
            <w:r w:rsidR="00C2540A" w:rsidRPr="00B87CC5">
              <w:t xml:space="preserve">ontinued </w:t>
            </w:r>
            <w:r w:rsidRPr="00B87CC5">
              <w:t xml:space="preserve">NZ </w:t>
            </w:r>
            <w:r w:rsidR="00C2540A" w:rsidRPr="00B87CC5">
              <w:t>ETS incentives for lowest</w:t>
            </w:r>
            <w:r w:rsidRPr="00B87CC5">
              <w:t>-</w:t>
            </w:r>
            <w:r w:rsidR="00C2540A" w:rsidRPr="00B87CC5">
              <w:t>cost abatement</w:t>
            </w:r>
            <w:r w:rsidRPr="00B87CC5">
              <w:t>,</w:t>
            </w:r>
            <w:r w:rsidR="00C2540A" w:rsidRPr="00B87CC5">
              <w:t xml:space="preserve"> </w:t>
            </w:r>
            <w:proofErr w:type="spellStart"/>
            <w:r w:rsidR="00C2540A" w:rsidRPr="00B87CC5">
              <w:t>eg</w:t>
            </w:r>
            <w:proofErr w:type="spellEnd"/>
            <w:r w:rsidRPr="00B87CC5">
              <w:t>,</w:t>
            </w:r>
            <w:r w:rsidR="00C2540A" w:rsidRPr="00B87CC5">
              <w:t xml:space="preserve"> exotic afforestation</w:t>
            </w:r>
          </w:p>
          <w:p w14:paraId="3DA9DEBF" w14:textId="5F92FCDC" w:rsidR="00C2540A" w:rsidRPr="00B87CC5" w:rsidRDefault="00B0187D" w:rsidP="008A76D3">
            <w:pPr>
              <w:pStyle w:val="TableBullet"/>
              <w:spacing w:after="40"/>
            </w:pPr>
            <w:r w:rsidRPr="00B87CC5">
              <w:t>r</w:t>
            </w:r>
            <w:r w:rsidR="00C2540A" w:rsidRPr="00B87CC5">
              <w:t>educed whole-farm conversions to exotic forestry, protecting productive farmland</w:t>
            </w:r>
          </w:p>
          <w:p w14:paraId="38D3272B" w14:textId="24FB73DE" w:rsidR="00C2540A" w:rsidRPr="00B87CC5" w:rsidRDefault="00EE36B6" w:rsidP="008A76D3">
            <w:pPr>
              <w:pStyle w:val="TableText"/>
              <w:spacing w:after="40"/>
              <w:rPr>
                <w:i/>
                <w:iCs/>
              </w:rPr>
            </w:pPr>
            <w:r w:rsidRPr="00B87CC5">
              <w:rPr>
                <w:i/>
                <w:iCs/>
              </w:rPr>
              <w:t xml:space="preserve">… </w:t>
            </w:r>
            <w:r w:rsidR="00DE7168" w:rsidRPr="00B87CC5">
              <w:rPr>
                <w:i/>
                <w:iCs/>
              </w:rPr>
              <w:t xml:space="preserve">and </w:t>
            </w:r>
            <w:r w:rsidRPr="00B87CC5">
              <w:rPr>
                <w:i/>
                <w:iCs/>
              </w:rPr>
              <w:t>b</w:t>
            </w:r>
            <w:r w:rsidR="00C2540A" w:rsidRPr="00B87CC5">
              <w:rPr>
                <w:i/>
                <w:iCs/>
              </w:rPr>
              <w:t>y 2050 we can expect:</w:t>
            </w:r>
          </w:p>
          <w:p w14:paraId="17927809" w14:textId="4A0B27BA" w:rsidR="00C2540A" w:rsidRPr="00B87CC5" w:rsidRDefault="009C0AD3" w:rsidP="008A76D3">
            <w:pPr>
              <w:pStyle w:val="TableBullet"/>
              <w:spacing w:after="40"/>
              <w:rPr>
                <w:rFonts w:cs="Calibri"/>
                <w:i/>
                <w:szCs w:val="18"/>
              </w:rPr>
            </w:pPr>
            <w:r w:rsidRPr="00B87CC5">
              <w:t>t</w:t>
            </w:r>
            <w:r w:rsidR="00C2540A" w:rsidRPr="00B87CC5">
              <w:t>o continue to incentivise increased emissions reductions at their source from businesses and households</w:t>
            </w:r>
          </w:p>
        </w:tc>
        <w:tc>
          <w:tcPr>
            <w:tcW w:w="5528" w:type="dxa"/>
            <w:shd w:val="clear" w:color="auto" w:fill="FFFFFF" w:themeFill="background1"/>
          </w:tcPr>
          <w:p w14:paraId="6913BBD2" w14:textId="797D7DBF" w:rsidR="00C2540A" w:rsidRPr="00B87CC5" w:rsidRDefault="004B44CE" w:rsidP="008A76D3">
            <w:pPr>
              <w:pStyle w:val="TableText"/>
              <w:spacing w:after="40"/>
              <w:rPr>
                <w:rFonts w:eastAsia="Times New Roman"/>
                <w:i/>
                <w:iCs/>
              </w:rPr>
            </w:pPr>
            <w:r w:rsidRPr="00B87CC5">
              <w:rPr>
                <w:i/>
                <w:iCs/>
              </w:rPr>
              <w:t>… and then i</w:t>
            </w:r>
            <w:r w:rsidR="00C2540A" w:rsidRPr="00B87CC5">
              <w:rPr>
                <w:i/>
                <w:iCs/>
              </w:rPr>
              <w:t xml:space="preserve">n </w:t>
            </w:r>
            <w:r w:rsidR="00F62E46" w:rsidRPr="00B87CC5">
              <w:rPr>
                <w:i/>
                <w:iCs/>
              </w:rPr>
              <w:t xml:space="preserve">the second emissions budget, </w:t>
            </w:r>
            <w:r w:rsidR="00C2540A" w:rsidRPr="00B87CC5">
              <w:rPr>
                <w:i/>
                <w:iCs/>
              </w:rPr>
              <w:t>this will lead to</w:t>
            </w:r>
            <w:r w:rsidR="00C2540A" w:rsidRPr="00B87CC5">
              <w:rPr>
                <w:rFonts w:eastAsia="Times New Roman"/>
                <w:i/>
                <w:iCs/>
              </w:rPr>
              <w:t>:</w:t>
            </w:r>
          </w:p>
          <w:p w14:paraId="35195D3A" w14:textId="73C60DED" w:rsidR="00C2540A" w:rsidRPr="00B87CC5" w:rsidRDefault="00DE7168" w:rsidP="008A76D3">
            <w:pPr>
              <w:pStyle w:val="TableBullet"/>
              <w:spacing w:after="40"/>
            </w:pPr>
            <w:r w:rsidRPr="00B87CC5">
              <w:t>n</w:t>
            </w:r>
            <w:r w:rsidR="00C2540A" w:rsidRPr="00B87CC5">
              <w:t>et emissions reductions made up of a mix of removals from forestry and emissions reductions at their source from businesses and households</w:t>
            </w:r>
          </w:p>
          <w:p w14:paraId="291A502A" w14:textId="10112F97" w:rsidR="00C2540A" w:rsidRPr="00B87CC5" w:rsidRDefault="00DE7168" w:rsidP="008A76D3">
            <w:pPr>
              <w:pStyle w:val="TableBullet"/>
              <w:numPr>
                <w:ilvl w:val="0"/>
                <w:numId w:val="0"/>
              </w:numPr>
              <w:spacing w:after="40"/>
              <w:ind w:left="282"/>
            </w:pPr>
            <w:r w:rsidRPr="00B87CC5">
              <w:t>(</w:t>
            </w:r>
            <w:r w:rsidR="00C2540A" w:rsidRPr="00B87CC5">
              <w:t>Note</w:t>
            </w:r>
            <w:r w:rsidR="00E82FEC" w:rsidRPr="00B87CC5">
              <w:t>:</w:t>
            </w:r>
            <w:r w:rsidR="00C2540A" w:rsidRPr="00B87CC5">
              <w:t xml:space="preserve"> </w:t>
            </w:r>
            <w:r w:rsidR="00E82FEC" w:rsidRPr="00B87CC5">
              <w:t>T</w:t>
            </w:r>
            <w:r w:rsidR="00C2540A" w:rsidRPr="00B87CC5">
              <w:t>he ability to bank NZUs does create some uncertainty about the timing of emissions and emissions reductions.</w:t>
            </w:r>
            <w:r w:rsidRPr="00B87CC5">
              <w:t>)</w:t>
            </w:r>
          </w:p>
          <w:p w14:paraId="718229C8" w14:textId="7E5B7C4F" w:rsidR="00C2540A" w:rsidRPr="00B87CC5" w:rsidRDefault="004B44CE" w:rsidP="008A76D3">
            <w:pPr>
              <w:pStyle w:val="TableText"/>
              <w:spacing w:after="40"/>
              <w:rPr>
                <w:i/>
                <w:iCs/>
              </w:rPr>
            </w:pPr>
            <w:r w:rsidRPr="00B87CC5">
              <w:rPr>
                <w:i/>
                <w:iCs/>
              </w:rPr>
              <w:t>… and then i</w:t>
            </w:r>
            <w:r w:rsidR="00C2540A" w:rsidRPr="00B87CC5">
              <w:rPr>
                <w:i/>
                <w:iCs/>
              </w:rPr>
              <w:t>n future emissions budgets</w:t>
            </w:r>
            <w:r w:rsidRPr="00B87CC5">
              <w:rPr>
                <w:i/>
                <w:iCs/>
              </w:rPr>
              <w:t>,</w:t>
            </w:r>
            <w:r w:rsidR="00C2540A" w:rsidRPr="00B87CC5">
              <w:rPr>
                <w:i/>
                <w:iCs/>
              </w:rPr>
              <w:t xml:space="preserve"> this will lead to:</w:t>
            </w:r>
          </w:p>
          <w:p w14:paraId="2989C549" w14:textId="65514125" w:rsidR="00C2540A" w:rsidRPr="00B87CC5" w:rsidRDefault="00E82FEC" w:rsidP="008A76D3">
            <w:pPr>
              <w:pStyle w:val="TableBullet"/>
              <w:spacing w:after="40"/>
            </w:pPr>
            <w:r w:rsidRPr="00B87CC5">
              <w:t>a</w:t>
            </w:r>
            <w:r w:rsidR="00C2540A" w:rsidRPr="00B87CC5">
              <w:t>dditional removals from forestry and emissions reductions at their source from businesses and households</w:t>
            </w:r>
          </w:p>
          <w:p w14:paraId="25623D17" w14:textId="391F4131" w:rsidR="00C2540A" w:rsidRPr="00B87CC5" w:rsidRDefault="00E82FEC" w:rsidP="008A76D3">
            <w:pPr>
              <w:pStyle w:val="TableBullet"/>
              <w:spacing w:after="40"/>
            </w:pPr>
            <w:r w:rsidRPr="00B87CC5">
              <w:t>r</w:t>
            </w:r>
            <w:r w:rsidR="00C2540A" w:rsidRPr="00B87CC5">
              <w:t>emovals from forestry play</w:t>
            </w:r>
            <w:r w:rsidRPr="00B87CC5">
              <w:t>ing</w:t>
            </w:r>
            <w:r w:rsidR="00C2540A" w:rsidRPr="00B87CC5">
              <w:t xml:space="preserve"> an increasingly important role in reducing net emissions to achieve net zero.</w:t>
            </w:r>
          </w:p>
          <w:p w14:paraId="44CE5E57" w14:textId="77777777" w:rsidR="00C2540A" w:rsidRPr="00B87CC5" w:rsidRDefault="00C2540A">
            <w:pPr>
              <w:spacing w:before="0" w:after="0"/>
              <w:textAlignment w:val="baseline"/>
              <w:rPr>
                <w:rFonts w:eastAsiaTheme="majorEastAsia" w:cs="Calibri"/>
                <w:sz w:val="18"/>
                <w:szCs w:val="18"/>
              </w:rPr>
            </w:pPr>
          </w:p>
        </w:tc>
      </w:tr>
      <w:tr w:rsidR="00851655" w:rsidRPr="00B87CC5" w14:paraId="3A7BEAC3" w14:textId="77777777" w:rsidTr="0464AED2">
        <w:trPr>
          <w:trHeight w:val="300"/>
        </w:trPr>
        <w:tc>
          <w:tcPr>
            <w:tcW w:w="1596" w:type="dxa"/>
            <w:vMerge/>
          </w:tcPr>
          <w:p w14:paraId="50DE527B"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7C0F07BB" w14:textId="7F14D8FA" w:rsidR="00C2540A" w:rsidRPr="00B87CC5" w:rsidRDefault="00C2540A" w:rsidP="002D71C8">
            <w:pPr>
              <w:pStyle w:val="TableTextbold"/>
              <w:rPr>
                <w:szCs w:val="18"/>
              </w:rPr>
            </w:pPr>
            <w:r w:rsidRPr="00B87CC5">
              <w:t xml:space="preserve">Assumptions and </w:t>
            </w:r>
            <w:r w:rsidR="00F62E46" w:rsidRPr="00B87CC5">
              <w:t>d</w:t>
            </w:r>
            <w:r w:rsidRPr="00B87CC5">
              <w:t>ependencies </w:t>
            </w:r>
          </w:p>
        </w:tc>
        <w:tc>
          <w:tcPr>
            <w:tcW w:w="11030" w:type="dxa"/>
            <w:gridSpan w:val="3"/>
            <w:shd w:val="clear" w:color="auto" w:fill="FFFFFF" w:themeFill="background1"/>
          </w:tcPr>
          <w:p w14:paraId="67A882F9" w14:textId="5B54A0C9" w:rsidR="00C2540A" w:rsidRPr="00B87CC5" w:rsidRDefault="00C2540A" w:rsidP="00FF1C8C">
            <w:pPr>
              <w:pStyle w:val="TableBullet"/>
              <w:spacing w:before="60"/>
              <w:rPr>
                <w:rFonts w:eastAsiaTheme="majorEastAsia" w:cs="Calibri"/>
              </w:rPr>
            </w:pPr>
            <w:r w:rsidRPr="00B87CC5">
              <w:t xml:space="preserve">Broader conditions beyond the </w:t>
            </w:r>
            <w:r w:rsidR="00E82FEC" w:rsidRPr="00B87CC5">
              <w:t xml:space="preserve">NZ </w:t>
            </w:r>
            <w:r w:rsidRPr="00B87CC5">
              <w:t>ETS are highly relevant for investments in forestry removals and emissions reductions at their source. For example</w:t>
            </w:r>
            <w:r w:rsidR="00E82FEC" w:rsidRPr="00B87CC5">
              <w:t>,</w:t>
            </w:r>
            <w:r w:rsidRPr="00B87CC5">
              <w:t xml:space="preserve"> wood prices also factor into decisions on afforestation and harvest times</w:t>
            </w:r>
            <w:r w:rsidR="00E82FEC" w:rsidRPr="00B87CC5">
              <w:t>;</w:t>
            </w:r>
            <w:r w:rsidRPr="00B87CC5">
              <w:t xml:space="preserve"> and for emitters</w:t>
            </w:r>
            <w:r w:rsidR="00E82FEC" w:rsidRPr="00B87CC5">
              <w:t>,</w:t>
            </w:r>
            <w:r w:rsidRPr="00B87CC5">
              <w:t xml:space="preserve"> the price of emissions reduction technology and the age of an investment</w:t>
            </w:r>
            <w:r w:rsidR="00E82FEC" w:rsidRPr="00B87CC5">
              <w:t xml:space="preserve"> or </w:t>
            </w:r>
            <w:r w:rsidRPr="00B87CC5">
              <w:t>infrastructure will factor into decisions about when to invest</w:t>
            </w:r>
            <w:r w:rsidR="00E82FEC" w:rsidRPr="00B87CC5">
              <w:t xml:space="preserve"> in or </w:t>
            </w:r>
            <w:r w:rsidRPr="00B87CC5">
              <w:t>replace technology.</w:t>
            </w:r>
          </w:p>
          <w:p w14:paraId="46B575FB" w14:textId="69F7C3EB" w:rsidR="00C2540A" w:rsidRPr="00B87CC5" w:rsidRDefault="00C2540A" w:rsidP="00C63531">
            <w:pPr>
              <w:pStyle w:val="TableBullet"/>
              <w:rPr>
                <w:rFonts w:eastAsiaTheme="majorEastAsia" w:cs="Calibri"/>
                <w:szCs w:val="18"/>
              </w:rPr>
            </w:pPr>
            <w:r w:rsidRPr="00B87CC5">
              <w:rPr>
                <w:rFonts w:cstheme="minorHAnsi"/>
              </w:rPr>
              <w:t xml:space="preserve">The change we can expect by 2030 resulting from </w:t>
            </w:r>
            <w:r w:rsidR="00E82FEC" w:rsidRPr="00B87CC5">
              <w:rPr>
                <w:rFonts w:cstheme="minorHAnsi"/>
              </w:rPr>
              <w:t xml:space="preserve">NZ </w:t>
            </w:r>
            <w:r w:rsidRPr="00B87CC5">
              <w:rPr>
                <w:rFonts w:cstheme="minorHAnsi"/>
              </w:rPr>
              <w:t xml:space="preserve">ETS settings will depend on </w:t>
            </w:r>
            <w:r w:rsidR="00E82FEC" w:rsidRPr="00B87CC5">
              <w:rPr>
                <w:rFonts w:cstheme="minorHAnsi"/>
              </w:rPr>
              <w:t xml:space="preserve">decisions made about those </w:t>
            </w:r>
            <w:r w:rsidRPr="00B87CC5">
              <w:rPr>
                <w:rFonts w:cstheme="minorHAnsi"/>
              </w:rPr>
              <w:t>settings later this year.</w:t>
            </w:r>
          </w:p>
        </w:tc>
      </w:tr>
      <w:tr w:rsidR="00851655" w:rsidRPr="00B87CC5" w14:paraId="3EDF4D49" w14:textId="77777777" w:rsidTr="0464AED2">
        <w:trPr>
          <w:trHeight w:val="300"/>
        </w:trPr>
        <w:tc>
          <w:tcPr>
            <w:tcW w:w="1596" w:type="dxa"/>
            <w:vMerge/>
          </w:tcPr>
          <w:p w14:paraId="3EEA06BE" w14:textId="77777777" w:rsidR="00C2540A" w:rsidRPr="00B87CC5" w:rsidRDefault="00C2540A">
            <w:pPr>
              <w:spacing w:before="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331180F0" w14:textId="77777777" w:rsidR="00C2540A" w:rsidRPr="00B87CC5" w:rsidRDefault="00C2540A" w:rsidP="00FF1C8C">
            <w:pPr>
              <w:pStyle w:val="TableTextbold"/>
            </w:pPr>
            <w:r w:rsidRPr="00B87CC5">
              <w:t>Other benefits </w:t>
            </w:r>
          </w:p>
        </w:tc>
        <w:tc>
          <w:tcPr>
            <w:tcW w:w="11030" w:type="dxa"/>
            <w:gridSpan w:val="3"/>
            <w:shd w:val="clear" w:color="auto" w:fill="FFFFFF" w:themeFill="background1"/>
          </w:tcPr>
          <w:p w14:paraId="418C4FD4" w14:textId="2DA44C05" w:rsidR="00C2540A" w:rsidRPr="00B87CC5" w:rsidRDefault="00C2540A" w:rsidP="00C63531">
            <w:pPr>
              <w:pStyle w:val="TableBullet"/>
              <w:rPr>
                <w:rFonts w:eastAsiaTheme="majorEastAsia" w:cs="Calibri"/>
                <w:szCs w:val="18"/>
              </w:rPr>
            </w:pPr>
            <w:r w:rsidRPr="00B87CC5">
              <w:t xml:space="preserve">Limiting </w:t>
            </w:r>
            <w:r w:rsidR="00E82FEC" w:rsidRPr="00B87CC5">
              <w:t xml:space="preserve">NZ </w:t>
            </w:r>
            <w:r w:rsidRPr="00B87CC5">
              <w:t>ETS incentives for whole-farm conversions to forestry is intended to manage the impact of</w:t>
            </w:r>
            <w:r w:rsidR="00E82FEC" w:rsidRPr="00B87CC5">
              <w:t xml:space="preserve"> NZ</w:t>
            </w:r>
            <w:r w:rsidRPr="00B87CC5">
              <w:t xml:space="preserve"> ETS incentives and balance productive land uses between forestry and agriculture.</w:t>
            </w:r>
          </w:p>
        </w:tc>
      </w:tr>
      <w:tr w:rsidR="00851655" w:rsidRPr="00B87CC5" w14:paraId="6B21EDFB" w14:textId="77777777" w:rsidTr="0464AED2">
        <w:trPr>
          <w:trHeight w:val="300"/>
        </w:trPr>
        <w:tc>
          <w:tcPr>
            <w:tcW w:w="1596" w:type="dxa"/>
            <w:vMerge/>
          </w:tcPr>
          <w:p w14:paraId="17A4B81F" w14:textId="77777777" w:rsidR="00C2540A" w:rsidRPr="00B87CC5" w:rsidRDefault="00C2540A">
            <w:pPr>
              <w:spacing w:before="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vAlign w:val="center"/>
          </w:tcPr>
          <w:p w14:paraId="2538457F" w14:textId="3D92F9AA" w:rsidR="00C2540A" w:rsidRPr="00B87CC5" w:rsidRDefault="00C2540A" w:rsidP="00FF1C8C">
            <w:pPr>
              <w:pStyle w:val="TableTextbold"/>
            </w:pPr>
            <w:r w:rsidRPr="00B87CC5">
              <w:t xml:space="preserve">Why this </w:t>
            </w:r>
            <w:r w:rsidR="00E82FEC" w:rsidRPr="00B87CC5">
              <w:t xml:space="preserve">is </w:t>
            </w:r>
            <w:r w:rsidRPr="00B87CC5">
              <w:t xml:space="preserve">complementary to the </w:t>
            </w:r>
            <w:r w:rsidR="00E82FEC" w:rsidRPr="00B87CC5">
              <w:t xml:space="preserve">NZ </w:t>
            </w:r>
            <w:r w:rsidRPr="00B87CC5">
              <w:t>ETS</w:t>
            </w:r>
          </w:p>
        </w:tc>
        <w:tc>
          <w:tcPr>
            <w:tcW w:w="11030" w:type="dxa"/>
            <w:gridSpan w:val="3"/>
            <w:shd w:val="clear" w:color="auto" w:fill="FFFFFF" w:themeFill="background1"/>
          </w:tcPr>
          <w:p w14:paraId="7ACED081" w14:textId="4A80D45C" w:rsidR="00C2540A" w:rsidRPr="00B87CC5" w:rsidRDefault="00C2540A" w:rsidP="00FF1C8C">
            <w:pPr>
              <w:pStyle w:val="TableBullet"/>
              <w:rPr>
                <w:rFonts w:eastAsiaTheme="majorEastAsia" w:cs="Calibri"/>
              </w:rPr>
            </w:pPr>
            <w:r w:rsidRPr="00B87CC5">
              <w:t xml:space="preserve">This policy mix is intended to support the function and role of the </w:t>
            </w:r>
            <w:r w:rsidR="00E82FEC" w:rsidRPr="00B87CC5">
              <w:t xml:space="preserve">NZ </w:t>
            </w:r>
            <w:r w:rsidRPr="00B87CC5">
              <w:t>ETS by providing</w:t>
            </w:r>
            <w:r w:rsidR="00E82FEC" w:rsidRPr="00B87CC5">
              <w:t xml:space="preserve"> the</w:t>
            </w:r>
            <w:r w:rsidRPr="00B87CC5">
              <w:t xml:space="preserve"> regulatory predictability and confidence in the</w:t>
            </w:r>
            <w:r w:rsidR="00E82FEC" w:rsidRPr="00B87CC5">
              <w:t xml:space="preserve"> NZ</w:t>
            </w:r>
            <w:r w:rsidR="001E322D" w:rsidRPr="00B87CC5">
              <w:t> </w:t>
            </w:r>
            <w:r w:rsidRPr="00B87CC5">
              <w:t>ETS needed and desired to support investment in net emissions reductions (in removals or reductions at their source).</w:t>
            </w:r>
          </w:p>
        </w:tc>
      </w:tr>
      <w:tr w:rsidR="00851655" w:rsidRPr="00B87CC5" w14:paraId="367A34DA" w14:textId="77777777" w:rsidTr="00FF1C8C">
        <w:trPr>
          <w:trHeight w:val="300"/>
        </w:trPr>
        <w:tc>
          <w:tcPr>
            <w:tcW w:w="1596" w:type="dxa"/>
            <w:vMerge w:val="restart"/>
            <w:shd w:val="clear" w:color="auto" w:fill="D5EBE8" w:themeFill="accent3"/>
          </w:tcPr>
          <w:p w14:paraId="0FB39F9C" w14:textId="77777777" w:rsidR="00C2540A" w:rsidRPr="00B87CC5" w:rsidRDefault="00C2540A" w:rsidP="008A76D3">
            <w:pPr>
              <w:pStyle w:val="TableTextbold"/>
              <w:spacing w:after="0"/>
            </w:pPr>
            <w:r w:rsidRPr="00B87CC5">
              <w:t>Energy</w:t>
            </w:r>
          </w:p>
          <w:p w14:paraId="66D7F8B6" w14:textId="4B5FB2F3" w:rsidR="00C2540A" w:rsidRPr="00B87CC5" w:rsidRDefault="00C2540A" w:rsidP="00FF1C8C">
            <w:pPr>
              <w:pStyle w:val="TableText"/>
            </w:pPr>
            <w:r w:rsidRPr="00B87CC5">
              <w:t>Electrify N</w:t>
            </w:r>
            <w:r w:rsidR="00F62E46" w:rsidRPr="00B87CC5">
              <w:t>Z</w:t>
            </w:r>
          </w:p>
        </w:tc>
        <w:tc>
          <w:tcPr>
            <w:tcW w:w="3155" w:type="dxa"/>
            <w:gridSpan w:val="3"/>
            <w:shd w:val="clear" w:color="auto" w:fill="FFFFFF" w:themeFill="background1"/>
          </w:tcPr>
          <w:p w14:paraId="066D4FF0" w14:textId="77777777" w:rsidR="00C2540A" w:rsidRPr="00B87CC5" w:rsidRDefault="00C2540A" w:rsidP="00FF1C8C">
            <w:pPr>
              <w:pStyle w:val="TableText"/>
              <w:spacing w:after="40"/>
              <w:rPr>
                <w:i/>
                <w:iCs/>
              </w:rPr>
            </w:pPr>
            <w:r w:rsidRPr="00B87CC5">
              <w:rPr>
                <w:i/>
                <w:iCs/>
              </w:rPr>
              <w:t>If we do the following now:</w:t>
            </w:r>
          </w:p>
          <w:p w14:paraId="42EA50E2" w14:textId="09124057" w:rsidR="00C2540A" w:rsidRPr="00B87CC5" w:rsidRDefault="00F7403A" w:rsidP="00FF1C8C">
            <w:pPr>
              <w:pStyle w:val="TableBullet"/>
              <w:spacing w:after="40"/>
              <w:rPr>
                <w:rFonts w:eastAsia="Times New Roman" w:cs="Calibri"/>
                <w:i/>
                <w:iCs/>
              </w:rPr>
            </w:pPr>
            <w:r w:rsidRPr="00B87CC5">
              <w:t>Create a more enabling consenting environment for renewable energy projects</w:t>
            </w:r>
            <w:r w:rsidRPr="00B87CC5" w:rsidDel="00F7403A">
              <w:t xml:space="preserve"> </w:t>
            </w:r>
          </w:p>
        </w:tc>
        <w:tc>
          <w:tcPr>
            <w:tcW w:w="4180" w:type="dxa"/>
            <w:shd w:val="clear" w:color="auto" w:fill="FFFFFF" w:themeFill="background1"/>
          </w:tcPr>
          <w:p w14:paraId="322DC099" w14:textId="6F85D6BE" w:rsidR="00C2540A" w:rsidRPr="00B87CC5" w:rsidRDefault="00E82FEC" w:rsidP="00FF1C8C">
            <w:pPr>
              <w:pStyle w:val="TableText"/>
              <w:spacing w:after="40"/>
              <w:rPr>
                <w:rFonts w:eastAsia="Times New Roman"/>
                <w:i/>
                <w:iCs/>
              </w:rPr>
            </w:pPr>
            <w:r w:rsidRPr="00B87CC5">
              <w:rPr>
                <w:i/>
                <w:iCs/>
              </w:rPr>
              <w:t>… b</w:t>
            </w:r>
            <w:r w:rsidR="00C2540A" w:rsidRPr="00B87CC5">
              <w:rPr>
                <w:i/>
                <w:iCs/>
              </w:rPr>
              <w:t>y 2030 we can expect</w:t>
            </w:r>
            <w:r w:rsidR="00C2540A" w:rsidRPr="00B87CC5">
              <w:rPr>
                <w:rFonts w:eastAsia="Times New Roman"/>
                <w:i/>
                <w:iCs/>
              </w:rPr>
              <w:t>:</w:t>
            </w:r>
          </w:p>
          <w:p w14:paraId="204286E6" w14:textId="29D0A229" w:rsidR="00C2540A" w:rsidRPr="00B87CC5" w:rsidRDefault="00995CC3" w:rsidP="00FF1C8C">
            <w:pPr>
              <w:pStyle w:val="TableBullet"/>
              <w:spacing w:after="40"/>
            </w:pPr>
            <w:r w:rsidRPr="00B87CC5">
              <w:t>r</w:t>
            </w:r>
            <w:r w:rsidR="00C2540A" w:rsidRPr="00B87CC5">
              <w:t>educed time and cost and increased likelihood of consents and reconsents being granted for renewable electricity generation and transmission projects, and increased revenue available to support additional transmission and local lines</w:t>
            </w:r>
          </w:p>
          <w:p w14:paraId="333DECD0" w14:textId="4769022B" w:rsidR="00C2540A" w:rsidRPr="00B87CC5" w:rsidRDefault="00995CC3" w:rsidP="00FF1C8C">
            <w:pPr>
              <w:pStyle w:val="TableBullet"/>
              <w:spacing w:after="40"/>
            </w:pPr>
            <w:r w:rsidRPr="00B87CC5">
              <w:t>t</w:t>
            </w:r>
            <w:r w:rsidR="00C2540A" w:rsidRPr="00B87CC5">
              <w:t>hese changes could support more renewables projects to become viable faster, and more existing renewables assets to stay in service for longer</w:t>
            </w:r>
            <w:r w:rsidRPr="00B87CC5">
              <w:t>,</w:t>
            </w:r>
            <w:r w:rsidR="00C2540A" w:rsidRPr="00B87CC5">
              <w:rPr>
                <w:rStyle w:val="FootnoteReference"/>
              </w:rPr>
              <w:footnoteReference w:id="26"/>
            </w:r>
            <w:r w:rsidR="00C2540A" w:rsidRPr="00B87CC5">
              <w:t xml:space="preserve"> which may accelerate displacement of coal</w:t>
            </w:r>
            <w:r w:rsidR="001E322D" w:rsidRPr="00B87CC5">
              <w:t>-</w:t>
            </w:r>
            <w:r w:rsidR="00C2540A" w:rsidRPr="00B87CC5">
              <w:t xml:space="preserve"> and gas-fired generation, particularly for baseload and intermediate generation</w:t>
            </w:r>
            <w:r w:rsidR="00C2540A" w:rsidRPr="00B87CC5">
              <w:rPr>
                <w:rStyle w:val="FootnoteReference"/>
              </w:rPr>
              <w:footnoteReference w:id="27"/>
            </w:r>
          </w:p>
          <w:p w14:paraId="69B2B76F" w14:textId="5772B032" w:rsidR="00C2540A" w:rsidRPr="00B87CC5" w:rsidRDefault="00995CC3" w:rsidP="008A76D3">
            <w:pPr>
              <w:pStyle w:val="TableBullet"/>
              <w:spacing w:after="0"/>
            </w:pPr>
            <w:r w:rsidRPr="00B87CC5">
              <w:t>t</w:t>
            </w:r>
            <w:r w:rsidR="00C2540A" w:rsidRPr="00B87CC5">
              <w:t xml:space="preserve">he changes may </w:t>
            </w:r>
            <w:r w:rsidRPr="00B87CC5">
              <w:t xml:space="preserve">make </w:t>
            </w:r>
            <w:r w:rsidR="00C2540A" w:rsidRPr="00B87CC5">
              <w:t xml:space="preserve">more renewable electricity available to support electrification of transport and process heat compared </w:t>
            </w:r>
            <w:r w:rsidRPr="00B87CC5">
              <w:t xml:space="preserve">with </w:t>
            </w:r>
            <w:r w:rsidR="00C2540A" w:rsidRPr="00B87CC5">
              <w:t xml:space="preserve">the </w:t>
            </w:r>
            <w:r w:rsidR="00C2540A" w:rsidRPr="00B87CC5">
              <w:lastRenderedPageBreak/>
              <w:t>counterfactual, helping to mitigate price spikes or security disruptions that could affect the pace of electrification</w:t>
            </w:r>
          </w:p>
          <w:p w14:paraId="08340F4B" w14:textId="65DE4813" w:rsidR="00C2540A" w:rsidRPr="00B87CC5" w:rsidRDefault="00E82FEC" w:rsidP="00FF1C8C">
            <w:pPr>
              <w:pStyle w:val="TableText"/>
              <w:rPr>
                <w:i/>
                <w:iCs/>
              </w:rPr>
            </w:pPr>
            <w:r w:rsidRPr="00B87CC5">
              <w:rPr>
                <w:i/>
                <w:iCs/>
              </w:rPr>
              <w:t>… and b</w:t>
            </w:r>
            <w:r w:rsidR="00C2540A" w:rsidRPr="00B87CC5">
              <w:rPr>
                <w:i/>
                <w:iCs/>
              </w:rPr>
              <w:t>y 2050 we can expect:</w:t>
            </w:r>
          </w:p>
          <w:p w14:paraId="503B6E49" w14:textId="1B7FFFE9" w:rsidR="00C2540A" w:rsidRPr="00B87CC5" w:rsidRDefault="00995CC3" w:rsidP="00FF1C8C">
            <w:pPr>
              <w:pStyle w:val="TableBullet"/>
              <w:rPr>
                <w:rFonts w:eastAsia="Times New Roman"/>
                <w:i/>
              </w:rPr>
            </w:pPr>
            <w:r w:rsidRPr="00B87CC5">
              <w:t>the s</w:t>
            </w:r>
            <w:r w:rsidR="00C2540A" w:rsidRPr="00B87CC5">
              <w:t>ame as above</w:t>
            </w:r>
          </w:p>
        </w:tc>
        <w:tc>
          <w:tcPr>
            <w:tcW w:w="5528" w:type="dxa"/>
            <w:shd w:val="clear" w:color="auto" w:fill="FFFFFF" w:themeFill="background1"/>
          </w:tcPr>
          <w:p w14:paraId="1302CFA6" w14:textId="18893C8D" w:rsidR="00C2540A" w:rsidRPr="00B87CC5" w:rsidRDefault="00E82FEC" w:rsidP="00FF1C8C">
            <w:pPr>
              <w:pStyle w:val="TableText"/>
              <w:rPr>
                <w:rFonts w:eastAsia="Times New Roman"/>
                <w:i/>
                <w:iCs/>
              </w:rPr>
            </w:pPr>
            <w:r w:rsidRPr="00B87CC5">
              <w:rPr>
                <w:i/>
                <w:iCs/>
              </w:rPr>
              <w:lastRenderedPageBreak/>
              <w:t>… and then in the second emissions budget,</w:t>
            </w:r>
            <w:r w:rsidR="00C2540A" w:rsidRPr="00B87CC5">
              <w:rPr>
                <w:i/>
                <w:iCs/>
              </w:rPr>
              <w:t xml:space="preserve"> this will lead to</w:t>
            </w:r>
            <w:r w:rsidR="00C2540A" w:rsidRPr="00B87CC5">
              <w:rPr>
                <w:rFonts w:eastAsia="Times New Roman"/>
                <w:i/>
                <w:iCs/>
              </w:rPr>
              <w:t>:</w:t>
            </w:r>
          </w:p>
          <w:p w14:paraId="6DE4C0B5" w14:textId="4B4CCADA" w:rsidR="00C2540A" w:rsidRPr="00B87CC5" w:rsidRDefault="00995CC3" w:rsidP="00C63531">
            <w:pPr>
              <w:pStyle w:val="TableBullet"/>
            </w:pPr>
            <w:r w:rsidRPr="00B87CC5">
              <w:t>an</w:t>
            </w:r>
            <w:r w:rsidR="00C2540A" w:rsidRPr="00B87CC5">
              <w:t xml:space="preserve"> expected reduc</w:t>
            </w:r>
            <w:r w:rsidRPr="00B87CC5">
              <w:t>tion in</w:t>
            </w:r>
            <w:r w:rsidR="00C2540A" w:rsidRPr="00B87CC5">
              <w:t xml:space="preserve"> energy emissions</w:t>
            </w:r>
            <w:r w:rsidRPr="00B87CC5">
              <w:t xml:space="preserve"> due to accelerated renewables development</w:t>
            </w:r>
            <w:r w:rsidR="00C2540A" w:rsidRPr="00B87CC5">
              <w:t>.</w:t>
            </w:r>
            <w:r w:rsidR="00C2540A" w:rsidRPr="00B87CC5">
              <w:rPr>
                <w:rStyle w:val="FootnoteReference"/>
              </w:rPr>
              <w:footnoteReference w:id="28"/>
            </w:r>
            <w:r w:rsidR="00C2540A" w:rsidRPr="00B87CC5">
              <w:t xml:space="preserve"> We anticipate reconsenting decisions could have immediate emissions impacts in </w:t>
            </w:r>
            <w:r w:rsidR="00BC3741" w:rsidRPr="00B87CC5">
              <w:t xml:space="preserve">the second emissions budget </w:t>
            </w:r>
            <w:r w:rsidR="00C2540A" w:rsidRPr="00B87CC5">
              <w:t xml:space="preserve">by reducing risk of further reliance on thermal generation to replace any decommissioned assets, while faster and/or additional consented projects could have emissions impacts later in the </w:t>
            </w:r>
            <w:r w:rsidR="00BC3741" w:rsidRPr="00B87CC5">
              <w:t xml:space="preserve">second emissions budget </w:t>
            </w:r>
            <w:r w:rsidR="00C2540A" w:rsidRPr="00B87CC5">
              <w:t>period or beyond following construction and commissioning</w:t>
            </w:r>
          </w:p>
          <w:p w14:paraId="7BC1E2CD" w14:textId="5C0EE1A3" w:rsidR="00C2540A" w:rsidRPr="00B87CC5" w:rsidRDefault="00BC3741" w:rsidP="00C63531">
            <w:pPr>
              <w:pStyle w:val="TableBullet"/>
            </w:pPr>
            <w:r w:rsidRPr="00B87CC5">
              <w:t>i</w:t>
            </w:r>
            <w:r w:rsidR="00C2540A" w:rsidRPr="00B87CC5">
              <w:t xml:space="preserve">f additional geothermal is consented, </w:t>
            </w:r>
            <w:r w:rsidRPr="00B87CC5">
              <w:t xml:space="preserve">the possibility that </w:t>
            </w:r>
            <w:r w:rsidR="00C2540A" w:rsidRPr="00B87CC5">
              <w:t xml:space="preserve">any emissions reduced from displacing fossil fuels may be partly offset by geothermal production emissions if </w:t>
            </w:r>
            <w:r w:rsidRPr="00B87CC5">
              <w:t xml:space="preserve">they are </w:t>
            </w:r>
            <w:r w:rsidR="00C2540A" w:rsidRPr="00B87CC5">
              <w:t>not captured and stored.</w:t>
            </w:r>
          </w:p>
          <w:p w14:paraId="5826C6D6" w14:textId="41F31F41" w:rsidR="00C2540A" w:rsidRPr="00B87CC5" w:rsidRDefault="00E82FEC" w:rsidP="00FF1C8C">
            <w:pPr>
              <w:pStyle w:val="TableText"/>
              <w:rPr>
                <w:i/>
                <w:iCs/>
              </w:rPr>
            </w:pPr>
            <w:r w:rsidRPr="00B87CC5">
              <w:rPr>
                <w:i/>
                <w:iCs/>
              </w:rPr>
              <w:t>… and then i</w:t>
            </w:r>
            <w:r w:rsidR="00C2540A" w:rsidRPr="00B87CC5">
              <w:rPr>
                <w:i/>
                <w:iCs/>
              </w:rPr>
              <w:t>n future emissions budgets</w:t>
            </w:r>
            <w:r w:rsidR="00BC3741" w:rsidRPr="00B87CC5">
              <w:rPr>
                <w:i/>
                <w:iCs/>
              </w:rPr>
              <w:t>,</w:t>
            </w:r>
            <w:r w:rsidR="00C2540A" w:rsidRPr="00B87CC5">
              <w:rPr>
                <w:i/>
                <w:iCs/>
              </w:rPr>
              <w:t xml:space="preserve"> this will lead to:</w:t>
            </w:r>
          </w:p>
          <w:p w14:paraId="62A6DD07" w14:textId="2702CFD0" w:rsidR="00C2540A" w:rsidRPr="00B87CC5" w:rsidRDefault="00BC3741" w:rsidP="00FF1C8C">
            <w:pPr>
              <w:pStyle w:val="TableBullet"/>
              <w:rPr>
                <w:rFonts w:eastAsia="Times New Roman" w:cs="Calibri"/>
                <w:i/>
                <w:iCs/>
              </w:rPr>
            </w:pPr>
            <w:r w:rsidRPr="00B87CC5">
              <w:lastRenderedPageBreak/>
              <w:t>the s</w:t>
            </w:r>
            <w:r w:rsidR="00C2540A" w:rsidRPr="00B87CC5">
              <w:t xml:space="preserve">ame as above. </w:t>
            </w:r>
          </w:p>
        </w:tc>
      </w:tr>
      <w:tr w:rsidR="00851655" w:rsidRPr="00B87CC5" w14:paraId="1316142B" w14:textId="77777777" w:rsidTr="0464AED2">
        <w:trPr>
          <w:trHeight w:val="300"/>
        </w:trPr>
        <w:tc>
          <w:tcPr>
            <w:tcW w:w="1596" w:type="dxa"/>
            <w:vMerge/>
          </w:tcPr>
          <w:p w14:paraId="094A6AD6"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14" w:type="dxa"/>
            <w:shd w:val="clear" w:color="auto" w:fill="FFFFFF" w:themeFill="background1"/>
          </w:tcPr>
          <w:p w14:paraId="06F14CD7" w14:textId="31EB382E" w:rsidR="00C2540A" w:rsidRPr="00B87CC5" w:rsidRDefault="00C2540A" w:rsidP="00FF1C8C">
            <w:pPr>
              <w:pStyle w:val="TableTextbold"/>
              <w:rPr>
                <w:szCs w:val="18"/>
              </w:rPr>
            </w:pPr>
            <w:r w:rsidRPr="00B87CC5">
              <w:t xml:space="preserve">Assumptions and </w:t>
            </w:r>
            <w:r w:rsidR="00BC3741" w:rsidRPr="00B87CC5">
              <w:t>d</w:t>
            </w:r>
            <w:r w:rsidRPr="00B87CC5">
              <w:t>ependencies </w:t>
            </w:r>
          </w:p>
        </w:tc>
        <w:tc>
          <w:tcPr>
            <w:tcW w:w="11049" w:type="dxa"/>
            <w:gridSpan w:val="4"/>
            <w:shd w:val="clear" w:color="auto" w:fill="FFFFFF" w:themeFill="background1"/>
          </w:tcPr>
          <w:p w14:paraId="721D9750" w14:textId="77777777" w:rsidR="00C2540A" w:rsidRPr="00B87CC5" w:rsidRDefault="00C2540A" w:rsidP="00FF1C8C">
            <w:pPr>
              <w:pStyle w:val="TableBullet"/>
              <w:spacing w:before="60" w:after="40"/>
            </w:pPr>
            <w:r w:rsidRPr="00B87CC5">
              <w:t>Emissions impacts depend materially on private investment decisions.</w:t>
            </w:r>
          </w:p>
          <w:p w14:paraId="430ADEE7" w14:textId="76294E85" w:rsidR="00C2540A" w:rsidRPr="00B87CC5" w:rsidRDefault="00C2540A" w:rsidP="00C63531">
            <w:pPr>
              <w:pStyle w:val="TableBullet"/>
              <w:rPr>
                <w:rFonts w:asciiTheme="minorHAnsi" w:hAnsiTheme="minorHAnsi" w:cstheme="minorHAnsi"/>
                <w:szCs w:val="18"/>
              </w:rPr>
            </w:pPr>
            <w:r w:rsidRPr="00B87CC5">
              <w:t>Private investment decisions in turn depend on the extent to which wider market settings and commercial conditions are sufficient to drive renewables investment and incentivise fuel switching (</w:t>
            </w:r>
            <w:proofErr w:type="spellStart"/>
            <w:r w:rsidRPr="00B87CC5">
              <w:t>eg</w:t>
            </w:r>
            <w:proofErr w:type="spellEnd"/>
            <w:r w:rsidRPr="00B87CC5">
              <w:t xml:space="preserve">, </w:t>
            </w:r>
            <w:r w:rsidR="00707DF7" w:rsidRPr="00B87CC5">
              <w:t xml:space="preserve">NZ </w:t>
            </w:r>
            <w:r w:rsidRPr="00B87CC5">
              <w:t xml:space="preserve">ETS settings, wider market failures, demand for renewables, access to firming, cost of capital). We are consulting on whether further measures are needed. </w:t>
            </w:r>
          </w:p>
        </w:tc>
      </w:tr>
      <w:tr w:rsidR="00851655" w:rsidRPr="00B87CC5" w14:paraId="142FF8DA" w14:textId="77777777" w:rsidTr="0464AED2">
        <w:trPr>
          <w:trHeight w:val="300"/>
        </w:trPr>
        <w:tc>
          <w:tcPr>
            <w:tcW w:w="1596" w:type="dxa"/>
            <w:vMerge/>
          </w:tcPr>
          <w:p w14:paraId="51107DB4"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14" w:type="dxa"/>
            <w:shd w:val="clear" w:color="auto" w:fill="FFFFFF" w:themeFill="background1"/>
          </w:tcPr>
          <w:p w14:paraId="00B33232" w14:textId="77777777" w:rsidR="00C2540A" w:rsidRPr="00B87CC5" w:rsidRDefault="00C2540A" w:rsidP="00FF1C8C">
            <w:pPr>
              <w:pStyle w:val="TableTextbold"/>
              <w:rPr>
                <w:szCs w:val="18"/>
              </w:rPr>
            </w:pPr>
            <w:r w:rsidRPr="00B87CC5">
              <w:t>Other benefits </w:t>
            </w:r>
          </w:p>
        </w:tc>
        <w:tc>
          <w:tcPr>
            <w:tcW w:w="11049" w:type="dxa"/>
            <w:gridSpan w:val="4"/>
            <w:shd w:val="clear" w:color="auto" w:fill="FFFFFF" w:themeFill="background1"/>
          </w:tcPr>
          <w:p w14:paraId="7599466F" w14:textId="7D2DA312" w:rsidR="00C2540A" w:rsidRPr="00B87CC5" w:rsidRDefault="00C2540A" w:rsidP="00FF1C8C">
            <w:pPr>
              <w:pStyle w:val="TableBullet"/>
              <w:spacing w:before="60"/>
              <w:rPr>
                <w:rFonts w:eastAsiaTheme="majorEastAsia" w:cs="Calibri"/>
                <w:i/>
                <w:iCs/>
                <w:szCs w:val="18"/>
              </w:rPr>
            </w:pPr>
            <w:r w:rsidRPr="00B87CC5">
              <w:t xml:space="preserve">Lower consent costs and greater renewable electricity supply can help to manage electricity prices and security of supply risks compared </w:t>
            </w:r>
            <w:r w:rsidR="00516C16" w:rsidRPr="00B87CC5">
              <w:t xml:space="preserve">with </w:t>
            </w:r>
            <w:r w:rsidRPr="00B87CC5">
              <w:t xml:space="preserve">the counterfactual. </w:t>
            </w:r>
          </w:p>
        </w:tc>
      </w:tr>
      <w:tr w:rsidR="00851655" w:rsidRPr="00B87CC5" w14:paraId="446866DC" w14:textId="77777777" w:rsidTr="0464AED2">
        <w:trPr>
          <w:trHeight w:val="300"/>
        </w:trPr>
        <w:tc>
          <w:tcPr>
            <w:tcW w:w="1596" w:type="dxa"/>
            <w:vMerge/>
          </w:tcPr>
          <w:p w14:paraId="0F6A9133"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14" w:type="dxa"/>
            <w:shd w:val="clear" w:color="auto" w:fill="FFFFFF" w:themeFill="background1"/>
            <w:vAlign w:val="center"/>
          </w:tcPr>
          <w:p w14:paraId="06510861" w14:textId="755CE782" w:rsidR="00C2540A" w:rsidRPr="00B87CC5" w:rsidRDefault="00C2540A" w:rsidP="00FF1C8C">
            <w:pPr>
              <w:pStyle w:val="TableTextbold"/>
              <w:rPr>
                <w:szCs w:val="18"/>
              </w:rPr>
            </w:pPr>
            <w:r w:rsidRPr="00B87CC5">
              <w:t xml:space="preserve">Why this </w:t>
            </w:r>
            <w:r w:rsidR="00707DF7" w:rsidRPr="00B87CC5">
              <w:t xml:space="preserve">is </w:t>
            </w:r>
            <w:r w:rsidRPr="00B87CC5">
              <w:t xml:space="preserve">complementary to the </w:t>
            </w:r>
            <w:r w:rsidR="00707DF7" w:rsidRPr="00B87CC5">
              <w:t xml:space="preserve">NZ </w:t>
            </w:r>
            <w:r w:rsidRPr="00B87CC5">
              <w:t>ETS</w:t>
            </w:r>
          </w:p>
        </w:tc>
        <w:tc>
          <w:tcPr>
            <w:tcW w:w="11049" w:type="dxa"/>
            <w:gridSpan w:val="4"/>
            <w:shd w:val="clear" w:color="auto" w:fill="FFFFFF" w:themeFill="background1"/>
            <w:vAlign w:val="center"/>
          </w:tcPr>
          <w:p w14:paraId="6DBB2337" w14:textId="3B28B501" w:rsidR="00C2540A" w:rsidRPr="00B87CC5" w:rsidRDefault="00C2540A" w:rsidP="00FF1C8C">
            <w:pPr>
              <w:pStyle w:val="TableBullet"/>
              <w:spacing w:before="60" w:after="40"/>
            </w:pPr>
            <w:r w:rsidRPr="00B87CC5">
              <w:t>The</w:t>
            </w:r>
            <w:r w:rsidR="00516C16" w:rsidRPr="00B87CC5">
              <w:t xml:space="preserve"> NZ</w:t>
            </w:r>
            <w:r w:rsidRPr="00B87CC5">
              <w:t xml:space="preserve"> ETS is the main tool the Government will use to drive emissions reductions in the energy sector. </w:t>
            </w:r>
          </w:p>
          <w:p w14:paraId="3F42D4BD" w14:textId="56B74B0E" w:rsidR="00C2540A" w:rsidRPr="00B87CC5" w:rsidRDefault="00C2540A" w:rsidP="00FF1C8C">
            <w:pPr>
              <w:pStyle w:val="TableBullet"/>
              <w:spacing w:after="40"/>
            </w:pPr>
            <w:r w:rsidRPr="00B87CC5">
              <w:t>The purpose of Electrify NZ is to complement the</w:t>
            </w:r>
            <w:r w:rsidR="00516C16" w:rsidRPr="00B87CC5">
              <w:t xml:space="preserve"> NZ</w:t>
            </w:r>
            <w:r w:rsidRPr="00B87CC5">
              <w:t xml:space="preserve"> ETS. </w:t>
            </w:r>
          </w:p>
          <w:p w14:paraId="01E835E6" w14:textId="0C0D3441" w:rsidR="00C2540A" w:rsidRPr="00B87CC5" w:rsidRDefault="00C2540A" w:rsidP="00C63531">
            <w:pPr>
              <w:pStyle w:val="TableBullet"/>
              <w:rPr>
                <w:rFonts w:asciiTheme="minorHAnsi" w:hAnsiTheme="minorHAnsi" w:cstheme="minorHAnsi"/>
                <w:i/>
                <w:szCs w:val="18"/>
              </w:rPr>
            </w:pPr>
            <w:r w:rsidRPr="00B87CC5">
              <w:t xml:space="preserve">Lowering consenting costs will lower total project costs and encourage faster deployment of renewables in response to </w:t>
            </w:r>
            <w:r w:rsidR="005259FA" w:rsidRPr="00B87CC5">
              <w:t xml:space="preserve">NZ </w:t>
            </w:r>
            <w:r w:rsidRPr="00B87CC5">
              <w:t xml:space="preserve">ETS price signals. </w:t>
            </w:r>
          </w:p>
        </w:tc>
      </w:tr>
      <w:tr w:rsidR="008F3BED" w:rsidRPr="00B87CC5" w14:paraId="58AEDD12" w14:textId="77777777" w:rsidTr="00FF1C8C">
        <w:trPr>
          <w:trHeight w:val="300"/>
        </w:trPr>
        <w:tc>
          <w:tcPr>
            <w:tcW w:w="1596" w:type="dxa"/>
            <w:vMerge w:val="restart"/>
            <w:shd w:val="clear" w:color="auto" w:fill="D2DDE1" w:themeFill="background2"/>
          </w:tcPr>
          <w:p w14:paraId="61CC3C47" w14:textId="75D8DF1D" w:rsidR="00AD7909" w:rsidRPr="00B87CC5" w:rsidRDefault="005733CA" w:rsidP="00FF1C8C">
            <w:pPr>
              <w:pStyle w:val="TableTextbold"/>
            </w:pPr>
            <w:r w:rsidRPr="00B87CC5">
              <w:t>Energy</w:t>
            </w:r>
          </w:p>
          <w:p w14:paraId="37EE700E" w14:textId="35E4C8C2" w:rsidR="005F4381" w:rsidRPr="00B87CC5" w:rsidRDefault="008447E4" w:rsidP="008A76D3">
            <w:pPr>
              <w:pStyle w:val="TableText"/>
              <w:spacing w:before="0"/>
            </w:pPr>
            <w:r w:rsidRPr="00B87CC5">
              <w:t>Consult on options to reduce barriers to deploying carbon capture</w:t>
            </w:r>
            <w:r w:rsidR="00516C16" w:rsidRPr="00B87CC5">
              <w:t>, utilisation</w:t>
            </w:r>
            <w:r w:rsidRPr="00B87CC5">
              <w:t xml:space="preserve"> </w:t>
            </w:r>
            <w:r w:rsidR="0053688A" w:rsidRPr="00B87CC5">
              <w:t xml:space="preserve">and </w:t>
            </w:r>
            <w:r w:rsidRPr="00B87CC5">
              <w:t>storage (CC</w:t>
            </w:r>
            <w:r w:rsidR="00516C16" w:rsidRPr="00B87CC5">
              <w:t>U</w:t>
            </w:r>
            <w:r w:rsidRPr="00B87CC5">
              <w:t>S)</w:t>
            </w:r>
          </w:p>
        </w:tc>
        <w:tc>
          <w:tcPr>
            <w:tcW w:w="3155" w:type="dxa"/>
            <w:gridSpan w:val="3"/>
            <w:shd w:val="clear" w:color="auto" w:fill="FFFFFF" w:themeFill="background1"/>
          </w:tcPr>
          <w:p w14:paraId="096C87DE" w14:textId="77777777" w:rsidR="005F4381" w:rsidRPr="00B87CC5" w:rsidRDefault="005F4381" w:rsidP="008A76D3">
            <w:pPr>
              <w:pStyle w:val="TableText"/>
              <w:spacing w:after="40"/>
              <w:rPr>
                <w:i/>
                <w:iCs/>
              </w:rPr>
            </w:pPr>
            <w:r w:rsidRPr="00B87CC5">
              <w:rPr>
                <w:i/>
                <w:iCs/>
              </w:rPr>
              <w:t>If we do the following now:</w:t>
            </w:r>
          </w:p>
          <w:p w14:paraId="23A50B25" w14:textId="2B3C4E57" w:rsidR="005F4381" w:rsidRPr="00B87CC5" w:rsidRDefault="00FD0806" w:rsidP="008A76D3">
            <w:pPr>
              <w:pStyle w:val="TableBullet"/>
              <w:spacing w:after="40"/>
            </w:pPr>
            <w:r w:rsidRPr="00B87CC5">
              <w:t>r</w:t>
            </w:r>
            <w:r w:rsidR="004A6C26" w:rsidRPr="00B87CC5">
              <w:t>ecognise and reward CC</w:t>
            </w:r>
            <w:r w:rsidR="00C55631" w:rsidRPr="00B87CC5">
              <w:t>U</w:t>
            </w:r>
            <w:r w:rsidR="004A6C26" w:rsidRPr="00B87CC5">
              <w:t>S emissions reductions</w:t>
            </w:r>
          </w:p>
          <w:p w14:paraId="0DA94676" w14:textId="74D8FF93" w:rsidR="005F4381" w:rsidRPr="00B87CC5" w:rsidRDefault="00FD0806" w:rsidP="008A76D3">
            <w:pPr>
              <w:pStyle w:val="TableBullet"/>
              <w:spacing w:after="40"/>
            </w:pPr>
            <w:r w:rsidRPr="00B87CC5">
              <w:t>c</w:t>
            </w:r>
            <w:r w:rsidR="004A6C26" w:rsidRPr="00B87CC5">
              <w:t>reate a CC</w:t>
            </w:r>
            <w:r w:rsidR="00C55631" w:rsidRPr="00B87CC5">
              <w:t>U</w:t>
            </w:r>
            <w:r w:rsidR="004A6C26" w:rsidRPr="00B87CC5">
              <w:t>S monitoring regime</w:t>
            </w:r>
          </w:p>
          <w:p w14:paraId="514D9058" w14:textId="6E209C92" w:rsidR="005F4381" w:rsidRPr="00B87CC5" w:rsidRDefault="00FD0806" w:rsidP="00FF1C8C">
            <w:pPr>
              <w:pStyle w:val="TableBullet"/>
              <w:rPr>
                <w:rFonts w:cs="Calibri"/>
                <w:b/>
                <w:sz w:val="20"/>
                <w:szCs w:val="20"/>
              </w:rPr>
            </w:pPr>
            <w:r w:rsidRPr="00B87CC5">
              <w:t>c</w:t>
            </w:r>
            <w:r w:rsidR="00444A3C" w:rsidRPr="00B87CC5">
              <w:t xml:space="preserve">reate a long-term liability regime for </w:t>
            </w:r>
            <w:r w:rsidR="005746F7" w:rsidRPr="00B87CC5">
              <w:t>carbon dioxide (</w:t>
            </w:r>
            <w:r w:rsidR="00444A3C" w:rsidRPr="00B87CC5">
              <w:t>CO</w:t>
            </w:r>
            <w:r w:rsidR="00444A3C" w:rsidRPr="00B87CC5">
              <w:rPr>
                <w:vertAlign w:val="subscript"/>
              </w:rPr>
              <w:t>2</w:t>
            </w:r>
            <w:r w:rsidR="0053522F" w:rsidRPr="00B87CC5">
              <w:t>)</w:t>
            </w:r>
            <w:r w:rsidR="00444A3C" w:rsidRPr="00B87CC5">
              <w:t xml:space="preserve"> storage sites</w:t>
            </w:r>
          </w:p>
        </w:tc>
        <w:tc>
          <w:tcPr>
            <w:tcW w:w="4180" w:type="dxa"/>
            <w:shd w:val="clear" w:color="auto" w:fill="FFFFFF" w:themeFill="background1"/>
          </w:tcPr>
          <w:p w14:paraId="5787C04E" w14:textId="23651B8C" w:rsidR="005F4381" w:rsidRPr="00B87CC5" w:rsidRDefault="00FD0806" w:rsidP="008A76D3">
            <w:pPr>
              <w:pStyle w:val="TableText"/>
              <w:spacing w:after="40"/>
              <w:rPr>
                <w:rFonts w:eastAsia="Times New Roman"/>
                <w:i/>
                <w:iCs/>
              </w:rPr>
            </w:pPr>
            <w:r w:rsidRPr="00B87CC5">
              <w:rPr>
                <w:i/>
                <w:iCs/>
              </w:rPr>
              <w:t>… b</w:t>
            </w:r>
            <w:r w:rsidR="005F4381" w:rsidRPr="00B87CC5">
              <w:rPr>
                <w:i/>
                <w:iCs/>
              </w:rPr>
              <w:t>y 2030 we can expect</w:t>
            </w:r>
            <w:r w:rsidR="005F4381" w:rsidRPr="00B87CC5">
              <w:rPr>
                <w:rFonts w:eastAsia="Times New Roman"/>
                <w:i/>
                <w:iCs/>
              </w:rPr>
              <w:t>:</w:t>
            </w:r>
          </w:p>
          <w:p w14:paraId="0DE9509F" w14:textId="759F5E63" w:rsidR="005F4381" w:rsidRPr="00B87CC5" w:rsidRDefault="0053522F" w:rsidP="008A76D3">
            <w:pPr>
              <w:pStyle w:val="TableBullet"/>
              <w:spacing w:after="40"/>
            </w:pPr>
            <w:r w:rsidRPr="00B87CC5">
              <w:t>u</w:t>
            </w:r>
            <w:r w:rsidR="00797943" w:rsidRPr="00B87CC5">
              <w:t>ptake of CC</w:t>
            </w:r>
            <w:r w:rsidR="00C55631" w:rsidRPr="00B87CC5">
              <w:t>U</w:t>
            </w:r>
            <w:r w:rsidR="00797943" w:rsidRPr="00B87CC5">
              <w:t>S by emission</w:t>
            </w:r>
            <w:r w:rsidRPr="00B87CC5">
              <w:t>s-</w:t>
            </w:r>
            <w:r w:rsidR="00797943" w:rsidRPr="00B87CC5">
              <w:t>intensive businesses (</w:t>
            </w:r>
            <w:proofErr w:type="spellStart"/>
            <w:r w:rsidR="00797943" w:rsidRPr="00B87CC5">
              <w:t>eg</w:t>
            </w:r>
            <w:proofErr w:type="spellEnd"/>
            <w:r w:rsidRPr="00B87CC5">
              <w:t>,</w:t>
            </w:r>
            <w:r w:rsidR="00797943" w:rsidRPr="00B87CC5">
              <w:t xml:space="preserve"> natural gas and methanol production) due to greater economic incentives to use CC</w:t>
            </w:r>
            <w:r w:rsidR="00C55631" w:rsidRPr="00B87CC5">
              <w:t>U</w:t>
            </w:r>
            <w:r w:rsidR="00797943" w:rsidRPr="00B87CC5">
              <w:t>S. This is because:</w:t>
            </w:r>
          </w:p>
          <w:p w14:paraId="441C5AD6" w14:textId="6A0AF0D1" w:rsidR="008F5997" w:rsidRPr="00B87CC5" w:rsidRDefault="008F5997" w:rsidP="008A76D3">
            <w:pPr>
              <w:pStyle w:val="TableDash"/>
              <w:spacing w:after="40"/>
            </w:pPr>
            <w:r w:rsidRPr="00B87CC5">
              <w:t>emission</w:t>
            </w:r>
            <w:r w:rsidR="0053522F" w:rsidRPr="00B87CC5">
              <w:t>s</w:t>
            </w:r>
            <w:r w:rsidRPr="00B87CC5">
              <w:t xml:space="preserve"> reductions through CC</w:t>
            </w:r>
            <w:r w:rsidR="00C55631" w:rsidRPr="00B87CC5">
              <w:t>U</w:t>
            </w:r>
            <w:r w:rsidRPr="00B87CC5">
              <w:t>S would be recognised and rewarded, creating a level playing field for CC</w:t>
            </w:r>
            <w:r w:rsidR="00C55631" w:rsidRPr="00B87CC5">
              <w:t>U</w:t>
            </w:r>
            <w:r w:rsidRPr="00B87CC5">
              <w:t xml:space="preserve">S compared </w:t>
            </w:r>
            <w:r w:rsidR="002E4B3F" w:rsidRPr="00B87CC5">
              <w:t xml:space="preserve">with </w:t>
            </w:r>
            <w:r w:rsidRPr="00B87CC5">
              <w:t>other emission</w:t>
            </w:r>
            <w:r w:rsidR="00DB0D7C" w:rsidRPr="00B87CC5">
              <w:t>s</w:t>
            </w:r>
            <w:r w:rsidRPr="00B87CC5">
              <w:t xml:space="preserve"> reduction options like forestry removals – this would support businesses to choose the most cost-effective way to reduce emissions</w:t>
            </w:r>
            <w:r w:rsidR="00E4003E" w:rsidRPr="00B87CC5">
              <w:t xml:space="preserve"> </w:t>
            </w:r>
          </w:p>
          <w:p w14:paraId="0ED59412" w14:textId="3B2D075A" w:rsidR="008F5997" w:rsidRPr="00B87CC5" w:rsidRDefault="008F5997" w:rsidP="008A76D3">
            <w:pPr>
              <w:pStyle w:val="TableDash"/>
              <w:spacing w:after="40"/>
            </w:pPr>
            <w:r w:rsidRPr="00B87CC5">
              <w:lastRenderedPageBreak/>
              <w:t>businesses could be rewarded for capturing CO</w:t>
            </w:r>
            <w:r w:rsidRPr="00B87CC5">
              <w:rPr>
                <w:vertAlign w:val="subscript"/>
              </w:rPr>
              <w:t>2</w:t>
            </w:r>
            <w:r w:rsidRPr="00B87CC5">
              <w:t xml:space="preserve"> for third parties</w:t>
            </w:r>
          </w:p>
          <w:p w14:paraId="4610AA51" w14:textId="472D76C6" w:rsidR="00630EE2" w:rsidRPr="00B87CC5" w:rsidRDefault="0053522F" w:rsidP="008A76D3">
            <w:pPr>
              <w:pStyle w:val="TableBullet"/>
              <w:spacing w:after="40"/>
            </w:pPr>
            <w:r w:rsidRPr="00B87CC5">
              <w:t>t</w:t>
            </w:r>
            <w:r w:rsidR="00630EE2" w:rsidRPr="00B87CC5">
              <w:t xml:space="preserve">he monitoring regime to provide consumers, businesses and international trading partners </w:t>
            </w:r>
            <w:r w:rsidR="005259FA" w:rsidRPr="00B87CC5">
              <w:t xml:space="preserve">with </w:t>
            </w:r>
            <w:r w:rsidR="00630EE2" w:rsidRPr="00B87CC5">
              <w:t>confidence in the integrity of the emission</w:t>
            </w:r>
            <w:r w:rsidR="002E4B3F" w:rsidRPr="00B87CC5">
              <w:t>s</w:t>
            </w:r>
            <w:r w:rsidR="00630EE2" w:rsidRPr="00B87CC5">
              <w:t xml:space="preserve"> reductions from CC</w:t>
            </w:r>
            <w:r w:rsidR="00C55631" w:rsidRPr="00B87CC5">
              <w:t>U</w:t>
            </w:r>
            <w:r w:rsidR="00630EE2" w:rsidRPr="00B87CC5">
              <w:t>S</w:t>
            </w:r>
          </w:p>
          <w:p w14:paraId="0862B5FA" w14:textId="32A1063A" w:rsidR="00630EE2" w:rsidRPr="00B87CC5" w:rsidRDefault="00630EE2" w:rsidP="008A76D3">
            <w:pPr>
              <w:pStyle w:val="TableBullet"/>
              <w:spacing w:after="40"/>
            </w:pPr>
            <w:r w:rsidRPr="00B87CC5">
              <w:t>CC</w:t>
            </w:r>
            <w:r w:rsidR="00C55631" w:rsidRPr="00B87CC5">
              <w:t>U</w:t>
            </w:r>
            <w:r w:rsidRPr="00B87CC5">
              <w:t xml:space="preserve">S to be recognised as an effective option for reducing emissions, supporting </w:t>
            </w:r>
            <w:r w:rsidR="002E4B3F" w:rsidRPr="00B87CC5">
              <w:t xml:space="preserve">its </w:t>
            </w:r>
            <w:r w:rsidRPr="00B87CC5">
              <w:t>uptake</w:t>
            </w:r>
          </w:p>
          <w:p w14:paraId="4DEBF569" w14:textId="6678B802" w:rsidR="00630EE2" w:rsidRPr="00B87CC5" w:rsidRDefault="00630EE2" w:rsidP="008A76D3">
            <w:pPr>
              <w:pStyle w:val="TableBullet"/>
              <w:spacing w:after="40"/>
            </w:pPr>
            <w:r w:rsidRPr="00B87CC5">
              <w:t>CC</w:t>
            </w:r>
            <w:r w:rsidR="00C55631" w:rsidRPr="00B87CC5">
              <w:t>U</w:t>
            </w:r>
            <w:r w:rsidRPr="00B87CC5">
              <w:t>S operators to surrender emission</w:t>
            </w:r>
            <w:r w:rsidR="002E4B3F" w:rsidRPr="00B87CC5">
              <w:t>s</w:t>
            </w:r>
            <w:r w:rsidRPr="00B87CC5">
              <w:t xml:space="preserve"> units or to otherwise account for carbon leaks (depending on the design of the CC</w:t>
            </w:r>
            <w:r w:rsidR="00C55631" w:rsidRPr="00B87CC5">
              <w:t>U</w:t>
            </w:r>
            <w:r w:rsidRPr="00B87CC5">
              <w:t>S regime)</w:t>
            </w:r>
          </w:p>
          <w:p w14:paraId="41FD95CE" w14:textId="403815DE" w:rsidR="005F4381" w:rsidRPr="00B87CC5" w:rsidRDefault="002E4B3F" w:rsidP="008A76D3">
            <w:pPr>
              <w:pStyle w:val="TableBullet"/>
              <w:spacing w:after="40"/>
            </w:pPr>
            <w:r w:rsidRPr="00B87CC5">
              <w:t>t</w:t>
            </w:r>
            <w:r w:rsidR="00630EE2" w:rsidRPr="00B87CC5">
              <w:t>he long-term liability regime to</w:t>
            </w:r>
            <w:r w:rsidR="00F306AD" w:rsidRPr="00B87CC5">
              <w:t>:</w:t>
            </w:r>
          </w:p>
          <w:p w14:paraId="3C0FFF0A" w14:textId="42ABCA21" w:rsidR="00F306AD" w:rsidRPr="00B87CC5" w:rsidRDefault="000D2233" w:rsidP="008A76D3">
            <w:pPr>
              <w:pStyle w:val="TableDash"/>
              <w:spacing w:after="40"/>
            </w:pPr>
            <w:r w:rsidRPr="00B87CC5">
              <w:t xml:space="preserve">provide assurance that </w:t>
            </w:r>
            <w:r w:rsidR="0098319D" w:rsidRPr="00B87CC5">
              <w:t>CO</w:t>
            </w:r>
            <w:r w:rsidR="0098319D" w:rsidRPr="00B87CC5">
              <w:rPr>
                <w:vertAlign w:val="subscript"/>
              </w:rPr>
              <w:t>2</w:t>
            </w:r>
            <w:r w:rsidR="0098319D" w:rsidRPr="00B87CC5">
              <w:t xml:space="preserve"> </w:t>
            </w:r>
            <w:r w:rsidR="002E4B3F" w:rsidRPr="00B87CC5">
              <w:t>s</w:t>
            </w:r>
            <w:r w:rsidRPr="00B87CC5">
              <w:t>torage sites will be closed properly, which will reduce the risk of CO</w:t>
            </w:r>
            <w:r w:rsidRPr="00B87CC5">
              <w:rPr>
                <w:vertAlign w:val="subscript"/>
              </w:rPr>
              <w:t>2</w:t>
            </w:r>
            <w:r w:rsidRPr="00B87CC5">
              <w:t xml:space="preserve"> leaks and help make sure the CO</w:t>
            </w:r>
            <w:r w:rsidRPr="00B87CC5">
              <w:rPr>
                <w:vertAlign w:val="subscript"/>
              </w:rPr>
              <w:t>2</w:t>
            </w:r>
            <w:r w:rsidRPr="00B87CC5">
              <w:t xml:space="preserve"> stays in the ground</w:t>
            </w:r>
          </w:p>
          <w:p w14:paraId="57565648" w14:textId="53761DB8" w:rsidR="00516820" w:rsidRPr="00B87CC5" w:rsidRDefault="001150A0" w:rsidP="008A76D3">
            <w:pPr>
              <w:pStyle w:val="TableDash"/>
              <w:spacing w:after="40"/>
            </w:pPr>
            <w:r w:rsidRPr="00B87CC5">
              <w:t xml:space="preserve">provide certainty about who bears the long-term liability </w:t>
            </w:r>
            <w:r w:rsidR="00FB5559" w:rsidRPr="00B87CC5">
              <w:t xml:space="preserve">for </w:t>
            </w:r>
            <w:r w:rsidRPr="00B87CC5">
              <w:t>CO</w:t>
            </w:r>
            <w:r w:rsidRPr="00B87CC5">
              <w:rPr>
                <w:vertAlign w:val="subscript"/>
              </w:rPr>
              <w:t>2</w:t>
            </w:r>
            <w:r w:rsidRPr="00B87CC5">
              <w:t xml:space="preserve"> storage sites, which will support uptake of CC</w:t>
            </w:r>
            <w:r w:rsidR="0098319D" w:rsidRPr="00B87CC5">
              <w:t>U</w:t>
            </w:r>
            <w:r w:rsidRPr="00B87CC5">
              <w:t>S</w:t>
            </w:r>
          </w:p>
          <w:p w14:paraId="4CB806BD" w14:textId="557D1DD5" w:rsidR="00F306AD" w:rsidRPr="00B87CC5" w:rsidRDefault="00975448" w:rsidP="008A76D3">
            <w:pPr>
              <w:pStyle w:val="TableDash"/>
              <w:spacing w:after="40"/>
            </w:pPr>
            <w:r w:rsidRPr="00B87CC5">
              <w:t>make CC</w:t>
            </w:r>
            <w:r w:rsidR="0098319D" w:rsidRPr="00B87CC5">
              <w:t>U</w:t>
            </w:r>
            <w:r w:rsidRPr="00B87CC5">
              <w:t>S operators liable for costs associated with site remediation if there is a carbon leak</w:t>
            </w:r>
          </w:p>
          <w:p w14:paraId="3868C7EB" w14:textId="3BEE654C" w:rsidR="005F4381" w:rsidRPr="00B87CC5" w:rsidRDefault="00FC39A9" w:rsidP="008A76D3">
            <w:pPr>
              <w:pStyle w:val="TableText"/>
              <w:spacing w:after="40"/>
              <w:rPr>
                <w:i/>
                <w:iCs/>
              </w:rPr>
            </w:pPr>
            <w:r w:rsidRPr="00B87CC5">
              <w:rPr>
                <w:i/>
                <w:iCs/>
              </w:rPr>
              <w:t>… and b</w:t>
            </w:r>
            <w:r w:rsidR="005F4381" w:rsidRPr="00B87CC5">
              <w:rPr>
                <w:i/>
                <w:iCs/>
              </w:rPr>
              <w:t>y 2050 we can expect:</w:t>
            </w:r>
          </w:p>
          <w:p w14:paraId="54B54F65" w14:textId="742EB52A" w:rsidR="005F4381" w:rsidRPr="00B87CC5" w:rsidRDefault="002E4B3F" w:rsidP="008A76D3">
            <w:pPr>
              <w:pStyle w:val="TableBullet"/>
              <w:spacing w:after="40"/>
            </w:pPr>
            <w:r w:rsidRPr="00B87CC5">
              <w:t>the s</w:t>
            </w:r>
            <w:r w:rsidR="007C184E" w:rsidRPr="00B87CC5">
              <w:t>ame as above, with potentially greater uptake across more industries, depending on the cost of CC</w:t>
            </w:r>
            <w:r w:rsidR="0098319D" w:rsidRPr="00B87CC5">
              <w:t>U</w:t>
            </w:r>
            <w:r w:rsidR="007C184E" w:rsidRPr="00B87CC5">
              <w:t>S relative to carbon prices</w:t>
            </w:r>
          </w:p>
        </w:tc>
        <w:tc>
          <w:tcPr>
            <w:tcW w:w="5528" w:type="dxa"/>
            <w:shd w:val="clear" w:color="auto" w:fill="FFFFFF" w:themeFill="background1"/>
          </w:tcPr>
          <w:p w14:paraId="7EBB3D7B" w14:textId="3EE90125" w:rsidR="005F4381" w:rsidRPr="00B87CC5" w:rsidRDefault="00FD0806" w:rsidP="008A76D3">
            <w:pPr>
              <w:pStyle w:val="TableText"/>
              <w:spacing w:after="40"/>
              <w:rPr>
                <w:rFonts w:eastAsia="Times New Roman"/>
                <w:i/>
                <w:iCs/>
              </w:rPr>
            </w:pPr>
            <w:r w:rsidRPr="00B87CC5">
              <w:rPr>
                <w:i/>
                <w:iCs/>
              </w:rPr>
              <w:lastRenderedPageBreak/>
              <w:t>… and then in the second emissions budget,</w:t>
            </w:r>
            <w:r w:rsidR="005F4381" w:rsidRPr="00B87CC5">
              <w:rPr>
                <w:i/>
                <w:iCs/>
              </w:rPr>
              <w:t xml:space="preserve"> this will lead to</w:t>
            </w:r>
            <w:r w:rsidR="005F4381" w:rsidRPr="00B87CC5">
              <w:rPr>
                <w:rFonts w:eastAsia="Times New Roman"/>
                <w:i/>
                <w:iCs/>
              </w:rPr>
              <w:t>:</w:t>
            </w:r>
          </w:p>
          <w:p w14:paraId="7A3641E5" w14:textId="317BEC51" w:rsidR="009C7F4C" w:rsidRPr="00B87CC5" w:rsidRDefault="002E4B3F" w:rsidP="008A76D3">
            <w:pPr>
              <w:pStyle w:val="TableBullet"/>
              <w:spacing w:after="40"/>
            </w:pPr>
            <w:r w:rsidRPr="00B87CC5">
              <w:t>r</w:t>
            </w:r>
            <w:r w:rsidR="009C7F4C" w:rsidRPr="00B87CC5">
              <w:t>educed emissions in some emissions</w:t>
            </w:r>
            <w:r w:rsidRPr="00B87CC5">
              <w:t>-</w:t>
            </w:r>
            <w:r w:rsidR="009C7F4C" w:rsidRPr="00B87CC5">
              <w:t>intensive industries (</w:t>
            </w:r>
            <w:proofErr w:type="spellStart"/>
            <w:r w:rsidR="009C7F4C" w:rsidRPr="00B87CC5">
              <w:t>eg</w:t>
            </w:r>
            <w:proofErr w:type="spellEnd"/>
            <w:r w:rsidRPr="00B87CC5">
              <w:t>,</w:t>
            </w:r>
            <w:r w:rsidR="009C7F4C" w:rsidRPr="00B87CC5">
              <w:t xml:space="preserve"> natural gas and methanol production) through:</w:t>
            </w:r>
          </w:p>
          <w:p w14:paraId="5E8F2797" w14:textId="5D125919" w:rsidR="009C7F4C" w:rsidRPr="00B87CC5" w:rsidRDefault="009C7F4C" w:rsidP="008A76D3">
            <w:pPr>
              <w:pStyle w:val="TableDash"/>
              <w:spacing w:after="40"/>
            </w:pPr>
            <w:r w:rsidRPr="00B87CC5">
              <w:t>uptake of CC</w:t>
            </w:r>
            <w:r w:rsidR="00C55631" w:rsidRPr="00B87CC5">
              <w:t>U</w:t>
            </w:r>
            <w:r w:rsidRPr="00B87CC5">
              <w:t>S</w:t>
            </w:r>
          </w:p>
          <w:p w14:paraId="34EEC0F8" w14:textId="7A25AF5F" w:rsidR="009C7F4C" w:rsidRPr="00B87CC5" w:rsidRDefault="00817357" w:rsidP="008A76D3">
            <w:pPr>
              <w:pStyle w:val="TableDash"/>
              <w:spacing w:after="40"/>
            </w:pPr>
            <w:r w:rsidRPr="00B87CC5">
              <w:t>assurance that CC</w:t>
            </w:r>
            <w:r w:rsidR="00C55631" w:rsidRPr="00B87CC5">
              <w:t>U</w:t>
            </w:r>
            <w:r w:rsidRPr="00B87CC5">
              <w:t>S is implemented in a way that provides genuine emission</w:t>
            </w:r>
            <w:r w:rsidR="002E4B3F" w:rsidRPr="00B87CC5">
              <w:t>s</w:t>
            </w:r>
            <w:r w:rsidRPr="00B87CC5">
              <w:t xml:space="preserve"> reductions, with the risk of CO</w:t>
            </w:r>
            <w:r w:rsidRPr="00B87CC5">
              <w:rPr>
                <w:vertAlign w:val="subscript"/>
              </w:rPr>
              <w:t>2</w:t>
            </w:r>
            <w:r w:rsidRPr="00B87CC5">
              <w:t xml:space="preserve"> leakage managed</w:t>
            </w:r>
          </w:p>
          <w:p w14:paraId="5F97F59B" w14:textId="2231BE46" w:rsidR="005F4381" w:rsidRPr="00B87CC5" w:rsidRDefault="002E4B3F" w:rsidP="008A76D3">
            <w:pPr>
              <w:pStyle w:val="TableBullet"/>
              <w:spacing w:after="40"/>
            </w:pPr>
            <w:r w:rsidRPr="00B87CC5">
              <w:t>p</w:t>
            </w:r>
            <w:r w:rsidR="003165FB" w:rsidRPr="00B87CC5">
              <w:t>otentially increased emissions from the combustion of additional gas supply made viable from use of CC</w:t>
            </w:r>
            <w:r w:rsidR="00C55631" w:rsidRPr="00B87CC5">
              <w:t>U</w:t>
            </w:r>
            <w:r w:rsidR="003165FB" w:rsidRPr="00B87CC5">
              <w:t xml:space="preserve">S in gas production. However, a lot of this additional gas is expected to be used as feedstock in exported methanol </w:t>
            </w:r>
            <w:r w:rsidR="00FB5559" w:rsidRPr="00B87CC5">
              <w:t>instead of being</w:t>
            </w:r>
            <w:r w:rsidR="003165FB" w:rsidRPr="00B87CC5">
              <w:t xml:space="preserve"> combusted in New</w:t>
            </w:r>
            <w:r w:rsidR="008A76D3" w:rsidRPr="00B87CC5">
              <w:t> </w:t>
            </w:r>
            <w:r w:rsidR="003165FB" w:rsidRPr="00B87CC5">
              <w:t>Zealand. This will reduce the impact of this additional gas on New Zealand’s emissions</w:t>
            </w:r>
          </w:p>
          <w:p w14:paraId="63B634C4" w14:textId="22C8B24A" w:rsidR="005F4381" w:rsidRPr="00B87CC5" w:rsidRDefault="00FD0806" w:rsidP="00FF1C8C">
            <w:pPr>
              <w:pStyle w:val="TableText"/>
              <w:rPr>
                <w:i/>
                <w:iCs/>
              </w:rPr>
            </w:pPr>
            <w:r w:rsidRPr="00B87CC5">
              <w:rPr>
                <w:i/>
                <w:iCs/>
              </w:rPr>
              <w:lastRenderedPageBreak/>
              <w:t>… and then i</w:t>
            </w:r>
            <w:r w:rsidR="005F4381" w:rsidRPr="00B87CC5">
              <w:rPr>
                <w:i/>
                <w:iCs/>
              </w:rPr>
              <w:t>n future emissions budgets</w:t>
            </w:r>
            <w:r w:rsidRPr="00B87CC5">
              <w:rPr>
                <w:i/>
                <w:iCs/>
              </w:rPr>
              <w:t>,</w:t>
            </w:r>
            <w:r w:rsidR="005F4381" w:rsidRPr="00B87CC5">
              <w:rPr>
                <w:i/>
                <w:iCs/>
              </w:rPr>
              <w:t xml:space="preserve"> this will lead to:</w:t>
            </w:r>
          </w:p>
          <w:p w14:paraId="27A74FD8" w14:textId="1EBF33B6" w:rsidR="005F4381" w:rsidRPr="00B87CC5" w:rsidRDefault="002E4B3F" w:rsidP="00C63531">
            <w:pPr>
              <w:pStyle w:val="TableBullet"/>
            </w:pPr>
            <w:r w:rsidRPr="00B87CC5">
              <w:t>the s</w:t>
            </w:r>
            <w:r w:rsidR="005F4381" w:rsidRPr="00B87CC5">
              <w:t>ame as above</w:t>
            </w:r>
            <w:r w:rsidR="002F2EF4" w:rsidRPr="00B87CC5">
              <w:t xml:space="preserve">, with </w:t>
            </w:r>
            <w:r w:rsidR="00643838" w:rsidRPr="00B87CC5">
              <w:t xml:space="preserve">the </w:t>
            </w:r>
            <w:r w:rsidR="002F2EF4" w:rsidRPr="00B87CC5">
              <w:t>potential</w:t>
            </w:r>
            <w:r w:rsidR="00643838" w:rsidRPr="00B87CC5">
              <w:t xml:space="preserve"> for</w:t>
            </w:r>
            <w:r w:rsidR="002F2EF4" w:rsidRPr="00B87CC5">
              <w:t xml:space="preserve"> emissions reductions from </w:t>
            </w:r>
            <w:r w:rsidR="0055095F" w:rsidRPr="00B87CC5">
              <w:t xml:space="preserve">harder to </w:t>
            </w:r>
            <w:r w:rsidR="002F2EF4" w:rsidRPr="00B87CC5">
              <w:t>abate uses, if there is greater uptake across more industries</w:t>
            </w:r>
            <w:r w:rsidR="005F4381" w:rsidRPr="00B87CC5">
              <w:t xml:space="preserve">. </w:t>
            </w:r>
          </w:p>
        </w:tc>
      </w:tr>
      <w:tr w:rsidR="00851655" w:rsidRPr="00B87CC5" w14:paraId="4584C5E0" w14:textId="77777777" w:rsidTr="0464AED2">
        <w:trPr>
          <w:trHeight w:val="300"/>
        </w:trPr>
        <w:tc>
          <w:tcPr>
            <w:tcW w:w="1596" w:type="dxa"/>
            <w:vMerge/>
          </w:tcPr>
          <w:p w14:paraId="7FF02738" w14:textId="77777777" w:rsidR="005F4381" w:rsidRPr="00B87CC5" w:rsidRDefault="005F4381" w:rsidP="005F4381">
            <w:pPr>
              <w:spacing w:before="0" w:after="0" w:line="240" w:lineRule="auto"/>
              <w:jc w:val="left"/>
              <w:textAlignment w:val="baseline"/>
              <w:rPr>
                <w:rFonts w:eastAsia="Times New Roman" w:cs="Calibri"/>
                <w:b/>
                <w:bCs/>
                <w:i/>
                <w:iCs/>
                <w:sz w:val="18"/>
                <w:szCs w:val="18"/>
              </w:rPr>
            </w:pPr>
          </w:p>
        </w:tc>
        <w:tc>
          <w:tcPr>
            <w:tcW w:w="3155" w:type="dxa"/>
            <w:gridSpan w:val="3"/>
            <w:shd w:val="clear" w:color="auto" w:fill="FFFFFF" w:themeFill="background1"/>
          </w:tcPr>
          <w:p w14:paraId="3B1D7C37" w14:textId="7D31A009" w:rsidR="005F4381" w:rsidRPr="00B87CC5" w:rsidRDefault="005F4381" w:rsidP="00FF1C8C">
            <w:pPr>
              <w:pStyle w:val="TableTextbold"/>
            </w:pPr>
            <w:r w:rsidRPr="00B87CC5">
              <w:t xml:space="preserve">Assumptions and </w:t>
            </w:r>
            <w:r w:rsidR="00F62E46" w:rsidRPr="00B87CC5">
              <w:t>d</w:t>
            </w:r>
            <w:r w:rsidRPr="00B87CC5">
              <w:t>ependencies </w:t>
            </w:r>
          </w:p>
        </w:tc>
        <w:tc>
          <w:tcPr>
            <w:tcW w:w="9708" w:type="dxa"/>
            <w:gridSpan w:val="2"/>
            <w:shd w:val="clear" w:color="auto" w:fill="FFFFFF" w:themeFill="background1"/>
          </w:tcPr>
          <w:p w14:paraId="5CE8E10F" w14:textId="73D566A9" w:rsidR="00D820B7" w:rsidRPr="00B87CC5" w:rsidRDefault="00D820B7" w:rsidP="00FF1C8C">
            <w:pPr>
              <w:pStyle w:val="TableBullet"/>
              <w:spacing w:before="60"/>
            </w:pPr>
            <w:r w:rsidRPr="00B87CC5">
              <w:t>Emissions impacts depend on private investment decisions to deploy CC</w:t>
            </w:r>
            <w:r w:rsidR="0098319D" w:rsidRPr="00B87CC5">
              <w:t>U</w:t>
            </w:r>
            <w:r w:rsidRPr="00B87CC5">
              <w:t>S and to continue operating emission</w:t>
            </w:r>
            <w:r w:rsidR="00FB5559" w:rsidRPr="00B87CC5">
              <w:t>s-</w:t>
            </w:r>
            <w:r w:rsidRPr="00B87CC5">
              <w:t xml:space="preserve">intensive industries in New Zealand. </w:t>
            </w:r>
          </w:p>
          <w:p w14:paraId="6D0EDCA8" w14:textId="77777777" w:rsidR="00D820B7" w:rsidRPr="00B87CC5" w:rsidRDefault="00D820B7" w:rsidP="00C63531">
            <w:pPr>
              <w:pStyle w:val="TableBullet"/>
            </w:pPr>
            <w:r w:rsidRPr="00B87CC5">
              <w:t>Private investment decisions depend on market settings and commercial conditions, including:</w:t>
            </w:r>
          </w:p>
          <w:p w14:paraId="6E33FB8F" w14:textId="77777777" w:rsidR="00D820B7" w:rsidRPr="00B87CC5" w:rsidRDefault="00D820B7" w:rsidP="00C63531">
            <w:pPr>
              <w:pStyle w:val="TableDash"/>
            </w:pPr>
            <w:r w:rsidRPr="00B87CC5">
              <w:lastRenderedPageBreak/>
              <w:t>carbon prices</w:t>
            </w:r>
          </w:p>
          <w:p w14:paraId="5B4697C1" w14:textId="05539487" w:rsidR="00D820B7" w:rsidRPr="00B87CC5" w:rsidRDefault="00D820B7" w:rsidP="00C63531">
            <w:pPr>
              <w:pStyle w:val="TableDash"/>
            </w:pPr>
            <w:r w:rsidRPr="00B87CC5">
              <w:t>the cost of CC</w:t>
            </w:r>
            <w:r w:rsidR="0098319D" w:rsidRPr="00B87CC5">
              <w:t>U</w:t>
            </w:r>
            <w:r w:rsidRPr="00B87CC5">
              <w:t>S across different industries</w:t>
            </w:r>
          </w:p>
          <w:p w14:paraId="3E38BC3A" w14:textId="425C6F65" w:rsidR="00D820B7" w:rsidRPr="00B87CC5" w:rsidRDefault="00D820B7" w:rsidP="00C63531">
            <w:pPr>
              <w:pStyle w:val="TableDash"/>
            </w:pPr>
            <w:r w:rsidRPr="00B87CC5">
              <w:t>the cost of alternatives to lower emissions (</w:t>
            </w:r>
            <w:proofErr w:type="spellStart"/>
            <w:r w:rsidRPr="00B87CC5">
              <w:t>eg</w:t>
            </w:r>
            <w:proofErr w:type="spellEnd"/>
            <w:r w:rsidR="00643838" w:rsidRPr="00B87CC5">
              <w:t>,</w:t>
            </w:r>
            <w:r w:rsidRPr="00B87CC5">
              <w:t xml:space="preserve"> making methanol from renewable resources)</w:t>
            </w:r>
          </w:p>
          <w:p w14:paraId="2199D33D" w14:textId="5B0B579B" w:rsidR="00D820B7" w:rsidRPr="00B87CC5" w:rsidRDefault="00D820B7" w:rsidP="00C63531">
            <w:pPr>
              <w:pStyle w:val="TableDash"/>
            </w:pPr>
            <w:r w:rsidRPr="00B87CC5">
              <w:t>commercial opportunities for businesses to shift emission</w:t>
            </w:r>
            <w:r w:rsidR="00643838" w:rsidRPr="00B87CC5">
              <w:t>s</w:t>
            </w:r>
            <w:r w:rsidRPr="00B87CC5">
              <w:t xml:space="preserve">-intensive industries outside New Zealand. </w:t>
            </w:r>
          </w:p>
          <w:p w14:paraId="2549A0A8" w14:textId="6F2A5FF0" w:rsidR="00D820B7" w:rsidRPr="00B87CC5" w:rsidRDefault="00D820B7" w:rsidP="00C63531">
            <w:pPr>
              <w:pStyle w:val="TableBullet"/>
            </w:pPr>
            <w:r w:rsidRPr="00B87CC5">
              <w:t>The timing of CC</w:t>
            </w:r>
            <w:r w:rsidR="0098319D" w:rsidRPr="00B87CC5">
              <w:t>U</w:t>
            </w:r>
            <w:r w:rsidRPr="00B87CC5">
              <w:t xml:space="preserve">S deployment in relation to </w:t>
            </w:r>
            <w:r w:rsidR="00643838" w:rsidRPr="00B87CC5">
              <w:t xml:space="preserve">the second emissions budget </w:t>
            </w:r>
            <w:r w:rsidRPr="00B87CC5">
              <w:t>is uncertain. We have estimated the amount of CO</w:t>
            </w:r>
            <w:r w:rsidRPr="00B87CC5">
              <w:rPr>
                <w:vertAlign w:val="subscript"/>
              </w:rPr>
              <w:t>2</w:t>
            </w:r>
            <w:r w:rsidRPr="00B87CC5">
              <w:t xml:space="preserve"> that could be stored out to 2035 based on a series of assumptions about uptake of CC</w:t>
            </w:r>
            <w:r w:rsidR="0098319D" w:rsidRPr="00B87CC5">
              <w:t>U</w:t>
            </w:r>
            <w:r w:rsidRPr="00B87CC5">
              <w:t>S across different industries.</w:t>
            </w:r>
          </w:p>
          <w:p w14:paraId="14A50A2D" w14:textId="47AF69C1" w:rsidR="00D820B7" w:rsidRPr="00B87CC5" w:rsidRDefault="00D820B7" w:rsidP="00C63531">
            <w:pPr>
              <w:pStyle w:val="TableBullet"/>
            </w:pPr>
            <w:r w:rsidRPr="00B87CC5">
              <w:t>We have assumed that CC</w:t>
            </w:r>
            <w:r w:rsidR="0098319D" w:rsidRPr="00B87CC5">
              <w:t>U</w:t>
            </w:r>
            <w:r w:rsidRPr="00B87CC5">
              <w:t>S is commercially and technically viable from 2027 for gas production and</w:t>
            </w:r>
            <w:r w:rsidR="00643838" w:rsidRPr="00B87CC5">
              <w:t xml:space="preserve"> from</w:t>
            </w:r>
            <w:r w:rsidRPr="00B87CC5">
              <w:t xml:space="preserve"> 2030 for the petrochemical industry and some industries like cement and steel production if a suitable regulatory regime is put in place. The commercial viability will be driven by the cost of CC</w:t>
            </w:r>
            <w:r w:rsidR="0098319D" w:rsidRPr="00B87CC5">
              <w:t>U</w:t>
            </w:r>
            <w:r w:rsidRPr="00B87CC5">
              <w:t xml:space="preserve">S compared </w:t>
            </w:r>
            <w:r w:rsidR="00643838" w:rsidRPr="00B87CC5">
              <w:t xml:space="preserve">with NZ </w:t>
            </w:r>
            <w:r w:rsidRPr="00B87CC5">
              <w:t xml:space="preserve">ETS carbon prices. </w:t>
            </w:r>
          </w:p>
          <w:p w14:paraId="753320F8" w14:textId="720FF553" w:rsidR="005F4381" w:rsidRPr="00B87CC5" w:rsidRDefault="00D820B7" w:rsidP="00C63531">
            <w:pPr>
              <w:pStyle w:val="TableBullet"/>
            </w:pPr>
            <w:r w:rsidRPr="00B87CC5">
              <w:t xml:space="preserve">These assumptions will be tested during consultation and will be revised as needed in advance of </w:t>
            </w:r>
            <w:r w:rsidR="00643838" w:rsidRPr="00B87CC5">
              <w:t>G</w:t>
            </w:r>
            <w:r w:rsidRPr="00B87CC5">
              <w:t>overnment decisions on the CC</w:t>
            </w:r>
            <w:r w:rsidR="0098319D" w:rsidRPr="00B87CC5">
              <w:t>U</w:t>
            </w:r>
            <w:r w:rsidRPr="00B87CC5">
              <w:t>S regime later this year.</w:t>
            </w:r>
            <w:r w:rsidR="00E4003E" w:rsidRPr="00B87CC5">
              <w:rPr>
                <w:sz w:val="20"/>
              </w:rPr>
              <w:t xml:space="preserve"> </w:t>
            </w:r>
          </w:p>
        </w:tc>
      </w:tr>
      <w:tr w:rsidR="00851655" w:rsidRPr="00B87CC5" w14:paraId="4177CAE5" w14:textId="77777777" w:rsidTr="0464AED2">
        <w:trPr>
          <w:trHeight w:val="300"/>
        </w:trPr>
        <w:tc>
          <w:tcPr>
            <w:tcW w:w="1596" w:type="dxa"/>
            <w:vMerge/>
          </w:tcPr>
          <w:p w14:paraId="32BC2683" w14:textId="77777777" w:rsidR="005F4381" w:rsidRPr="00B87CC5" w:rsidRDefault="005F4381" w:rsidP="005F4381">
            <w:pPr>
              <w:spacing w:before="0" w:after="0" w:line="240" w:lineRule="auto"/>
              <w:jc w:val="left"/>
              <w:textAlignment w:val="baseline"/>
              <w:rPr>
                <w:rFonts w:eastAsia="Times New Roman" w:cs="Calibri"/>
                <w:b/>
                <w:bCs/>
                <w:i/>
                <w:iCs/>
                <w:sz w:val="18"/>
                <w:szCs w:val="18"/>
              </w:rPr>
            </w:pPr>
          </w:p>
        </w:tc>
        <w:tc>
          <w:tcPr>
            <w:tcW w:w="3155" w:type="dxa"/>
            <w:gridSpan w:val="3"/>
            <w:shd w:val="clear" w:color="auto" w:fill="FFFFFF" w:themeFill="background1"/>
          </w:tcPr>
          <w:p w14:paraId="771E4A66" w14:textId="1D3DB113" w:rsidR="005F4381" w:rsidRPr="00B87CC5" w:rsidRDefault="005F4381" w:rsidP="00FF1C8C">
            <w:pPr>
              <w:pStyle w:val="TableTextbold"/>
            </w:pPr>
            <w:r w:rsidRPr="00B87CC5">
              <w:t>Other benefits </w:t>
            </w:r>
          </w:p>
        </w:tc>
        <w:tc>
          <w:tcPr>
            <w:tcW w:w="9708" w:type="dxa"/>
            <w:gridSpan w:val="2"/>
            <w:shd w:val="clear" w:color="auto" w:fill="FFFFFF" w:themeFill="background1"/>
          </w:tcPr>
          <w:p w14:paraId="49DD03A4" w14:textId="76BD9C6D" w:rsidR="007B788B" w:rsidRPr="00B87CC5" w:rsidRDefault="007B788B" w:rsidP="00FF1C8C">
            <w:pPr>
              <w:pStyle w:val="TableBullet"/>
              <w:spacing w:before="60"/>
            </w:pPr>
            <w:r w:rsidRPr="00B87CC5">
              <w:t>CC</w:t>
            </w:r>
            <w:r w:rsidR="0098319D" w:rsidRPr="00B87CC5">
              <w:t>U</w:t>
            </w:r>
            <w:r w:rsidRPr="00B87CC5">
              <w:t xml:space="preserve">S could support energy security </w:t>
            </w:r>
            <w:r w:rsidRPr="00B87CC5" w:rsidDel="00FB5559">
              <w:t xml:space="preserve">by </w:t>
            </w:r>
            <w:r w:rsidRPr="00B87CC5">
              <w:t>reducing the emissions intensity of natural gas production</w:t>
            </w:r>
            <w:r w:rsidR="00FB5559" w:rsidRPr="00B87CC5">
              <w:t>, which would make gas production more viable</w:t>
            </w:r>
            <w:r w:rsidRPr="00B87CC5">
              <w:t>. This could in turn support</w:t>
            </w:r>
            <w:r w:rsidR="00FB5559" w:rsidRPr="00B87CC5">
              <w:t xml:space="preserve"> the</w:t>
            </w:r>
            <w:r w:rsidRPr="00B87CC5">
              <w:t xml:space="preserve"> security of </w:t>
            </w:r>
            <w:r w:rsidR="00FB5559" w:rsidRPr="00B87CC5">
              <w:t xml:space="preserve">electricity </w:t>
            </w:r>
            <w:r w:rsidRPr="00B87CC5">
              <w:t>supply because of the role gas plays in peaking generation.</w:t>
            </w:r>
          </w:p>
          <w:p w14:paraId="601930F3" w14:textId="59583949" w:rsidR="005F4381" w:rsidRPr="00B87CC5" w:rsidRDefault="007B788B" w:rsidP="00C63531">
            <w:pPr>
              <w:pStyle w:val="TableBullet"/>
            </w:pPr>
            <w:r w:rsidRPr="00B87CC5">
              <w:t>CC</w:t>
            </w:r>
            <w:r w:rsidR="0098319D" w:rsidRPr="00B87CC5">
              <w:t>U</w:t>
            </w:r>
            <w:r w:rsidRPr="00B87CC5">
              <w:t>S could</w:t>
            </w:r>
            <w:r w:rsidRPr="00B87CC5" w:rsidDel="00643838">
              <w:t xml:space="preserve"> </w:t>
            </w:r>
            <w:r w:rsidRPr="00B87CC5">
              <w:t>support economic development by enabling businesses to choose the most cost-effective way to reduce emissions.</w:t>
            </w:r>
            <w:r w:rsidR="00E4003E" w:rsidRPr="00B87CC5">
              <w:t xml:space="preserve"> </w:t>
            </w:r>
          </w:p>
        </w:tc>
      </w:tr>
      <w:tr w:rsidR="00851655" w:rsidRPr="00B87CC5" w14:paraId="4745292F" w14:textId="77777777" w:rsidTr="0464AED2">
        <w:trPr>
          <w:trHeight w:val="300"/>
        </w:trPr>
        <w:tc>
          <w:tcPr>
            <w:tcW w:w="1596" w:type="dxa"/>
            <w:vMerge/>
          </w:tcPr>
          <w:p w14:paraId="0E8F5735" w14:textId="77777777" w:rsidR="00797943" w:rsidRPr="00B87CC5" w:rsidRDefault="00797943" w:rsidP="005F4381">
            <w:pPr>
              <w:spacing w:before="0" w:after="0" w:line="240" w:lineRule="auto"/>
              <w:jc w:val="left"/>
              <w:textAlignment w:val="baseline"/>
              <w:rPr>
                <w:rFonts w:eastAsia="Times New Roman" w:cs="Calibri"/>
                <w:b/>
                <w:bCs/>
                <w:i/>
                <w:iCs/>
                <w:sz w:val="18"/>
                <w:szCs w:val="18"/>
              </w:rPr>
            </w:pPr>
          </w:p>
        </w:tc>
        <w:tc>
          <w:tcPr>
            <w:tcW w:w="3155" w:type="dxa"/>
            <w:gridSpan w:val="3"/>
            <w:shd w:val="clear" w:color="auto" w:fill="FFFFFF" w:themeFill="background1"/>
          </w:tcPr>
          <w:p w14:paraId="2C114174" w14:textId="5823B29D" w:rsidR="00797943" w:rsidRPr="00B87CC5" w:rsidRDefault="00797943" w:rsidP="00FF1C8C">
            <w:pPr>
              <w:pStyle w:val="TableTextbold"/>
            </w:pPr>
            <w:r w:rsidRPr="00B87CC5">
              <w:t>Why this</w:t>
            </w:r>
            <w:r w:rsidR="00516C16" w:rsidRPr="00B87CC5">
              <w:t xml:space="preserve"> is</w:t>
            </w:r>
            <w:r w:rsidRPr="00B87CC5">
              <w:t xml:space="preserve"> complementary to the </w:t>
            </w:r>
            <w:r w:rsidR="00F62E46" w:rsidRPr="00B87CC5">
              <w:t xml:space="preserve">NZ </w:t>
            </w:r>
            <w:r w:rsidRPr="00B87CC5">
              <w:t>ETS</w:t>
            </w:r>
          </w:p>
        </w:tc>
        <w:tc>
          <w:tcPr>
            <w:tcW w:w="9708" w:type="dxa"/>
            <w:gridSpan w:val="2"/>
            <w:shd w:val="clear" w:color="auto" w:fill="FFFFFF" w:themeFill="background1"/>
            <w:vAlign w:val="center"/>
          </w:tcPr>
          <w:p w14:paraId="4DCF647E" w14:textId="3CFF7239" w:rsidR="007B788B" w:rsidRPr="00B87CC5" w:rsidRDefault="007B788B" w:rsidP="00FF1C8C">
            <w:pPr>
              <w:pStyle w:val="TableBullet"/>
              <w:spacing w:before="60"/>
            </w:pPr>
            <w:r w:rsidRPr="00B87CC5">
              <w:t xml:space="preserve">The </w:t>
            </w:r>
            <w:r w:rsidR="00643838" w:rsidRPr="00B87CC5">
              <w:t xml:space="preserve">NZ </w:t>
            </w:r>
            <w:r w:rsidRPr="00B87CC5">
              <w:t>ETS is the main tool the Government will use to drive emissions reductions in the energy sector.</w:t>
            </w:r>
          </w:p>
          <w:p w14:paraId="284F0606" w14:textId="52715670" w:rsidR="007B788B" w:rsidRPr="00B87CC5" w:rsidRDefault="007B788B" w:rsidP="00C63531">
            <w:pPr>
              <w:pStyle w:val="TableBullet"/>
            </w:pPr>
            <w:r w:rsidRPr="00B87CC5">
              <w:t>Enabling CC</w:t>
            </w:r>
            <w:r w:rsidR="0098319D" w:rsidRPr="00B87CC5">
              <w:t>U</w:t>
            </w:r>
            <w:r w:rsidRPr="00B87CC5">
              <w:t>S to compete on a level playing field with other emissions reduction technologies would allow more efficient responses to</w:t>
            </w:r>
            <w:r w:rsidR="00643838" w:rsidRPr="00B87CC5">
              <w:t xml:space="preserve"> NZ</w:t>
            </w:r>
            <w:r w:rsidRPr="00B87CC5">
              <w:t xml:space="preserve"> ETS price signals. </w:t>
            </w:r>
          </w:p>
          <w:p w14:paraId="2D08D7A2" w14:textId="06A9D03D" w:rsidR="00797943" w:rsidRPr="00B87CC5" w:rsidRDefault="007B788B" w:rsidP="00C63531">
            <w:pPr>
              <w:pStyle w:val="TableBullet"/>
            </w:pPr>
            <w:r w:rsidRPr="00B87CC5">
              <w:t>If the</w:t>
            </w:r>
            <w:r w:rsidR="00643838" w:rsidRPr="00B87CC5">
              <w:t xml:space="preserve"> NZ</w:t>
            </w:r>
            <w:r w:rsidRPr="00B87CC5">
              <w:t xml:space="preserve"> ETS recognises and rewards CC</w:t>
            </w:r>
            <w:r w:rsidR="00643838" w:rsidRPr="00B87CC5">
              <w:t>U</w:t>
            </w:r>
            <w:r w:rsidRPr="00B87CC5">
              <w:t>S emission</w:t>
            </w:r>
            <w:r w:rsidR="00DB0D7C" w:rsidRPr="00B87CC5">
              <w:t>s</w:t>
            </w:r>
            <w:r w:rsidRPr="00B87CC5">
              <w:t xml:space="preserve"> reductions (dependent on final Government decisions), then this may result in the creation of new emissions units or decreased demand for existing emissions units. </w:t>
            </w:r>
          </w:p>
        </w:tc>
      </w:tr>
      <w:tr w:rsidR="00851655" w:rsidRPr="00B87CC5" w14:paraId="13EB84CB" w14:textId="77777777" w:rsidTr="00800762">
        <w:tc>
          <w:tcPr>
            <w:tcW w:w="1596" w:type="dxa"/>
            <w:vMerge w:val="restart"/>
            <w:shd w:val="clear" w:color="auto" w:fill="D5EBE8" w:themeFill="accent3"/>
          </w:tcPr>
          <w:p w14:paraId="743EE980" w14:textId="77777777" w:rsidR="00C2540A" w:rsidRPr="002F5B1F" w:rsidRDefault="00C2540A" w:rsidP="00FF1C8C">
            <w:pPr>
              <w:pStyle w:val="TableTextbold"/>
            </w:pPr>
            <w:r w:rsidRPr="002F5B1F">
              <w:t>Transport</w:t>
            </w:r>
          </w:p>
          <w:p w14:paraId="36086802" w14:textId="6337EE04" w:rsidR="00C2540A" w:rsidRPr="00B87CC5" w:rsidRDefault="00C2540A" w:rsidP="00FF1C8C">
            <w:pPr>
              <w:pStyle w:val="TableText"/>
              <w:rPr>
                <w:rFonts w:eastAsia="Times New Roman" w:cs="Calibri"/>
                <w:szCs w:val="18"/>
              </w:rPr>
            </w:pPr>
            <w:r w:rsidRPr="00B87CC5">
              <w:t>10,000 public EV charge points and the retention and review of the Clean Car</w:t>
            </w:r>
            <w:r w:rsidRPr="00B87CC5" w:rsidDel="000F4014">
              <w:t xml:space="preserve"> </w:t>
            </w:r>
            <w:r w:rsidRPr="00B87CC5">
              <w:t>Standard</w:t>
            </w:r>
          </w:p>
        </w:tc>
        <w:tc>
          <w:tcPr>
            <w:tcW w:w="3155" w:type="dxa"/>
            <w:gridSpan w:val="3"/>
            <w:shd w:val="clear" w:color="auto" w:fill="FFFFFF" w:themeFill="background1"/>
          </w:tcPr>
          <w:p w14:paraId="2AFE6D58" w14:textId="77777777" w:rsidR="00C2540A" w:rsidRPr="00B87CC5" w:rsidRDefault="00C2540A" w:rsidP="00FF1C8C">
            <w:pPr>
              <w:pStyle w:val="TableText"/>
              <w:rPr>
                <w:i/>
                <w:iCs/>
              </w:rPr>
            </w:pPr>
            <w:r w:rsidRPr="00B87CC5">
              <w:rPr>
                <w:i/>
                <w:iCs/>
              </w:rPr>
              <w:t>If we do the following now:</w:t>
            </w:r>
          </w:p>
          <w:p w14:paraId="2B010DB3" w14:textId="36C081DD" w:rsidR="00C2540A" w:rsidRPr="00B87CC5" w:rsidRDefault="00F115AA" w:rsidP="00C63531">
            <w:pPr>
              <w:pStyle w:val="TableBullet"/>
            </w:pPr>
            <w:r w:rsidRPr="00B87CC5">
              <w:t>f</w:t>
            </w:r>
            <w:r w:rsidR="00C2540A" w:rsidRPr="00B87CC5">
              <w:t>acilitate private investment in EV charging infrastructure</w:t>
            </w:r>
          </w:p>
          <w:p w14:paraId="62774DD0" w14:textId="28A0C22E" w:rsidR="00C2540A" w:rsidRPr="00B87CC5" w:rsidRDefault="00F115AA" w:rsidP="00C63531">
            <w:pPr>
              <w:pStyle w:val="TableBullet"/>
            </w:pPr>
            <w:r w:rsidRPr="00B87CC5">
              <w:t>r</w:t>
            </w:r>
            <w:r w:rsidR="00C2540A" w:rsidRPr="00B87CC5">
              <w:t>eview the Government co-investment approach to ensure it is fit for purpose and targeted</w:t>
            </w:r>
          </w:p>
          <w:p w14:paraId="5C3DB732" w14:textId="59CAF0C0" w:rsidR="00C2540A" w:rsidRPr="00B87CC5" w:rsidRDefault="00F115AA" w:rsidP="00C63531">
            <w:pPr>
              <w:pStyle w:val="TableBullet"/>
              <w:rPr>
                <w:szCs w:val="18"/>
              </w:rPr>
            </w:pPr>
            <w:r w:rsidRPr="00B87CC5">
              <w:lastRenderedPageBreak/>
              <w:t>e</w:t>
            </w:r>
            <w:r w:rsidR="00C2540A" w:rsidRPr="00B87CC5">
              <w:t>nsure the Clean Car</w:t>
            </w:r>
            <w:r w:rsidR="00C2540A" w:rsidRPr="00B87CC5" w:rsidDel="000F4014">
              <w:t xml:space="preserve"> </w:t>
            </w:r>
            <w:r w:rsidR="00C2540A" w:rsidRPr="00B87CC5">
              <w:t>Standard is effective and targets are achievable</w:t>
            </w:r>
          </w:p>
        </w:tc>
        <w:tc>
          <w:tcPr>
            <w:tcW w:w="4180" w:type="dxa"/>
            <w:shd w:val="clear" w:color="auto" w:fill="FFFFFF" w:themeFill="background1"/>
            <w:vAlign w:val="center"/>
          </w:tcPr>
          <w:p w14:paraId="0740C2C3" w14:textId="5982EC6F" w:rsidR="00C2540A" w:rsidRPr="00B87CC5" w:rsidRDefault="00F115AA" w:rsidP="00FF1C8C">
            <w:pPr>
              <w:pStyle w:val="TableText"/>
              <w:rPr>
                <w:rFonts w:eastAsia="Times New Roman"/>
                <w:i/>
                <w:iCs/>
              </w:rPr>
            </w:pPr>
            <w:r w:rsidRPr="00B87CC5">
              <w:rPr>
                <w:i/>
                <w:iCs/>
              </w:rPr>
              <w:lastRenderedPageBreak/>
              <w:t>… b</w:t>
            </w:r>
            <w:r w:rsidR="00C2540A" w:rsidRPr="00B87CC5">
              <w:rPr>
                <w:i/>
                <w:iCs/>
              </w:rPr>
              <w:t>y 2030 we can expect</w:t>
            </w:r>
            <w:r w:rsidR="00C2540A" w:rsidRPr="00B87CC5">
              <w:rPr>
                <w:rFonts w:eastAsia="Times New Roman"/>
                <w:i/>
                <w:iCs/>
              </w:rPr>
              <w:t>:</w:t>
            </w:r>
          </w:p>
          <w:p w14:paraId="54BBCF54" w14:textId="5D5A4556" w:rsidR="00C2540A" w:rsidRPr="00B87CC5" w:rsidRDefault="00F115AA" w:rsidP="00C63531">
            <w:pPr>
              <w:pStyle w:val="TableBullet"/>
            </w:pPr>
            <w:r w:rsidRPr="00B87CC5">
              <w:t>i</w:t>
            </w:r>
            <w:r w:rsidR="00C2540A" w:rsidRPr="00B87CC5">
              <w:t>ndustry to have led the development of a network of 10,000 public EV charge points, which will reduce the impact that range anxiety can have on suppressing uptake of light EVs</w:t>
            </w:r>
          </w:p>
          <w:p w14:paraId="440DAC6C" w14:textId="33E96F0A" w:rsidR="00C2540A" w:rsidRPr="00B87CC5" w:rsidRDefault="00AD1FE9" w:rsidP="008A76D3">
            <w:pPr>
              <w:pStyle w:val="TableBullet"/>
              <w:spacing w:after="40"/>
            </w:pPr>
            <w:r w:rsidRPr="00B87CC5">
              <w:lastRenderedPageBreak/>
              <w:t>the</w:t>
            </w:r>
            <w:r w:rsidR="00C2540A" w:rsidRPr="00B87CC5">
              <w:t xml:space="preserve"> Clean Car</w:t>
            </w:r>
            <w:r w:rsidR="00C2540A" w:rsidRPr="00B87CC5" w:rsidDel="000F4014">
              <w:t xml:space="preserve"> </w:t>
            </w:r>
            <w:r w:rsidR="00C2540A" w:rsidRPr="00B87CC5">
              <w:t xml:space="preserve">Standard will be continuing to progressively improve the emissions efficiency of light vehicles imported </w:t>
            </w:r>
            <w:r w:rsidR="00F115AA" w:rsidRPr="00B87CC5">
              <w:t>in</w:t>
            </w:r>
            <w:r w:rsidR="00C2540A" w:rsidRPr="00B87CC5">
              <w:t>to New Zealand</w:t>
            </w:r>
          </w:p>
          <w:p w14:paraId="5B9C7C15" w14:textId="1D55A6C8" w:rsidR="00C2540A" w:rsidRPr="00B87CC5" w:rsidRDefault="00F115AA" w:rsidP="008A76D3">
            <w:pPr>
              <w:pStyle w:val="TableText"/>
              <w:spacing w:after="40"/>
              <w:rPr>
                <w:i/>
              </w:rPr>
            </w:pPr>
            <w:r w:rsidRPr="00B87CC5">
              <w:rPr>
                <w:i/>
              </w:rPr>
              <w:t xml:space="preserve">… </w:t>
            </w:r>
            <w:r w:rsidR="00FC39A9" w:rsidRPr="00B87CC5">
              <w:rPr>
                <w:i/>
              </w:rPr>
              <w:t xml:space="preserve">and </w:t>
            </w:r>
            <w:r w:rsidRPr="00B87CC5">
              <w:rPr>
                <w:i/>
              </w:rPr>
              <w:t>b</w:t>
            </w:r>
            <w:r w:rsidR="00C2540A" w:rsidRPr="00B87CC5">
              <w:rPr>
                <w:i/>
              </w:rPr>
              <w:t>y 2050 we can expect:</w:t>
            </w:r>
          </w:p>
          <w:p w14:paraId="1D510B19" w14:textId="6CCDDD2F" w:rsidR="00C2540A" w:rsidRPr="00B87CC5" w:rsidRDefault="00F115AA" w:rsidP="008A76D3">
            <w:pPr>
              <w:pStyle w:val="TableBullet"/>
              <w:spacing w:after="40"/>
            </w:pPr>
            <w:r w:rsidRPr="00B87CC5">
              <w:t>a</w:t>
            </w:r>
            <w:r w:rsidR="00C2540A" w:rsidRPr="00B87CC5">
              <w:t xml:space="preserve"> comprehensive nationwide network of EV charging infrastructure that enables New Zealanders to charge their vehicles easily across the country</w:t>
            </w:r>
          </w:p>
          <w:p w14:paraId="4217F319" w14:textId="378DBC63" w:rsidR="00C2540A" w:rsidRPr="00B87CC5" w:rsidRDefault="00F115AA" w:rsidP="008A76D3">
            <w:pPr>
              <w:pStyle w:val="TableBullet"/>
              <w:spacing w:after="40"/>
            </w:pPr>
            <w:r w:rsidRPr="00B87CC5">
              <w:t>h</w:t>
            </w:r>
            <w:r w:rsidR="00C2540A" w:rsidRPr="00B87CC5">
              <w:t xml:space="preserve">igher uptake of light EV and lower-emitting </w:t>
            </w:r>
            <w:r w:rsidR="009B3CFB" w:rsidRPr="00B87CC5">
              <w:t>internal combustion engine (</w:t>
            </w:r>
            <w:r w:rsidR="00C2540A" w:rsidRPr="00B87CC5">
              <w:t>ICE</w:t>
            </w:r>
            <w:r w:rsidR="009B3CFB" w:rsidRPr="00B87CC5">
              <w:t>)</w:t>
            </w:r>
            <w:r w:rsidR="00C2540A" w:rsidRPr="00B87CC5">
              <w:t xml:space="preserve"> vehicles</w:t>
            </w:r>
          </w:p>
          <w:p w14:paraId="4C251CED" w14:textId="1399DE6B" w:rsidR="00C2540A" w:rsidRPr="00B87CC5" w:rsidRDefault="00F115AA" w:rsidP="00FF1C8C">
            <w:pPr>
              <w:pStyle w:val="TableBullet"/>
              <w:spacing w:after="40"/>
              <w:rPr>
                <w:rFonts w:eastAsiaTheme="majorEastAsia" w:cs="Calibri"/>
                <w:i/>
                <w:iCs/>
                <w:szCs w:val="18"/>
              </w:rPr>
            </w:pPr>
            <w:r w:rsidRPr="00B87CC5">
              <w:t>f</w:t>
            </w:r>
            <w:r w:rsidR="00C2540A" w:rsidRPr="00B87CC5">
              <w:t>ewer higher-emitting ICE vehicles remaining in use</w:t>
            </w:r>
          </w:p>
        </w:tc>
        <w:tc>
          <w:tcPr>
            <w:tcW w:w="5528" w:type="dxa"/>
            <w:shd w:val="clear" w:color="auto" w:fill="FFFFFF" w:themeFill="background1"/>
          </w:tcPr>
          <w:p w14:paraId="46D397E0" w14:textId="10F67BC0" w:rsidR="00C2540A" w:rsidRPr="00B87CC5" w:rsidRDefault="00F115AA" w:rsidP="00FF1C8C">
            <w:pPr>
              <w:pStyle w:val="TableText"/>
              <w:rPr>
                <w:rFonts w:eastAsia="Times New Roman"/>
                <w:i/>
                <w:iCs/>
              </w:rPr>
            </w:pPr>
            <w:r w:rsidRPr="00B87CC5">
              <w:rPr>
                <w:i/>
                <w:iCs/>
              </w:rPr>
              <w:lastRenderedPageBreak/>
              <w:t>… and then in the second emissions budget,</w:t>
            </w:r>
            <w:r w:rsidR="00C2540A" w:rsidRPr="00B87CC5">
              <w:rPr>
                <w:i/>
                <w:iCs/>
              </w:rPr>
              <w:t xml:space="preserve"> this will lead to</w:t>
            </w:r>
            <w:r w:rsidR="00C2540A" w:rsidRPr="00B87CC5">
              <w:rPr>
                <w:rFonts w:eastAsia="Times New Roman"/>
                <w:i/>
                <w:iCs/>
              </w:rPr>
              <w:t>:</w:t>
            </w:r>
          </w:p>
          <w:p w14:paraId="3E7635CE" w14:textId="31A99A73" w:rsidR="00C2540A" w:rsidRPr="00B87CC5" w:rsidRDefault="00F115AA" w:rsidP="00FF1C8C">
            <w:pPr>
              <w:pStyle w:val="TableBullet"/>
            </w:pPr>
            <w:r w:rsidRPr="00B87CC5">
              <w:t>r</w:t>
            </w:r>
            <w:r w:rsidR="00C2540A" w:rsidRPr="00B87CC5">
              <w:t>educed transport emissions from the light</w:t>
            </w:r>
            <w:r w:rsidRPr="00B87CC5">
              <w:t>-</w:t>
            </w:r>
            <w:r w:rsidR="00C2540A" w:rsidRPr="00B87CC5">
              <w:t>vehicle fleet as the Clean Car</w:t>
            </w:r>
            <w:r w:rsidR="00C2540A" w:rsidRPr="00B87CC5" w:rsidDel="000F4014">
              <w:t xml:space="preserve"> </w:t>
            </w:r>
            <w:r w:rsidR="00C2540A" w:rsidRPr="00B87CC5">
              <w:t>Standard takes effect</w:t>
            </w:r>
          </w:p>
          <w:p w14:paraId="57FAF9F9" w14:textId="5296F6AF" w:rsidR="00C2540A" w:rsidRPr="00B87CC5" w:rsidRDefault="00F115AA" w:rsidP="00FF1C8C">
            <w:pPr>
              <w:pStyle w:val="TableText"/>
              <w:spacing w:before="0"/>
              <w:ind w:left="282"/>
            </w:pPr>
            <w:r w:rsidRPr="00B87CC5">
              <w:t xml:space="preserve">(Note: </w:t>
            </w:r>
            <w:r w:rsidR="00C2540A" w:rsidRPr="00B87CC5">
              <w:t>Some quantification of this impact may be possible once the new targets are set.</w:t>
            </w:r>
            <w:r w:rsidRPr="00B87CC5">
              <w:t>)</w:t>
            </w:r>
          </w:p>
          <w:p w14:paraId="5254B300" w14:textId="0482674D" w:rsidR="00C2540A" w:rsidRPr="00B87CC5" w:rsidRDefault="00F115AA" w:rsidP="008A76D3">
            <w:pPr>
              <w:pStyle w:val="TableText"/>
              <w:spacing w:before="0"/>
              <w:rPr>
                <w:i/>
                <w:iCs/>
              </w:rPr>
            </w:pPr>
            <w:r w:rsidRPr="00B87CC5">
              <w:rPr>
                <w:i/>
                <w:iCs/>
              </w:rPr>
              <w:lastRenderedPageBreak/>
              <w:t>… and then i</w:t>
            </w:r>
            <w:r w:rsidR="00C2540A" w:rsidRPr="00B87CC5">
              <w:rPr>
                <w:i/>
                <w:iCs/>
              </w:rPr>
              <w:t>n future emissions budgets</w:t>
            </w:r>
            <w:r w:rsidRPr="00B87CC5">
              <w:rPr>
                <w:i/>
                <w:iCs/>
              </w:rPr>
              <w:t>,</w:t>
            </w:r>
            <w:r w:rsidR="00C2540A" w:rsidRPr="00B87CC5">
              <w:rPr>
                <w:i/>
                <w:iCs/>
              </w:rPr>
              <w:t xml:space="preserve"> this will lead to:</w:t>
            </w:r>
          </w:p>
          <w:p w14:paraId="1663F645" w14:textId="0A73F74D" w:rsidR="00C2540A" w:rsidRPr="00B87CC5" w:rsidRDefault="00FB5559" w:rsidP="00C63531">
            <w:pPr>
              <w:pStyle w:val="TableBullet"/>
              <w:rPr>
                <w:rFonts w:eastAsiaTheme="majorEastAsia" w:cs="Calibri"/>
                <w:i/>
                <w:iCs/>
                <w:szCs w:val="18"/>
              </w:rPr>
            </w:pPr>
            <w:r w:rsidRPr="00B87CC5">
              <w:t>greater reductions</w:t>
            </w:r>
            <w:r w:rsidR="00C2540A" w:rsidRPr="00B87CC5">
              <w:t xml:space="preserve"> in the above, as the targets for</w:t>
            </w:r>
            <w:r w:rsidR="00F115AA" w:rsidRPr="00B87CC5">
              <w:t xml:space="preserve"> the</w:t>
            </w:r>
            <w:r w:rsidR="00C2540A" w:rsidRPr="00B87CC5">
              <w:t xml:space="preserve"> Clean Car</w:t>
            </w:r>
            <w:r w:rsidR="00C2540A" w:rsidRPr="00B87CC5" w:rsidDel="000F4014">
              <w:t xml:space="preserve"> </w:t>
            </w:r>
            <w:r w:rsidR="00C2540A" w:rsidRPr="00B87CC5">
              <w:t>Standard become tighter.</w:t>
            </w:r>
            <w:r w:rsidR="00C2540A" w:rsidRPr="00B87CC5">
              <w:rPr>
                <w:rFonts w:cs="Calibri"/>
              </w:rPr>
              <w:t xml:space="preserve"> </w:t>
            </w:r>
          </w:p>
        </w:tc>
      </w:tr>
      <w:tr w:rsidR="00851655" w:rsidRPr="00B87CC5" w14:paraId="34184DD2" w14:textId="77777777" w:rsidTr="0464AED2">
        <w:trPr>
          <w:trHeight w:val="300"/>
        </w:trPr>
        <w:tc>
          <w:tcPr>
            <w:tcW w:w="1596" w:type="dxa"/>
            <w:vMerge/>
          </w:tcPr>
          <w:p w14:paraId="4D521D69"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14" w:type="dxa"/>
            <w:shd w:val="clear" w:color="auto" w:fill="FFFFFF" w:themeFill="background1"/>
          </w:tcPr>
          <w:p w14:paraId="623F31CA" w14:textId="1DE2F96D" w:rsidR="00C2540A" w:rsidRPr="00B87CC5" w:rsidRDefault="00C2540A" w:rsidP="00FF1C8C">
            <w:pPr>
              <w:pStyle w:val="TableTextbold"/>
              <w:rPr>
                <w:color w:val="000000"/>
                <w:shd w:val="clear" w:color="auto" w:fill="FFFFFF"/>
              </w:rPr>
            </w:pPr>
            <w:r w:rsidRPr="00B87CC5">
              <w:t xml:space="preserve">Assumptions and </w:t>
            </w:r>
            <w:r w:rsidR="00F115AA" w:rsidRPr="00B87CC5">
              <w:t>d</w:t>
            </w:r>
            <w:r w:rsidRPr="00B87CC5">
              <w:t>ependencies </w:t>
            </w:r>
          </w:p>
        </w:tc>
        <w:tc>
          <w:tcPr>
            <w:tcW w:w="11049" w:type="dxa"/>
            <w:gridSpan w:val="4"/>
            <w:shd w:val="clear" w:color="auto" w:fill="FFFFFF" w:themeFill="background1"/>
          </w:tcPr>
          <w:p w14:paraId="2D65FAC2" w14:textId="77777777" w:rsidR="00C2540A" w:rsidRPr="00B87CC5" w:rsidRDefault="00C2540A" w:rsidP="00FF1C8C">
            <w:pPr>
              <w:pStyle w:val="TableBullet"/>
              <w:spacing w:before="60" w:after="40"/>
            </w:pPr>
            <w:r w:rsidRPr="00B87CC5">
              <w:t xml:space="preserve">The main current barrier to light EV uptake is the high upfront cost. Assumptions include that, as technology improves, the cost disparity to light ICE vehicles will decline and therefore this barrier also declines. </w:t>
            </w:r>
          </w:p>
          <w:p w14:paraId="3C51BF4A" w14:textId="14D6E6C0" w:rsidR="00C2540A" w:rsidRPr="00B87CC5" w:rsidRDefault="00C2540A" w:rsidP="00FF1C8C">
            <w:pPr>
              <w:pStyle w:val="TableBullet"/>
              <w:spacing w:after="40"/>
            </w:pPr>
            <w:r w:rsidRPr="00B87CC5">
              <w:t xml:space="preserve">A secondary barrier to light EV uptake, which directly influences consumers, is </w:t>
            </w:r>
            <w:r w:rsidR="00BB7028" w:rsidRPr="00B87CC5">
              <w:t>‘</w:t>
            </w:r>
            <w:r w:rsidRPr="00B87CC5">
              <w:t>range anxiety</w:t>
            </w:r>
            <w:r w:rsidR="00BB7028" w:rsidRPr="00B87CC5">
              <w:t>’</w:t>
            </w:r>
            <w:r w:rsidRPr="00B87CC5">
              <w:t xml:space="preserve"> (fear of not being able to charge a vehicle while travel</w:t>
            </w:r>
            <w:r w:rsidR="00BB7028" w:rsidRPr="00B87CC5">
              <w:t>l</w:t>
            </w:r>
            <w:r w:rsidRPr="00B87CC5">
              <w:t xml:space="preserve">ing longer distances). It is assumed that a denser network of public EV charging points reduces range anxiety. </w:t>
            </w:r>
          </w:p>
          <w:p w14:paraId="2724596B" w14:textId="77777777" w:rsidR="00C2540A" w:rsidRPr="00B87CC5" w:rsidRDefault="00C2540A" w:rsidP="00FF1C8C">
            <w:pPr>
              <w:pStyle w:val="TableBullet"/>
              <w:spacing w:after="40"/>
            </w:pPr>
            <w:r w:rsidRPr="00B87CC5">
              <w:t>There will be enough EVs available for import.</w:t>
            </w:r>
          </w:p>
          <w:p w14:paraId="3887280D" w14:textId="135F007C" w:rsidR="00C2540A" w:rsidRPr="00B87CC5" w:rsidRDefault="00C2540A" w:rsidP="00C63531">
            <w:pPr>
              <w:pStyle w:val="TableBullet"/>
              <w:rPr>
                <w:rFonts w:asciiTheme="minorHAnsi" w:hAnsiTheme="minorHAnsi"/>
                <w:szCs w:val="18"/>
              </w:rPr>
            </w:pPr>
            <w:r w:rsidRPr="00B87CC5">
              <w:t xml:space="preserve">This policy area is also dependent on work being undertaken in the </w:t>
            </w:r>
            <w:r w:rsidR="00BB7028" w:rsidRPr="00B87CC5">
              <w:t>e</w:t>
            </w:r>
            <w:r w:rsidRPr="00B87CC5">
              <w:t>nergy sector, particularly regulatory measures relating to the costs and processes to connect to electricity networks (currently a barrier to investment in EV charging infrastructure).</w:t>
            </w:r>
          </w:p>
        </w:tc>
      </w:tr>
      <w:tr w:rsidR="00851655" w:rsidRPr="00B87CC5" w14:paraId="0BE878BE" w14:textId="77777777" w:rsidTr="0464AED2">
        <w:trPr>
          <w:trHeight w:val="300"/>
        </w:trPr>
        <w:tc>
          <w:tcPr>
            <w:tcW w:w="1596" w:type="dxa"/>
            <w:vMerge/>
          </w:tcPr>
          <w:p w14:paraId="236E35A0"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14" w:type="dxa"/>
            <w:shd w:val="clear" w:color="auto" w:fill="FFFFFF" w:themeFill="background1"/>
          </w:tcPr>
          <w:p w14:paraId="560C07C7" w14:textId="77777777" w:rsidR="00C2540A" w:rsidRPr="00B87CC5" w:rsidRDefault="00C2540A" w:rsidP="00FF1C8C">
            <w:pPr>
              <w:pStyle w:val="TableTextbold"/>
            </w:pPr>
            <w:r w:rsidRPr="00B87CC5">
              <w:t>Other benefits </w:t>
            </w:r>
          </w:p>
        </w:tc>
        <w:tc>
          <w:tcPr>
            <w:tcW w:w="11049" w:type="dxa"/>
            <w:gridSpan w:val="4"/>
            <w:shd w:val="clear" w:color="auto" w:fill="FFFFFF" w:themeFill="background1"/>
          </w:tcPr>
          <w:p w14:paraId="2693302A" w14:textId="3EA25962" w:rsidR="00C2540A" w:rsidRPr="00B87CC5" w:rsidRDefault="00C2540A" w:rsidP="00FF1C8C">
            <w:pPr>
              <w:pStyle w:val="TableBullet"/>
              <w:spacing w:before="60"/>
            </w:pPr>
            <w:r w:rsidRPr="00B87CC5">
              <w:t xml:space="preserve">EVs can provide energy cost savings. As a result, consumers save money on energy costs, and the EV uptake results in a net reduction in costs for society. </w:t>
            </w:r>
          </w:p>
          <w:p w14:paraId="77AB910C" w14:textId="1151F2CB" w:rsidR="00C2540A" w:rsidRPr="00B87CC5" w:rsidRDefault="00C2540A" w:rsidP="00C63531">
            <w:pPr>
              <w:pStyle w:val="TableBullet"/>
              <w:rPr>
                <w:rFonts w:asciiTheme="minorHAnsi" w:hAnsiTheme="minorHAnsi"/>
                <w:szCs w:val="18"/>
              </w:rPr>
            </w:pPr>
            <w:r w:rsidRPr="00B87CC5">
              <w:t>Light ICE vehicles are a contributor to air and noise pollution and associated impacts on health. Transitioning from diesel (and to a lesser degree, petrol) vehicles to light EV</w:t>
            </w:r>
            <w:r w:rsidR="00BB7028" w:rsidRPr="00B87CC5">
              <w:t>s</w:t>
            </w:r>
            <w:r w:rsidRPr="00B87CC5">
              <w:t xml:space="preserve"> will lessen this negative health impact.</w:t>
            </w:r>
          </w:p>
        </w:tc>
      </w:tr>
      <w:tr w:rsidR="00851655" w:rsidRPr="00B87CC5" w14:paraId="1324FBF2" w14:textId="77777777" w:rsidTr="0464AED2">
        <w:trPr>
          <w:trHeight w:val="300"/>
        </w:trPr>
        <w:tc>
          <w:tcPr>
            <w:tcW w:w="1596" w:type="dxa"/>
            <w:vMerge/>
          </w:tcPr>
          <w:p w14:paraId="706CBC67"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14" w:type="dxa"/>
            <w:shd w:val="clear" w:color="auto" w:fill="FFFFFF" w:themeFill="background1"/>
            <w:vAlign w:val="center"/>
          </w:tcPr>
          <w:p w14:paraId="1684C224" w14:textId="4C85D3FD" w:rsidR="00C2540A" w:rsidRPr="00B87CC5" w:rsidRDefault="00C2540A" w:rsidP="00FF1C8C">
            <w:pPr>
              <w:pStyle w:val="TableTextbold"/>
            </w:pPr>
            <w:r w:rsidRPr="00B87CC5">
              <w:t xml:space="preserve">Why this </w:t>
            </w:r>
            <w:r w:rsidR="00F115AA" w:rsidRPr="00B87CC5">
              <w:t xml:space="preserve">is </w:t>
            </w:r>
            <w:r w:rsidRPr="00B87CC5">
              <w:t>complementary to the</w:t>
            </w:r>
            <w:r w:rsidR="00F62E46" w:rsidRPr="00B87CC5">
              <w:t xml:space="preserve"> NZ</w:t>
            </w:r>
            <w:r w:rsidRPr="00B87CC5">
              <w:t xml:space="preserve"> ETS</w:t>
            </w:r>
          </w:p>
        </w:tc>
        <w:tc>
          <w:tcPr>
            <w:tcW w:w="11049" w:type="dxa"/>
            <w:gridSpan w:val="4"/>
            <w:shd w:val="clear" w:color="auto" w:fill="FFFFFF" w:themeFill="background1"/>
          </w:tcPr>
          <w:p w14:paraId="7E18A954" w14:textId="335ABC32" w:rsidR="00C2540A" w:rsidRPr="00B87CC5" w:rsidRDefault="00C2540A" w:rsidP="00FF1C8C">
            <w:pPr>
              <w:pStyle w:val="TableBullet"/>
              <w:spacing w:before="60"/>
              <w:rPr>
                <w:rFonts w:eastAsiaTheme="majorEastAsia" w:cs="Calibri"/>
                <w:i/>
                <w:sz w:val="20"/>
                <w:szCs w:val="22"/>
              </w:rPr>
            </w:pPr>
            <w:r w:rsidRPr="00B87CC5">
              <w:t>The EV charge points policy is aimed at addressing the non-price barrier of range anxiety to the uptake of EVs. Retention of the Clean Car Standard motivates vehicle suppliers towards lower CO</w:t>
            </w:r>
            <w:r w:rsidRPr="00B87CC5">
              <w:rPr>
                <w:vertAlign w:val="subscript"/>
              </w:rPr>
              <w:t>2</w:t>
            </w:r>
            <w:r w:rsidRPr="00B87CC5">
              <w:t xml:space="preserve"> vehicles, increasing the number of models available in New Zealand. However, as transport is covered by the</w:t>
            </w:r>
            <w:r w:rsidR="00BB7028" w:rsidRPr="00B87CC5">
              <w:t xml:space="preserve"> NZ</w:t>
            </w:r>
            <w:r w:rsidRPr="00B87CC5">
              <w:t xml:space="preserve"> ETS</w:t>
            </w:r>
            <w:r w:rsidR="00BB7028" w:rsidRPr="00B87CC5">
              <w:t>,</w:t>
            </w:r>
            <w:r w:rsidRPr="00B87CC5" w:rsidDel="00BB7028">
              <w:t xml:space="preserve"> </w:t>
            </w:r>
            <w:r w:rsidRPr="00B87CC5">
              <w:t>the waterbed effect</w:t>
            </w:r>
            <w:r w:rsidR="00E02C56" w:rsidRPr="00B87CC5">
              <w:t xml:space="preserve"> </w:t>
            </w:r>
            <w:r w:rsidRPr="00B87CC5">
              <w:t>may apply</w:t>
            </w:r>
            <w:r w:rsidR="00BB7028" w:rsidRPr="00B87CC5">
              <w:t>,</w:t>
            </w:r>
            <w:r w:rsidRPr="00B87CC5">
              <w:t xml:space="preserve"> resulting in no impact on net emissions.</w:t>
            </w:r>
            <w:r w:rsidR="00A94054" w:rsidRPr="00B87CC5">
              <w:rPr>
                <w:rStyle w:val="FootnoteReference"/>
              </w:rPr>
              <w:footnoteReference w:id="29"/>
            </w:r>
          </w:p>
        </w:tc>
      </w:tr>
      <w:tr w:rsidR="00851655" w:rsidRPr="00B87CC5" w14:paraId="0D8EA9A6" w14:textId="77777777" w:rsidTr="00800762">
        <w:trPr>
          <w:trHeight w:val="300"/>
        </w:trPr>
        <w:tc>
          <w:tcPr>
            <w:tcW w:w="1596" w:type="dxa"/>
            <w:vMerge w:val="restart"/>
            <w:shd w:val="clear" w:color="auto" w:fill="D2DDE1" w:themeFill="background2"/>
          </w:tcPr>
          <w:p w14:paraId="0CE23348" w14:textId="77777777" w:rsidR="00C2540A" w:rsidRPr="00C63308" w:rsidRDefault="00C2540A" w:rsidP="00FF1C8C">
            <w:pPr>
              <w:pStyle w:val="TableTextbold"/>
            </w:pPr>
            <w:r w:rsidRPr="00C63308">
              <w:t>Transport</w:t>
            </w:r>
          </w:p>
          <w:p w14:paraId="19A7AA96" w14:textId="77777777" w:rsidR="00C2540A" w:rsidRPr="00B87CC5" w:rsidRDefault="00C2540A" w:rsidP="00FF1C8C">
            <w:pPr>
              <w:pStyle w:val="TableText"/>
            </w:pPr>
            <w:r w:rsidRPr="00B87CC5">
              <w:t>Heavy vehicles (freight and related sectors)</w:t>
            </w:r>
          </w:p>
        </w:tc>
        <w:tc>
          <w:tcPr>
            <w:tcW w:w="3155" w:type="dxa"/>
            <w:gridSpan w:val="3"/>
            <w:shd w:val="clear" w:color="auto" w:fill="FFFFFF" w:themeFill="background1"/>
          </w:tcPr>
          <w:p w14:paraId="5047FE6E" w14:textId="77777777" w:rsidR="00C2540A" w:rsidRPr="00B87CC5" w:rsidRDefault="00C2540A" w:rsidP="00FF1C8C">
            <w:pPr>
              <w:pStyle w:val="TableText"/>
              <w:rPr>
                <w:i/>
                <w:iCs/>
              </w:rPr>
            </w:pPr>
            <w:r w:rsidRPr="00B87CC5">
              <w:rPr>
                <w:i/>
                <w:iCs/>
              </w:rPr>
              <w:t>If we do the following now:</w:t>
            </w:r>
          </w:p>
          <w:p w14:paraId="74F895CE" w14:textId="608793D7" w:rsidR="00C2540A" w:rsidRPr="00B87CC5" w:rsidRDefault="00DC7D31" w:rsidP="00C63531">
            <w:pPr>
              <w:pStyle w:val="TableBullet"/>
            </w:pPr>
            <w:r w:rsidRPr="00B87CC5">
              <w:t>r</w:t>
            </w:r>
            <w:r w:rsidR="00C2540A" w:rsidRPr="00B87CC5">
              <w:t xml:space="preserve">eview </w:t>
            </w:r>
            <w:r w:rsidRPr="00B87CC5">
              <w:t>v</w:t>
            </w:r>
            <w:r w:rsidR="00C2540A" w:rsidRPr="00B87CC5">
              <w:t xml:space="preserve">ehicle </w:t>
            </w:r>
            <w:r w:rsidRPr="00B87CC5">
              <w:t>d</w:t>
            </w:r>
            <w:r w:rsidR="00C2540A" w:rsidRPr="00B87CC5">
              <w:t xml:space="preserve">imension and </w:t>
            </w:r>
            <w:r w:rsidRPr="00B87CC5">
              <w:t>m</w:t>
            </w:r>
            <w:r w:rsidR="00C2540A" w:rsidRPr="00B87CC5">
              <w:t xml:space="preserve">ass rules to identify and remove unnecessary barriers to </w:t>
            </w:r>
            <w:r w:rsidRPr="00B87CC5">
              <w:t xml:space="preserve">uptake of </w:t>
            </w:r>
            <w:r w:rsidR="00E02433" w:rsidRPr="00B87CC5">
              <w:t>zero</w:t>
            </w:r>
            <w:r w:rsidR="00E02433">
              <w:t>-</w:t>
            </w:r>
            <w:r w:rsidRPr="00B87CC5">
              <w:t>e</w:t>
            </w:r>
            <w:r w:rsidR="00C2540A" w:rsidRPr="00B87CC5">
              <w:t>mission</w:t>
            </w:r>
            <w:r w:rsidR="00E02433">
              <w:t>s</w:t>
            </w:r>
            <w:r w:rsidR="00C2540A" w:rsidRPr="00B87CC5">
              <w:t xml:space="preserve"> </w:t>
            </w:r>
            <w:r w:rsidRPr="00B87CC5">
              <w:t>h</w:t>
            </w:r>
            <w:r w:rsidR="00C2540A" w:rsidRPr="00B87CC5">
              <w:t xml:space="preserve">eavy </w:t>
            </w:r>
            <w:r w:rsidRPr="00B87CC5">
              <w:t>v</w:t>
            </w:r>
            <w:r w:rsidR="00C2540A" w:rsidRPr="00B87CC5">
              <w:t>ehicle</w:t>
            </w:r>
            <w:r w:rsidRPr="00B87CC5">
              <w:t>s</w:t>
            </w:r>
            <w:r w:rsidR="00C2540A" w:rsidRPr="00B87CC5">
              <w:t xml:space="preserve"> (ZEHVs)</w:t>
            </w:r>
            <w:r w:rsidR="00C2540A" w:rsidRPr="00B87CC5" w:rsidDel="00DC7D31">
              <w:t xml:space="preserve"> </w:t>
            </w:r>
            <w:r w:rsidR="0077328F" w:rsidRPr="00B87CC5">
              <w:t>– both battery electric and hydrogen fuel cell electric vehicles</w:t>
            </w:r>
          </w:p>
          <w:p w14:paraId="7F97E37D" w14:textId="4FCF4246" w:rsidR="00C2540A" w:rsidRPr="00B87CC5" w:rsidRDefault="00DC7D31" w:rsidP="00C63531">
            <w:pPr>
              <w:pStyle w:val="TableBullet"/>
              <w:rPr>
                <w:rFonts w:asciiTheme="minorHAnsi" w:eastAsiaTheme="majorEastAsia" w:hAnsiTheme="minorHAnsi" w:cstheme="minorHAnsi"/>
                <w:sz w:val="20"/>
              </w:rPr>
            </w:pPr>
            <w:r w:rsidRPr="00B87CC5">
              <w:t>c</w:t>
            </w:r>
            <w:r w:rsidR="00C2540A" w:rsidRPr="00B87CC5">
              <w:t>onsider the public charging needs for heavy vehicles alongside the light</w:t>
            </w:r>
            <w:r w:rsidRPr="00B87CC5">
              <w:t>-</w:t>
            </w:r>
            <w:r w:rsidR="00C2540A" w:rsidRPr="00B87CC5">
              <w:t>vehicle charging work programme</w:t>
            </w:r>
          </w:p>
        </w:tc>
        <w:tc>
          <w:tcPr>
            <w:tcW w:w="4180" w:type="dxa"/>
            <w:shd w:val="clear" w:color="auto" w:fill="FFFFFF" w:themeFill="background1"/>
          </w:tcPr>
          <w:p w14:paraId="00FF22BB" w14:textId="5D2E5191" w:rsidR="00C2540A" w:rsidRPr="00B87CC5" w:rsidRDefault="0048021D" w:rsidP="00FF1C8C">
            <w:pPr>
              <w:pStyle w:val="TableText"/>
              <w:rPr>
                <w:rFonts w:eastAsia="Times New Roman"/>
                <w:i/>
                <w:iCs/>
              </w:rPr>
            </w:pPr>
            <w:r w:rsidRPr="00B87CC5">
              <w:rPr>
                <w:i/>
                <w:iCs/>
              </w:rPr>
              <w:t>… b</w:t>
            </w:r>
            <w:r w:rsidR="00C2540A" w:rsidRPr="00B87CC5">
              <w:rPr>
                <w:i/>
                <w:iCs/>
              </w:rPr>
              <w:t>y 2030 we can expect</w:t>
            </w:r>
            <w:r w:rsidR="00C2540A" w:rsidRPr="00B87CC5">
              <w:rPr>
                <w:rFonts w:eastAsia="Times New Roman"/>
                <w:i/>
                <w:iCs/>
              </w:rPr>
              <w:t>:</w:t>
            </w:r>
          </w:p>
          <w:p w14:paraId="56E41E33" w14:textId="1CA2FAC3" w:rsidR="00C2540A" w:rsidRPr="00B87CC5" w:rsidRDefault="00DC7D31" w:rsidP="00C63531">
            <w:pPr>
              <w:pStyle w:val="TableBullet"/>
              <w:rPr>
                <w:rFonts w:cstheme="minorHAnsi"/>
              </w:rPr>
            </w:pPr>
            <w:r w:rsidRPr="00B87CC5">
              <w:t>i</w:t>
            </w:r>
            <w:r w:rsidR="00C2540A" w:rsidRPr="00B87CC5">
              <w:t>ndustry to have a better understanding of how use of ZE</w:t>
            </w:r>
            <w:r w:rsidRPr="00B87CC5">
              <w:t>H</w:t>
            </w:r>
            <w:r w:rsidR="00C2540A" w:rsidRPr="00B87CC5">
              <w:t xml:space="preserve">Vs will impact </w:t>
            </w:r>
            <w:r w:rsidR="0077652F" w:rsidRPr="00B87CC5">
              <w:t xml:space="preserve">its </w:t>
            </w:r>
            <w:r w:rsidR="00C2540A" w:rsidRPr="00B87CC5">
              <w:t>payload capacity</w:t>
            </w:r>
          </w:p>
          <w:p w14:paraId="08676233" w14:textId="320CFAF5" w:rsidR="00C2540A" w:rsidRPr="00B87CC5" w:rsidRDefault="00DC7D31" w:rsidP="00C63531">
            <w:pPr>
              <w:pStyle w:val="TableBullet"/>
              <w:rPr>
                <w:rFonts w:cstheme="minorHAnsi"/>
              </w:rPr>
            </w:pPr>
            <w:r w:rsidRPr="00B87CC5">
              <w:t>i</w:t>
            </w:r>
            <w:r w:rsidR="00C2540A" w:rsidRPr="00B87CC5">
              <w:t xml:space="preserve">ndustry to be able to purchase a wider range of </w:t>
            </w:r>
            <w:r w:rsidRPr="00B87CC5">
              <w:t>ZEHV</w:t>
            </w:r>
            <w:r w:rsidR="00C2540A" w:rsidRPr="00B87CC5">
              <w:t>s than currently meet New Zealand regulations. This could avoid cost</w:t>
            </w:r>
            <w:r w:rsidRPr="00B87CC5">
              <w:t>s</w:t>
            </w:r>
            <w:r w:rsidR="00C2540A" w:rsidRPr="00B87CC5">
              <w:t xml:space="preserve"> of </w:t>
            </w:r>
            <w:r w:rsidRPr="00B87CC5">
              <w:t xml:space="preserve">manufacturers’ </w:t>
            </w:r>
            <w:r w:rsidR="00C2540A" w:rsidRPr="00B87CC5">
              <w:t>modification</w:t>
            </w:r>
            <w:r w:rsidRPr="00B87CC5">
              <w:t>s to</w:t>
            </w:r>
            <w:r w:rsidR="00C2540A" w:rsidRPr="00B87CC5" w:rsidDel="00DC7D31">
              <w:t xml:space="preserve"> </w:t>
            </w:r>
            <w:r w:rsidRPr="00B87CC5">
              <w:t xml:space="preserve">vehicles </w:t>
            </w:r>
            <w:r w:rsidR="00C2540A" w:rsidRPr="00B87CC5">
              <w:t>to meet N</w:t>
            </w:r>
            <w:r w:rsidRPr="00B87CC5">
              <w:t>ew Zealand</w:t>
            </w:r>
            <w:r w:rsidR="00C2540A" w:rsidRPr="00B87CC5">
              <w:t xml:space="preserve"> standards</w:t>
            </w:r>
          </w:p>
          <w:p w14:paraId="012EEB0A" w14:textId="370465C4" w:rsidR="00C2540A" w:rsidRPr="00B87CC5" w:rsidRDefault="00DC7D31" w:rsidP="00C63531">
            <w:pPr>
              <w:pStyle w:val="TableBullet"/>
              <w:rPr>
                <w:rFonts w:cstheme="minorHAnsi"/>
              </w:rPr>
            </w:pPr>
            <w:r w:rsidRPr="00B87CC5">
              <w:t xml:space="preserve">the above two outcomes </w:t>
            </w:r>
            <w:r w:rsidR="00C2540A" w:rsidRPr="00B87CC5">
              <w:t>should combine to have industry operating more ZEHV</w:t>
            </w:r>
            <w:r w:rsidRPr="00B87CC5">
              <w:t>s</w:t>
            </w:r>
            <w:r w:rsidR="00C2540A" w:rsidRPr="00B87CC5">
              <w:t xml:space="preserve"> in New Zealand</w:t>
            </w:r>
          </w:p>
          <w:p w14:paraId="7FFB8E0F" w14:textId="1A1DD379" w:rsidR="00C2540A" w:rsidRPr="00B87CC5" w:rsidRDefault="00DC7D31" w:rsidP="00C63531">
            <w:pPr>
              <w:pStyle w:val="TableBullet"/>
              <w:rPr>
                <w:rFonts w:cstheme="minorHAnsi"/>
              </w:rPr>
            </w:pPr>
            <w:r w:rsidRPr="00B87CC5">
              <w:t>h</w:t>
            </w:r>
            <w:r w:rsidR="00C2540A" w:rsidRPr="00B87CC5">
              <w:t>eavy EV charging to be better understood, including the role of public charging vs private charging vs other energy provision methods (</w:t>
            </w:r>
            <w:proofErr w:type="spellStart"/>
            <w:r w:rsidR="00C2540A" w:rsidRPr="00B87CC5">
              <w:t>eg</w:t>
            </w:r>
            <w:proofErr w:type="spellEnd"/>
            <w:r w:rsidR="00C2540A" w:rsidRPr="00B87CC5">
              <w:t>, battery swapping) and the circumstances in which heavy EV charging is needed</w:t>
            </w:r>
          </w:p>
          <w:p w14:paraId="7085D4D3" w14:textId="55F7351A" w:rsidR="00C2540A" w:rsidRPr="00B87CC5" w:rsidRDefault="00DC7D31" w:rsidP="00C63531">
            <w:pPr>
              <w:pStyle w:val="TableBullet"/>
              <w:rPr>
                <w:rFonts w:cstheme="minorHAnsi"/>
              </w:rPr>
            </w:pPr>
            <w:r w:rsidRPr="00B87CC5">
              <w:t>s</w:t>
            </w:r>
            <w:r w:rsidR="00C2540A" w:rsidRPr="00B87CC5">
              <w:t>ome Electrify NZ proposals (related to electricity transmission and local lines) may also enable industry to invest in heavy vehicle charging</w:t>
            </w:r>
          </w:p>
          <w:p w14:paraId="5942A64D" w14:textId="07BD1CE9" w:rsidR="00C2540A" w:rsidRPr="00B87CC5" w:rsidRDefault="00DC7D31" w:rsidP="00FF1C8C">
            <w:pPr>
              <w:pStyle w:val="TableText"/>
              <w:rPr>
                <w:i/>
                <w:iCs/>
              </w:rPr>
            </w:pPr>
            <w:r w:rsidRPr="00B87CC5">
              <w:rPr>
                <w:i/>
                <w:iCs/>
              </w:rPr>
              <w:t xml:space="preserve">… </w:t>
            </w:r>
            <w:r w:rsidR="00FC39A9" w:rsidRPr="00B87CC5">
              <w:rPr>
                <w:i/>
                <w:iCs/>
              </w:rPr>
              <w:t xml:space="preserve">and </w:t>
            </w:r>
            <w:r w:rsidRPr="00B87CC5">
              <w:rPr>
                <w:i/>
                <w:iCs/>
              </w:rPr>
              <w:t>b</w:t>
            </w:r>
            <w:r w:rsidR="00C2540A" w:rsidRPr="00B87CC5">
              <w:rPr>
                <w:i/>
                <w:iCs/>
              </w:rPr>
              <w:t>y 2050 we can expect:</w:t>
            </w:r>
          </w:p>
          <w:p w14:paraId="6CF2B75B" w14:textId="22F8AD6D" w:rsidR="00C2540A" w:rsidRPr="00B87CC5" w:rsidRDefault="00DC7D31" w:rsidP="00C63531">
            <w:pPr>
              <w:pStyle w:val="TableBullet"/>
              <w:rPr>
                <w:rFonts w:asciiTheme="minorHAnsi" w:eastAsiaTheme="majorEastAsia" w:hAnsiTheme="minorHAnsi" w:cstheme="minorHAnsi"/>
                <w:i/>
                <w:sz w:val="20"/>
                <w:szCs w:val="22"/>
              </w:rPr>
            </w:pPr>
            <w:r w:rsidRPr="00B87CC5">
              <w:t>i</w:t>
            </w:r>
            <w:r w:rsidR="00C2540A" w:rsidRPr="00B87CC5">
              <w:t>ndustry to have purchased more ZEHV</w:t>
            </w:r>
            <w:r w:rsidRPr="00B87CC5">
              <w:t>s</w:t>
            </w:r>
            <w:r w:rsidR="00C2540A" w:rsidRPr="00B87CC5">
              <w:t xml:space="preserve"> and a heavy vehicle charging network to have been established, where it makes economic sense</w:t>
            </w:r>
          </w:p>
        </w:tc>
        <w:tc>
          <w:tcPr>
            <w:tcW w:w="5528" w:type="dxa"/>
            <w:shd w:val="clear" w:color="auto" w:fill="FFFFFF" w:themeFill="background1"/>
          </w:tcPr>
          <w:p w14:paraId="367100AA" w14:textId="3921F28F" w:rsidR="00C2540A" w:rsidRPr="00B87CC5" w:rsidRDefault="0048021D" w:rsidP="00FF1C8C">
            <w:pPr>
              <w:pStyle w:val="TableText"/>
              <w:rPr>
                <w:rFonts w:eastAsia="Times New Roman"/>
                <w:i/>
                <w:iCs/>
              </w:rPr>
            </w:pPr>
            <w:r w:rsidRPr="00B87CC5">
              <w:rPr>
                <w:i/>
                <w:iCs/>
              </w:rPr>
              <w:t>… and then in the second emissions budget,</w:t>
            </w:r>
            <w:r w:rsidR="00C2540A" w:rsidRPr="00B87CC5">
              <w:rPr>
                <w:i/>
                <w:iCs/>
              </w:rPr>
              <w:t xml:space="preserve"> this will lead to</w:t>
            </w:r>
            <w:r w:rsidR="00C2540A" w:rsidRPr="00B87CC5">
              <w:rPr>
                <w:rFonts w:eastAsia="Times New Roman"/>
                <w:i/>
                <w:iCs/>
              </w:rPr>
              <w:t>:</w:t>
            </w:r>
          </w:p>
          <w:p w14:paraId="28335519" w14:textId="050714BE" w:rsidR="00C2540A" w:rsidRPr="00B87CC5" w:rsidRDefault="000F3158" w:rsidP="00C63531">
            <w:pPr>
              <w:pStyle w:val="TableBullet"/>
            </w:pPr>
            <w:r w:rsidRPr="00B87CC5">
              <w:t>s</w:t>
            </w:r>
            <w:r w:rsidR="00C2540A" w:rsidRPr="00B87CC5">
              <w:t>ome reduced transport emissions from heavy vehicles</w:t>
            </w:r>
          </w:p>
          <w:p w14:paraId="545463AB" w14:textId="7BB36A94" w:rsidR="00C2540A" w:rsidRPr="00B87CC5" w:rsidRDefault="0048021D" w:rsidP="00FF1C8C">
            <w:pPr>
              <w:pStyle w:val="TableText"/>
              <w:rPr>
                <w:i/>
                <w:iCs/>
              </w:rPr>
            </w:pPr>
            <w:r w:rsidRPr="00B87CC5">
              <w:rPr>
                <w:i/>
                <w:iCs/>
              </w:rPr>
              <w:t xml:space="preserve">… and then in </w:t>
            </w:r>
            <w:r w:rsidR="00C2540A" w:rsidRPr="00B87CC5">
              <w:rPr>
                <w:i/>
                <w:iCs/>
              </w:rPr>
              <w:t>future emissions budgets</w:t>
            </w:r>
            <w:r w:rsidRPr="00B87CC5">
              <w:rPr>
                <w:i/>
                <w:iCs/>
              </w:rPr>
              <w:t>,</w:t>
            </w:r>
            <w:r w:rsidR="00C2540A" w:rsidRPr="00B87CC5">
              <w:rPr>
                <w:i/>
                <w:iCs/>
              </w:rPr>
              <w:t xml:space="preserve"> this will lead to:</w:t>
            </w:r>
          </w:p>
          <w:p w14:paraId="44806AD1" w14:textId="578BB416" w:rsidR="00C2540A" w:rsidRPr="00B87CC5" w:rsidRDefault="0077652F" w:rsidP="00C63531">
            <w:pPr>
              <w:pStyle w:val="TableBullet"/>
              <w:rPr>
                <w:rFonts w:asciiTheme="minorHAnsi" w:eastAsiaTheme="majorEastAsia" w:hAnsiTheme="minorHAnsi" w:cstheme="minorHAnsi"/>
                <w:i/>
                <w:sz w:val="20"/>
              </w:rPr>
            </w:pPr>
            <w:r w:rsidRPr="00B87CC5">
              <w:t>greater reductions</w:t>
            </w:r>
            <w:r w:rsidR="00C2540A" w:rsidRPr="00B87CC5">
              <w:t xml:space="preserve"> in the above. </w:t>
            </w:r>
          </w:p>
        </w:tc>
      </w:tr>
      <w:tr w:rsidR="00851655" w:rsidRPr="00B87CC5" w14:paraId="034E639C" w14:textId="77777777" w:rsidTr="0464AED2">
        <w:trPr>
          <w:trHeight w:val="300"/>
        </w:trPr>
        <w:tc>
          <w:tcPr>
            <w:tcW w:w="1596" w:type="dxa"/>
            <w:vMerge/>
          </w:tcPr>
          <w:p w14:paraId="350EF0FD"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193FEFC8" w14:textId="25888DF4" w:rsidR="00C2540A" w:rsidRPr="00B87CC5" w:rsidRDefault="00C2540A" w:rsidP="00FF1C8C">
            <w:pPr>
              <w:pStyle w:val="TableTextbold"/>
              <w:rPr>
                <w:szCs w:val="18"/>
              </w:rPr>
            </w:pPr>
            <w:r w:rsidRPr="00B87CC5">
              <w:t xml:space="preserve">Assumptions and </w:t>
            </w:r>
            <w:r w:rsidR="00F62E46" w:rsidRPr="00B87CC5">
              <w:t>d</w:t>
            </w:r>
            <w:r w:rsidRPr="00B87CC5">
              <w:t>ependencies </w:t>
            </w:r>
          </w:p>
        </w:tc>
        <w:tc>
          <w:tcPr>
            <w:tcW w:w="11030" w:type="dxa"/>
            <w:gridSpan w:val="3"/>
            <w:shd w:val="clear" w:color="auto" w:fill="FFFFFF" w:themeFill="background1"/>
          </w:tcPr>
          <w:p w14:paraId="44DE8547" w14:textId="02BA9AF1" w:rsidR="00C2540A" w:rsidRPr="00B87CC5" w:rsidRDefault="00C2540A" w:rsidP="00FF1C8C">
            <w:pPr>
              <w:pStyle w:val="TableBullet"/>
              <w:spacing w:after="40"/>
            </w:pPr>
            <w:r w:rsidRPr="00B87CC5">
              <w:t xml:space="preserve">Currently, the main barrier to ZEHV uptake is the high upfront cost of these vehicles. Assumptions include that, as technology improves and global production increases in the longer term, the cost disparity </w:t>
            </w:r>
            <w:r w:rsidR="000F3158" w:rsidRPr="00B87CC5">
              <w:t xml:space="preserve">of </w:t>
            </w:r>
            <w:r w:rsidRPr="00B87CC5">
              <w:t xml:space="preserve">ICE vehicles and the payload disadvantage will decline. </w:t>
            </w:r>
          </w:p>
          <w:p w14:paraId="27ABC26C" w14:textId="097A8FEB" w:rsidR="00C2540A" w:rsidRPr="00B87CC5" w:rsidRDefault="00C2540A" w:rsidP="00FF1C8C">
            <w:pPr>
              <w:pStyle w:val="TableBullet"/>
              <w:spacing w:after="40"/>
              <w:rPr>
                <w:szCs w:val="18"/>
              </w:rPr>
            </w:pPr>
            <w:r w:rsidRPr="00B87CC5">
              <w:t xml:space="preserve">This policy area is dependent on work being undertaken in the </w:t>
            </w:r>
            <w:r w:rsidR="000F3158" w:rsidRPr="00B87CC5">
              <w:t>e</w:t>
            </w:r>
            <w:r w:rsidRPr="00B87CC5">
              <w:t xml:space="preserve">nergy sector, particularly </w:t>
            </w:r>
            <w:r w:rsidR="002E247F" w:rsidRPr="00B87CC5">
              <w:t xml:space="preserve">to establish </w:t>
            </w:r>
            <w:r w:rsidRPr="00B87CC5">
              <w:t>regulatory measures relating to the costs and processes to connect to electricity networks (currently a barrier to investment in EV charging infrastructure).</w:t>
            </w:r>
          </w:p>
        </w:tc>
      </w:tr>
      <w:tr w:rsidR="00851655" w:rsidRPr="00B87CC5" w14:paraId="75E27952" w14:textId="77777777" w:rsidTr="0464AED2">
        <w:trPr>
          <w:trHeight w:val="300"/>
        </w:trPr>
        <w:tc>
          <w:tcPr>
            <w:tcW w:w="1596" w:type="dxa"/>
            <w:vMerge/>
          </w:tcPr>
          <w:p w14:paraId="714FF7E3"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23E5C3B8" w14:textId="77777777" w:rsidR="00C2540A" w:rsidRPr="00B87CC5" w:rsidRDefault="00C2540A" w:rsidP="00FF1C8C">
            <w:pPr>
              <w:pStyle w:val="TableTextbold"/>
            </w:pPr>
            <w:r w:rsidRPr="00B87CC5">
              <w:t>Other benefits </w:t>
            </w:r>
          </w:p>
        </w:tc>
        <w:tc>
          <w:tcPr>
            <w:tcW w:w="11030" w:type="dxa"/>
            <w:gridSpan w:val="3"/>
            <w:shd w:val="clear" w:color="auto" w:fill="FFFFFF" w:themeFill="background1"/>
          </w:tcPr>
          <w:p w14:paraId="409224D0" w14:textId="3F8CC89E" w:rsidR="00C2540A" w:rsidRPr="00B87CC5" w:rsidRDefault="00C2540A" w:rsidP="00FF1C8C">
            <w:pPr>
              <w:pStyle w:val="TableBullet"/>
              <w:spacing w:after="40"/>
            </w:pPr>
            <w:r w:rsidRPr="00B87CC5">
              <w:t>Diesel heavy vehicles are the primary contributor to air pollution and associated impacts on health in the transport sector. Transitioning from ICE heavy vehicles to ZEHV</w:t>
            </w:r>
            <w:r w:rsidR="000F3158" w:rsidRPr="00B87CC5">
              <w:t>s</w:t>
            </w:r>
            <w:r w:rsidRPr="00B87CC5">
              <w:t xml:space="preserve"> will lessen this negative health impact.</w:t>
            </w:r>
          </w:p>
          <w:p w14:paraId="419B1787" w14:textId="3DEFE4E4" w:rsidR="00C2540A" w:rsidRPr="00B87CC5" w:rsidRDefault="00C2540A" w:rsidP="00FF1C8C">
            <w:pPr>
              <w:pStyle w:val="TableBullet"/>
              <w:spacing w:after="40"/>
              <w:rPr>
                <w:rFonts w:asciiTheme="minorHAnsi" w:hAnsiTheme="minorHAnsi"/>
                <w:szCs w:val="18"/>
              </w:rPr>
            </w:pPr>
            <w:r w:rsidRPr="00B87CC5">
              <w:t>ZE</w:t>
            </w:r>
            <w:r w:rsidR="000F3158" w:rsidRPr="00B87CC5">
              <w:t>H</w:t>
            </w:r>
            <w:r w:rsidRPr="00B87CC5">
              <w:t xml:space="preserve">Vs can provide energy cost savings. This could result in lower energy costs for businesses, although this will depend on how payloads compare with ICE heavy vehicles. </w:t>
            </w:r>
          </w:p>
        </w:tc>
      </w:tr>
      <w:tr w:rsidR="00851655" w:rsidRPr="00B87CC5" w14:paraId="599F94B3" w14:textId="77777777" w:rsidTr="0464AED2">
        <w:trPr>
          <w:trHeight w:val="300"/>
        </w:trPr>
        <w:tc>
          <w:tcPr>
            <w:tcW w:w="1596" w:type="dxa"/>
            <w:vMerge/>
          </w:tcPr>
          <w:p w14:paraId="0C55327B"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vAlign w:val="center"/>
          </w:tcPr>
          <w:p w14:paraId="3B7E5D8B" w14:textId="2D0E8BE6" w:rsidR="00C2540A" w:rsidRPr="00B87CC5" w:rsidRDefault="00C2540A" w:rsidP="00FF1C8C">
            <w:pPr>
              <w:pStyle w:val="TableTextbold"/>
            </w:pPr>
            <w:r w:rsidRPr="00B87CC5">
              <w:t xml:space="preserve">Why this </w:t>
            </w:r>
            <w:r w:rsidR="00F62E46" w:rsidRPr="00B87CC5">
              <w:t xml:space="preserve">is </w:t>
            </w:r>
            <w:r w:rsidRPr="00B87CC5">
              <w:t xml:space="preserve">complementary to the </w:t>
            </w:r>
            <w:r w:rsidR="00F62E46" w:rsidRPr="00B87CC5">
              <w:t xml:space="preserve">NZ </w:t>
            </w:r>
            <w:r w:rsidRPr="00B87CC5">
              <w:t>ETS</w:t>
            </w:r>
          </w:p>
        </w:tc>
        <w:tc>
          <w:tcPr>
            <w:tcW w:w="11030" w:type="dxa"/>
            <w:gridSpan w:val="3"/>
            <w:shd w:val="clear" w:color="auto" w:fill="FFFFFF" w:themeFill="background1"/>
          </w:tcPr>
          <w:p w14:paraId="79D7748F" w14:textId="5362441B" w:rsidR="00C2540A" w:rsidRPr="00B87CC5" w:rsidRDefault="00C2540A" w:rsidP="00C63531">
            <w:pPr>
              <w:pStyle w:val="TableBullet"/>
              <w:rPr>
                <w:rFonts w:eastAsiaTheme="majorEastAsia" w:cs="Calibri"/>
                <w:sz w:val="24"/>
                <w:szCs w:val="18"/>
              </w:rPr>
            </w:pPr>
            <w:r w:rsidRPr="00B87CC5">
              <w:t>These options are aimed at addressing regulatory barriers that may limit the availability of ZEHV</w:t>
            </w:r>
            <w:r w:rsidR="000F3158" w:rsidRPr="00B87CC5">
              <w:t>s</w:t>
            </w:r>
            <w:r w:rsidRPr="00B87CC5">
              <w:t xml:space="preserve"> in New Zealand or may increase the cost compared </w:t>
            </w:r>
            <w:r w:rsidR="000F3158" w:rsidRPr="00B87CC5">
              <w:t xml:space="preserve">with </w:t>
            </w:r>
            <w:r w:rsidRPr="00B87CC5">
              <w:t>other jurisdictions. However, as transport is covered by the</w:t>
            </w:r>
            <w:r w:rsidR="000F3158" w:rsidRPr="00B87CC5">
              <w:t xml:space="preserve"> NZ</w:t>
            </w:r>
            <w:r w:rsidRPr="00B87CC5">
              <w:t xml:space="preserve"> ETS</w:t>
            </w:r>
            <w:r w:rsidR="000F3158" w:rsidRPr="00B87CC5">
              <w:t>,</w:t>
            </w:r>
            <w:r w:rsidRPr="00B87CC5" w:rsidDel="000F3158">
              <w:t xml:space="preserve"> </w:t>
            </w:r>
            <w:r w:rsidRPr="00B87CC5">
              <w:t>the waterbed effect may apply</w:t>
            </w:r>
            <w:r w:rsidR="002E247F" w:rsidRPr="00B87CC5">
              <w:t>,</w:t>
            </w:r>
            <w:r w:rsidRPr="00B87CC5">
              <w:t xml:space="preserve"> resulting in no impact on net emissions.</w:t>
            </w:r>
          </w:p>
        </w:tc>
      </w:tr>
      <w:tr w:rsidR="00851655" w:rsidRPr="00B87CC5" w14:paraId="19A53BBC" w14:textId="77777777" w:rsidTr="00800762">
        <w:trPr>
          <w:trHeight w:val="300"/>
        </w:trPr>
        <w:tc>
          <w:tcPr>
            <w:tcW w:w="1596" w:type="dxa"/>
            <w:vMerge w:val="restart"/>
            <w:shd w:val="clear" w:color="auto" w:fill="D5EBE8" w:themeFill="accent3"/>
          </w:tcPr>
          <w:p w14:paraId="5A186F84" w14:textId="77777777" w:rsidR="00C2540A" w:rsidRPr="00C63308" w:rsidRDefault="00C2540A" w:rsidP="00FF1C8C">
            <w:pPr>
              <w:pStyle w:val="TableTextbold"/>
              <w:spacing w:after="0"/>
            </w:pPr>
            <w:r w:rsidRPr="00C63308">
              <w:t>Transport</w:t>
            </w:r>
          </w:p>
          <w:p w14:paraId="69079F25" w14:textId="023F4C6B" w:rsidR="00C2540A" w:rsidRPr="00B87CC5" w:rsidRDefault="00C2540A" w:rsidP="00FF1C8C">
            <w:pPr>
              <w:pStyle w:val="TableText"/>
            </w:pPr>
            <w:r w:rsidRPr="00B87CC5">
              <w:t>Sustainable aviation</w:t>
            </w:r>
            <w:r w:rsidR="00F637B1" w:rsidRPr="00B87CC5">
              <w:t xml:space="preserve"> fuels</w:t>
            </w:r>
            <w:r w:rsidRPr="00B87CC5">
              <w:t xml:space="preserve"> </w:t>
            </w:r>
            <w:r w:rsidR="00F637B1" w:rsidRPr="00B87CC5">
              <w:t xml:space="preserve">(SAF) </w:t>
            </w:r>
            <w:r w:rsidRPr="00B87CC5">
              <w:t xml:space="preserve">and </w:t>
            </w:r>
            <w:r w:rsidR="004F4A2D" w:rsidRPr="00B87CC5">
              <w:t xml:space="preserve">sustainable </w:t>
            </w:r>
            <w:r w:rsidRPr="00B87CC5">
              <w:t>shipping fuels</w:t>
            </w:r>
            <w:r w:rsidR="00F637B1" w:rsidRPr="00B87CC5">
              <w:t xml:space="preserve"> </w:t>
            </w:r>
          </w:p>
        </w:tc>
        <w:tc>
          <w:tcPr>
            <w:tcW w:w="3155" w:type="dxa"/>
            <w:gridSpan w:val="3"/>
            <w:shd w:val="clear" w:color="auto" w:fill="FFFFFF" w:themeFill="background1"/>
          </w:tcPr>
          <w:p w14:paraId="64713C5C" w14:textId="77777777" w:rsidR="00C2540A" w:rsidRPr="00B87CC5" w:rsidRDefault="00C2540A" w:rsidP="000559EB">
            <w:pPr>
              <w:pStyle w:val="TableText"/>
              <w:spacing w:after="40"/>
              <w:rPr>
                <w:i/>
                <w:iCs/>
              </w:rPr>
            </w:pPr>
            <w:r w:rsidRPr="00B87CC5">
              <w:rPr>
                <w:i/>
                <w:iCs/>
              </w:rPr>
              <w:t>If we do the following now:</w:t>
            </w:r>
          </w:p>
          <w:p w14:paraId="6725812B" w14:textId="1EA1C30C" w:rsidR="00C2540A" w:rsidRPr="00B87CC5" w:rsidRDefault="00FC39A9" w:rsidP="00C63531">
            <w:pPr>
              <w:pStyle w:val="TableBullet"/>
            </w:pPr>
            <w:r w:rsidRPr="00B87CC5">
              <w:t>w</w:t>
            </w:r>
            <w:r w:rsidR="00C2540A" w:rsidRPr="00B87CC5">
              <w:t>ork with</w:t>
            </w:r>
            <w:r w:rsidR="00C2540A" w:rsidRPr="00B87CC5" w:rsidDel="00F9514F">
              <w:t xml:space="preserve"> </w:t>
            </w:r>
            <w:r w:rsidR="00C2540A" w:rsidRPr="00B87CC5">
              <w:t>like-minded countries</w:t>
            </w:r>
            <w:r w:rsidR="00145689" w:rsidRPr="00B87CC5">
              <w:t>, such as Singapore and Australia</w:t>
            </w:r>
            <w:r w:rsidR="00864D9A" w:rsidRPr="00B87CC5">
              <w:t>,</w:t>
            </w:r>
            <w:r w:rsidR="00C2540A" w:rsidRPr="00B87CC5">
              <w:t xml:space="preserve"> to support the supply and uptake of SAF</w:t>
            </w:r>
          </w:p>
          <w:p w14:paraId="24D9301B" w14:textId="19956AF2" w:rsidR="00C2540A" w:rsidRPr="00B87CC5" w:rsidRDefault="00FC39A9" w:rsidP="00C63531">
            <w:pPr>
              <w:pStyle w:val="TableBullet"/>
              <w:rPr>
                <w:rFonts w:eastAsiaTheme="majorEastAsia" w:cs="Calibri"/>
                <w:b/>
                <w:sz w:val="20"/>
              </w:rPr>
            </w:pPr>
            <w:r w:rsidRPr="00B87CC5">
              <w:t>c</w:t>
            </w:r>
            <w:r w:rsidR="00C2540A" w:rsidRPr="00B87CC5">
              <w:t>ontinue working with like-minded countries to put in place the conditions to allow low- or zero-carbon shipping on key trade routes by 2035</w:t>
            </w:r>
          </w:p>
        </w:tc>
        <w:tc>
          <w:tcPr>
            <w:tcW w:w="4180" w:type="dxa"/>
            <w:shd w:val="clear" w:color="auto" w:fill="FFFFFF" w:themeFill="background1"/>
          </w:tcPr>
          <w:p w14:paraId="3B173B59" w14:textId="14348648" w:rsidR="00C2540A" w:rsidRPr="00B87CC5" w:rsidRDefault="00FC39A9" w:rsidP="000559EB">
            <w:pPr>
              <w:pStyle w:val="TableText"/>
              <w:spacing w:after="40"/>
              <w:rPr>
                <w:rFonts w:eastAsia="Times New Roman"/>
                <w:i/>
                <w:iCs/>
              </w:rPr>
            </w:pPr>
            <w:r w:rsidRPr="00B87CC5">
              <w:rPr>
                <w:i/>
                <w:iCs/>
              </w:rPr>
              <w:t>… b</w:t>
            </w:r>
            <w:r w:rsidR="00C2540A" w:rsidRPr="00B87CC5">
              <w:rPr>
                <w:i/>
                <w:iCs/>
              </w:rPr>
              <w:t>y 2030 we can expect</w:t>
            </w:r>
            <w:r w:rsidR="00C2540A" w:rsidRPr="00B87CC5">
              <w:rPr>
                <w:rFonts w:eastAsia="Times New Roman"/>
                <w:i/>
                <w:iCs/>
              </w:rPr>
              <w:t>:</w:t>
            </w:r>
          </w:p>
          <w:p w14:paraId="054CA060" w14:textId="0D91D596" w:rsidR="00C2540A" w:rsidRPr="00B87CC5" w:rsidRDefault="003E2CB1" w:rsidP="00C63531">
            <w:pPr>
              <w:pStyle w:val="TableBullet"/>
            </w:pPr>
            <w:r w:rsidRPr="00B87CC5">
              <w:t xml:space="preserve">the </w:t>
            </w:r>
            <w:r w:rsidR="00C2540A" w:rsidRPr="00B87CC5">
              <w:t xml:space="preserve">New Zealand Government </w:t>
            </w:r>
            <w:r w:rsidR="004F4A2D" w:rsidRPr="00B87CC5">
              <w:t xml:space="preserve">to </w:t>
            </w:r>
            <w:r w:rsidR="00C2540A" w:rsidRPr="00B87CC5">
              <w:t>be aware of international developments related to SAF and sustainable shipping fuels</w:t>
            </w:r>
          </w:p>
          <w:p w14:paraId="67B12A96" w14:textId="25C2BA7E" w:rsidR="00C2540A" w:rsidRPr="00B87CC5" w:rsidRDefault="00C2540A" w:rsidP="000559EB">
            <w:pPr>
              <w:pStyle w:val="TableBullet"/>
              <w:spacing w:after="40"/>
            </w:pPr>
            <w:r w:rsidRPr="00B87CC5">
              <w:t>sector decarbonisation</w:t>
            </w:r>
            <w:r w:rsidR="004F4A2D" w:rsidRPr="00B87CC5">
              <w:t xml:space="preserve"> to be limited</w:t>
            </w:r>
            <w:r w:rsidRPr="00B87CC5">
              <w:t xml:space="preserve"> as decarbonisation technologies and fuels are not yet widely available at commercially meaningful scales and/or economically competitive prices</w:t>
            </w:r>
          </w:p>
          <w:p w14:paraId="12BBA0AD" w14:textId="3A793DBA" w:rsidR="00C2540A" w:rsidRPr="00B87CC5" w:rsidRDefault="00FC39A9" w:rsidP="000559EB">
            <w:pPr>
              <w:pStyle w:val="TableText"/>
              <w:spacing w:after="40"/>
              <w:rPr>
                <w:i/>
                <w:iCs/>
              </w:rPr>
            </w:pPr>
            <w:r w:rsidRPr="00B87CC5">
              <w:rPr>
                <w:i/>
                <w:iCs/>
              </w:rPr>
              <w:t>… and b</w:t>
            </w:r>
            <w:r w:rsidR="00C2540A" w:rsidRPr="00B87CC5">
              <w:rPr>
                <w:i/>
                <w:iCs/>
              </w:rPr>
              <w:t>y 2050 we can expect:</w:t>
            </w:r>
          </w:p>
          <w:p w14:paraId="430FBAB4" w14:textId="68847CA5" w:rsidR="00C2540A" w:rsidRPr="00B87CC5" w:rsidRDefault="004F4A2D" w:rsidP="000559EB">
            <w:pPr>
              <w:pStyle w:val="TableBullet"/>
              <w:spacing w:after="40"/>
              <w:rPr>
                <w:rFonts w:eastAsiaTheme="majorEastAsia" w:cs="Calibri"/>
                <w:sz w:val="20"/>
                <w:szCs w:val="22"/>
              </w:rPr>
            </w:pPr>
            <w:r w:rsidRPr="00B87CC5">
              <w:t>g</w:t>
            </w:r>
            <w:r w:rsidR="00C2540A" w:rsidRPr="00B87CC5">
              <w:t xml:space="preserve">lobal production of SAF and sustainable shipping fuels </w:t>
            </w:r>
            <w:r w:rsidRPr="00B87CC5">
              <w:t xml:space="preserve">to </w:t>
            </w:r>
            <w:r w:rsidR="00C2540A" w:rsidRPr="00B87CC5">
              <w:t xml:space="preserve">have scaled up and New Zealand industry </w:t>
            </w:r>
            <w:r w:rsidRPr="00B87CC5">
              <w:t xml:space="preserve">to </w:t>
            </w:r>
            <w:r w:rsidR="00C2540A" w:rsidRPr="00B87CC5">
              <w:t>have begun adopting these fuels</w:t>
            </w:r>
          </w:p>
        </w:tc>
        <w:tc>
          <w:tcPr>
            <w:tcW w:w="5528" w:type="dxa"/>
            <w:shd w:val="clear" w:color="auto" w:fill="FFFFFF" w:themeFill="background1"/>
          </w:tcPr>
          <w:p w14:paraId="4D7A6B86" w14:textId="3DAEB330" w:rsidR="00C2540A" w:rsidRPr="00B87CC5" w:rsidRDefault="00FC39A9" w:rsidP="000559EB">
            <w:pPr>
              <w:pStyle w:val="TableText"/>
              <w:spacing w:after="40"/>
              <w:rPr>
                <w:rFonts w:eastAsia="Times New Roman"/>
                <w:i/>
                <w:iCs/>
              </w:rPr>
            </w:pPr>
            <w:r w:rsidRPr="00B87CC5">
              <w:rPr>
                <w:i/>
                <w:iCs/>
              </w:rPr>
              <w:t>… and then in the second emissions budget,</w:t>
            </w:r>
            <w:r w:rsidR="00C2540A" w:rsidRPr="00B87CC5">
              <w:rPr>
                <w:i/>
                <w:iCs/>
              </w:rPr>
              <w:t xml:space="preserve"> this will lead to</w:t>
            </w:r>
            <w:r w:rsidR="00C2540A" w:rsidRPr="00B87CC5">
              <w:rPr>
                <w:rFonts w:eastAsia="Times New Roman"/>
                <w:i/>
                <w:iCs/>
              </w:rPr>
              <w:t>:</w:t>
            </w:r>
          </w:p>
          <w:p w14:paraId="6C7BCF3D" w14:textId="5F5BCA96" w:rsidR="00C2540A" w:rsidRPr="00B87CC5" w:rsidRDefault="00F45D05" w:rsidP="000559EB">
            <w:pPr>
              <w:pStyle w:val="TableBullet"/>
              <w:spacing w:after="40"/>
              <w:rPr>
                <w:rFonts w:cstheme="minorHAnsi"/>
              </w:rPr>
            </w:pPr>
            <w:r w:rsidRPr="00B87CC5">
              <w:rPr>
                <w:rFonts w:cstheme="minorHAnsi"/>
              </w:rPr>
              <w:t>a l</w:t>
            </w:r>
            <w:r w:rsidR="00C2540A" w:rsidRPr="00B87CC5">
              <w:rPr>
                <w:rFonts w:cstheme="minorHAnsi"/>
              </w:rPr>
              <w:t>imited</w:t>
            </w:r>
            <w:r w:rsidR="00C2540A" w:rsidRPr="00B87CC5">
              <w:t xml:space="preserve"> impact on emissions</w:t>
            </w:r>
          </w:p>
          <w:p w14:paraId="64CA5603" w14:textId="5F77BF05" w:rsidR="00C2540A" w:rsidRPr="00B87CC5" w:rsidRDefault="00FC39A9" w:rsidP="000559EB">
            <w:pPr>
              <w:pStyle w:val="TableText"/>
              <w:spacing w:after="40"/>
              <w:rPr>
                <w:i/>
                <w:iCs/>
              </w:rPr>
            </w:pPr>
            <w:r w:rsidRPr="00B87CC5">
              <w:rPr>
                <w:i/>
                <w:iCs/>
              </w:rPr>
              <w:t>… and then i</w:t>
            </w:r>
            <w:r w:rsidR="00C2540A" w:rsidRPr="00B87CC5">
              <w:rPr>
                <w:i/>
                <w:iCs/>
              </w:rPr>
              <w:t>n future emissions budgets</w:t>
            </w:r>
            <w:r w:rsidRPr="00B87CC5">
              <w:rPr>
                <w:i/>
                <w:iCs/>
              </w:rPr>
              <w:t>,</w:t>
            </w:r>
            <w:r w:rsidR="00C2540A" w:rsidRPr="00B87CC5">
              <w:rPr>
                <w:i/>
                <w:iCs/>
              </w:rPr>
              <w:t xml:space="preserve"> this will lead to:</w:t>
            </w:r>
          </w:p>
          <w:p w14:paraId="41529EDC" w14:textId="0FE81D8D" w:rsidR="00C2540A" w:rsidRPr="00B87CC5" w:rsidRDefault="00F45D05" w:rsidP="00C63531">
            <w:pPr>
              <w:pStyle w:val="TableBullet"/>
              <w:rPr>
                <w:rFonts w:eastAsiaTheme="majorEastAsia" w:cs="Calibri"/>
                <w:szCs w:val="18"/>
              </w:rPr>
            </w:pPr>
            <w:r w:rsidRPr="00B87CC5">
              <w:t>s</w:t>
            </w:r>
            <w:r w:rsidR="00C2540A" w:rsidRPr="00B87CC5">
              <w:t>ome reduction in emissions for aviation and shipping to the extent that industry begins to adopt these fuels.</w:t>
            </w:r>
          </w:p>
        </w:tc>
      </w:tr>
      <w:tr w:rsidR="00851655" w:rsidRPr="00B87CC5" w14:paraId="3386765B" w14:textId="77777777" w:rsidTr="0464AED2">
        <w:trPr>
          <w:trHeight w:val="300"/>
        </w:trPr>
        <w:tc>
          <w:tcPr>
            <w:tcW w:w="1596" w:type="dxa"/>
            <w:vMerge/>
          </w:tcPr>
          <w:p w14:paraId="72F15EA8"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30C93830" w14:textId="56C271EE" w:rsidR="00C2540A" w:rsidRPr="00B87CC5" w:rsidRDefault="00C2540A" w:rsidP="000559EB">
            <w:pPr>
              <w:pStyle w:val="TableTextbold"/>
              <w:rPr>
                <w:szCs w:val="18"/>
              </w:rPr>
            </w:pPr>
            <w:r w:rsidRPr="00B87CC5">
              <w:t xml:space="preserve">Assumptions and </w:t>
            </w:r>
            <w:r w:rsidR="00EE36B6" w:rsidRPr="00B87CC5">
              <w:t>d</w:t>
            </w:r>
            <w:r w:rsidRPr="00B87CC5">
              <w:t>ependencies </w:t>
            </w:r>
          </w:p>
        </w:tc>
        <w:tc>
          <w:tcPr>
            <w:tcW w:w="11030" w:type="dxa"/>
            <w:gridSpan w:val="3"/>
            <w:shd w:val="clear" w:color="auto" w:fill="FFFFFF" w:themeFill="background1"/>
          </w:tcPr>
          <w:p w14:paraId="327D454E" w14:textId="58E7227F" w:rsidR="00C2540A" w:rsidRPr="00B87CC5" w:rsidRDefault="00C2540A" w:rsidP="000559EB">
            <w:pPr>
              <w:pStyle w:val="TableBullet"/>
              <w:spacing w:after="40"/>
              <w:rPr>
                <w:rFonts w:cstheme="minorHAnsi"/>
              </w:rPr>
            </w:pPr>
            <w:r w:rsidRPr="00B87CC5">
              <w:t xml:space="preserve">This approach </w:t>
            </w:r>
            <w:proofErr w:type="gramStart"/>
            <w:r w:rsidRPr="00B87CC5">
              <w:t>is based on</w:t>
            </w:r>
            <w:r w:rsidR="003E2CB1" w:rsidRPr="00B87CC5">
              <w:t xml:space="preserve"> the assumption</w:t>
            </w:r>
            <w:proofErr w:type="gramEnd"/>
            <w:r w:rsidR="003E2CB1" w:rsidRPr="00B87CC5">
              <w:t xml:space="preserve"> that</w:t>
            </w:r>
            <w:r w:rsidRPr="00B87CC5">
              <w:t xml:space="preserve"> industry </w:t>
            </w:r>
            <w:r w:rsidR="003E2CB1" w:rsidRPr="00B87CC5">
              <w:t xml:space="preserve">will take </w:t>
            </w:r>
            <w:r w:rsidRPr="00B87CC5">
              <w:t>the lead to decarbonise these sectors. It also recognises that</w:t>
            </w:r>
            <w:r w:rsidR="003E2CB1" w:rsidRPr="00B87CC5">
              <w:t xml:space="preserve"> for industry to take the lead,</w:t>
            </w:r>
            <w:r w:rsidRPr="00B87CC5">
              <w:t xml:space="preserve"> global production of SAF and sustainable shipping fuels </w:t>
            </w:r>
            <w:r w:rsidR="003E2CB1" w:rsidRPr="00B87CC5">
              <w:t>need</w:t>
            </w:r>
            <w:r w:rsidR="00BE2CE4" w:rsidRPr="00B87CC5">
              <w:t>s</w:t>
            </w:r>
            <w:r w:rsidR="003E2CB1" w:rsidRPr="00B87CC5">
              <w:t xml:space="preserve"> to </w:t>
            </w:r>
            <w:r w:rsidRPr="00B87CC5">
              <w:t>scal</w:t>
            </w:r>
            <w:r w:rsidR="003E2CB1" w:rsidRPr="00B87CC5">
              <w:t>e</w:t>
            </w:r>
            <w:r w:rsidRPr="00B87CC5">
              <w:t xml:space="preserve"> significantly, and New Zealand companies </w:t>
            </w:r>
            <w:r w:rsidR="003E2CB1" w:rsidRPr="00B87CC5">
              <w:t>need to</w:t>
            </w:r>
            <w:r w:rsidRPr="00B87CC5">
              <w:t xml:space="preserve"> be able to access supply of such fuels. There is a high degree of uncertainty for this assumption. </w:t>
            </w:r>
          </w:p>
          <w:p w14:paraId="0AD8A033" w14:textId="0505065A" w:rsidR="00C2540A" w:rsidRPr="00B87CC5" w:rsidRDefault="00C2540A" w:rsidP="00C63531">
            <w:pPr>
              <w:pStyle w:val="TableBullet"/>
              <w:rPr>
                <w:szCs w:val="18"/>
              </w:rPr>
            </w:pPr>
            <w:r w:rsidRPr="00B87CC5">
              <w:t xml:space="preserve">Under an </w:t>
            </w:r>
            <w:r w:rsidR="003E2CB1" w:rsidRPr="00B87CC5">
              <w:t xml:space="preserve">NZ </w:t>
            </w:r>
            <w:r w:rsidRPr="00B87CC5">
              <w:t>ETS-first approach to reduce emissions, it is assumed that hard-to-abate sectors like aviation and shipping will decarbonise later than other sectors where decarbonisation technologies are more mature.</w:t>
            </w:r>
          </w:p>
        </w:tc>
      </w:tr>
      <w:tr w:rsidR="00851655" w:rsidRPr="00B87CC5" w14:paraId="52322C65" w14:textId="77777777" w:rsidTr="0464AED2">
        <w:trPr>
          <w:trHeight w:val="300"/>
        </w:trPr>
        <w:tc>
          <w:tcPr>
            <w:tcW w:w="1596" w:type="dxa"/>
            <w:vMerge/>
          </w:tcPr>
          <w:p w14:paraId="487752E1"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24B36911" w14:textId="77777777" w:rsidR="00C2540A" w:rsidRPr="00B87CC5" w:rsidRDefault="00C2540A" w:rsidP="000559EB">
            <w:pPr>
              <w:pStyle w:val="TableTextbold"/>
            </w:pPr>
            <w:r w:rsidRPr="00B87CC5">
              <w:t>Other benefits </w:t>
            </w:r>
          </w:p>
        </w:tc>
        <w:tc>
          <w:tcPr>
            <w:tcW w:w="11030" w:type="dxa"/>
            <w:gridSpan w:val="3"/>
            <w:shd w:val="clear" w:color="auto" w:fill="FFFFFF" w:themeFill="background1"/>
          </w:tcPr>
          <w:p w14:paraId="11D27729" w14:textId="780DC488" w:rsidR="00C2540A" w:rsidRPr="00B87CC5" w:rsidRDefault="00C2540A">
            <w:pPr>
              <w:spacing w:before="0" w:after="0"/>
              <w:textAlignment w:val="baseline"/>
              <w:rPr>
                <w:rFonts w:eastAsiaTheme="majorEastAsia" w:cs="Calibri"/>
                <w:sz w:val="18"/>
                <w:szCs w:val="18"/>
              </w:rPr>
            </w:pPr>
            <w:r w:rsidRPr="00B87CC5">
              <w:rPr>
                <w:rFonts w:asciiTheme="minorHAnsi" w:hAnsiTheme="minorHAnsi"/>
                <w:sz w:val="18"/>
                <w:szCs w:val="18"/>
              </w:rPr>
              <w:t>N</w:t>
            </w:r>
            <w:r w:rsidR="00097B8E" w:rsidRPr="00B87CC5">
              <w:rPr>
                <w:rFonts w:asciiTheme="minorHAnsi" w:hAnsiTheme="minorHAnsi"/>
                <w:sz w:val="18"/>
                <w:szCs w:val="18"/>
              </w:rPr>
              <w:t>ot applicable</w:t>
            </w:r>
          </w:p>
        </w:tc>
      </w:tr>
      <w:tr w:rsidR="00851655" w:rsidRPr="00B87CC5" w14:paraId="0A3A5581" w14:textId="77777777" w:rsidTr="0464AED2">
        <w:trPr>
          <w:trHeight w:val="300"/>
        </w:trPr>
        <w:tc>
          <w:tcPr>
            <w:tcW w:w="1596" w:type="dxa"/>
            <w:vMerge/>
          </w:tcPr>
          <w:p w14:paraId="69DE09FD"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vAlign w:val="center"/>
          </w:tcPr>
          <w:p w14:paraId="06320CF3" w14:textId="29B11E3A" w:rsidR="00C2540A" w:rsidRPr="00B87CC5" w:rsidRDefault="00C2540A" w:rsidP="000559EB">
            <w:pPr>
              <w:pStyle w:val="TableTextbold"/>
            </w:pPr>
            <w:r w:rsidRPr="00B87CC5">
              <w:t xml:space="preserve">Why this </w:t>
            </w:r>
            <w:r w:rsidR="00F637B1" w:rsidRPr="00B87CC5">
              <w:t xml:space="preserve">is </w:t>
            </w:r>
            <w:r w:rsidRPr="00B87CC5">
              <w:t xml:space="preserve">complementary to the </w:t>
            </w:r>
            <w:r w:rsidR="00F637B1" w:rsidRPr="00B87CC5">
              <w:t xml:space="preserve">NZ </w:t>
            </w:r>
            <w:r w:rsidRPr="00B87CC5">
              <w:t>ETS</w:t>
            </w:r>
          </w:p>
        </w:tc>
        <w:tc>
          <w:tcPr>
            <w:tcW w:w="11030" w:type="dxa"/>
            <w:gridSpan w:val="3"/>
            <w:shd w:val="clear" w:color="auto" w:fill="FFFFFF" w:themeFill="background1"/>
          </w:tcPr>
          <w:p w14:paraId="4927782E" w14:textId="01E9D808" w:rsidR="00C2540A" w:rsidRPr="00B87CC5" w:rsidRDefault="00C2540A" w:rsidP="00C63531">
            <w:pPr>
              <w:pStyle w:val="TableBullet"/>
            </w:pPr>
            <w:r w:rsidRPr="00B87CC5">
              <w:t>These options are aimed at international cooperation for hard-to-abate sectors to provide supply of alternat</w:t>
            </w:r>
            <w:r w:rsidR="003E2CB1" w:rsidRPr="00B87CC5">
              <w:t>iv</w:t>
            </w:r>
            <w:r w:rsidRPr="00B87CC5">
              <w:t>e low</w:t>
            </w:r>
            <w:r w:rsidR="003E2CB1" w:rsidRPr="00B87CC5">
              <w:t>-</w:t>
            </w:r>
            <w:r w:rsidRPr="00B87CC5">
              <w:t>emission</w:t>
            </w:r>
            <w:r w:rsidR="003E2CB1" w:rsidRPr="00B87CC5">
              <w:t>s</w:t>
            </w:r>
            <w:r w:rsidRPr="00B87CC5">
              <w:t xml:space="preserve"> fuel sources. However, as transport is covered by the</w:t>
            </w:r>
            <w:r w:rsidR="003E2CB1" w:rsidRPr="00B87CC5">
              <w:t xml:space="preserve"> NZ</w:t>
            </w:r>
            <w:r w:rsidRPr="00B87CC5">
              <w:t xml:space="preserve"> ETS</w:t>
            </w:r>
            <w:r w:rsidR="003E2CB1" w:rsidRPr="00B87CC5">
              <w:t>,</w:t>
            </w:r>
            <w:r w:rsidRPr="00B87CC5" w:rsidDel="003E2CB1">
              <w:t xml:space="preserve"> </w:t>
            </w:r>
            <w:r w:rsidRPr="00B87CC5">
              <w:t>the waterbed effect may apply</w:t>
            </w:r>
            <w:r w:rsidR="003E2CB1" w:rsidRPr="00B87CC5">
              <w:t>,</w:t>
            </w:r>
            <w:r w:rsidRPr="00B87CC5">
              <w:t xml:space="preserve"> resulting in no impact on net emissions.</w:t>
            </w:r>
          </w:p>
        </w:tc>
      </w:tr>
      <w:tr w:rsidR="00851655" w:rsidRPr="00B87CC5" w14:paraId="5B06D52C" w14:textId="77777777" w:rsidTr="00800762">
        <w:trPr>
          <w:trHeight w:val="300"/>
        </w:trPr>
        <w:tc>
          <w:tcPr>
            <w:tcW w:w="1596" w:type="dxa"/>
            <w:vMerge w:val="restart"/>
            <w:shd w:val="clear" w:color="auto" w:fill="D2DDE1" w:themeFill="background2"/>
          </w:tcPr>
          <w:p w14:paraId="7AEEF2B4" w14:textId="77777777" w:rsidR="00C2540A" w:rsidRPr="00C63308" w:rsidRDefault="00C2540A" w:rsidP="000559EB">
            <w:pPr>
              <w:pStyle w:val="TableTextbold"/>
            </w:pPr>
            <w:r w:rsidRPr="00C63308">
              <w:t>Transport</w:t>
            </w:r>
          </w:p>
          <w:p w14:paraId="60F9B197" w14:textId="031169C6" w:rsidR="00C2540A" w:rsidRPr="00B87CC5" w:rsidRDefault="00C2540A" w:rsidP="000559EB">
            <w:pPr>
              <w:pStyle w:val="TableText"/>
            </w:pPr>
            <w:r w:rsidRPr="00B87CC5">
              <w:t xml:space="preserve">Public </w:t>
            </w:r>
            <w:r w:rsidR="00F637B1" w:rsidRPr="00B87CC5">
              <w:t>t</w:t>
            </w:r>
            <w:r w:rsidRPr="00B87CC5">
              <w:t>ransport</w:t>
            </w:r>
          </w:p>
        </w:tc>
        <w:tc>
          <w:tcPr>
            <w:tcW w:w="3155" w:type="dxa"/>
            <w:gridSpan w:val="3"/>
            <w:shd w:val="clear" w:color="auto" w:fill="FFFFFF" w:themeFill="background1"/>
          </w:tcPr>
          <w:p w14:paraId="661ECB84" w14:textId="77777777" w:rsidR="00C2540A" w:rsidRPr="00B87CC5" w:rsidRDefault="00C2540A">
            <w:pPr>
              <w:spacing w:before="0" w:after="0" w:line="240" w:lineRule="auto"/>
              <w:jc w:val="left"/>
              <w:textAlignment w:val="baseline"/>
              <w:rPr>
                <w:rFonts w:eastAsia="Times New Roman" w:cs="Calibri"/>
                <w:i/>
                <w:iCs/>
                <w:sz w:val="18"/>
                <w:szCs w:val="18"/>
              </w:rPr>
            </w:pPr>
            <w:r w:rsidRPr="00B87CC5">
              <w:rPr>
                <w:rFonts w:eastAsia="Times New Roman" w:cs="Calibri"/>
                <w:i/>
                <w:iCs/>
                <w:sz w:val="18"/>
                <w:szCs w:val="18"/>
              </w:rPr>
              <w:t>If we do the following now:</w:t>
            </w:r>
          </w:p>
          <w:p w14:paraId="467262BD" w14:textId="4E13939E" w:rsidR="00C2540A" w:rsidRPr="00B87CC5" w:rsidRDefault="0087081E" w:rsidP="000559EB">
            <w:pPr>
              <w:pStyle w:val="TableBullet"/>
              <w:spacing w:after="40"/>
            </w:pPr>
            <w:r w:rsidRPr="00B87CC5">
              <w:t>p</w:t>
            </w:r>
            <w:r w:rsidR="00C2540A" w:rsidRPr="00B87CC5">
              <w:t>rogress the following major public transport projects:</w:t>
            </w:r>
          </w:p>
          <w:p w14:paraId="2D42DA0F" w14:textId="77777777" w:rsidR="00C2540A" w:rsidRPr="00B87CC5" w:rsidRDefault="00C2540A" w:rsidP="000559EB">
            <w:pPr>
              <w:pStyle w:val="TableDash"/>
              <w:spacing w:after="40"/>
            </w:pPr>
            <w:r w:rsidRPr="00B87CC5">
              <w:t>Auckland City Rail Link</w:t>
            </w:r>
          </w:p>
          <w:p w14:paraId="78B42C6A" w14:textId="77777777" w:rsidR="00C2540A" w:rsidRPr="00B87CC5" w:rsidRDefault="00C2540A" w:rsidP="000559EB">
            <w:pPr>
              <w:pStyle w:val="TableDash"/>
              <w:spacing w:after="40"/>
            </w:pPr>
            <w:r w:rsidRPr="00B87CC5">
              <w:t>Eastern Busway</w:t>
            </w:r>
          </w:p>
          <w:p w14:paraId="3318DCD7" w14:textId="52C88CA0" w:rsidR="00C2540A" w:rsidRPr="00B87CC5" w:rsidRDefault="00C2540A" w:rsidP="000559EB">
            <w:pPr>
              <w:pStyle w:val="TableDash"/>
              <w:spacing w:after="40"/>
            </w:pPr>
            <w:r w:rsidRPr="00B87CC5">
              <w:t xml:space="preserve">Northwest </w:t>
            </w:r>
            <w:r w:rsidR="0087081E" w:rsidRPr="00B87CC5">
              <w:t>R</w:t>
            </w:r>
            <w:r w:rsidRPr="00B87CC5">
              <w:t xml:space="preserve">apid </w:t>
            </w:r>
            <w:r w:rsidR="0087081E" w:rsidRPr="00B87CC5">
              <w:t>T</w:t>
            </w:r>
            <w:r w:rsidRPr="00B87CC5">
              <w:t>ransit</w:t>
            </w:r>
          </w:p>
          <w:p w14:paraId="5BDCE12C" w14:textId="77777777" w:rsidR="00C2540A" w:rsidRPr="00B87CC5" w:rsidRDefault="00C2540A" w:rsidP="000559EB">
            <w:pPr>
              <w:pStyle w:val="TableDash"/>
              <w:spacing w:after="40"/>
            </w:pPr>
            <w:r w:rsidRPr="00B87CC5">
              <w:t xml:space="preserve">Airport to Botany busway </w:t>
            </w:r>
          </w:p>
          <w:p w14:paraId="43B7303F" w14:textId="72C7B6A1" w:rsidR="00C2540A" w:rsidRPr="00B87CC5" w:rsidRDefault="00C2540A" w:rsidP="000559EB">
            <w:pPr>
              <w:pStyle w:val="TableDash"/>
              <w:spacing w:after="40"/>
            </w:pPr>
            <w:r w:rsidRPr="00B87CC5">
              <w:t>rail upgrades in the lower North Island</w:t>
            </w:r>
          </w:p>
          <w:p w14:paraId="65C2C3DD" w14:textId="0B288CE4" w:rsidR="00C2540A" w:rsidRPr="00B87CC5" w:rsidRDefault="00C2540A" w:rsidP="000559EB">
            <w:pPr>
              <w:pStyle w:val="TableBullet"/>
            </w:pPr>
            <w:r w:rsidRPr="00B87CC5">
              <w:t xml:space="preserve">explore options for public transport fleets </w:t>
            </w:r>
            <w:r w:rsidR="00864D9A" w:rsidRPr="00B87CC5">
              <w:t xml:space="preserve">(buses, trains, ferries) </w:t>
            </w:r>
            <w:r w:rsidRPr="00B87CC5">
              <w:t>to run on renewable electricity or hydrogen, particularly as these technologies become more available</w:t>
            </w:r>
          </w:p>
          <w:p w14:paraId="7BE0F376" w14:textId="77777777" w:rsidR="00C2540A" w:rsidRPr="00B87CC5" w:rsidRDefault="00C2540A" w:rsidP="00C63531">
            <w:pPr>
              <w:pStyle w:val="TableBullet"/>
            </w:pPr>
            <w:r w:rsidRPr="00B87CC5">
              <w:t>make better use of existing public transport infrastructure</w:t>
            </w:r>
          </w:p>
          <w:p w14:paraId="7FE8F192" w14:textId="77777777" w:rsidR="00C2540A" w:rsidRPr="00B87CC5" w:rsidRDefault="00C2540A" w:rsidP="00C63531">
            <w:pPr>
              <w:pStyle w:val="TableBullet"/>
            </w:pPr>
            <w:r w:rsidRPr="00B87CC5">
              <w:t xml:space="preserve">introduce new technologies to optimise public transport networks </w:t>
            </w:r>
          </w:p>
          <w:p w14:paraId="26886A0C" w14:textId="57AC656A" w:rsidR="00C2540A" w:rsidRPr="00B87CC5" w:rsidRDefault="00C2540A" w:rsidP="00C63531">
            <w:pPr>
              <w:pStyle w:val="TableBullet"/>
              <w:rPr>
                <w:rFonts w:eastAsiaTheme="majorEastAsia" w:cs="Calibri"/>
                <w:b/>
                <w:bCs/>
                <w:sz w:val="20"/>
              </w:rPr>
            </w:pPr>
            <w:r w:rsidRPr="00B87CC5">
              <w:t>ensure transport investment is integrated with housing and land</w:t>
            </w:r>
            <w:r w:rsidR="0087081E" w:rsidRPr="00B87CC5">
              <w:t>-</w:t>
            </w:r>
            <w:r w:rsidRPr="00B87CC5">
              <w:t>use planning</w:t>
            </w:r>
          </w:p>
        </w:tc>
        <w:tc>
          <w:tcPr>
            <w:tcW w:w="4180" w:type="dxa"/>
            <w:shd w:val="clear" w:color="auto" w:fill="FFFFFF" w:themeFill="background1"/>
          </w:tcPr>
          <w:p w14:paraId="5A591983" w14:textId="0BBB81F5" w:rsidR="00C2540A" w:rsidRPr="00B87CC5" w:rsidRDefault="0087081E">
            <w:pPr>
              <w:spacing w:before="0" w:after="0" w:line="240" w:lineRule="auto"/>
              <w:jc w:val="left"/>
              <w:textAlignment w:val="baseline"/>
              <w:rPr>
                <w:rFonts w:eastAsia="Times New Roman" w:cs="Calibri"/>
                <w:i/>
                <w:sz w:val="18"/>
                <w:szCs w:val="18"/>
              </w:rPr>
            </w:pPr>
            <w:r w:rsidRPr="00B87CC5">
              <w:rPr>
                <w:rFonts w:cs="Calibri"/>
                <w:i/>
                <w:sz w:val="18"/>
                <w:szCs w:val="18"/>
              </w:rPr>
              <w:t>… b</w:t>
            </w:r>
            <w:r w:rsidR="00C2540A" w:rsidRPr="00B87CC5">
              <w:rPr>
                <w:rFonts w:cs="Calibri"/>
                <w:i/>
                <w:sz w:val="18"/>
                <w:szCs w:val="18"/>
              </w:rPr>
              <w:t>y 2030 we can expect</w:t>
            </w:r>
            <w:r w:rsidR="00C2540A" w:rsidRPr="00B87CC5">
              <w:rPr>
                <w:rFonts w:eastAsia="Times New Roman" w:cs="Calibri"/>
                <w:i/>
                <w:sz w:val="18"/>
                <w:szCs w:val="18"/>
              </w:rPr>
              <w:t>:</w:t>
            </w:r>
          </w:p>
          <w:p w14:paraId="2734978D" w14:textId="33C2DCB0" w:rsidR="00C2540A" w:rsidRPr="00B87CC5" w:rsidRDefault="0087081E" w:rsidP="00C63531">
            <w:pPr>
              <w:pStyle w:val="TableBullet"/>
            </w:pPr>
            <w:r w:rsidRPr="00B87CC5">
              <w:t>c</w:t>
            </w:r>
            <w:r w:rsidR="00C2540A" w:rsidRPr="00B87CC5">
              <w:t xml:space="preserve">ompletion of some </w:t>
            </w:r>
            <w:r w:rsidRPr="00B87CC5">
              <w:t xml:space="preserve">of these public transport projects </w:t>
            </w:r>
            <w:r w:rsidR="00C2540A" w:rsidRPr="00B87CC5">
              <w:t>and substantial progress on planning and delivering the remainder of the</w:t>
            </w:r>
            <w:r w:rsidRPr="00B87CC5">
              <w:t>m</w:t>
            </w:r>
          </w:p>
          <w:p w14:paraId="27A6B159" w14:textId="55990E19" w:rsidR="00C2540A" w:rsidRPr="00B87CC5" w:rsidRDefault="0087081E" w:rsidP="00C63531">
            <w:pPr>
              <w:pStyle w:val="TableBullet"/>
            </w:pPr>
            <w:r w:rsidRPr="00B87CC5">
              <w:t>c</w:t>
            </w:r>
            <w:r w:rsidR="00C2540A" w:rsidRPr="00B87CC5">
              <w:t xml:space="preserve">orresponding increases in public transport patronage </w:t>
            </w:r>
          </w:p>
          <w:p w14:paraId="40EE74DB" w14:textId="6BBEBDD4" w:rsidR="00C2540A" w:rsidRPr="00B87CC5" w:rsidRDefault="0087081E" w:rsidP="00C63531">
            <w:pPr>
              <w:pStyle w:val="TableBullet"/>
            </w:pPr>
            <w:r w:rsidRPr="00B87CC5">
              <w:t>m</w:t>
            </w:r>
            <w:r w:rsidR="00C2540A" w:rsidRPr="00B87CC5">
              <w:t>ore efficient use of existing transport infrastructure in Auckland and Wellington</w:t>
            </w:r>
          </w:p>
          <w:p w14:paraId="1705C104" w14:textId="0C80707E" w:rsidR="00C2540A" w:rsidRPr="00B87CC5" w:rsidRDefault="00064961" w:rsidP="00C63531">
            <w:pPr>
              <w:pStyle w:val="TableBullet"/>
            </w:pPr>
            <w:r w:rsidRPr="00B87CC5">
              <w:t>e</w:t>
            </w:r>
            <w:r w:rsidR="00C2540A" w:rsidRPr="00B87CC5">
              <w:t>xisting public transport in major centres to be more optimised and more likely to run on lower</w:t>
            </w:r>
            <w:r w:rsidR="00097B8E" w:rsidRPr="00B87CC5">
              <w:t>-</w:t>
            </w:r>
            <w:r w:rsidR="00C2540A" w:rsidRPr="00B87CC5">
              <w:t xml:space="preserve"> or zero</w:t>
            </w:r>
            <w:r w:rsidR="00097B8E" w:rsidRPr="00B87CC5">
              <w:t>-</w:t>
            </w:r>
            <w:r w:rsidR="00C2540A" w:rsidRPr="00B87CC5">
              <w:t>emissions fuels</w:t>
            </w:r>
          </w:p>
          <w:p w14:paraId="52CA668E" w14:textId="36683E6E" w:rsidR="00C2540A" w:rsidRPr="00B87CC5" w:rsidRDefault="0087081E">
            <w:pPr>
              <w:spacing w:before="0" w:after="0"/>
              <w:jc w:val="left"/>
              <w:rPr>
                <w:rFonts w:cs="Calibri"/>
                <w:i/>
                <w:sz w:val="18"/>
                <w:szCs w:val="18"/>
              </w:rPr>
            </w:pPr>
            <w:r w:rsidRPr="00B87CC5">
              <w:rPr>
                <w:rFonts w:cs="Calibri"/>
                <w:i/>
                <w:sz w:val="18"/>
                <w:szCs w:val="18"/>
              </w:rPr>
              <w:t>… and b</w:t>
            </w:r>
            <w:r w:rsidR="00C2540A" w:rsidRPr="00B87CC5">
              <w:rPr>
                <w:rFonts w:cs="Calibri"/>
                <w:i/>
                <w:sz w:val="18"/>
                <w:szCs w:val="18"/>
              </w:rPr>
              <w:t>y 2050 we can expect:</w:t>
            </w:r>
          </w:p>
          <w:p w14:paraId="39CD46F4" w14:textId="408B8813" w:rsidR="00C2540A" w:rsidRPr="00B87CC5" w:rsidRDefault="00064961" w:rsidP="00C63531">
            <w:pPr>
              <w:pStyle w:val="TableBullet"/>
              <w:rPr>
                <w:rFonts w:cstheme="minorHAnsi"/>
              </w:rPr>
            </w:pPr>
            <w:r w:rsidRPr="00B87CC5">
              <w:t>c</w:t>
            </w:r>
            <w:r w:rsidR="00C2540A" w:rsidRPr="00B87CC5">
              <w:t>ompletion of remaining major public transport projects listed and improved optimisation of public transport services</w:t>
            </w:r>
          </w:p>
          <w:p w14:paraId="1327D1AA" w14:textId="63E548C4" w:rsidR="00C2540A" w:rsidRPr="00B87CC5" w:rsidRDefault="00064961" w:rsidP="00C63531">
            <w:pPr>
              <w:pStyle w:val="TableBullet"/>
              <w:rPr>
                <w:rFonts w:eastAsiaTheme="majorEastAsia" w:cs="Calibri"/>
                <w:sz w:val="20"/>
              </w:rPr>
            </w:pPr>
            <w:r w:rsidRPr="00B87CC5">
              <w:t>m</w:t>
            </w:r>
            <w:r w:rsidR="00C2540A" w:rsidRPr="00B87CC5">
              <w:t>ore zero</w:t>
            </w:r>
            <w:r w:rsidRPr="00B87CC5">
              <w:t>-</w:t>
            </w:r>
            <w:r w:rsidR="00C2540A" w:rsidRPr="00B87CC5">
              <w:t>emissions public transport</w:t>
            </w:r>
          </w:p>
        </w:tc>
        <w:tc>
          <w:tcPr>
            <w:tcW w:w="5528" w:type="dxa"/>
            <w:shd w:val="clear" w:color="auto" w:fill="FFFFFF" w:themeFill="background1"/>
          </w:tcPr>
          <w:p w14:paraId="79A3241F" w14:textId="6E257D83" w:rsidR="00C2540A" w:rsidRPr="00B87CC5" w:rsidRDefault="0087081E">
            <w:pPr>
              <w:spacing w:before="0" w:after="0" w:line="240" w:lineRule="auto"/>
              <w:jc w:val="left"/>
              <w:textAlignment w:val="baseline"/>
              <w:rPr>
                <w:rFonts w:eastAsia="Times New Roman" w:cs="Calibri"/>
                <w:i/>
                <w:sz w:val="18"/>
                <w:szCs w:val="18"/>
              </w:rPr>
            </w:pPr>
            <w:r w:rsidRPr="00B87CC5">
              <w:rPr>
                <w:rFonts w:cs="Calibri"/>
                <w:i/>
                <w:sz w:val="18"/>
                <w:szCs w:val="18"/>
              </w:rPr>
              <w:t>… and then in the second emissions budget,</w:t>
            </w:r>
            <w:r w:rsidR="00C2540A" w:rsidRPr="00B87CC5">
              <w:rPr>
                <w:rFonts w:cs="Calibri"/>
                <w:i/>
                <w:sz w:val="18"/>
                <w:szCs w:val="18"/>
              </w:rPr>
              <w:t xml:space="preserve"> this will lead to</w:t>
            </w:r>
            <w:r w:rsidR="00C2540A" w:rsidRPr="00B87CC5">
              <w:rPr>
                <w:rFonts w:eastAsia="Times New Roman" w:cs="Calibri"/>
                <w:i/>
                <w:sz w:val="18"/>
                <w:szCs w:val="18"/>
              </w:rPr>
              <w:t>:</w:t>
            </w:r>
          </w:p>
          <w:p w14:paraId="02ADB067" w14:textId="1616859C" w:rsidR="00C2540A" w:rsidRPr="00B87CC5" w:rsidRDefault="0087081E" w:rsidP="00C63531">
            <w:pPr>
              <w:pStyle w:val="TableBullet"/>
            </w:pPr>
            <w:r w:rsidRPr="00B87CC5">
              <w:t>r</w:t>
            </w:r>
            <w:r w:rsidR="00C2540A" w:rsidRPr="00B87CC5">
              <w:t>eductions in transport emissions to the extent that zero</w:t>
            </w:r>
            <w:r w:rsidR="00064961" w:rsidRPr="00B87CC5">
              <w:t>-</w:t>
            </w:r>
            <w:r w:rsidR="00C2540A" w:rsidRPr="00B87CC5">
              <w:t>emissions public transport displaces private transport</w:t>
            </w:r>
          </w:p>
          <w:p w14:paraId="5C550BB3" w14:textId="0818D10C" w:rsidR="00C2540A" w:rsidRPr="00B87CC5" w:rsidRDefault="0087081E">
            <w:pPr>
              <w:pStyle w:val="Bullet"/>
              <w:numPr>
                <w:ilvl w:val="0"/>
                <w:numId w:val="0"/>
              </w:numPr>
              <w:spacing w:after="0"/>
              <w:rPr>
                <w:rFonts w:cs="Calibri"/>
                <w:i/>
                <w:sz w:val="18"/>
                <w:szCs w:val="18"/>
              </w:rPr>
            </w:pPr>
            <w:r w:rsidRPr="00B87CC5">
              <w:rPr>
                <w:rFonts w:cs="Calibri"/>
                <w:i/>
                <w:iCs/>
                <w:sz w:val="18"/>
                <w:szCs w:val="18"/>
              </w:rPr>
              <w:t>… and then in</w:t>
            </w:r>
            <w:r w:rsidR="00C2540A" w:rsidRPr="00B87CC5" w:rsidDel="0087081E">
              <w:rPr>
                <w:rFonts w:cs="Calibri"/>
                <w:i/>
                <w:iCs/>
                <w:sz w:val="18"/>
                <w:szCs w:val="18"/>
              </w:rPr>
              <w:t xml:space="preserve"> </w:t>
            </w:r>
            <w:r w:rsidR="00C2540A" w:rsidRPr="00B87CC5">
              <w:rPr>
                <w:rFonts w:cs="Calibri"/>
                <w:i/>
                <w:iCs/>
                <w:sz w:val="18"/>
                <w:szCs w:val="18"/>
              </w:rPr>
              <w:t>future emissions budgets</w:t>
            </w:r>
            <w:r w:rsidRPr="00B87CC5">
              <w:rPr>
                <w:rFonts w:cs="Calibri"/>
                <w:i/>
                <w:iCs/>
                <w:sz w:val="18"/>
                <w:szCs w:val="18"/>
              </w:rPr>
              <w:t>,</w:t>
            </w:r>
            <w:r w:rsidR="00C2540A" w:rsidRPr="00B87CC5">
              <w:rPr>
                <w:rFonts w:cs="Calibri"/>
                <w:i/>
                <w:iCs/>
                <w:sz w:val="18"/>
                <w:szCs w:val="18"/>
              </w:rPr>
              <w:t xml:space="preserve"> this will lead to:</w:t>
            </w:r>
          </w:p>
          <w:p w14:paraId="45AEB948" w14:textId="3084BCE7" w:rsidR="00C2540A" w:rsidRPr="00B87CC5" w:rsidRDefault="00064961" w:rsidP="00C63531">
            <w:pPr>
              <w:pStyle w:val="TableBullet"/>
              <w:rPr>
                <w:rFonts w:cs="Times New Roman"/>
                <w:szCs w:val="18"/>
              </w:rPr>
            </w:pPr>
            <w:r w:rsidRPr="00B87CC5">
              <w:t>u</w:t>
            </w:r>
            <w:r w:rsidR="00C2540A" w:rsidRPr="00B87CC5">
              <w:t xml:space="preserve">ncertain impact – once public transport services reach capacity, there is a limit to </w:t>
            </w:r>
            <w:r w:rsidRPr="00B87CC5">
              <w:t xml:space="preserve">their </w:t>
            </w:r>
            <w:r w:rsidR="00C2540A" w:rsidRPr="00B87CC5">
              <w:t>capacity to displace private transport.</w:t>
            </w:r>
          </w:p>
        </w:tc>
      </w:tr>
      <w:tr w:rsidR="00851655" w:rsidRPr="00B87CC5" w14:paraId="678F280F" w14:textId="77777777" w:rsidTr="0464AED2">
        <w:trPr>
          <w:trHeight w:val="300"/>
        </w:trPr>
        <w:tc>
          <w:tcPr>
            <w:tcW w:w="1596" w:type="dxa"/>
            <w:vMerge/>
          </w:tcPr>
          <w:p w14:paraId="302CE6E8"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45A317AA" w14:textId="6F4FAFD3" w:rsidR="00C2540A" w:rsidRPr="00B87CC5" w:rsidRDefault="00C2540A" w:rsidP="000559EB">
            <w:pPr>
              <w:pStyle w:val="TableTextbold"/>
              <w:spacing w:before="40" w:after="40"/>
              <w:rPr>
                <w:szCs w:val="18"/>
              </w:rPr>
            </w:pPr>
            <w:r w:rsidRPr="00B87CC5">
              <w:t xml:space="preserve">Assumptions and </w:t>
            </w:r>
            <w:r w:rsidR="00064961" w:rsidRPr="00B87CC5">
              <w:t>d</w:t>
            </w:r>
            <w:r w:rsidRPr="00B87CC5">
              <w:t>ependencies </w:t>
            </w:r>
          </w:p>
        </w:tc>
        <w:tc>
          <w:tcPr>
            <w:tcW w:w="11030" w:type="dxa"/>
            <w:gridSpan w:val="3"/>
            <w:shd w:val="clear" w:color="auto" w:fill="FFFFFF" w:themeFill="background1"/>
          </w:tcPr>
          <w:p w14:paraId="1CCFB63E" w14:textId="3D5B1C1B" w:rsidR="00C2540A" w:rsidRPr="00B87CC5" w:rsidRDefault="00C2540A" w:rsidP="00C63531">
            <w:pPr>
              <w:pStyle w:val="TableBullet"/>
            </w:pPr>
            <w:r w:rsidRPr="00B87CC5">
              <w:t>Delivery of these projects is dependent on funding, availability of</w:t>
            </w:r>
            <w:r w:rsidR="00064961" w:rsidRPr="00B87CC5">
              <w:t xml:space="preserve"> a</w:t>
            </w:r>
            <w:r w:rsidRPr="00B87CC5">
              <w:t xml:space="preserve"> qualified workforce and infrastructure maintenance. </w:t>
            </w:r>
          </w:p>
        </w:tc>
      </w:tr>
      <w:tr w:rsidR="00851655" w:rsidRPr="00B87CC5" w14:paraId="0A323D99" w14:textId="77777777" w:rsidTr="0464AED2">
        <w:trPr>
          <w:trHeight w:val="300"/>
        </w:trPr>
        <w:tc>
          <w:tcPr>
            <w:tcW w:w="1596" w:type="dxa"/>
            <w:vMerge/>
          </w:tcPr>
          <w:p w14:paraId="7A00C8D9"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0B262146" w14:textId="77777777" w:rsidR="00C2540A" w:rsidRPr="00B87CC5" w:rsidRDefault="00C2540A" w:rsidP="000559EB">
            <w:pPr>
              <w:pStyle w:val="TableTextbold"/>
              <w:spacing w:before="40" w:after="40"/>
            </w:pPr>
            <w:r w:rsidRPr="00B87CC5">
              <w:t>Other benefits </w:t>
            </w:r>
          </w:p>
        </w:tc>
        <w:tc>
          <w:tcPr>
            <w:tcW w:w="11030" w:type="dxa"/>
            <w:gridSpan w:val="3"/>
            <w:shd w:val="clear" w:color="auto" w:fill="FFFFFF" w:themeFill="background1"/>
          </w:tcPr>
          <w:p w14:paraId="50D73865" w14:textId="57464874" w:rsidR="00C2540A" w:rsidRPr="00B87CC5" w:rsidRDefault="00C2540A" w:rsidP="000559EB">
            <w:pPr>
              <w:pStyle w:val="TableBullet"/>
              <w:spacing w:after="40"/>
            </w:pPr>
            <w:r w:rsidRPr="00B87CC5">
              <w:t xml:space="preserve">Public transport improves access to social and economic opportunities for households. Depending on the quality and cost of </w:t>
            </w:r>
            <w:r w:rsidR="00D1322C" w:rsidRPr="00B87CC5">
              <w:t>public transport</w:t>
            </w:r>
            <w:r w:rsidRPr="00B87CC5">
              <w:t>, services may reduce transport disadvantage (</w:t>
            </w:r>
            <w:proofErr w:type="spellStart"/>
            <w:r w:rsidRPr="00B87CC5">
              <w:t>eg</w:t>
            </w:r>
            <w:proofErr w:type="spellEnd"/>
            <w:r w:rsidRPr="00B87CC5">
              <w:t xml:space="preserve">, for those who cannot drive). </w:t>
            </w:r>
          </w:p>
          <w:p w14:paraId="6B9B5CD8" w14:textId="69013FC5" w:rsidR="00C2540A" w:rsidRPr="00B87CC5" w:rsidRDefault="00C2540A" w:rsidP="000559EB">
            <w:pPr>
              <w:pStyle w:val="TableBullet"/>
              <w:spacing w:after="40"/>
            </w:pPr>
            <w:r w:rsidRPr="00B87CC5">
              <w:t xml:space="preserve">Public transport can have co-benefits </w:t>
            </w:r>
            <w:r w:rsidR="00D1322C" w:rsidRPr="00B87CC5">
              <w:t xml:space="preserve">in </w:t>
            </w:r>
            <w:r w:rsidRPr="00B87CC5">
              <w:t xml:space="preserve">reducing air pollution and road congestion on the transport network, which has a corresponding economic benefit related to health and productivity. </w:t>
            </w:r>
            <w:r w:rsidR="0053715B" w:rsidRPr="00B87CC5">
              <w:t>Where m</w:t>
            </w:r>
            <w:r w:rsidRPr="00B87CC5">
              <w:t>ore people us</w:t>
            </w:r>
            <w:r w:rsidR="0053715B" w:rsidRPr="00B87CC5">
              <w:t>e</w:t>
            </w:r>
            <w:r w:rsidRPr="00B87CC5">
              <w:t xml:space="preserve"> public transport</w:t>
            </w:r>
            <w:r w:rsidR="0053715B" w:rsidRPr="00B87CC5">
              <w:t xml:space="preserve">, </w:t>
            </w:r>
            <w:r w:rsidRPr="00B87CC5">
              <w:t xml:space="preserve">greater optimisation and efficiency gains </w:t>
            </w:r>
            <w:r w:rsidR="0053715B" w:rsidRPr="00B87CC5">
              <w:t>can</w:t>
            </w:r>
            <w:r w:rsidRPr="00B87CC5">
              <w:t xml:space="preserve"> be generated from past investments.</w:t>
            </w:r>
          </w:p>
          <w:p w14:paraId="4245C8B9" w14:textId="77777777" w:rsidR="00C2540A" w:rsidRPr="00B87CC5" w:rsidRDefault="00C2540A" w:rsidP="00C63531">
            <w:pPr>
              <w:pStyle w:val="TableBullet"/>
              <w:rPr>
                <w:rFonts w:asciiTheme="minorHAnsi" w:hAnsiTheme="minorHAnsi" w:cstheme="minorHAnsi"/>
                <w:szCs w:val="18"/>
              </w:rPr>
            </w:pPr>
            <w:r w:rsidRPr="00B87CC5">
              <w:t>The decarbonisation of the public transport fleet will support greater operational efficiency of the public transport fleet and could enhance national energy resilience to rising oil prices.</w:t>
            </w:r>
          </w:p>
        </w:tc>
      </w:tr>
      <w:tr w:rsidR="00851655" w:rsidRPr="00B87CC5" w14:paraId="11F4F20B" w14:textId="77777777" w:rsidTr="0464AED2">
        <w:trPr>
          <w:trHeight w:val="300"/>
        </w:trPr>
        <w:tc>
          <w:tcPr>
            <w:tcW w:w="1596" w:type="dxa"/>
            <w:vMerge/>
          </w:tcPr>
          <w:p w14:paraId="4471C8A2"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vAlign w:val="center"/>
          </w:tcPr>
          <w:p w14:paraId="5C2AD594" w14:textId="3905F2AC" w:rsidR="00C2540A" w:rsidRPr="00B87CC5" w:rsidRDefault="00C2540A" w:rsidP="000559EB">
            <w:pPr>
              <w:pStyle w:val="TableTextbold"/>
              <w:spacing w:before="40" w:after="40"/>
            </w:pPr>
            <w:r w:rsidRPr="00B87CC5">
              <w:t xml:space="preserve">Why this </w:t>
            </w:r>
            <w:r w:rsidR="00064961" w:rsidRPr="00B87CC5">
              <w:t xml:space="preserve">is </w:t>
            </w:r>
            <w:r w:rsidRPr="00B87CC5">
              <w:t>complementary to the NZ ETS</w:t>
            </w:r>
          </w:p>
        </w:tc>
        <w:tc>
          <w:tcPr>
            <w:tcW w:w="11030" w:type="dxa"/>
            <w:gridSpan w:val="3"/>
            <w:shd w:val="clear" w:color="auto" w:fill="FFFFFF" w:themeFill="background1"/>
          </w:tcPr>
          <w:p w14:paraId="725069BA" w14:textId="2D3455EB" w:rsidR="00C2540A" w:rsidRPr="00B87CC5" w:rsidRDefault="00C2540A" w:rsidP="00C63531">
            <w:pPr>
              <w:pStyle w:val="TableBullet"/>
            </w:pPr>
            <w:r w:rsidRPr="00B87CC5">
              <w:t>These options are aimed at addressing non-price barriers to responding to NZ ETS price signals. However, as transport is covered by the</w:t>
            </w:r>
            <w:r w:rsidR="00D1322C" w:rsidRPr="00B87CC5">
              <w:t xml:space="preserve"> NZ</w:t>
            </w:r>
            <w:r w:rsidRPr="00B87CC5">
              <w:t xml:space="preserve"> ETS</w:t>
            </w:r>
            <w:r w:rsidR="00D1322C" w:rsidRPr="00B87CC5">
              <w:t>,</w:t>
            </w:r>
            <w:r w:rsidRPr="00B87CC5">
              <w:t xml:space="preserve"> the waterbed effect may apply</w:t>
            </w:r>
            <w:r w:rsidR="00D1322C" w:rsidRPr="00B87CC5">
              <w:t>,</w:t>
            </w:r>
            <w:r w:rsidRPr="00B87CC5">
              <w:t xml:space="preserve"> resulting in no impact on net emissions.</w:t>
            </w:r>
          </w:p>
        </w:tc>
      </w:tr>
      <w:tr w:rsidR="00851655" w:rsidRPr="00B87CC5" w14:paraId="5CCBDBF1" w14:textId="77777777" w:rsidTr="00800762">
        <w:trPr>
          <w:trHeight w:val="300"/>
        </w:trPr>
        <w:tc>
          <w:tcPr>
            <w:tcW w:w="1596" w:type="dxa"/>
            <w:vMerge w:val="restart"/>
            <w:shd w:val="clear" w:color="auto" w:fill="D5EBE8" w:themeFill="accent3"/>
          </w:tcPr>
          <w:p w14:paraId="7CF65201" w14:textId="77777777" w:rsidR="00C2540A" w:rsidRPr="00C63308" w:rsidRDefault="00C2540A" w:rsidP="000559EB">
            <w:pPr>
              <w:spacing w:before="40" w:after="0" w:line="240" w:lineRule="auto"/>
              <w:jc w:val="left"/>
              <w:textAlignment w:val="baseline"/>
              <w:rPr>
                <w:rFonts w:eastAsia="Times New Roman" w:cs="Calibri"/>
                <w:b/>
                <w:sz w:val="18"/>
                <w:szCs w:val="18"/>
              </w:rPr>
            </w:pPr>
            <w:r w:rsidRPr="00C63308">
              <w:rPr>
                <w:rFonts w:eastAsia="Times New Roman" w:cs="Calibri"/>
                <w:b/>
                <w:sz w:val="18"/>
                <w:szCs w:val="18"/>
              </w:rPr>
              <w:t>Agriculture</w:t>
            </w:r>
          </w:p>
          <w:p w14:paraId="10B4F18B" w14:textId="77777777" w:rsidR="00C2540A" w:rsidRPr="00B87CC5" w:rsidRDefault="00C2540A">
            <w:pPr>
              <w:spacing w:before="0" w:after="0" w:line="240" w:lineRule="auto"/>
              <w:jc w:val="left"/>
              <w:textAlignment w:val="baseline"/>
              <w:rPr>
                <w:rFonts w:eastAsia="Times New Roman" w:cs="Calibri"/>
                <w:b/>
                <w:bCs/>
                <w:i/>
                <w:iCs/>
                <w:sz w:val="18"/>
                <w:szCs w:val="18"/>
              </w:rPr>
            </w:pPr>
          </w:p>
          <w:p w14:paraId="08A31AAC" w14:textId="77777777" w:rsidR="00C2540A" w:rsidRPr="00B87CC5" w:rsidRDefault="00C2540A">
            <w:pPr>
              <w:spacing w:before="0" w:after="0" w:line="240" w:lineRule="auto"/>
              <w:jc w:val="left"/>
              <w:textAlignment w:val="baseline"/>
              <w:rPr>
                <w:rFonts w:eastAsia="Times New Roman" w:cs="Calibri"/>
                <w:b/>
                <w:bCs/>
                <w:sz w:val="18"/>
                <w:szCs w:val="18"/>
              </w:rPr>
            </w:pPr>
            <w:r w:rsidRPr="00B87CC5">
              <w:rPr>
                <w:sz w:val="18"/>
                <w:szCs w:val="18"/>
              </w:rPr>
              <w:t>Effective regulations for approving agricultural mitigation tools</w:t>
            </w:r>
          </w:p>
        </w:tc>
        <w:tc>
          <w:tcPr>
            <w:tcW w:w="3155" w:type="dxa"/>
            <w:gridSpan w:val="3"/>
            <w:shd w:val="clear" w:color="auto" w:fill="FFFFFF" w:themeFill="background1"/>
          </w:tcPr>
          <w:p w14:paraId="7442DC4C" w14:textId="77777777" w:rsidR="00C2540A" w:rsidRPr="00B87CC5" w:rsidRDefault="00C2540A">
            <w:pPr>
              <w:spacing w:before="0" w:after="0" w:line="240" w:lineRule="auto"/>
              <w:jc w:val="left"/>
              <w:textAlignment w:val="baseline"/>
              <w:rPr>
                <w:rFonts w:eastAsia="Times New Roman" w:cs="Calibri"/>
                <w:i/>
                <w:iCs/>
                <w:sz w:val="18"/>
                <w:szCs w:val="18"/>
              </w:rPr>
            </w:pPr>
            <w:r w:rsidRPr="00B87CC5">
              <w:rPr>
                <w:rFonts w:eastAsia="Times New Roman" w:cs="Calibri"/>
                <w:i/>
                <w:iCs/>
                <w:sz w:val="18"/>
                <w:szCs w:val="18"/>
              </w:rPr>
              <w:t>If we do the following now:</w:t>
            </w:r>
          </w:p>
          <w:p w14:paraId="440A4911" w14:textId="1047D552" w:rsidR="00C2540A" w:rsidRPr="00B87CC5" w:rsidRDefault="00300DE2" w:rsidP="00C63531">
            <w:pPr>
              <w:pStyle w:val="TableBullet"/>
            </w:pPr>
            <w:r w:rsidRPr="00B87CC5">
              <w:t>d</w:t>
            </w:r>
            <w:r w:rsidR="00C2540A" w:rsidRPr="00B87CC5">
              <w:t xml:space="preserve">evelop an action plan to ensure new technologies for reducing on-farm emissions are safely and efficiently processed through New Zealand’s </w:t>
            </w:r>
            <w:r w:rsidR="00073860" w:rsidRPr="00B87CC5">
              <w:t>i</w:t>
            </w:r>
            <w:r w:rsidR="00C2540A" w:rsidRPr="00B87CC5">
              <w:t xml:space="preserve">nhibitor </w:t>
            </w:r>
            <w:r w:rsidR="00073860" w:rsidRPr="00B87CC5">
              <w:t>r</w:t>
            </w:r>
            <w:r w:rsidR="00C2540A" w:rsidRPr="00B87CC5">
              <w:t xml:space="preserve">egulatory </w:t>
            </w:r>
            <w:r w:rsidR="00073860" w:rsidRPr="00B87CC5">
              <w:t>s</w:t>
            </w:r>
            <w:r w:rsidR="00C2540A" w:rsidRPr="00B87CC5">
              <w:t>ystems</w:t>
            </w:r>
          </w:p>
          <w:p w14:paraId="59A1FBF3" w14:textId="66209433" w:rsidR="00C2540A" w:rsidRPr="00B87CC5" w:rsidRDefault="00073860" w:rsidP="00C63531">
            <w:pPr>
              <w:pStyle w:val="TableBullet"/>
            </w:pPr>
            <w:r w:rsidRPr="00B87CC5">
              <w:t>a</w:t>
            </w:r>
            <w:r w:rsidR="00C2540A" w:rsidRPr="00B87CC5">
              <w:t xml:space="preserve">ssist technology groups to understand New Zealand’s regulatory requirements </w:t>
            </w:r>
            <w:proofErr w:type="gramStart"/>
            <w:r w:rsidR="00C2540A" w:rsidRPr="00B87CC5">
              <w:t>in order for</w:t>
            </w:r>
            <w:proofErr w:type="gramEnd"/>
            <w:r w:rsidR="00C2540A" w:rsidRPr="00B87CC5">
              <w:t xml:space="preserve"> the technology to be used in New Zealand farms and counted towards our targets</w:t>
            </w:r>
          </w:p>
          <w:p w14:paraId="069D824F" w14:textId="557ABFEF" w:rsidR="00C2540A" w:rsidRPr="00B87CC5" w:rsidRDefault="00191926" w:rsidP="000559EB">
            <w:pPr>
              <w:pStyle w:val="TableBullet"/>
              <w:rPr>
                <w:rFonts w:eastAsiaTheme="majorEastAsia" w:cs="Calibri"/>
                <w:b/>
                <w:bCs/>
                <w:sz w:val="22"/>
                <w:szCs w:val="18"/>
              </w:rPr>
            </w:pPr>
            <w:r w:rsidRPr="00B87CC5">
              <w:t>e</w:t>
            </w:r>
            <w:r w:rsidR="00C2540A" w:rsidRPr="00B87CC5">
              <w:t xml:space="preserve">nsure that technology companies understand what is required to be incorporated into the </w:t>
            </w:r>
            <w:r w:rsidRPr="00B87CC5">
              <w:t>G</w:t>
            </w:r>
            <w:r w:rsidR="00C2540A" w:rsidRPr="00B87CC5">
              <w:t xml:space="preserve">reenhouse </w:t>
            </w:r>
            <w:r w:rsidRPr="00B87CC5">
              <w:t>G</w:t>
            </w:r>
            <w:r w:rsidR="00C2540A" w:rsidRPr="00B87CC5">
              <w:t xml:space="preserve">as </w:t>
            </w:r>
            <w:r w:rsidRPr="00B87CC5">
              <w:t>I</w:t>
            </w:r>
            <w:r w:rsidR="00C2540A" w:rsidRPr="00B87CC5">
              <w:t>nventory and that processes are set up to support this</w:t>
            </w:r>
          </w:p>
        </w:tc>
        <w:tc>
          <w:tcPr>
            <w:tcW w:w="4180" w:type="dxa"/>
            <w:shd w:val="clear" w:color="auto" w:fill="FFFFFF" w:themeFill="background1"/>
          </w:tcPr>
          <w:p w14:paraId="639CC080" w14:textId="61220DE3" w:rsidR="00C2540A" w:rsidRPr="00B87CC5" w:rsidRDefault="003B5DA5">
            <w:pPr>
              <w:spacing w:before="0" w:after="0" w:line="240" w:lineRule="auto"/>
              <w:jc w:val="left"/>
              <w:textAlignment w:val="baseline"/>
              <w:rPr>
                <w:rFonts w:eastAsia="Times New Roman" w:cs="Calibri"/>
                <w:i/>
                <w:sz w:val="18"/>
                <w:szCs w:val="18"/>
              </w:rPr>
            </w:pPr>
            <w:r w:rsidRPr="00B87CC5">
              <w:rPr>
                <w:rFonts w:cs="Calibri"/>
                <w:i/>
                <w:sz w:val="18"/>
                <w:szCs w:val="18"/>
              </w:rPr>
              <w:t>… b</w:t>
            </w:r>
            <w:r w:rsidR="00C2540A" w:rsidRPr="00B87CC5">
              <w:rPr>
                <w:rFonts w:cs="Calibri"/>
                <w:i/>
                <w:sz w:val="18"/>
                <w:szCs w:val="18"/>
              </w:rPr>
              <w:t>y 2030 we can expect</w:t>
            </w:r>
            <w:r w:rsidR="00C2540A" w:rsidRPr="00B87CC5">
              <w:rPr>
                <w:rFonts w:eastAsia="Times New Roman" w:cs="Calibri"/>
                <w:i/>
                <w:sz w:val="18"/>
                <w:szCs w:val="18"/>
              </w:rPr>
              <w:t>:</w:t>
            </w:r>
          </w:p>
          <w:p w14:paraId="0F91EA5C" w14:textId="0C510707" w:rsidR="00C2540A" w:rsidRPr="00B87CC5" w:rsidRDefault="00191926" w:rsidP="00C63531">
            <w:pPr>
              <w:pStyle w:val="TableBullet"/>
            </w:pPr>
            <w:r w:rsidRPr="00B87CC5">
              <w:t>t</w:t>
            </w:r>
            <w:r w:rsidR="00C2540A" w:rsidRPr="00B87CC5">
              <w:t>here is a streamlined process for mitigation tools to be approved for use in New Zealand</w:t>
            </w:r>
          </w:p>
          <w:p w14:paraId="6BD88890" w14:textId="6F3D561B" w:rsidR="00C2540A" w:rsidRPr="00B87CC5" w:rsidRDefault="00191926" w:rsidP="00C63531">
            <w:pPr>
              <w:pStyle w:val="TableBullet"/>
            </w:pPr>
            <w:r w:rsidRPr="00B87CC5">
              <w:t>n</w:t>
            </w:r>
            <w:r w:rsidR="00C2540A" w:rsidRPr="00B87CC5">
              <w:t xml:space="preserve">ew technologies can efficiently enter New Zealand’s </w:t>
            </w:r>
            <w:r w:rsidR="00EB2FA5" w:rsidRPr="00B87CC5">
              <w:t>G</w:t>
            </w:r>
            <w:r w:rsidR="00C2540A" w:rsidRPr="00B87CC5">
              <w:t xml:space="preserve">reenhouse </w:t>
            </w:r>
            <w:r w:rsidR="00EB2FA5" w:rsidRPr="00B87CC5">
              <w:t>G</w:t>
            </w:r>
            <w:r w:rsidR="00C2540A" w:rsidRPr="00B87CC5">
              <w:t xml:space="preserve">as </w:t>
            </w:r>
            <w:r w:rsidR="00EB2FA5" w:rsidRPr="00B87CC5">
              <w:t>I</w:t>
            </w:r>
            <w:r w:rsidR="00C2540A" w:rsidRPr="00B87CC5">
              <w:t>nventory, meaning the emissions reduction benefit of the technologies can be counted towards climate targets. This will support international reporting on targets and market claims about low</w:t>
            </w:r>
            <w:r w:rsidR="00EB2FA5" w:rsidRPr="00B87CC5">
              <w:t>-</w:t>
            </w:r>
            <w:r w:rsidR="00C2540A" w:rsidRPr="00B87CC5">
              <w:t>emissions or emissions</w:t>
            </w:r>
            <w:r w:rsidR="00EB2FA5" w:rsidRPr="00B87CC5">
              <w:t>-</w:t>
            </w:r>
            <w:r w:rsidR="00C2540A" w:rsidRPr="00B87CC5">
              <w:t>efficient food and fibre products</w:t>
            </w:r>
          </w:p>
          <w:p w14:paraId="6CFBDE8B" w14:textId="425C7EDF" w:rsidR="00C2540A" w:rsidRPr="00B87CC5" w:rsidRDefault="00191926" w:rsidP="00C63531">
            <w:pPr>
              <w:pStyle w:val="TableBullet"/>
            </w:pPr>
            <w:r w:rsidRPr="00B87CC5">
              <w:t>a</w:t>
            </w:r>
            <w:r w:rsidR="00C2540A" w:rsidRPr="00B87CC5">
              <w:t>dditional technologies may start to be used in New Zealand</w:t>
            </w:r>
          </w:p>
          <w:p w14:paraId="1595596F" w14:textId="717C1B8F" w:rsidR="00C2540A" w:rsidRPr="00B87CC5" w:rsidRDefault="003B5DA5">
            <w:pPr>
              <w:spacing w:before="0" w:after="0"/>
              <w:jc w:val="left"/>
              <w:rPr>
                <w:rFonts w:cs="Calibri"/>
                <w:i/>
                <w:sz w:val="18"/>
                <w:szCs w:val="18"/>
              </w:rPr>
            </w:pPr>
            <w:r w:rsidRPr="00B87CC5">
              <w:rPr>
                <w:rFonts w:cs="Calibri"/>
                <w:i/>
                <w:sz w:val="18"/>
                <w:szCs w:val="18"/>
              </w:rPr>
              <w:t>… and b</w:t>
            </w:r>
            <w:r w:rsidR="00C2540A" w:rsidRPr="00B87CC5">
              <w:rPr>
                <w:rFonts w:cs="Calibri"/>
                <w:i/>
                <w:sz w:val="18"/>
                <w:szCs w:val="18"/>
              </w:rPr>
              <w:t>y 2050 we can expect:</w:t>
            </w:r>
          </w:p>
          <w:p w14:paraId="1D94B032" w14:textId="1B98E5DB" w:rsidR="00C2540A" w:rsidRPr="00B87CC5" w:rsidRDefault="00191926" w:rsidP="00C63531">
            <w:pPr>
              <w:pStyle w:val="TableBullet"/>
              <w:rPr>
                <w:rFonts w:eastAsiaTheme="majorEastAsia" w:cs="Calibri"/>
                <w:szCs w:val="18"/>
              </w:rPr>
            </w:pPr>
            <w:r w:rsidRPr="00B87CC5">
              <w:t>a</w:t>
            </w:r>
            <w:r w:rsidR="00C2540A" w:rsidRPr="00B87CC5">
              <w:t xml:space="preserve"> range of safe and trusted technologies </w:t>
            </w:r>
            <w:r w:rsidR="00EB2FA5" w:rsidRPr="00B87CC5">
              <w:t xml:space="preserve">to be </w:t>
            </w:r>
            <w:r w:rsidR="00C2540A" w:rsidRPr="00B87CC5">
              <w:t>implemented and used in New Zealand to achieve a low-emissions agricultur</w:t>
            </w:r>
            <w:r w:rsidR="00EB2FA5" w:rsidRPr="00B87CC5">
              <w:t>e</w:t>
            </w:r>
            <w:r w:rsidR="00C2540A" w:rsidRPr="00B87CC5">
              <w:t xml:space="preserve"> sector</w:t>
            </w:r>
          </w:p>
        </w:tc>
        <w:tc>
          <w:tcPr>
            <w:tcW w:w="5528" w:type="dxa"/>
            <w:shd w:val="clear" w:color="auto" w:fill="FFFFFF" w:themeFill="background1"/>
          </w:tcPr>
          <w:p w14:paraId="6C3842D5" w14:textId="53B6B13D" w:rsidR="00C2540A" w:rsidRPr="00B87CC5" w:rsidRDefault="003B5DA5">
            <w:pPr>
              <w:spacing w:before="0" w:after="0" w:line="240" w:lineRule="auto"/>
              <w:jc w:val="left"/>
              <w:textAlignment w:val="baseline"/>
              <w:rPr>
                <w:rFonts w:eastAsia="Times New Roman" w:cs="Calibri"/>
                <w:i/>
                <w:sz w:val="18"/>
                <w:szCs w:val="18"/>
              </w:rPr>
            </w:pPr>
            <w:r w:rsidRPr="00B87CC5">
              <w:rPr>
                <w:rFonts w:cs="Calibri"/>
                <w:i/>
                <w:sz w:val="18"/>
                <w:szCs w:val="18"/>
              </w:rPr>
              <w:t>… and then in the second emissions budget,</w:t>
            </w:r>
            <w:r w:rsidR="00C2540A" w:rsidRPr="00B87CC5">
              <w:rPr>
                <w:rFonts w:cs="Calibri"/>
                <w:i/>
                <w:sz w:val="18"/>
                <w:szCs w:val="18"/>
              </w:rPr>
              <w:t xml:space="preserve"> this will lead to</w:t>
            </w:r>
            <w:r w:rsidR="00C2540A" w:rsidRPr="00B87CC5">
              <w:rPr>
                <w:rFonts w:eastAsia="Times New Roman" w:cs="Calibri"/>
                <w:i/>
                <w:sz w:val="18"/>
                <w:szCs w:val="18"/>
              </w:rPr>
              <w:t>:</w:t>
            </w:r>
          </w:p>
          <w:p w14:paraId="4568C8F5" w14:textId="7126B36D" w:rsidR="00C2540A" w:rsidRPr="00B87CC5" w:rsidRDefault="00EB2FA5" w:rsidP="00C63531">
            <w:pPr>
              <w:pStyle w:val="TableBullet"/>
            </w:pPr>
            <w:r w:rsidRPr="00B87CC5">
              <w:t>a</w:t>
            </w:r>
            <w:r w:rsidR="00C2540A" w:rsidRPr="00B87CC5">
              <w:t xml:space="preserve">vailability of some mitigation technologies in New Zealand </w:t>
            </w:r>
            <w:r w:rsidRPr="00B87CC5">
              <w:t xml:space="preserve">that </w:t>
            </w:r>
            <w:r w:rsidR="00C2540A" w:rsidRPr="00B87CC5">
              <w:t xml:space="preserve">will reduce on-farm greenhouse gas emissions in </w:t>
            </w:r>
            <w:r w:rsidRPr="00B87CC5">
              <w:t>the second emissions budget</w:t>
            </w:r>
            <w:r w:rsidR="00C2540A" w:rsidRPr="00B87CC5">
              <w:t xml:space="preserve">. Most activity in </w:t>
            </w:r>
            <w:r w:rsidRPr="00B87CC5">
              <w:t xml:space="preserve">the second emissions budget </w:t>
            </w:r>
            <w:r w:rsidR="00C2540A" w:rsidRPr="00B87CC5">
              <w:t>is spent improving availability of mitigation tools with emissions reductions ramping up in future emissions budgets</w:t>
            </w:r>
          </w:p>
          <w:p w14:paraId="5FF24847" w14:textId="74BE5D52" w:rsidR="00C2540A" w:rsidRPr="00B87CC5" w:rsidRDefault="003B5DA5">
            <w:pPr>
              <w:pStyle w:val="Bullet"/>
              <w:numPr>
                <w:ilvl w:val="0"/>
                <w:numId w:val="0"/>
              </w:numPr>
              <w:spacing w:after="0"/>
              <w:rPr>
                <w:rFonts w:cs="Calibri"/>
                <w:i/>
                <w:sz w:val="18"/>
                <w:szCs w:val="18"/>
              </w:rPr>
            </w:pPr>
            <w:r w:rsidRPr="00B87CC5">
              <w:rPr>
                <w:rFonts w:cs="Calibri"/>
                <w:i/>
                <w:iCs/>
                <w:sz w:val="18"/>
                <w:szCs w:val="18"/>
              </w:rPr>
              <w:t xml:space="preserve">… and then in </w:t>
            </w:r>
            <w:r w:rsidR="00C2540A" w:rsidRPr="00B87CC5">
              <w:rPr>
                <w:rFonts w:cs="Calibri"/>
                <w:i/>
                <w:iCs/>
                <w:sz w:val="18"/>
                <w:szCs w:val="18"/>
              </w:rPr>
              <w:t>future emissions budgets</w:t>
            </w:r>
            <w:r w:rsidRPr="00B87CC5">
              <w:rPr>
                <w:rFonts w:cs="Calibri"/>
                <w:i/>
                <w:iCs/>
                <w:sz w:val="18"/>
                <w:szCs w:val="18"/>
              </w:rPr>
              <w:t>,</w:t>
            </w:r>
            <w:r w:rsidR="00C2540A" w:rsidRPr="00B87CC5">
              <w:rPr>
                <w:rFonts w:cs="Calibri"/>
                <w:i/>
                <w:iCs/>
                <w:sz w:val="18"/>
                <w:szCs w:val="18"/>
              </w:rPr>
              <w:t xml:space="preserve"> this will lead to:</w:t>
            </w:r>
          </w:p>
          <w:p w14:paraId="6CCBAD7F" w14:textId="4BB467E2" w:rsidR="00C2540A" w:rsidRPr="00B87CC5" w:rsidRDefault="00EB2FA5" w:rsidP="00C63531">
            <w:pPr>
              <w:pStyle w:val="TableBullet"/>
              <w:rPr>
                <w:rFonts w:eastAsiaTheme="majorEastAsia" w:cs="Calibri"/>
                <w:szCs w:val="18"/>
              </w:rPr>
            </w:pPr>
            <w:r w:rsidRPr="00B87CC5">
              <w:t>m</w:t>
            </w:r>
            <w:r w:rsidR="00C2540A" w:rsidRPr="00B87CC5">
              <w:t xml:space="preserve">any safe, adoptable on-farm emissions mitigation technologies being available to farmers, with increased biological emissions reductions compared </w:t>
            </w:r>
            <w:r w:rsidRPr="00B87CC5">
              <w:t>with the second emissions budget</w:t>
            </w:r>
            <w:r w:rsidR="00C2540A" w:rsidRPr="00B87CC5">
              <w:t>.</w:t>
            </w:r>
            <w:r w:rsidR="00C2540A" w:rsidRPr="00B87CC5">
              <w:rPr>
                <w:rFonts w:cs="Calibri"/>
              </w:rPr>
              <w:t xml:space="preserve"> </w:t>
            </w:r>
          </w:p>
        </w:tc>
      </w:tr>
      <w:tr w:rsidR="00851655" w:rsidRPr="00B87CC5" w14:paraId="7395F186" w14:textId="77777777" w:rsidTr="0464AED2">
        <w:trPr>
          <w:trHeight w:val="300"/>
        </w:trPr>
        <w:tc>
          <w:tcPr>
            <w:tcW w:w="1596" w:type="dxa"/>
            <w:vMerge/>
          </w:tcPr>
          <w:p w14:paraId="13C1A1AB"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0663CCEE" w14:textId="630218AC" w:rsidR="00C2540A" w:rsidRPr="00B87CC5" w:rsidRDefault="00C2540A" w:rsidP="000559EB">
            <w:pPr>
              <w:pStyle w:val="TableTextbold"/>
              <w:spacing w:before="40" w:after="40"/>
              <w:rPr>
                <w:szCs w:val="18"/>
              </w:rPr>
            </w:pPr>
            <w:r w:rsidRPr="00B87CC5">
              <w:t xml:space="preserve">Assumptions and </w:t>
            </w:r>
            <w:r w:rsidR="003B5DA5" w:rsidRPr="00B87CC5">
              <w:t>d</w:t>
            </w:r>
            <w:r w:rsidRPr="00B87CC5">
              <w:t>ependencies </w:t>
            </w:r>
          </w:p>
        </w:tc>
        <w:tc>
          <w:tcPr>
            <w:tcW w:w="11030" w:type="dxa"/>
            <w:gridSpan w:val="3"/>
            <w:shd w:val="clear" w:color="auto" w:fill="FFFFFF" w:themeFill="background1"/>
          </w:tcPr>
          <w:p w14:paraId="3DB97597" w14:textId="77777777" w:rsidR="00C2540A" w:rsidRPr="00B87CC5" w:rsidRDefault="00C2540A" w:rsidP="00C63531">
            <w:pPr>
              <w:pStyle w:val="TableBullet"/>
            </w:pPr>
            <w:r w:rsidRPr="00B87CC5">
              <w:t xml:space="preserve">Regulations </w:t>
            </w:r>
            <w:r w:rsidRPr="00B87CC5" w:rsidDel="005F7404">
              <w:t xml:space="preserve">must </w:t>
            </w:r>
            <w:r w:rsidRPr="00B87CC5">
              <w:t>use thorough checks and balances to ensure new technologies are safe for farmers and consumers.</w:t>
            </w:r>
          </w:p>
          <w:p w14:paraId="0EE1055D" w14:textId="77777777" w:rsidR="00C2540A" w:rsidRPr="00B87CC5" w:rsidRDefault="00C2540A" w:rsidP="00C63531">
            <w:pPr>
              <w:pStyle w:val="TableBullet"/>
            </w:pPr>
            <w:r w:rsidRPr="00B87CC5">
              <w:t>Technology is available and companies are seeking to be entered into the New Zealand market.</w:t>
            </w:r>
          </w:p>
          <w:p w14:paraId="69977CA7" w14:textId="77777777" w:rsidR="00C2540A" w:rsidRPr="00B87CC5" w:rsidRDefault="00C2540A" w:rsidP="00C63531">
            <w:pPr>
              <w:pStyle w:val="TableBullet"/>
              <w:rPr>
                <w:rFonts w:eastAsiaTheme="majorEastAsia" w:cs="Calibri"/>
                <w:szCs w:val="18"/>
              </w:rPr>
            </w:pPr>
            <w:r w:rsidRPr="00B87CC5">
              <w:t>International frameworks for calculating the impact of technologies are developed and agreed upon.</w:t>
            </w:r>
          </w:p>
        </w:tc>
      </w:tr>
      <w:tr w:rsidR="00851655" w:rsidRPr="00B87CC5" w14:paraId="3143344B" w14:textId="77777777" w:rsidTr="0464AED2">
        <w:trPr>
          <w:trHeight w:val="300"/>
        </w:trPr>
        <w:tc>
          <w:tcPr>
            <w:tcW w:w="1596" w:type="dxa"/>
            <w:vMerge/>
          </w:tcPr>
          <w:p w14:paraId="5A5FA03B"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2192EFB2" w14:textId="77777777" w:rsidR="00C2540A" w:rsidRPr="00B87CC5" w:rsidRDefault="00C2540A" w:rsidP="000559EB">
            <w:pPr>
              <w:pStyle w:val="TableTextbold"/>
              <w:spacing w:before="40" w:after="40"/>
            </w:pPr>
            <w:r w:rsidRPr="00B87CC5">
              <w:t>Other benefits </w:t>
            </w:r>
          </w:p>
        </w:tc>
        <w:tc>
          <w:tcPr>
            <w:tcW w:w="11030" w:type="dxa"/>
            <w:gridSpan w:val="3"/>
            <w:shd w:val="clear" w:color="auto" w:fill="FFFFFF" w:themeFill="background1"/>
          </w:tcPr>
          <w:p w14:paraId="1D024799" w14:textId="62797AF0" w:rsidR="00C2540A" w:rsidRPr="00B87CC5" w:rsidRDefault="00C2540A" w:rsidP="00C63531">
            <w:pPr>
              <w:pStyle w:val="TableBullet"/>
            </w:pPr>
            <w:r w:rsidRPr="00B87CC5">
              <w:t>Technologies may have co-benefits such as good freshwater outcomes.</w:t>
            </w:r>
          </w:p>
          <w:p w14:paraId="7B817A71" w14:textId="45504687" w:rsidR="00C2540A" w:rsidRPr="00B87CC5" w:rsidRDefault="00C2540A" w:rsidP="00C63531">
            <w:pPr>
              <w:pStyle w:val="TableBullet"/>
              <w:rPr>
                <w:rFonts w:eastAsiaTheme="majorEastAsia" w:cs="Calibri"/>
                <w:szCs w:val="18"/>
              </w:rPr>
            </w:pPr>
            <w:r w:rsidRPr="00B87CC5">
              <w:rPr>
                <w:rFonts w:asciiTheme="minorHAnsi" w:hAnsiTheme="minorHAnsi" w:cstheme="minorHAnsi"/>
                <w:szCs w:val="18"/>
              </w:rPr>
              <w:t>Ensuring companies understand how to navigate regulatory processes will enable companies to invest in New Zealand’s market, and will encourage investment in research, development and innovation of new tools and technology in New Zealand.</w:t>
            </w:r>
            <w:r w:rsidRPr="00B87CC5">
              <w:rPr>
                <w:rFonts w:cs="Calibri"/>
                <w:szCs w:val="18"/>
              </w:rPr>
              <w:t xml:space="preserve"> </w:t>
            </w:r>
          </w:p>
        </w:tc>
      </w:tr>
      <w:tr w:rsidR="00851655" w:rsidRPr="00B87CC5" w14:paraId="540A9113" w14:textId="77777777" w:rsidTr="0464AED2">
        <w:trPr>
          <w:trHeight w:val="300"/>
        </w:trPr>
        <w:tc>
          <w:tcPr>
            <w:tcW w:w="1596" w:type="dxa"/>
            <w:vMerge/>
          </w:tcPr>
          <w:p w14:paraId="7A39E2CE"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vAlign w:val="center"/>
          </w:tcPr>
          <w:p w14:paraId="19BEF691" w14:textId="68866C9E" w:rsidR="00C2540A" w:rsidRPr="00B87CC5" w:rsidRDefault="00C2540A" w:rsidP="000559EB">
            <w:pPr>
              <w:pStyle w:val="TableTextbold"/>
              <w:spacing w:before="40" w:after="40"/>
            </w:pPr>
            <w:r w:rsidRPr="00B87CC5">
              <w:t xml:space="preserve">Why this </w:t>
            </w:r>
            <w:r w:rsidR="00D1322C" w:rsidRPr="00B87CC5">
              <w:t xml:space="preserve">is </w:t>
            </w:r>
            <w:r w:rsidRPr="00B87CC5">
              <w:t>complementary to the</w:t>
            </w:r>
            <w:r w:rsidR="00D1322C" w:rsidRPr="00B87CC5">
              <w:t xml:space="preserve"> NZ</w:t>
            </w:r>
            <w:r w:rsidRPr="00B87CC5">
              <w:t xml:space="preserve"> ETS</w:t>
            </w:r>
          </w:p>
        </w:tc>
        <w:tc>
          <w:tcPr>
            <w:tcW w:w="11030" w:type="dxa"/>
            <w:gridSpan w:val="3"/>
            <w:shd w:val="clear" w:color="auto" w:fill="FFFFFF" w:themeFill="background1"/>
          </w:tcPr>
          <w:p w14:paraId="4E05EAB9" w14:textId="73AE9597" w:rsidR="00C2540A" w:rsidRPr="00B87CC5" w:rsidRDefault="00C2540A" w:rsidP="00C63531">
            <w:pPr>
              <w:pStyle w:val="TableBullet"/>
              <w:rPr>
                <w:rFonts w:asciiTheme="minorHAnsi" w:hAnsiTheme="minorHAnsi" w:cstheme="minorHAnsi"/>
              </w:rPr>
            </w:pPr>
            <w:r w:rsidRPr="00B87CC5">
              <w:rPr>
                <w:rFonts w:asciiTheme="minorHAnsi" w:hAnsiTheme="minorHAnsi" w:cstheme="minorHAnsi"/>
              </w:rPr>
              <w:t xml:space="preserve">Agricultural emissions are outside of the </w:t>
            </w:r>
            <w:r w:rsidR="00EB2FA5" w:rsidRPr="00B87CC5">
              <w:rPr>
                <w:rFonts w:asciiTheme="minorHAnsi" w:hAnsiTheme="minorHAnsi" w:cstheme="minorHAnsi"/>
              </w:rPr>
              <w:t>NZ ETS</w:t>
            </w:r>
            <w:r w:rsidRPr="00B87CC5">
              <w:rPr>
                <w:rFonts w:asciiTheme="minorHAnsi" w:hAnsiTheme="minorHAnsi" w:cstheme="minorHAnsi"/>
              </w:rPr>
              <w:t>. This policy will help provide farmers</w:t>
            </w:r>
            <w:r w:rsidR="00397C55" w:rsidRPr="00B87CC5">
              <w:rPr>
                <w:rFonts w:asciiTheme="minorHAnsi" w:hAnsiTheme="minorHAnsi" w:cstheme="minorHAnsi"/>
              </w:rPr>
              <w:t xml:space="preserve"> with</w:t>
            </w:r>
            <w:r w:rsidRPr="00B87CC5">
              <w:rPr>
                <w:rFonts w:asciiTheme="minorHAnsi" w:hAnsiTheme="minorHAnsi" w:cstheme="minorHAnsi"/>
              </w:rPr>
              <w:t xml:space="preserve"> more tools to reduce their on-farm emissions. </w:t>
            </w:r>
          </w:p>
        </w:tc>
      </w:tr>
      <w:tr w:rsidR="005435AE" w:rsidRPr="00B87CC5" w14:paraId="4AF3C49E" w14:textId="77777777" w:rsidTr="000C3B28">
        <w:trPr>
          <w:trHeight w:val="300"/>
        </w:trPr>
        <w:tc>
          <w:tcPr>
            <w:tcW w:w="1596" w:type="dxa"/>
            <w:vMerge w:val="restart"/>
            <w:shd w:val="clear" w:color="auto" w:fill="D2DDE1" w:themeFill="background2"/>
          </w:tcPr>
          <w:p w14:paraId="6BCB87C8" w14:textId="6DEF1399" w:rsidR="008447E4" w:rsidRPr="00C63308" w:rsidRDefault="00270899" w:rsidP="000559EB">
            <w:pPr>
              <w:pStyle w:val="TableTextbold"/>
            </w:pPr>
            <w:r w:rsidRPr="00C63308">
              <w:t>Waste</w:t>
            </w:r>
          </w:p>
          <w:p w14:paraId="46EFFF1B" w14:textId="358036F3" w:rsidR="008447E4" w:rsidRPr="00B87CC5" w:rsidRDefault="00270899" w:rsidP="000559EB">
            <w:pPr>
              <w:pStyle w:val="TableText"/>
              <w:rPr>
                <w:b/>
                <w:bCs/>
                <w:i/>
                <w:iCs/>
              </w:rPr>
            </w:pPr>
            <w:r w:rsidRPr="00B87CC5">
              <w:t>Organic waste and landfill gas</w:t>
            </w:r>
            <w:r w:rsidR="00646E12" w:rsidRPr="00B87CC5">
              <w:t xml:space="preserve"> (LFG)</w:t>
            </w:r>
            <w:r w:rsidRPr="00B87CC5">
              <w:t xml:space="preserve"> capture investigation</w:t>
            </w:r>
          </w:p>
        </w:tc>
        <w:tc>
          <w:tcPr>
            <w:tcW w:w="3155" w:type="dxa"/>
            <w:gridSpan w:val="3"/>
            <w:shd w:val="clear" w:color="auto" w:fill="FFFFFF" w:themeFill="background1"/>
          </w:tcPr>
          <w:p w14:paraId="044A1CAC" w14:textId="77777777" w:rsidR="00270899" w:rsidRPr="00B87CC5" w:rsidRDefault="00270899" w:rsidP="00270899">
            <w:pPr>
              <w:spacing w:before="0" w:after="0" w:line="240" w:lineRule="auto"/>
              <w:jc w:val="left"/>
              <w:textAlignment w:val="baseline"/>
              <w:rPr>
                <w:rFonts w:eastAsia="Times New Roman" w:cs="Calibri"/>
                <w:i/>
                <w:iCs/>
                <w:sz w:val="18"/>
                <w:szCs w:val="18"/>
              </w:rPr>
            </w:pPr>
            <w:r w:rsidRPr="00B87CC5">
              <w:rPr>
                <w:rFonts w:eastAsia="Times New Roman" w:cs="Calibri"/>
                <w:i/>
                <w:iCs/>
                <w:sz w:val="18"/>
                <w:szCs w:val="18"/>
              </w:rPr>
              <w:t>If we do the following now:</w:t>
            </w:r>
          </w:p>
          <w:p w14:paraId="001A8BCD" w14:textId="3A9FD0ED" w:rsidR="008447E4" w:rsidRPr="00B87CC5" w:rsidRDefault="00646E12" w:rsidP="00C63531">
            <w:pPr>
              <w:pStyle w:val="TableBullet"/>
              <w:rPr>
                <w:rFonts w:eastAsiaTheme="majorEastAsia" w:cs="Calibri"/>
                <w:b/>
                <w:bCs/>
                <w:sz w:val="20"/>
                <w:szCs w:val="20"/>
              </w:rPr>
            </w:pPr>
            <w:r w:rsidRPr="00B87CC5">
              <w:t>i</w:t>
            </w:r>
            <w:r w:rsidR="008251E6" w:rsidRPr="00B87CC5">
              <w:t>nvestigate best</w:t>
            </w:r>
            <w:r w:rsidRPr="00B87CC5">
              <w:t>-</w:t>
            </w:r>
            <w:r w:rsidR="008251E6" w:rsidRPr="00B87CC5">
              <w:t xml:space="preserve">practice </w:t>
            </w:r>
            <w:r w:rsidRPr="00B87CC5">
              <w:t>LFG</w:t>
            </w:r>
            <w:r w:rsidR="008251E6" w:rsidRPr="00B87CC5">
              <w:t xml:space="preserve"> capture and determine appropriate regulatory pathways for better managing both </w:t>
            </w:r>
            <w:r w:rsidRPr="00B87CC5">
              <w:t>LFG</w:t>
            </w:r>
            <w:r w:rsidR="008251E6" w:rsidRPr="00B87CC5">
              <w:t xml:space="preserve"> capture and the disposal of organic materials</w:t>
            </w:r>
          </w:p>
        </w:tc>
        <w:tc>
          <w:tcPr>
            <w:tcW w:w="4180" w:type="dxa"/>
            <w:shd w:val="clear" w:color="auto" w:fill="FFFFFF" w:themeFill="background1"/>
          </w:tcPr>
          <w:p w14:paraId="253D3437" w14:textId="201EE40C" w:rsidR="00270899" w:rsidRPr="00B87CC5" w:rsidRDefault="00646E12" w:rsidP="00270899">
            <w:pPr>
              <w:spacing w:before="0" w:after="0" w:line="240" w:lineRule="auto"/>
              <w:jc w:val="left"/>
              <w:textAlignment w:val="baseline"/>
              <w:rPr>
                <w:rFonts w:eastAsia="Times New Roman" w:cs="Calibri"/>
                <w:i/>
                <w:sz w:val="18"/>
                <w:szCs w:val="18"/>
              </w:rPr>
            </w:pPr>
            <w:r w:rsidRPr="00B87CC5">
              <w:rPr>
                <w:rFonts w:cs="Calibri"/>
                <w:i/>
                <w:iCs/>
                <w:sz w:val="18"/>
                <w:szCs w:val="18"/>
              </w:rPr>
              <w:t>… b</w:t>
            </w:r>
            <w:r w:rsidR="00270899" w:rsidRPr="00B87CC5">
              <w:rPr>
                <w:rFonts w:cs="Calibri"/>
                <w:i/>
                <w:iCs/>
                <w:sz w:val="18"/>
                <w:szCs w:val="18"/>
              </w:rPr>
              <w:t>y 2030 we can expect</w:t>
            </w:r>
            <w:r w:rsidR="00270899" w:rsidRPr="00B87CC5">
              <w:rPr>
                <w:rFonts w:eastAsia="Times New Roman" w:cs="Calibri"/>
                <w:i/>
                <w:sz w:val="18"/>
                <w:szCs w:val="18"/>
              </w:rPr>
              <w:t>:</w:t>
            </w:r>
          </w:p>
          <w:p w14:paraId="3808F214" w14:textId="4A220686" w:rsidR="008251E6" w:rsidRPr="00B87CC5" w:rsidRDefault="00B51E67" w:rsidP="00C63531">
            <w:pPr>
              <w:pStyle w:val="TableBullet"/>
            </w:pPr>
            <w:r w:rsidRPr="00B87CC5">
              <w:t>a</w:t>
            </w:r>
            <w:r w:rsidR="008251E6" w:rsidRPr="00B87CC5">
              <w:t xml:space="preserve">n improved regulatory framework for the management and reporting of </w:t>
            </w:r>
            <w:r w:rsidRPr="00B87CC5">
              <w:t xml:space="preserve">LFG </w:t>
            </w:r>
            <w:r w:rsidR="008251E6" w:rsidRPr="00B87CC5">
              <w:t>capture</w:t>
            </w:r>
          </w:p>
          <w:p w14:paraId="4A3BC9C6" w14:textId="5728304B" w:rsidR="008251E6" w:rsidRPr="00B87CC5" w:rsidRDefault="0015376E" w:rsidP="00C63531">
            <w:pPr>
              <w:pStyle w:val="TableBullet"/>
            </w:pPr>
            <w:r w:rsidRPr="00B87CC5">
              <w:t>m</w:t>
            </w:r>
            <w:r w:rsidR="008251E6" w:rsidRPr="00B87CC5">
              <w:t xml:space="preserve">ore efficient best practice in </w:t>
            </w:r>
            <w:r w:rsidRPr="00B87CC5">
              <w:t xml:space="preserve">LFG </w:t>
            </w:r>
            <w:r w:rsidR="008251E6" w:rsidRPr="00B87CC5">
              <w:t>capture</w:t>
            </w:r>
            <w:r w:rsidRPr="00B87CC5">
              <w:t xml:space="preserve"> to be</w:t>
            </w:r>
            <w:r w:rsidR="008251E6" w:rsidRPr="00B87CC5">
              <w:t xml:space="preserve"> more widely used across the industry</w:t>
            </w:r>
          </w:p>
          <w:p w14:paraId="72B888F8" w14:textId="17A19D2C" w:rsidR="008251E6" w:rsidRPr="00B87CC5" w:rsidRDefault="0015376E" w:rsidP="00C63531">
            <w:pPr>
              <w:pStyle w:val="TableBullet"/>
            </w:pPr>
            <w:r w:rsidRPr="00B87CC5">
              <w:t>o</w:t>
            </w:r>
            <w:r w:rsidR="008251E6" w:rsidRPr="00B87CC5">
              <w:t xml:space="preserve">ptions </w:t>
            </w:r>
            <w:r w:rsidRPr="00B87CC5">
              <w:t xml:space="preserve">to be </w:t>
            </w:r>
            <w:r w:rsidR="008251E6" w:rsidRPr="00B87CC5">
              <w:t xml:space="preserve">identified and implemented for management of organic waste, </w:t>
            </w:r>
            <w:r w:rsidR="00F51D48" w:rsidRPr="00B87CC5">
              <w:t xml:space="preserve">which </w:t>
            </w:r>
            <w:r w:rsidR="008251E6" w:rsidRPr="00B87CC5">
              <w:t>includ</w:t>
            </w:r>
            <w:r w:rsidR="00F51D48" w:rsidRPr="00B87CC5">
              <w:t>es</w:t>
            </w:r>
            <w:r w:rsidR="008251E6" w:rsidRPr="00B87CC5">
              <w:t xml:space="preserve"> consider</w:t>
            </w:r>
            <w:r w:rsidR="00F51D48" w:rsidRPr="00B87CC5">
              <w:t>ing</w:t>
            </w:r>
            <w:r w:rsidR="008251E6" w:rsidRPr="00B87CC5">
              <w:t xml:space="preserve"> which landfill types accept which types of organic waste </w:t>
            </w:r>
            <w:r w:rsidR="00F51D48" w:rsidRPr="00B87CC5">
              <w:t>with the aim of ensuring</w:t>
            </w:r>
            <w:r w:rsidR="008251E6" w:rsidRPr="00B87CC5">
              <w:t xml:space="preserve"> that</w:t>
            </w:r>
            <w:r w:rsidR="008251E6" w:rsidRPr="00B87CC5" w:rsidDel="00F51D48">
              <w:t xml:space="preserve"> </w:t>
            </w:r>
            <w:r w:rsidR="008251E6" w:rsidRPr="00B87CC5">
              <w:t>the most efficient landfill options</w:t>
            </w:r>
            <w:r w:rsidR="00F51D48" w:rsidRPr="00B87CC5">
              <w:t xml:space="preserve"> receive these materials</w:t>
            </w:r>
            <w:r w:rsidR="008251E6" w:rsidRPr="00B87CC5">
              <w:t>. Infrastructure starts to be developed and built</w:t>
            </w:r>
          </w:p>
          <w:p w14:paraId="2C6B7C58" w14:textId="6DB354DE" w:rsidR="008251E6" w:rsidRPr="00B87CC5" w:rsidRDefault="00F51D48" w:rsidP="00C63531">
            <w:pPr>
              <w:pStyle w:val="TableBullet"/>
            </w:pPr>
            <w:r w:rsidRPr="00B87CC5">
              <w:t>LFG capture</w:t>
            </w:r>
            <w:r w:rsidR="008251E6" w:rsidRPr="00B87CC5">
              <w:t xml:space="preserve"> </w:t>
            </w:r>
            <w:r w:rsidRPr="00B87CC5">
              <w:t xml:space="preserve">to </w:t>
            </w:r>
            <w:r w:rsidR="008251E6" w:rsidRPr="00B87CC5">
              <w:t xml:space="preserve">improve and expand </w:t>
            </w:r>
            <w:r w:rsidRPr="00B87CC5">
              <w:t xml:space="preserve">overall </w:t>
            </w:r>
          </w:p>
          <w:p w14:paraId="328E0553" w14:textId="13CBC2A2" w:rsidR="00270899" w:rsidRPr="00B87CC5" w:rsidRDefault="00646E12" w:rsidP="00270899">
            <w:pPr>
              <w:spacing w:before="0" w:after="0"/>
              <w:jc w:val="left"/>
              <w:rPr>
                <w:rFonts w:cs="Calibri"/>
                <w:i/>
                <w:iCs/>
                <w:sz w:val="18"/>
                <w:szCs w:val="18"/>
              </w:rPr>
            </w:pPr>
            <w:r w:rsidRPr="00B87CC5">
              <w:rPr>
                <w:rFonts w:cs="Calibri"/>
                <w:i/>
                <w:iCs/>
                <w:sz w:val="18"/>
                <w:szCs w:val="18"/>
              </w:rPr>
              <w:t>… and b</w:t>
            </w:r>
            <w:r w:rsidR="00270899" w:rsidRPr="00B87CC5">
              <w:rPr>
                <w:rFonts w:cs="Calibri"/>
                <w:i/>
                <w:iCs/>
                <w:sz w:val="18"/>
                <w:szCs w:val="18"/>
              </w:rPr>
              <w:t>y 2050 we can expect:</w:t>
            </w:r>
          </w:p>
          <w:p w14:paraId="0D6F1453" w14:textId="20027708" w:rsidR="008251E6" w:rsidRPr="00B87CC5" w:rsidRDefault="00F51D48" w:rsidP="00C63531">
            <w:pPr>
              <w:pStyle w:val="TableBullet"/>
            </w:pPr>
            <w:r w:rsidRPr="00B87CC5">
              <w:t>o</w:t>
            </w:r>
            <w:r w:rsidR="008251E6" w:rsidRPr="00B87CC5">
              <w:t xml:space="preserve">ngoing consistent reporting due to improvements to the reporting framework </w:t>
            </w:r>
            <w:r w:rsidRPr="00B87CC5">
              <w:t xml:space="preserve">that </w:t>
            </w:r>
            <w:r w:rsidR="008251E6" w:rsidRPr="00B87CC5">
              <w:t>mak</w:t>
            </w:r>
            <w:r w:rsidRPr="00B87CC5">
              <w:t>e</w:t>
            </w:r>
            <w:r w:rsidR="008251E6" w:rsidRPr="00B87CC5">
              <w:t xml:space="preserve"> requirements clear and aligned with best practice</w:t>
            </w:r>
          </w:p>
          <w:p w14:paraId="796B7F74" w14:textId="5DE93EFA" w:rsidR="008251E6" w:rsidRPr="00B87CC5" w:rsidRDefault="00F51D48" w:rsidP="00C63531">
            <w:pPr>
              <w:pStyle w:val="TableBullet"/>
            </w:pPr>
            <w:r w:rsidRPr="00B87CC5">
              <w:t>LFG capture to c</w:t>
            </w:r>
            <w:r w:rsidR="008251E6" w:rsidRPr="00B87CC5">
              <w:t>ontinue</w:t>
            </w:r>
            <w:r w:rsidRPr="00B87CC5">
              <w:t xml:space="preserve"> to</w:t>
            </w:r>
            <w:r w:rsidR="008251E6" w:rsidRPr="00B87CC5">
              <w:t xml:space="preserve"> improve and expand</w:t>
            </w:r>
          </w:p>
          <w:p w14:paraId="2C057409" w14:textId="185F0672" w:rsidR="008251E6" w:rsidRPr="00B87CC5" w:rsidRDefault="00F51D48" w:rsidP="00C63531">
            <w:pPr>
              <w:pStyle w:val="TableBullet"/>
            </w:pPr>
            <w:r w:rsidRPr="00B87CC5">
              <w:lastRenderedPageBreak/>
              <w:t>o</w:t>
            </w:r>
            <w:r w:rsidR="008251E6" w:rsidRPr="00B87CC5">
              <w:t>rganic waste management options</w:t>
            </w:r>
            <w:r w:rsidRPr="00B87CC5">
              <w:t xml:space="preserve"> to be</w:t>
            </w:r>
            <w:r w:rsidR="008251E6" w:rsidRPr="00B87CC5">
              <w:t xml:space="preserve"> implemented and infrastructure</w:t>
            </w:r>
            <w:r w:rsidR="008251E6" w:rsidRPr="00B87CC5" w:rsidDel="00F51D48">
              <w:t xml:space="preserve"> </w:t>
            </w:r>
            <w:r w:rsidR="008251E6" w:rsidRPr="00B87CC5">
              <w:t>that diverts and recovers organic materials</w:t>
            </w:r>
            <w:r w:rsidRPr="00B87CC5">
              <w:t xml:space="preserve"> to be in place</w:t>
            </w:r>
          </w:p>
          <w:p w14:paraId="360FBBA4" w14:textId="74906E38" w:rsidR="008447E4" w:rsidRPr="00B87CC5" w:rsidRDefault="00F51D48" w:rsidP="00C63531">
            <w:pPr>
              <w:pStyle w:val="TableBullet"/>
            </w:pPr>
            <w:r w:rsidRPr="00B87CC5">
              <w:t>r</w:t>
            </w:r>
            <w:r w:rsidR="008251E6" w:rsidRPr="00B87CC5">
              <w:t>esidual waste</w:t>
            </w:r>
            <w:r w:rsidR="008251E6" w:rsidRPr="00B87CC5" w:rsidDel="00F51D48">
              <w:t xml:space="preserve"> </w:t>
            </w:r>
            <w:r w:rsidRPr="00B87CC5">
              <w:t xml:space="preserve">to be </w:t>
            </w:r>
            <w:r w:rsidR="008251E6" w:rsidRPr="00B87CC5">
              <w:t>managed by the most appropriate landfill types for efficient emissions reduction</w:t>
            </w:r>
          </w:p>
        </w:tc>
        <w:tc>
          <w:tcPr>
            <w:tcW w:w="5528" w:type="dxa"/>
            <w:shd w:val="clear" w:color="auto" w:fill="FFFFFF" w:themeFill="background1"/>
          </w:tcPr>
          <w:p w14:paraId="2CBAAA3A" w14:textId="63E15766" w:rsidR="00270899" w:rsidRPr="00B87CC5" w:rsidRDefault="00646E12" w:rsidP="00270899">
            <w:pPr>
              <w:spacing w:before="0" w:after="0" w:line="240" w:lineRule="auto"/>
              <w:jc w:val="left"/>
              <w:textAlignment w:val="baseline"/>
              <w:rPr>
                <w:rFonts w:eastAsia="Times New Roman" w:cs="Calibri"/>
                <w:i/>
                <w:sz w:val="18"/>
                <w:szCs w:val="18"/>
              </w:rPr>
            </w:pPr>
            <w:r w:rsidRPr="00B87CC5">
              <w:rPr>
                <w:rFonts w:cs="Calibri"/>
                <w:i/>
                <w:iCs/>
                <w:sz w:val="18"/>
                <w:szCs w:val="18"/>
              </w:rPr>
              <w:lastRenderedPageBreak/>
              <w:t>… and then in the second emissions budget,</w:t>
            </w:r>
            <w:r w:rsidR="00270899" w:rsidRPr="00B87CC5">
              <w:rPr>
                <w:rFonts w:cs="Calibri"/>
                <w:i/>
                <w:iCs/>
                <w:sz w:val="18"/>
                <w:szCs w:val="18"/>
              </w:rPr>
              <w:t xml:space="preserve"> this will lead to</w:t>
            </w:r>
            <w:r w:rsidR="00270899" w:rsidRPr="00B87CC5">
              <w:rPr>
                <w:rFonts w:eastAsia="Times New Roman" w:cs="Calibri"/>
                <w:i/>
                <w:sz w:val="18"/>
                <w:szCs w:val="18"/>
              </w:rPr>
              <w:t>:</w:t>
            </w:r>
          </w:p>
          <w:p w14:paraId="1021377C" w14:textId="6D76A1B5" w:rsidR="008251E6" w:rsidRPr="00B87CC5" w:rsidRDefault="00F51D48" w:rsidP="00C63531">
            <w:pPr>
              <w:pStyle w:val="TableBullet"/>
            </w:pPr>
            <w:r w:rsidRPr="00B87CC5">
              <w:t>a</w:t>
            </w:r>
            <w:r w:rsidR="008251E6" w:rsidRPr="00B87CC5">
              <w:t xml:space="preserve"> reduction </w:t>
            </w:r>
            <w:r w:rsidRPr="00B87CC5">
              <w:t xml:space="preserve">in </w:t>
            </w:r>
            <w:r w:rsidR="008251E6" w:rsidRPr="00B87CC5">
              <w:t>biogenic methane emissions from the waste sector</w:t>
            </w:r>
          </w:p>
          <w:p w14:paraId="655A3D4D" w14:textId="7B2689B2" w:rsidR="00270899" w:rsidRPr="00B87CC5" w:rsidRDefault="00646E12" w:rsidP="00270899">
            <w:pPr>
              <w:pStyle w:val="Bullet"/>
              <w:numPr>
                <w:ilvl w:val="0"/>
                <w:numId w:val="0"/>
              </w:numPr>
              <w:spacing w:after="0"/>
              <w:rPr>
                <w:rFonts w:cs="Calibri"/>
                <w:i/>
                <w:iCs/>
                <w:sz w:val="18"/>
                <w:szCs w:val="18"/>
              </w:rPr>
            </w:pPr>
            <w:r w:rsidRPr="00B87CC5">
              <w:rPr>
                <w:rFonts w:cs="Calibri"/>
                <w:i/>
                <w:iCs/>
                <w:sz w:val="18"/>
                <w:szCs w:val="18"/>
              </w:rPr>
              <w:t xml:space="preserve">… and then in </w:t>
            </w:r>
            <w:r w:rsidR="00270899" w:rsidRPr="00B87CC5">
              <w:rPr>
                <w:rFonts w:cs="Calibri"/>
                <w:i/>
                <w:iCs/>
                <w:sz w:val="18"/>
                <w:szCs w:val="18"/>
              </w:rPr>
              <w:t>future emissions budgets</w:t>
            </w:r>
            <w:r w:rsidRPr="00B87CC5">
              <w:rPr>
                <w:rFonts w:cs="Calibri"/>
                <w:i/>
                <w:iCs/>
                <w:sz w:val="18"/>
                <w:szCs w:val="18"/>
              </w:rPr>
              <w:t>,</w:t>
            </w:r>
            <w:r w:rsidR="00270899" w:rsidRPr="00B87CC5">
              <w:rPr>
                <w:rFonts w:cs="Calibri"/>
                <w:i/>
                <w:iCs/>
                <w:sz w:val="18"/>
                <w:szCs w:val="18"/>
              </w:rPr>
              <w:t xml:space="preserve"> this will lead to:</w:t>
            </w:r>
          </w:p>
          <w:p w14:paraId="51EEA816" w14:textId="38271C27" w:rsidR="008251E6" w:rsidRPr="00B87CC5" w:rsidRDefault="00F51D48" w:rsidP="00C63531">
            <w:pPr>
              <w:pStyle w:val="TableBullet"/>
            </w:pPr>
            <w:r w:rsidRPr="00B87CC5">
              <w:t>p</w:t>
            </w:r>
            <w:r w:rsidR="008251E6" w:rsidRPr="00B87CC5">
              <w:t>otential energy recovery opportunities that may displace the need for non-renewable energy in specific applications (</w:t>
            </w:r>
            <w:proofErr w:type="spellStart"/>
            <w:r w:rsidR="008251E6" w:rsidRPr="00B87CC5">
              <w:t>eg</w:t>
            </w:r>
            <w:proofErr w:type="spellEnd"/>
            <w:r w:rsidR="008251E6" w:rsidRPr="00B87CC5">
              <w:t>, with appropriate feedstocks), reducing emissions in other sectors</w:t>
            </w:r>
          </w:p>
          <w:p w14:paraId="1571D48C" w14:textId="4F6FE3ED" w:rsidR="008447E4" w:rsidRPr="00B87CC5" w:rsidRDefault="00F51D48" w:rsidP="00C63531">
            <w:pPr>
              <w:pStyle w:val="TableBullet"/>
            </w:pPr>
            <w:r w:rsidRPr="00B87CC5">
              <w:t>a</w:t>
            </w:r>
            <w:r w:rsidR="008251E6" w:rsidRPr="00B87CC5">
              <w:t xml:space="preserve">dditional reduced biogenic methane emissions in the waste sector. </w:t>
            </w:r>
          </w:p>
        </w:tc>
      </w:tr>
      <w:tr w:rsidR="00851655" w:rsidRPr="00B87CC5" w14:paraId="29117460" w14:textId="77777777" w:rsidTr="0464AED2">
        <w:trPr>
          <w:trHeight w:val="300"/>
        </w:trPr>
        <w:tc>
          <w:tcPr>
            <w:tcW w:w="1596" w:type="dxa"/>
            <w:vMerge/>
          </w:tcPr>
          <w:p w14:paraId="04CACDBB" w14:textId="77777777" w:rsidR="008447E4" w:rsidRPr="00B87CC5" w:rsidRDefault="008447E4" w:rsidP="00AD7909">
            <w:pPr>
              <w:spacing w:before="0" w:after="0" w:line="240" w:lineRule="auto"/>
              <w:jc w:val="left"/>
              <w:textAlignment w:val="baseline"/>
              <w:rPr>
                <w:rFonts w:eastAsia="Times New Roman" w:cs="Calibri"/>
                <w:b/>
                <w:bCs/>
                <w:i/>
                <w:iCs/>
                <w:sz w:val="18"/>
                <w:szCs w:val="18"/>
              </w:rPr>
            </w:pPr>
          </w:p>
        </w:tc>
        <w:tc>
          <w:tcPr>
            <w:tcW w:w="3155" w:type="dxa"/>
            <w:gridSpan w:val="3"/>
            <w:shd w:val="clear" w:color="auto" w:fill="FFFFFF" w:themeFill="background1"/>
          </w:tcPr>
          <w:p w14:paraId="73432CF0" w14:textId="1287DA2F" w:rsidR="008447E4" w:rsidRPr="00B87CC5" w:rsidRDefault="00270899" w:rsidP="000559EB">
            <w:pPr>
              <w:pStyle w:val="TableTextbold"/>
              <w:spacing w:before="40" w:after="40"/>
            </w:pPr>
            <w:r w:rsidRPr="00B87CC5">
              <w:t xml:space="preserve">Assumptions and </w:t>
            </w:r>
            <w:r w:rsidR="00F51D48" w:rsidRPr="00B87CC5">
              <w:t>d</w:t>
            </w:r>
            <w:r w:rsidRPr="00B87CC5">
              <w:t>ependencies </w:t>
            </w:r>
          </w:p>
        </w:tc>
        <w:tc>
          <w:tcPr>
            <w:tcW w:w="9708" w:type="dxa"/>
            <w:gridSpan w:val="2"/>
            <w:shd w:val="clear" w:color="auto" w:fill="FFFFFF" w:themeFill="background1"/>
          </w:tcPr>
          <w:p w14:paraId="1FE10859" w14:textId="48916782" w:rsidR="00C6664B" w:rsidRPr="00B87CC5" w:rsidRDefault="00C6664B" w:rsidP="00C63531">
            <w:pPr>
              <w:pStyle w:val="TableBullet"/>
            </w:pPr>
            <w:r w:rsidRPr="00B87CC5">
              <w:t xml:space="preserve">The expected impact </w:t>
            </w:r>
            <w:proofErr w:type="gramStart"/>
            <w:r w:rsidRPr="00B87CC5">
              <w:t xml:space="preserve">is based on </w:t>
            </w:r>
            <w:r w:rsidR="00F51D48" w:rsidRPr="00B87CC5">
              <w:t>the assumption</w:t>
            </w:r>
            <w:proofErr w:type="gramEnd"/>
            <w:r w:rsidR="00F51D48" w:rsidRPr="00B87CC5">
              <w:t xml:space="preserve"> that the efficiency of</w:t>
            </w:r>
            <w:r w:rsidRPr="00B87CC5">
              <w:t xml:space="preserve"> </w:t>
            </w:r>
            <w:r w:rsidR="00F51D48" w:rsidRPr="00B87CC5">
              <w:t>LFG</w:t>
            </w:r>
            <w:r w:rsidRPr="00B87CC5">
              <w:t xml:space="preserve"> capture </w:t>
            </w:r>
            <w:r w:rsidR="00430829" w:rsidRPr="00B87CC5">
              <w:t>will increase</w:t>
            </w:r>
            <w:r w:rsidRPr="00B87CC5">
              <w:t xml:space="preserve">, in part achieved through regulatory changes such as lowering the current landfill size thresholds where </w:t>
            </w:r>
            <w:r w:rsidR="00824A11" w:rsidRPr="00B87CC5">
              <w:t>LFG</w:t>
            </w:r>
            <w:r w:rsidRPr="00B87CC5">
              <w:t xml:space="preserve"> capture systems must be installed.</w:t>
            </w:r>
          </w:p>
          <w:p w14:paraId="731FE141" w14:textId="2A9BDFAA" w:rsidR="008447E4" w:rsidRPr="00B87CC5" w:rsidRDefault="00C6664B" w:rsidP="00C63531">
            <w:pPr>
              <w:pStyle w:val="TableBullet"/>
            </w:pPr>
            <w:r w:rsidRPr="00B87CC5">
              <w:t>Any additional benefits from possible</w:t>
            </w:r>
            <w:r w:rsidR="00824A11" w:rsidRPr="00B87CC5">
              <w:t xml:space="preserve"> opportunities for</w:t>
            </w:r>
            <w:r w:rsidRPr="00B87CC5">
              <w:t xml:space="preserve"> emission</w:t>
            </w:r>
            <w:r w:rsidR="00824A11" w:rsidRPr="00B87CC5">
              <w:t>s</w:t>
            </w:r>
            <w:r w:rsidRPr="00B87CC5">
              <w:t xml:space="preserve"> reduction </w:t>
            </w:r>
            <w:r w:rsidR="00824A11" w:rsidRPr="00B87CC5">
              <w:t>through</w:t>
            </w:r>
            <w:r w:rsidRPr="00B87CC5">
              <w:t xml:space="preserve"> other landfill disposal activities (</w:t>
            </w:r>
            <w:proofErr w:type="spellStart"/>
            <w:r w:rsidRPr="00B87CC5">
              <w:t>ie</w:t>
            </w:r>
            <w:proofErr w:type="spellEnd"/>
            <w:r w:rsidR="00824A11" w:rsidRPr="00B87CC5">
              <w:t>,</w:t>
            </w:r>
            <w:r w:rsidRPr="00B87CC5">
              <w:t xml:space="preserve"> </w:t>
            </w:r>
            <w:r w:rsidR="00824A11" w:rsidRPr="00B87CC5">
              <w:t>c</w:t>
            </w:r>
            <w:r w:rsidRPr="00B87CC5">
              <w:t>lass 2 construction and demolition disposal sites) have not been modelled for this scenario.</w:t>
            </w:r>
          </w:p>
        </w:tc>
      </w:tr>
      <w:tr w:rsidR="00851655" w:rsidRPr="00B87CC5" w14:paraId="53E7A0CC" w14:textId="77777777" w:rsidTr="0464AED2">
        <w:trPr>
          <w:trHeight w:val="300"/>
        </w:trPr>
        <w:tc>
          <w:tcPr>
            <w:tcW w:w="1596" w:type="dxa"/>
            <w:vMerge/>
          </w:tcPr>
          <w:p w14:paraId="1DAA40CC" w14:textId="77777777" w:rsidR="008447E4" w:rsidRPr="00B87CC5" w:rsidRDefault="008447E4" w:rsidP="00AD7909">
            <w:pPr>
              <w:spacing w:before="0" w:after="0" w:line="240" w:lineRule="auto"/>
              <w:jc w:val="left"/>
              <w:textAlignment w:val="baseline"/>
              <w:rPr>
                <w:rFonts w:eastAsia="Times New Roman" w:cs="Calibri"/>
                <w:b/>
                <w:bCs/>
                <w:i/>
                <w:iCs/>
                <w:sz w:val="18"/>
                <w:szCs w:val="18"/>
              </w:rPr>
            </w:pPr>
          </w:p>
        </w:tc>
        <w:tc>
          <w:tcPr>
            <w:tcW w:w="3155" w:type="dxa"/>
            <w:gridSpan w:val="3"/>
            <w:shd w:val="clear" w:color="auto" w:fill="FFFFFF" w:themeFill="background1"/>
          </w:tcPr>
          <w:p w14:paraId="2784953F" w14:textId="506E8B63" w:rsidR="008447E4" w:rsidRPr="00B87CC5" w:rsidRDefault="00270899" w:rsidP="000559EB">
            <w:pPr>
              <w:pStyle w:val="TableTextbold"/>
              <w:spacing w:before="40" w:after="40"/>
            </w:pPr>
            <w:r w:rsidRPr="00B87CC5">
              <w:t>Other benefits </w:t>
            </w:r>
          </w:p>
        </w:tc>
        <w:tc>
          <w:tcPr>
            <w:tcW w:w="9708" w:type="dxa"/>
            <w:gridSpan w:val="2"/>
            <w:shd w:val="clear" w:color="auto" w:fill="FFFFFF" w:themeFill="background1"/>
          </w:tcPr>
          <w:p w14:paraId="766E42C3" w14:textId="6DED8E37" w:rsidR="00C6664B" w:rsidRPr="00B87CC5" w:rsidRDefault="00C6664B" w:rsidP="00C63531">
            <w:pPr>
              <w:pStyle w:val="TableBullet"/>
            </w:pPr>
            <w:r w:rsidRPr="00B87CC5">
              <w:t>Improved</w:t>
            </w:r>
            <w:r w:rsidRPr="00B87CC5" w:rsidDel="00824A11">
              <w:t xml:space="preserve"> </w:t>
            </w:r>
            <w:r w:rsidRPr="00B87CC5">
              <w:t>effectiveness and efficiency</w:t>
            </w:r>
            <w:r w:rsidR="00824A11" w:rsidRPr="00B87CC5">
              <w:t xml:space="preserve"> of LFG capture systems</w:t>
            </w:r>
            <w:r w:rsidRPr="00B87CC5">
              <w:t xml:space="preserve"> would </w:t>
            </w:r>
            <w:r w:rsidR="00824A11" w:rsidRPr="00B87CC5">
              <w:t>expand opportunities for</w:t>
            </w:r>
            <w:r w:rsidRPr="00B87CC5">
              <w:t xml:space="preserve"> energy recovery from landfill disposal, </w:t>
            </w:r>
            <w:r w:rsidR="00824A11" w:rsidRPr="00B87CC5">
              <w:t xml:space="preserve">as well as bringing </w:t>
            </w:r>
            <w:r w:rsidRPr="00B87CC5">
              <w:t>a range of other benefits such as improv</w:t>
            </w:r>
            <w:r w:rsidR="00824A11" w:rsidRPr="00B87CC5">
              <w:t>ing</w:t>
            </w:r>
            <w:r w:rsidRPr="00B87CC5">
              <w:t xml:space="preserve"> odour and vector </w:t>
            </w:r>
            <w:proofErr w:type="gramStart"/>
            <w:r w:rsidRPr="00B87CC5">
              <w:t>control, and</w:t>
            </w:r>
            <w:proofErr w:type="gramEnd"/>
            <w:r w:rsidRPr="00B87CC5">
              <w:t xml:space="preserve"> reduc</w:t>
            </w:r>
            <w:r w:rsidR="00824A11" w:rsidRPr="00B87CC5">
              <w:t>ing</w:t>
            </w:r>
            <w:r w:rsidRPr="00B87CC5">
              <w:t xml:space="preserve"> health and environmental risks. Potential policy options designed alongside industry may </w:t>
            </w:r>
            <w:r w:rsidR="00824A11" w:rsidRPr="00B87CC5">
              <w:t>‘level</w:t>
            </w:r>
            <w:r w:rsidRPr="00B87CC5">
              <w:t xml:space="preserve"> the playing field</w:t>
            </w:r>
            <w:r w:rsidR="00824A11" w:rsidRPr="00B87CC5">
              <w:t>’</w:t>
            </w:r>
            <w:r w:rsidRPr="00B87CC5">
              <w:t xml:space="preserve"> for landfill operators </w:t>
            </w:r>
            <w:r w:rsidR="00824A11" w:rsidRPr="00B87CC5">
              <w:t xml:space="preserve">by </w:t>
            </w:r>
            <w:r w:rsidRPr="00B87CC5">
              <w:t xml:space="preserve">recognising their differing abilities to efficiently manage organic materials. </w:t>
            </w:r>
          </w:p>
          <w:p w14:paraId="245E6223" w14:textId="2546145F" w:rsidR="008447E4" w:rsidRPr="00B87CC5" w:rsidRDefault="00824A11" w:rsidP="00C63531">
            <w:pPr>
              <w:pStyle w:val="TableBullet"/>
            </w:pPr>
            <w:r w:rsidRPr="00B87CC5">
              <w:t>We will improve our</w:t>
            </w:r>
            <w:r w:rsidR="00C6664B" w:rsidRPr="00B87CC5">
              <w:t xml:space="preserve"> understanding of the overall impacts and volume of emissions produced by landfilling in </w:t>
            </w:r>
            <w:r w:rsidRPr="00B87CC5">
              <w:t>New Zealand</w:t>
            </w:r>
            <w:r w:rsidR="00C6664B" w:rsidRPr="00B87CC5">
              <w:t xml:space="preserve">, delivering on recommendations by </w:t>
            </w:r>
            <w:r w:rsidR="00CC7695" w:rsidRPr="00B87CC5">
              <w:t xml:space="preserve">United Nations Framework Convention on Climate Change </w:t>
            </w:r>
            <w:r w:rsidR="00C6664B" w:rsidRPr="00B87CC5">
              <w:t xml:space="preserve">expert reviewers to justify our current </w:t>
            </w:r>
            <w:r w:rsidRPr="00B87CC5">
              <w:t>LFG</w:t>
            </w:r>
            <w:r w:rsidR="00C6664B" w:rsidRPr="00B87CC5">
              <w:t xml:space="preserve"> capture recovery rates (as reported in the Greenhouse Gas Inventory).</w:t>
            </w:r>
          </w:p>
        </w:tc>
      </w:tr>
      <w:tr w:rsidR="00851655" w:rsidRPr="00B87CC5" w14:paraId="78889BFE" w14:textId="77777777" w:rsidTr="0464AED2">
        <w:trPr>
          <w:trHeight w:val="300"/>
        </w:trPr>
        <w:tc>
          <w:tcPr>
            <w:tcW w:w="1596" w:type="dxa"/>
            <w:vMerge/>
          </w:tcPr>
          <w:p w14:paraId="7536C85B" w14:textId="77777777" w:rsidR="008447E4" w:rsidRPr="00B87CC5" w:rsidRDefault="008447E4" w:rsidP="00AD7909">
            <w:pPr>
              <w:spacing w:before="0" w:after="0" w:line="240" w:lineRule="auto"/>
              <w:jc w:val="left"/>
              <w:textAlignment w:val="baseline"/>
              <w:rPr>
                <w:rFonts w:eastAsia="Times New Roman" w:cs="Calibri"/>
                <w:b/>
                <w:bCs/>
                <w:i/>
                <w:iCs/>
                <w:sz w:val="18"/>
                <w:szCs w:val="18"/>
              </w:rPr>
            </w:pPr>
          </w:p>
        </w:tc>
        <w:tc>
          <w:tcPr>
            <w:tcW w:w="3155" w:type="dxa"/>
            <w:gridSpan w:val="3"/>
            <w:shd w:val="clear" w:color="auto" w:fill="FFFFFF" w:themeFill="background1"/>
            <w:vAlign w:val="center"/>
          </w:tcPr>
          <w:p w14:paraId="51B137A1" w14:textId="228270BD" w:rsidR="008447E4" w:rsidRPr="00B87CC5" w:rsidRDefault="00270899" w:rsidP="000559EB">
            <w:pPr>
              <w:pStyle w:val="TableTextbold"/>
              <w:spacing w:before="40" w:after="40"/>
            </w:pPr>
            <w:r w:rsidRPr="00B87CC5">
              <w:t>Why</w:t>
            </w:r>
            <w:r w:rsidR="00646E12" w:rsidRPr="00B87CC5">
              <w:t xml:space="preserve"> this</w:t>
            </w:r>
            <w:r w:rsidRPr="00B87CC5">
              <w:t xml:space="preserve"> is complementary to the </w:t>
            </w:r>
            <w:r w:rsidR="00646E12" w:rsidRPr="00B87CC5">
              <w:t xml:space="preserve">NZ </w:t>
            </w:r>
            <w:r w:rsidRPr="00B87CC5">
              <w:t>ETS</w:t>
            </w:r>
          </w:p>
        </w:tc>
        <w:tc>
          <w:tcPr>
            <w:tcW w:w="9708" w:type="dxa"/>
            <w:gridSpan w:val="2"/>
            <w:shd w:val="clear" w:color="auto" w:fill="FFFFFF" w:themeFill="background1"/>
          </w:tcPr>
          <w:p w14:paraId="16AFFCF9" w14:textId="10193F5A" w:rsidR="008447E4" w:rsidRPr="00B87CC5" w:rsidRDefault="00C6664B" w:rsidP="00C63531">
            <w:pPr>
              <w:pStyle w:val="TableBullet"/>
            </w:pPr>
            <w:r w:rsidRPr="00B87CC5">
              <w:t xml:space="preserve">Improvements to the regulatory framework for landfills and </w:t>
            </w:r>
            <w:r w:rsidR="00552FF7" w:rsidRPr="00B87CC5">
              <w:t xml:space="preserve">LFG </w:t>
            </w:r>
            <w:r w:rsidRPr="00B87CC5">
              <w:t xml:space="preserve">capture systems would help </w:t>
            </w:r>
            <w:r w:rsidR="00552FF7" w:rsidRPr="00B87CC5">
              <w:t>to appropriately recognise</w:t>
            </w:r>
            <w:r w:rsidRPr="00B87CC5">
              <w:t xml:space="preserve"> operators</w:t>
            </w:r>
            <w:r w:rsidR="00552FF7" w:rsidRPr="00B87CC5">
              <w:t>’</w:t>
            </w:r>
            <w:r w:rsidRPr="00B87CC5">
              <w:t xml:space="preserve"> efforts </w:t>
            </w:r>
            <w:r w:rsidR="00552FF7" w:rsidRPr="00B87CC5">
              <w:t>to</w:t>
            </w:r>
            <w:r w:rsidRPr="00B87CC5" w:rsidDel="00552FF7">
              <w:t xml:space="preserve"> </w:t>
            </w:r>
            <w:r w:rsidR="00552FF7" w:rsidRPr="00B87CC5">
              <w:t xml:space="preserve">reduce </w:t>
            </w:r>
            <w:r w:rsidRPr="00B87CC5">
              <w:t>emissions through the</w:t>
            </w:r>
            <w:r w:rsidR="00552FF7" w:rsidRPr="00B87CC5">
              <w:t xml:space="preserve"> NZ</w:t>
            </w:r>
            <w:r w:rsidRPr="00B87CC5">
              <w:t xml:space="preserve"> ETS framework and </w:t>
            </w:r>
            <w:r w:rsidR="00552FF7" w:rsidRPr="00B87CC5">
              <w:t xml:space="preserve">to ensure </w:t>
            </w:r>
            <w:r w:rsidRPr="00B87CC5">
              <w:t xml:space="preserve">that the disposal sector is operating within a well-balanced regulatory system </w:t>
            </w:r>
            <w:r w:rsidR="00552FF7" w:rsidRPr="00B87CC5">
              <w:t>for</w:t>
            </w:r>
            <w:r w:rsidRPr="00B87CC5">
              <w:t xml:space="preserve"> landfill emissions.</w:t>
            </w:r>
          </w:p>
        </w:tc>
      </w:tr>
      <w:tr w:rsidR="00C2540A" w:rsidRPr="00B87CC5" w14:paraId="29E72395" w14:textId="77777777" w:rsidTr="000C3B28">
        <w:trPr>
          <w:trHeight w:val="615"/>
        </w:trPr>
        <w:tc>
          <w:tcPr>
            <w:tcW w:w="1596" w:type="dxa"/>
            <w:vMerge w:val="restart"/>
            <w:shd w:val="clear" w:color="auto" w:fill="D5EBE8" w:themeFill="accent3"/>
          </w:tcPr>
          <w:p w14:paraId="346C65E3" w14:textId="1DC49F67" w:rsidR="00C2540A" w:rsidRPr="00C63308" w:rsidRDefault="00C2540A" w:rsidP="000559EB">
            <w:pPr>
              <w:spacing w:before="40" w:after="0" w:line="240" w:lineRule="auto"/>
              <w:jc w:val="left"/>
              <w:textAlignment w:val="baseline"/>
              <w:rPr>
                <w:rFonts w:eastAsia="Times New Roman" w:cs="Calibri"/>
                <w:b/>
                <w:sz w:val="18"/>
                <w:szCs w:val="18"/>
              </w:rPr>
            </w:pPr>
            <w:r w:rsidRPr="00C63308">
              <w:rPr>
                <w:rFonts w:eastAsia="Times New Roman" w:cs="Calibri"/>
                <w:b/>
                <w:sz w:val="18"/>
                <w:szCs w:val="18"/>
              </w:rPr>
              <w:t xml:space="preserve">Forestry and </w:t>
            </w:r>
            <w:r w:rsidR="00552FF7" w:rsidRPr="00C63308">
              <w:rPr>
                <w:rFonts w:eastAsia="Times New Roman" w:cs="Calibri"/>
                <w:b/>
                <w:sz w:val="18"/>
                <w:szCs w:val="18"/>
              </w:rPr>
              <w:t>w</w:t>
            </w:r>
            <w:r w:rsidRPr="00C63308">
              <w:rPr>
                <w:rFonts w:eastAsia="Times New Roman" w:cs="Calibri"/>
                <w:b/>
                <w:sz w:val="18"/>
                <w:szCs w:val="18"/>
              </w:rPr>
              <w:t xml:space="preserve">ood </w:t>
            </w:r>
            <w:r w:rsidR="00552FF7" w:rsidRPr="00C63308">
              <w:rPr>
                <w:rFonts w:eastAsia="Times New Roman" w:cs="Calibri"/>
                <w:b/>
                <w:sz w:val="18"/>
                <w:szCs w:val="18"/>
              </w:rPr>
              <w:t>p</w:t>
            </w:r>
            <w:r w:rsidRPr="00C63308">
              <w:rPr>
                <w:rFonts w:eastAsia="Times New Roman" w:cs="Calibri"/>
                <w:b/>
                <w:sz w:val="18"/>
                <w:szCs w:val="18"/>
              </w:rPr>
              <w:t>rocessing</w:t>
            </w:r>
          </w:p>
          <w:p w14:paraId="78EAEA16" w14:textId="77777777" w:rsidR="00C2540A" w:rsidRPr="00B87CC5" w:rsidRDefault="00C2540A" w:rsidP="000559EB">
            <w:pPr>
              <w:spacing w:before="40" w:after="0" w:line="240" w:lineRule="auto"/>
              <w:jc w:val="left"/>
              <w:textAlignment w:val="baseline"/>
              <w:rPr>
                <w:rFonts w:eastAsia="Times New Roman" w:cs="Calibri"/>
                <w:sz w:val="18"/>
                <w:szCs w:val="18"/>
              </w:rPr>
            </w:pPr>
            <w:r w:rsidRPr="00B87CC5">
              <w:rPr>
                <w:rFonts w:eastAsia="Times New Roman" w:cs="Calibri"/>
                <w:sz w:val="18"/>
                <w:szCs w:val="18"/>
              </w:rPr>
              <w:t>Boosting wood processing</w:t>
            </w:r>
          </w:p>
        </w:tc>
        <w:tc>
          <w:tcPr>
            <w:tcW w:w="3155" w:type="dxa"/>
            <w:gridSpan w:val="3"/>
            <w:shd w:val="clear" w:color="auto" w:fill="FFFFFF" w:themeFill="background1"/>
          </w:tcPr>
          <w:p w14:paraId="67233AF0" w14:textId="77777777" w:rsidR="00C2540A" w:rsidRPr="00B87CC5" w:rsidRDefault="00C2540A">
            <w:pPr>
              <w:spacing w:before="0" w:after="0" w:line="240" w:lineRule="auto"/>
              <w:jc w:val="left"/>
              <w:textAlignment w:val="baseline"/>
              <w:rPr>
                <w:rFonts w:eastAsia="Times New Roman" w:cs="Calibri"/>
                <w:i/>
                <w:iCs/>
                <w:sz w:val="18"/>
                <w:szCs w:val="18"/>
              </w:rPr>
            </w:pPr>
            <w:r w:rsidRPr="00B87CC5">
              <w:rPr>
                <w:rFonts w:eastAsia="Times New Roman" w:cs="Calibri"/>
                <w:i/>
                <w:iCs/>
                <w:sz w:val="18"/>
                <w:szCs w:val="18"/>
              </w:rPr>
              <w:t>If we do the following now:</w:t>
            </w:r>
          </w:p>
          <w:p w14:paraId="4D98E739" w14:textId="7CA715EE" w:rsidR="00C2540A" w:rsidRPr="00B87CC5" w:rsidRDefault="008053FE" w:rsidP="00C63531">
            <w:pPr>
              <w:pStyle w:val="TableBullet"/>
            </w:pPr>
            <w:r w:rsidRPr="00B87CC5">
              <w:t>s</w:t>
            </w:r>
            <w:r w:rsidR="00C2540A" w:rsidRPr="00B87CC5">
              <w:t>treamlin</w:t>
            </w:r>
            <w:r w:rsidRPr="00B87CC5">
              <w:t>e</w:t>
            </w:r>
            <w:r w:rsidR="00C2540A" w:rsidRPr="00B87CC5">
              <w:t xml:space="preserve"> the consenting framework for wood</w:t>
            </w:r>
            <w:r w:rsidRPr="00B87CC5">
              <w:t>-</w:t>
            </w:r>
            <w:r w:rsidR="00C2540A" w:rsidRPr="00B87CC5">
              <w:t>processing facilities to provide</w:t>
            </w:r>
            <w:r w:rsidRPr="00B87CC5">
              <w:t xml:space="preserve"> the</w:t>
            </w:r>
            <w:r w:rsidR="00C2540A" w:rsidRPr="00B87CC5">
              <w:t xml:space="preserve"> market with </w:t>
            </w:r>
            <w:r w:rsidRPr="00B87CC5">
              <w:t xml:space="preserve">the </w:t>
            </w:r>
            <w:r w:rsidR="00C2540A" w:rsidRPr="00B87CC5">
              <w:t xml:space="preserve">certainty </w:t>
            </w:r>
            <w:r w:rsidRPr="00B87CC5">
              <w:t xml:space="preserve">it </w:t>
            </w:r>
            <w:r w:rsidR="00C2540A" w:rsidRPr="00B87CC5">
              <w:t>need</w:t>
            </w:r>
            <w:r w:rsidRPr="00B87CC5">
              <w:t>s</w:t>
            </w:r>
            <w:r w:rsidR="00C2540A" w:rsidRPr="00B87CC5">
              <w:t xml:space="preserve"> to expand production of harvested wood products (HWPs)</w:t>
            </w:r>
          </w:p>
          <w:p w14:paraId="7DEB4DF8" w14:textId="76B282B4" w:rsidR="00C2540A" w:rsidRPr="00B87CC5" w:rsidRDefault="008053FE" w:rsidP="00C63531">
            <w:pPr>
              <w:pStyle w:val="TableBullet"/>
            </w:pPr>
            <w:r w:rsidRPr="00B87CC5">
              <w:t>e</w:t>
            </w:r>
            <w:r w:rsidR="00C2540A" w:rsidRPr="00B87CC5">
              <w:t>nsur</w:t>
            </w:r>
            <w:r w:rsidRPr="00B87CC5">
              <w:t>e</w:t>
            </w:r>
            <w:r w:rsidR="00C2540A" w:rsidRPr="00B87CC5">
              <w:t xml:space="preserve"> the Wood Processing Growth Fund continues to support </w:t>
            </w:r>
            <w:r w:rsidR="00C2540A" w:rsidRPr="00B87CC5">
              <w:lastRenderedPageBreak/>
              <w:t>commercial investment in expanded domestic wood processing</w:t>
            </w:r>
          </w:p>
          <w:p w14:paraId="7D0F74F2" w14:textId="0709AD69" w:rsidR="00C2540A" w:rsidRPr="00B87CC5" w:rsidRDefault="008053FE" w:rsidP="00C63531">
            <w:pPr>
              <w:pStyle w:val="TableBullet"/>
              <w:rPr>
                <w:rFonts w:eastAsiaTheme="majorEastAsia" w:cs="Calibri"/>
                <w:b/>
                <w:bCs/>
                <w:sz w:val="20"/>
                <w:szCs w:val="20"/>
              </w:rPr>
            </w:pPr>
            <w:r w:rsidRPr="00B87CC5">
              <w:t>g</w:t>
            </w:r>
            <w:r w:rsidR="00C2540A" w:rsidRPr="00B87CC5">
              <w:t>et the building and construction regulatory system settings right to support building with wood</w:t>
            </w:r>
          </w:p>
        </w:tc>
        <w:tc>
          <w:tcPr>
            <w:tcW w:w="4180" w:type="dxa"/>
            <w:shd w:val="clear" w:color="auto" w:fill="FFFFFF" w:themeFill="background1"/>
          </w:tcPr>
          <w:p w14:paraId="55065323" w14:textId="194E39DD" w:rsidR="00C2540A" w:rsidRPr="00B87CC5" w:rsidRDefault="00552FF7">
            <w:pPr>
              <w:spacing w:before="0" w:after="0" w:line="240" w:lineRule="auto"/>
              <w:jc w:val="left"/>
              <w:textAlignment w:val="baseline"/>
              <w:rPr>
                <w:rFonts w:eastAsia="Times New Roman" w:cs="Calibri"/>
                <w:i/>
                <w:sz w:val="18"/>
                <w:szCs w:val="18"/>
              </w:rPr>
            </w:pPr>
            <w:r w:rsidRPr="00B87CC5">
              <w:rPr>
                <w:rFonts w:cs="Calibri"/>
                <w:i/>
                <w:iCs/>
                <w:sz w:val="18"/>
                <w:szCs w:val="18"/>
              </w:rPr>
              <w:lastRenderedPageBreak/>
              <w:t>… b</w:t>
            </w:r>
            <w:r w:rsidR="00C2540A" w:rsidRPr="00B87CC5">
              <w:rPr>
                <w:rFonts w:cs="Calibri"/>
                <w:i/>
                <w:iCs/>
                <w:sz w:val="18"/>
                <w:szCs w:val="18"/>
              </w:rPr>
              <w:t>y 2030 we can expect</w:t>
            </w:r>
            <w:r w:rsidR="00C2540A" w:rsidRPr="00B87CC5">
              <w:rPr>
                <w:rFonts w:eastAsia="Times New Roman" w:cs="Calibri"/>
                <w:i/>
                <w:sz w:val="18"/>
                <w:szCs w:val="18"/>
              </w:rPr>
              <w:t>:</w:t>
            </w:r>
          </w:p>
          <w:p w14:paraId="6EB03CDB" w14:textId="42C426C3" w:rsidR="00C2540A" w:rsidRPr="00B87CC5" w:rsidRDefault="008F78C0" w:rsidP="00C63531">
            <w:pPr>
              <w:pStyle w:val="TableBullet"/>
            </w:pPr>
            <w:r w:rsidRPr="00B87CC5">
              <w:t>r</w:t>
            </w:r>
            <w:r w:rsidR="00C2540A" w:rsidRPr="00B87CC5">
              <w:t>eduction in the cost and time taken to get consented for building or upgrading wood</w:t>
            </w:r>
            <w:r w:rsidRPr="00B87CC5">
              <w:t>-</w:t>
            </w:r>
            <w:r w:rsidR="00C2540A" w:rsidRPr="00B87CC5">
              <w:t>processing facilities</w:t>
            </w:r>
          </w:p>
          <w:p w14:paraId="7A1B80E9" w14:textId="4C8D5781" w:rsidR="00C2540A" w:rsidRPr="00B87CC5" w:rsidRDefault="008F78C0" w:rsidP="00C63531">
            <w:pPr>
              <w:pStyle w:val="TableBullet"/>
            </w:pPr>
            <w:r w:rsidRPr="00B87CC5">
              <w:t>h</w:t>
            </w:r>
            <w:r w:rsidR="00C2540A" w:rsidRPr="00B87CC5">
              <w:t>igher commercial investment in expanded domestic wood processing</w:t>
            </w:r>
          </w:p>
          <w:p w14:paraId="0C2D6575" w14:textId="1C87318B" w:rsidR="00C2540A" w:rsidRPr="00B87CC5" w:rsidRDefault="008F78C0" w:rsidP="00C63531">
            <w:pPr>
              <w:pStyle w:val="TableBullet"/>
            </w:pPr>
            <w:r w:rsidRPr="00B87CC5">
              <w:lastRenderedPageBreak/>
              <w:t>i</w:t>
            </w:r>
            <w:r w:rsidR="00C2540A" w:rsidRPr="00B87CC5">
              <w:t>ncreased domestic production of long-lived HWPs such as structural timber and engineered wood products</w:t>
            </w:r>
          </w:p>
          <w:p w14:paraId="4499E1E4" w14:textId="508E8E91" w:rsidR="00C2540A" w:rsidRPr="00B87CC5" w:rsidRDefault="008F78C0" w:rsidP="00C63531">
            <w:pPr>
              <w:pStyle w:val="TableBullet"/>
            </w:pPr>
            <w:r w:rsidRPr="00B87CC5">
              <w:t xml:space="preserve">the above trends to </w:t>
            </w:r>
            <w:r w:rsidR="00C2540A" w:rsidRPr="00B87CC5">
              <w:t>increase</w:t>
            </w:r>
            <w:r w:rsidRPr="00B87CC5">
              <w:t xml:space="preserve"> the</w:t>
            </w:r>
            <w:r w:rsidR="00C2540A" w:rsidRPr="00B87CC5">
              <w:t xml:space="preserve"> availability and affordability of HWP products, particularly for use as </w:t>
            </w:r>
            <w:proofErr w:type="gramStart"/>
            <w:r w:rsidR="00C2540A" w:rsidRPr="00B87CC5">
              <w:t>low-emission</w:t>
            </w:r>
            <w:r w:rsidRPr="00B87CC5">
              <w:t>s</w:t>
            </w:r>
            <w:proofErr w:type="gramEnd"/>
            <w:r w:rsidR="00C2540A" w:rsidRPr="00B87CC5">
              <w:t xml:space="preserve"> building materials</w:t>
            </w:r>
          </w:p>
          <w:p w14:paraId="5E7BBDFE" w14:textId="07BCAF07" w:rsidR="00C2540A" w:rsidRPr="00B87CC5" w:rsidRDefault="008F78C0" w:rsidP="00C63531">
            <w:pPr>
              <w:pStyle w:val="TableBullet"/>
            </w:pPr>
            <w:r w:rsidRPr="00B87CC5">
              <w:t>g</w:t>
            </w:r>
            <w:r w:rsidR="00C2540A" w:rsidRPr="00B87CC5">
              <w:t>reater uptake of HWPs in building and construction, moving away from more emissions-intensive construction materials</w:t>
            </w:r>
          </w:p>
          <w:p w14:paraId="4C34B521" w14:textId="6C9356EA" w:rsidR="00C2540A" w:rsidRPr="00B87CC5" w:rsidRDefault="00552FF7">
            <w:pPr>
              <w:spacing w:before="0" w:after="0"/>
              <w:jc w:val="left"/>
              <w:rPr>
                <w:rFonts w:cs="Calibri"/>
                <w:i/>
                <w:iCs/>
                <w:sz w:val="18"/>
                <w:szCs w:val="18"/>
              </w:rPr>
            </w:pPr>
            <w:r w:rsidRPr="00B87CC5">
              <w:rPr>
                <w:rFonts w:cs="Calibri"/>
                <w:i/>
                <w:iCs/>
                <w:sz w:val="18"/>
                <w:szCs w:val="18"/>
              </w:rPr>
              <w:t>… and b</w:t>
            </w:r>
            <w:r w:rsidR="00C2540A" w:rsidRPr="00B87CC5">
              <w:rPr>
                <w:rFonts w:cs="Calibri"/>
                <w:i/>
                <w:iCs/>
                <w:sz w:val="18"/>
                <w:szCs w:val="18"/>
              </w:rPr>
              <w:t>y 2050 we can expect:</w:t>
            </w:r>
          </w:p>
          <w:p w14:paraId="1D15967F" w14:textId="49D3EF44" w:rsidR="00C2540A" w:rsidRPr="00B87CC5" w:rsidRDefault="008F78C0" w:rsidP="00C63531">
            <w:pPr>
              <w:pStyle w:val="TableBullet"/>
            </w:pPr>
            <w:r w:rsidRPr="00B87CC5">
              <w:t>f</w:t>
            </w:r>
            <w:r w:rsidR="00C2540A" w:rsidRPr="00B87CC5">
              <w:t xml:space="preserve">urther expanded domestic wood processing and </w:t>
            </w:r>
            <w:r w:rsidRPr="00B87CC5">
              <w:t xml:space="preserve">an </w:t>
            </w:r>
            <w:r w:rsidR="00C2540A" w:rsidRPr="00B87CC5">
              <w:t>increase in long-lived HWPs</w:t>
            </w:r>
          </w:p>
          <w:p w14:paraId="603B4201" w14:textId="6EC21E10" w:rsidR="00C2540A" w:rsidRPr="00B87CC5" w:rsidRDefault="008F78C0" w:rsidP="00C63531">
            <w:pPr>
              <w:pStyle w:val="TableBullet"/>
              <w:rPr>
                <w:rFonts w:eastAsiaTheme="majorEastAsia" w:cs="Calibri"/>
                <w:sz w:val="20"/>
              </w:rPr>
            </w:pPr>
            <w:r w:rsidRPr="00B87CC5">
              <w:t>s</w:t>
            </w:r>
            <w:r w:rsidR="00C2540A" w:rsidRPr="00B87CC5">
              <w:t xml:space="preserve">ignificantly greater </w:t>
            </w:r>
            <w:r w:rsidRPr="00B87CC5">
              <w:t>up</w:t>
            </w:r>
            <w:r w:rsidR="00C2540A" w:rsidRPr="00B87CC5">
              <w:t>take</w:t>
            </w:r>
            <w:r w:rsidR="00C2540A" w:rsidRPr="00B87CC5" w:rsidDel="008F78C0">
              <w:t xml:space="preserve"> </w:t>
            </w:r>
            <w:r w:rsidR="00C2540A" w:rsidRPr="00B87CC5">
              <w:t>of engineered wood products and mass timber buildings in construction</w:t>
            </w:r>
          </w:p>
        </w:tc>
        <w:tc>
          <w:tcPr>
            <w:tcW w:w="5528" w:type="dxa"/>
            <w:shd w:val="clear" w:color="auto" w:fill="FFFFFF" w:themeFill="background1"/>
          </w:tcPr>
          <w:p w14:paraId="5C5FFF39" w14:textId="28083AB5" w:rsidR="00C2540A" w:rsidRPr="00B87CC5" w:rsidRDefault="00552FF7">
            <w:pPr>
              <w:spacing w:before="0" w:after="0" w:line="240" w:lineRule="auto"/>
              <w:jc w:val="left"/>
              <w:textAlignment w:val="baseline"/>
              <w:rPr>
                <w:rFonts w:eastAsia="Times New Roman" w:cs="Calibri"/>
                <w:i/>
                <w:sz w:val="18"/>
                <w:szCs w:val="18"/>
              </w:rPr>
            </w:pPr>
            <w:r w:rsidRPr="00B87CC5">
              <w:rPr>
                <w:rFonts w:cs="Calibri"/>
                <w:i/>
                <w:iCs/>
                <w:sz w:val="18"/>
                <w:szCs w:val="18"/>
              </w:rPr>
              <w:lastRenderedPageBreak/>
              <w:t>… and then in the second emissions budget,</w:t>
            </w:r>
            <w:r w:rsidR="00C2540A" w:rsidRPr="00B87CC5">
              <w:rPr>
                <w:rFonts w:cs="Calibri"/>
                <w:i/>
                <w:iCs/>
                <w:sz w:val="18"/>
                <w:szCs w:val="18"/>
              </w:rPr>
              <w:t xml:space="preserve"> this will lead to</w:t>
            </w:r>
            <w:r w:rsidR="00C2540A" w:rsidRPr="00B87CC5">
              <w:rPr>
                <w:rFonts w:eastAsia="Times New Roman" w:cs="Calibri"/>
                <w:i/>
                <w:sz w:val="18"/>
                <w:szCs w:val="18"/>
              </w:rPr>
              <w:t>:</w:t>
            </w:r>
          </w:p>
          <w:p w14:paraId="69CF05E5" w14:textId="2DE9A346" w:rsidR="00C2540A" w:rsidRPr="00B87CC5" w:rsidRDefault="00B4135A" w:rsidP="00C63531">
            <w:pPr>
              <w:pStyle w:val="TableBullet"/>
            </w:pPr>
            <w:r w:rsidRPr="00B87CC5">
              <w:t>s</w:t>
            </w:r>
            <w:r w:rsidR="00C2540A" w:rsidRPr="00B87CC5">
              <w:t>tronger support for increased production and therefore</w:t>
            </w:r>
            <w:r w:rsidRPr="00B87CC5">
              <w:t xml:space="preserve"> greater</w:t>
            </w:r>
            <w:r w:rsidR="00C2540A" w:rsidRPr="00B87CC5">
              <w:t xml:space="preserve"> availability of long-lived HWPs</w:t>
            </w:r>
          </w:p>
          <w:p w14:paraId="46221A60" w14:textId="0D0DA3BB" w:rsidR="00C2540A" w:rsidRPr="00B87CC5" w:rsidRDefault="00B4135A" w:rsidP="00C63531">
            <w:pPr>
              <w:pStyle w:val="TableBullet"/>
            </w:pPr>
            <w:r w:rsidRPr="00B87CC5">
              <w:t>g</w:t>
            </w:r>
            <w:r w:rsidR="00C2540A" w:rsidRPr="00B87CC5">
              <w:t xml:space="preserve">reater uptake of </w:t>
            </w:r>
            <w:proofErr w:type="gramStart"/>
            <w:r w:rsidR="00C2540A" w:rsidRPr="00B87CC5">
              <w:t>lower-emission</w:t>
            </w:r>
            <w:r w:rsidRPr="00B87CC5">
              <w:t>s</w:t>
            </w:r>
            <w:proofErr w:type="gramEnd"/>
            <w:r w:rsidR="00C2540A" w:rsidRPr="00B87CC5">
              <w:t xml:space="preserve"> building materials in construction</w:t>
            </w:r>
          </w:p>
          <w:p w14:paraId="255ABC34" w14:textId="70C050F4" w:rsidR="00C2540A" w:rsidRPr="00B87CC5" w:rsidRDefault="00B4135A" w:rsidP="00C63531">
            <w:pPr>
              <w:pStyle w:val="TableBullet"/>
            </w:pPr>
            <w:r w:rsidRPr="00B87CC5">
              <w:lastRenderedPageBreak/>
              <w:t>a p</w:t>
            </w:r>
            <w:r w:rsidR="00C2540A" w:rsidRPr="00B87CC5">
              <w:t>otential increase in carbon storage in long-lived HWPs</w:t>
            </w:r>
            <w:r w:rsidR="00C2540A" w:rsidRPr="00B87CC5">
              <w:rPr>
                <w:rStyle w:val="FootnoteReference"/>
              </w:rPr>
              <w:footnoteReference w:id="30"/>
            </w:r>
          </w:p>
          <w:p w14:paraId="24F2DCE0" w14:textId="1CEE9C80" w:rsidR="00C2540A" w:rsidRPr="00B87CC5" w:rsidRDefault="00552FF7">
            <w:pPr>
              <w:pStyle w:val="Bullet"/>
              <w:numPr>
                <w:ilvl w:val="0"/>
                <w:numId w:val="0"/>
              </w:numPr>
              <w:spacing w:after="0"/>
              <w:rPr>
                <w:rFonts w:cs="Calibri"/>
                <w:i/>
                <w:iCs/>
                <w:sz w:val="18"/>
                <w:szCs w:val="18"/>
              </w:rPr>
            </w:pPr>
            <w:r w:rsidRPr="00B87CC5">
              <w:rPr>
                <w:rFonts w:cs="Calibri"/>
                <w:i/>
                <w:iCs/>
                <w:sz w:val="18"/>
                <w:szCs w:val="18"/>
              </w:rPr>
              <w:t xml:space="preserve">… and then in </w:t>
            </w:r>
            <w:r w:rsidR="00C2540A" w:rsidRPr="00B87CC5">
              <w:rPr>
                <w:rFonts w:cs="Calibri"/>
                <w:i/>
                <w:iCs/>
                <w:sz w:val="18"/>
                <w:szCs w:val="18"/>
              </w:rPr>
              <w:t>future emissions budgets</w:t>
            </w:r>
            <w:r w:rsidRPr="00B87CC5">
              <w:rPr>
                <w:rFonts w:cs="Calibri"/>
                <w:i/>
                <w:iCs/>
                <w:sz w:val="18"/>
                <w:szCs w:val="18"/>
              </w:rPr>
              <w:t>,</w:t>
            </w:r>
            <w:r w:rsidR="00C2540A" w:rsidRPr="00B87CC5">
              <w:rPr>
                <w:rFonts w:cs="Calibri"/>
                <w:i/>
                <w:iCs/>
                <w:sz w:val="18"/>
                <w:szCs w:val="18"/>
              </w:rPr>
              <w:t xml:space="preserve"> this will lead to:</w:t>
            </w:r>
          </w:p>
          <w:p w14:paraId="141049E1" w14:textId="772730AD" w:rsidR="00C2540A" w:rsidRPr="00B87CC5" w:rsidRDefault="00B4135A" w:rsidP="00C63531">
            <w:pPr>
              <w:pStyle w:val="TableBullet"/>
            </w:pPr>
            <w:r w:rsidRPr="00B87CC5">
              <w:t>i</w:t>
            </w:r>
            <w:r w:rsidR="00C2540A" w:rsidRPr="00B87CC5">
              <w:t xml:space="preserve">ncreased production and therefore </w:t>
            </w:r>
            <w:r w:rsidRPr="00B87CC5">
              <w:t xml:space="preserve">greater </w:t>
            </w:r>
            <w:r w:rsidR="00C2540A" w:rsidRPr="00B87CC5">
              <w:t>availability of long-lived HWPs</w:t>
            </w:r>
          </w:p>
          <w:p w14:paraId="4FEF01AC" w14:textId="0BB80BEC" w:rsidR="00C2540A" w:rsidRPr="00B87CC5" w:rsidRDefault="00B4135A" w:rsidP="00C63531">
            <w:pPr>
              <w:pStyle w:val="TableBullet"/>
            </w:pPr>
            <w:r w:rsidRPr="00B87CC5">
              <w:t>f</w:t>
            </w:r>
            <w:r w:rsidR="00C2540A" w:rsidRPr="00B87CC5">
              <w:t xml:space="preserve">urther transition toward </w:t>
            </w:r>
            <w:proofErr w:type="gramStart"/>
            <w:r w:rsidR="00C2540A" w:rsidRPr="00B87CC5">
              <w:t>low-emission</w:t>
            </w:r>
            <w:r w:rsidRPr="00B87CC5">
              <w:t>s</w:t>
            </w:r>
            <w:proofErr w:type="gramEnd"/>
            <w:r w:rsidR="00C2540A" w:rsidRPr="00B87CC5">
              <w:t xml:space="preserve"> building materials in construction</w:t>
            </w:r>
          </w:p>
          <w:p w14:paraId="1F200186" w14:textId="2EAE0BA4" w:rsidR="00C2540A" w:rsidRPr="00B87CC5" w:rsidRDefault="00B4135A" w:rsidP="00C63531">
            <w:pPr>
              <w:pStyle w:val="TableBullet"/>
              <w:rPr>
                <w:rFonts w:eastAsiaTheme="majorEastAsia" w:cs="Calibri"/>
                <w:szCs w:val="18"/>
              </w:rPr>
            </w:pPr>
            <w:r w:rsidRPr="00B87CC5">
              <w:t>i</w:t>
            </w:r>
            <w:r w:rsidR="00C2540A" w:rsidRPr="00B87CC5">
              <w:t>ncreased carbon storage in long-lived HWPs.</w:t>
            </w:r>
          </w:p>
        </w:tc>
      </w:tr>
      <w:tr w:rsidR="00851655" w:rsidRPr="00B87CC5" w14:paraId="43CB119B" w14:textId="77777777" w:rsidTr="0464AED2">
        <w:trPr>
          <w:trHeight w:val="300"/>
        </w:trPr>
        <w:tc>
          <w:tcPr>
            <w:tcW w:w="1596" w:type="dxa"/>
            <w:vMerge/>
          </w:tcPr>
          <w:p w14:paraId="234CE3EC"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57D09193" w14:textId="6601612D" w:rsidR="00C2540A" w:rsidRPr="00B87CC5" w:rsidRDefault="00C2540A" w:rsidP="000559EB">
            <w:pPr>
              <w:pStyle w:val="TableTextbold"/>
              <w:spacing w:before="40" w:after="40"/>
              <w:rPr>
                <w:szCs w:val="18"/>
              </w:rPr>
            </w:pPr>
            <w:r w:rsidRPr="00B87CC5">
              <w:t xml:space="preserve">Assumptions and </w:t>
            </w:r>
            <w:r w:rsidR="00B4135A" w:rsidRPr="00B87CC5">
              <w:t>d</w:t>
            </w:r>
            <w:r w:rsidRPr="00B87CC5">
              <w:t>ependencies </w:t>
            </w:r>
          </w:p>
        </w:tc>
        <w:tc>
          <w:tcPr>
            <w:tcW w:w="11030" w:type="dxa"/>
            <w:gridSpan w:val="3"/>
            <w:shd w:val="clear" w:color="auto" w:fill="FFFFFF" w:themeFill="background1"/>
          </w:tcPr>
          <w:p w14:paraId="776DA11F" w14:textId="5DF9E9F1" w:rsidR="00C2540A" w:rsidRPr="00B87CC5" w:rsidRDefault="00C2540A" w:rsidP="00C63531">
            <w:pPr>
              <w:pStyle w:val="TableBullet"/>
            </w:pPr>
            <w:r w:rsidRPr="00B87CC5">
              <w:t>Production of long-lived HWPs as low-emission</w:t>
            </w:r>
            <w:r w:rsidR="00B4135A" w:rsidRPr="00B87CC5">
              <w:t>s</w:t>
            </w:r>
            <w:r w:rsidRPr="00B87CC5">
              <w:t xml:space="preserve"> building materials can displace </w:t>
            </w:r>
            <w:r w:rsidR="00B4135A" w:rsidRPr="00B87CC5">
              <w:t xml:space="preserve">existing </w:t>
            </w:r>
            <w:r w:rsidRPr="00B87CC5">
              <w:t>emission</w:t>
            </w:r>
            <w:r w:rsidR="00B4135A" w:rsidRPr="00B87CC5">
              <w:t>s</w:t>
            </w:r>
            <w:r w:rsidRPr="00B87CC5">
              <w:t xml:space="preserve">-intensive building materials. </w:t>
            </w:r>
          </w:p>
        </w:tc>
      </w:tr>
      <w:tr w:rsidR="00851655" w:rsidRPr="00B87CC5" w14:paraId="19A4A93C" w14:textId="77777777" w:rsidTr="0464AED2">
        <w:trPr>
          <w:trHeight w:val="300"/>
        </w:trPr>
        <w:tc>
          <w:tcPr>
            <w:tcW w:w="1596" w:type="dxa"/>
            <w:vMerge/>
          </w:tcPr>
          <w:p w14:paraId="606F3E26"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26B025A7" w14:textId="77777777" w:rsidR="00C2540A" w:rsidRPr="00B87CC5" w:rsidRDefault="00C2540A" w:rsidP="000559EB">
            <w:pPr>
              <w:pStyle w:val="TableTextbold"/>
              <w:spacing w:before="40" w:after="40"/>
            </w:pPr>
            <w:r w:rsidRPr="00B87CC5">
              <w:t>Other benefits </w:t>
            </w:r>
          </w:p>
        </w:tc>
        <w:tc>
          <w:tcPr>
            <w:tcW w:w="11030" w:type="dxa"/>
            <w:gridSpan w:val="3"/>
            <w:shd w:val="clear" w:color="auto" w:fill="FFFFFF" w:themeFill="background1"/>
          </w:tcPr>
          <w:p w14:paraId="4EA13615" w14:textId="6261F346" w:rsidR="00C2540A" w:rsidRPr="00B87CC5" w:rsidRDefault="00C2540A" w:rsidP="00C63531">
            <w:pPr>
              <w:pStyle w:val="TableBullet"/>
            </w:pPr>
            <w:r w:rsidRPr="00B87CC5">
              <w:t xml:space="preserve">By supporting increased processing capacity, </w:t>
            </w:r>
            <w:r w:rsidR="00B31342" w:rsidRPr="00B87CC5">
              <w:t xml:space="preserve">the growth in </w:t>
            </w:r>
            <w:r w:rsidRPr="00B87CC5">
              <w:t xml:space="preserve">domestic demand and production supports the Government’s goal to double the value of exports. </w:t>
            </w:r>
          </w:p>
        </w:tc>
      </w:tr>
      <w:tr w:rsidR="00851655" w:rsidRPr="00B87CC5" w14:paraId="64AFC547" w14:textId="77777777" w:rsidTr="0464AED2">
        <w:trPr>
          <w:trHeight w:val="300"/>
        </w:trPr>
        <w:tc>
          <w:tcPr>
            <w:tcW w:w="1596" w:type="dxa"/>
            <w:vMerge/>
          </w:tcPr>
          <w:p w14:paraId="5CFD21F6"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vAlign w:val="center"/>
          </w:tcPr>
          <w:p w14:paraId="760CB8EC" w14:textId="437BF787" w:rsidR="00C2540A" w:rsidRPr="00B87CC5" w:rsidRDefault="00C2540A" w:rsidP="000559EB">
            <w:pPr>
              <w:pStyle w:val="TableTextbold"/>
              <w:spacing w:before="40" w:after="40"/>
            </w:pPr>
            <w:r w:rsidRPr="00B87CC5">
              <w:t xml:space="preserve">Why this </w:t>
            </w:r>
            <w:r w:rsidR="00B4135A" w:rsidRPr="00B87CC5">
              <w:t xml:space="preserve">is </w:t>
            </w:r>
            <w:r w:rsidRPr="00B87CC5">
              <w:t>complementary to the NZ ETS</w:t>
            </w:r>
          </w:p>
        </w:tc>
        <w:tc>
          <w:tcPr>
            <w:tcW w:w="11030" w:type="dxa"/>
            <w:gridSpan w:val="3"/>
            <w:shd w:val="clear" w:color="auto" w:fill="FFFFFF" w:themeFill="background1"/>
          </w:tcPr>
          <w:p w14:paraId="611F3EC7" w14:textId="4EA6A975" w:rsidR="00C2540A" w:rsidRPr="00B87CC5" w:rsidRDefault="00C2540A" w:rsidP="00C63531">
            <w:pPr>
              <w:pStyle w:val="TableBullet"/>
            </w:pPr>
            <w:r w:rsidRPr="00B87CC5">
              <w:t>These are enabling policies that address</w:t>
            </w:r>
            <w:r w:rsidR="00856ACE" w:rsidRPr="00B87CC5">
              <w:t xml:space="preserve"> both</w:t>
            </w:r>
            <w:r w:rsidRPr="00B87CC5">
              <w:t xml:space="preserve"> known barriers to increasing production (cost of investment in processing, access to capital) and known regulatory and standards barriers to greater uptake of low-emission</w:t>
            </w:r>
            <w:r w:rsidR="00B31342" w:rsidRPr="00B87CC5">
              <w:t>s</w:t>
            </w:r>
            <w:r w:rsidRPr="00B87CC5">
              <w:t xml:space="preserve"> wood products in building and construction. On balance</w:t>
            </w:r>
            <w:r w:rsidR="00B31342" w:rsidRPr="00B87CC5">
              <w:t>,</w:t>
            </w:r>
            <w:r w:rsidRPr="00B87CC5">
              <w:t xml:space="preserve"> the</w:t>
            </w:r>
            <w:r w:rsidR="00856ACE" w:rsidRPr="00B87CC5">
              <w:t>se policies</w:t>
            </w:r>
            <w:r w:rsidRPr="00B87CC5">
              <w:t xml:space="preserve"> should further reduce the total system costs of building with wood and particularly</w:t>
            </w:r>
            <w:r w:rsidR="00856ACE" w:rsidRPr="00B87CC5">
              <w:t xml:space="preserve"> with</w:t>
            </w:r>
            <w:r w:rsidRPr="00B87CC5">
              <w:t xml:space="preserve"> innovative products like engineered timber, </w:t>
            </w:r>
            <w:r w:rsidR="00856ACE" w:rsidRPr="00B87CC5">
              <w:t xml:space="preserve">which will </w:t>
            </w:r>
            <w:r w:rsidRPr="00B87CC5">
              <w:t xml:space="preserve">progress key system transition effects such as learning-by-doing and </w:t>
            </w:r>
            <w:r w:rsidR="00856ACE" w:rsidRPr="00B87CC5">
              <w:t xml:space="preserve">increase </w:t>
            </w:r>
            <w:r w:rsidRPr="00B87CC5">
              <w:t>acceptance</w:t>
            </w:r>
            <w:r w:rsidR="00856ACE" w:rsidRPr="00B87CC5">
              <w:t xml:space="preserve"> </w:t>
            </w:r>
            <w:r w:rsidR="00B31342" w:rsidRPr="00B87CC5">
              <w:t>of</w:t>
            </w:r>
            <w:r w:rsidRPr="00B87CC5">
              <w:t xml:space="preserve"> and familiarity with these low-emission</w:t>
            </w:r>
            <w:r w:rsidR="00B31342" w:rsidRPr="00B87CC5">
              <w:t>s</w:t>
            </w:r>
            <w:r w:rsidRPr="00B87CC5">
              <w:t xml:space="preserve"> products across building design, construction and consenting.</w:t>
            </w:r>
            <w:r w:rsidR="00E4003E" w:rsidRPr="00B87CC5">
              <w:t xml:space="preserve"> </w:t>
            </w:r>
          </w:p>
          <w:p w14:paraId="06B83AAD" w14:textId="5C879A39" w:rsidR="00C2540A" w:rsidRPr="00B87CC5" w:rsidRDefault="00C2540A" w:rsidP="008A76D3">
            <w:pPr>
              <w:pStyle w:val="TableBullet"/>
              <w:spacing w:after="40"/>
              <w:rPr>
                <w:rFonts w:eastAsiaTheme="majorEastAsia" w:cs="Calibri"/>
                <w:szCs w:val="18"/>
              </w:rPr>
            </w:pPr>
            <w:r w:rsidRPr="00B87CC5">
              <w:lastRenderedPageBreak/>
              <w:t xml:space="preserve">Removing barriers and improving structural conditions will allow mass timber to compete with </w:t>
            </w:r>
            <w:r w:rsidR="00856ACE" w:rsidRPr="00B87CC5">
              <w:t xml:space="preserve">existing </w:t>
            </w:r>
            <w:r w:rsidRPr="00B87CC5">
              <w:t>emission</w:t>
            </w:r>
            <w:r w:rsidR="00856ACE" w:rsidRPr="00B87CC5">
              <w:t>s</w:t>
            </w:r>
            <w:r w:rsidRPr="00B87CC5">
              <w:t xml:space="preserve">-intensive </w:t>
            </w:r>
            <w:r w:rsidR="00856ACE" w:rsidRPr="00B87CC5">
              <w:t xml:space="preserve">building materials </w:t>
            </w:r>
            <w:r w:rsidRPr="00B87CC5">
              <w:t>at the margin.</w:t>
            </w:r>
          </w:p>
        </w:tc>
      </w:tr>
      <w:tr w:rsidR="00851655" w:rsidRPr="00B87CC5" w14:paraId="48158C73" w14:textId="77777777" w:rsidTr="000C3B28">
        <w:trPr>
          <w:trHeight w:val="300"/>
        </w:trPr>
        <w:tc>
          <w:tcPr>
            <w:tcW w:w="1596" w:type="dxa"/>
            <w:vMerge w:val="restart"/>
            <w:shd w:val="clear" w:color="auto" w:fill="D2DDE1" w:themeFill="background2"/>
          </w:tcPr>
          <w:p w14:paraId="46302B1B" w14:textId="77777777" w:rsidR="00C2540A" w:rsidRPr="00C63308" w:rsidRDefault="00C2540A" w:rsidP="00093E04">
            <w:pPr>
              <w:spacing w:before="40" w:after="0" w:line="240" w:lineRule="auto"/>
              <w:jc w:val="left"/>
              <w:textAlignment w:val="baseline"/>
              <w:rPr>
                <w:rFonts w:eastAsia="Times New Roman" w:cs="Calibri"/>
                <w:b/>
                <w:sz w:val="18"/>
                <w:szCs w:val="18"/>
              </w:rPr>
            </w:pPr>
            <w:r w:rsidRPr="00C63308">
              <w:rPr>
                <w:rFonts w:eastAsia="Times New Roman" w:cs="Calibri"/>
                <w:b/>
                <w:sz w:val="18"/>
                <w:szCs w:val="18"/>
              </w:rPr>
              <w:lastRenderedPageBreak/>
              <w:t>Non-forestry removals</w:t>
            </w:r>
          </w:p>
          <w:p w14:paraId="31C0D286" w14:textId="77777777" w:rsidR="00C2540A" w:rsidRPr="00B87CC5" w:rsidRDefault="00C2540A" w:rsidP="00093E04">
            <w:pPr>
              <w:spacing w:before="60" w:after="0" w:line="240" w:lineRule="auto"/>
              <w:jc w:val="left"/>
              <w:textAlignment w:val="baseline"/>
              <w:rPr>
                <w:rFonts w:eastAsia="Times New Roman" w:cs="Calibri"/>
                <w:sz w:val="18"/>
                <w:szCs w:val="18"/>
              </w:rPr>
            </w:pPr>
            <w:r w:rsidRPr="00B87CC5">
              <w:rPr>
                <w:rFonts w:eastAsia="Times New Roman" w:cs="Calibri"/>
                <w:sz w:val="18"/>
                <w:szCs w:val="18"/>
              </w:rPr>
              <w:t>Recognise non-forest carbon removals</w:t>
            </w:r>
          </w:p>
        </w:tc>
        <w:tc>
          <w:tcPr>
            <w:tcW w:w="3155" w:type="dxa"/>
            <w:gridSpan w:val="3"/>
            <w:shd w:val="clear" w:color="auto" w:fill="FFFFFF" w:themeFill="background1"/>
          </w:tcPr>
          <w:p w14:paraId="4D5921D1" w14:textId="77777777" w:rsidR="00C2540A" w:rsidRPr="00B87CC5" w:rsidRDefault="00C2540A">
            <w:pPr>
              <w:spacing w:before="0" w:after="0" w:line="240" w:lineRule="auto"/>
              <w:jc w:val="left"/>
              <w:textAlignment w:val="baseline"/>
              <w:rPr>
                <w:rFonts w:eastAsia="Times New Roman" w:cs="Calibri"/>
                <w:i/>
                <w:iCs/>
                <w:sz w:val="18"/>
                <w:szCs w:val="18"/>
              </w:rPr>
            </w:pPr>
            <w:r w:rsidRPr="00B87CC5">
              <w:rPr>
                <w:rFonts w:eastAsia="Times New Roman" w:cs="Calibri"/>
                <w:i/>
                <w:iCs/>
                <w:sz w:val="18"/>
                <w:szCs w:val="18"/>
              </w:rPr>
              <w:t>If we do the following now:</w:t>
            </w:r>
          </w:p>
          <w:p w14:paraId="6F731F2C" w14:textId="59347052" w:rsidR="00C2540A" w:rsidRPr="00B87CC5" w:rsidRDefault="00856ACE" w:rsidP="00C63531">
            <w:pPr>
              <w:pStyle w:val="TableBullet"/>
            </w:pPr>
            <w:r w:rsidRPr="00B87CC5">
              <w:t>e</w:t>
            </w:r>
            <w:r w:rsidR="00C2540A" w:rsidRPr="00B87CC5">
              <w:t xml:space="preserve">xpand target accounting in the </w:t>
            </w:r>
            <w:r w:rsidRPr="00B87CC5">
              <w:t>Nationally Determined Contribution (</w:t>
            </w:r>
            <w:r w:rsidR="00C2540A" w:rsidRPr="00B87CC5">
              <w:t>NDC</w:t>
            </w:r>
            <w:r w:rsidRPr="00B87CC5">
              <w:t>)</w:t>
            </w:r>
            <w:r w:rsidR="00C2540A" w:rsidRPr="00B87CC5">
              <w:t xml:space="preserve"> to include non-forest land uses</w:t>
            </w:r>
          </w:p>
          <w:p w14:paraId="2E7FC96E" w14:textId="4BC5DE0B" w:rsidR="00C2540A" w:rsidRPr="00B87CC5" w:rsidRDefault="00856ACE" w:rsidP="00C63531">
            <w:pPr>
              <w:pStyle w:val="TableBullet"/>
            </w:pPr>
            <w:r w:rsidRPr="00B87CC5">
              <w:t>d</w:t>
            </w:r>
            <w:r w:rsidR="00C2540A" w:rsidRPr="00B87CC5">
              <w:t>evelop methodologies to measure and report non-forestry removal activities</w:t>
            </w:r>
          </w:p>
          <w:p w14:paraId="1EAFCD38" w14:textId="0AF0D7E6" w:rsidR="00C2540A" w:rsidRPr="00B87CC5" w:rsidRDefault="00856ACE" w:rsidP="00C63531">
            <w:pPr>
              <w:pStyle w:val="TableBullet"/>
              <w:rPr>
                <w:rFonts w:eastAsiaTheme="majorEastAsia" w:cs="Calibri"/>
                <w:b/>
                <w:bCs/>
                <w:sz w:val="20"/>
                <w:szCs w:val="20"/>
              </w:rPr>
            </w:pPr>
            <w:r w:rsidRPr="00B87CC5">
              <w:t>i</w:t>
            </w:r>
            <w:r w:rsidR="00C2540A" w:rsidRPr="00B87CC5">
              <w:t>dentify and develop appropriate mechanisms to recognise non-forest sequestration activities</w:t>
            </w:r>
          </w:p>
        </w:tc>
        <w:tc>
          <w:tcPr>
            <w:tcW w:w="4180" w:type="dxa"/>
            <w:shd w:val="clear" w:color="auto" w:fill="FFFFFF" w:themeFill="background1"/>
          </w:tcPr>
          <w:p w14:paraId="59609769" w14:textId="54973D43" w:rsidR="00C2540A" w:rsidRPr="00B87CC5" w:rsidRDefault="00856ACE">
            <w:pPr>
              <w:spacing w:before="0" w:after="0" w:line="240" w:lineRule="auto"/>
              <w:jc w:val="left"/>
              <w:textAlignment w:val="baseline"/>
              <w:rPr>
                <w:rFonts w:eastAsia="Times New Roman" w:cs="Calibri"/>
                <w:i/>
                <w:sz w:val="18"/>
                <w:szCs w:val="18"/>
              </w:rPr>
            </w:pPr>
            <w:r w:rsidRPr="00B87CC5">
              <w:rPr>
                <w:rFonts w:cs="Calibri"/>
                <w:i/>
                <w:sz w:val="18"/>
                <w:szCs w:val="18"/>
              </w:rPr>
              <w:t>… b</w:t>
            </w:r>
            <w:r w:rsidR="00C2540A" w:rsidRPr="00B87CC5">
              <w:rPr>
                <w:rFonts w:cs="Calibri"/>
                <w:i/>
                <w:sz w:val="18"/>
                <w:szCs w:val="18"/>
              </w:rPr>
              <w:t>y 2030 we can expect</w:t>
            </w:r>
            <w:r w:rsidR="00C2540A" w:rsidRPr="00B87CC5">
              <w:rPr>
                <w:rFonts w:eastAsia="Times New Roman" w:cs="Calibri"/>
                <w:i/>
                <w:sz w:val="18"/>
                <w:szCs w:val="18"/>
              </w:rPr>
              <w:t>:</w:t>
            </w:r>
          </w:p>
          <w:p w14:paraId="699D8E94" w14:textId="491621B6" w:rsidR="00C2540A" w:rsidRPr="00B87CC5" w:rsidRDefault="00856ACE" w:rsidP="008A76D3">
            <w:pPr>
              <w:pStyle w:val="TableBullet"/>
              <w:spacing w:after="40"/>
              <w:rPr>
                <w:rFonts w:cstheme="minorHAnsi"/>
              </w:rPr>
            </w:pPr>
            <w:r w:rsidRPr="00B87CC5">
              <w:t>i</w:t>
            </w:r>
            <w:r w:rsidR="00C2540A" w:rsidRPr="00B87CC5">
              <w:t xml:space="preserve">ncreased interest from </w:t>
            </w:r>
            <w:proofErr w:type="gramStart"/>
            <w:r w:rsidR="00C2540A" w:rsidRPr="00B87CC5">
              <w:t>land</w:t>
            </w:r>
            <w:r w:rsidRPr="00B87CC5">
              <w:t xml:space="preserve"> </w:t>
            </w:r>
            <w:r w:rsidR="00C2540A" w:rsidRPr="00B87CC5">
              <w:t>owners</w:t>
            </w:r>
            <w:proofErr w:type="gramEnd"/>
            <w:r w:rsidR="00C2540A" w:rsidRPr="00B87CC5">
              <w:t xml:space="preserve"> and business</w:t>
            </w:r>
            <w:r w:rsidRPr="00B87CC5">
              <w:t>es</w:t>
            </w:r>
            <w:r w:rsidR="00C2540A" w:rsidRPr="00B87CC5">
              <w:t xml:space="preserve"> to invest in non-forest removal activities </w:t>
            </w:r>
          </w:p>
          <w:p w14:paraId="5C73B222" w14:textId="71180BF2" w:rsidR="00C2540A" w:rsidRPr="00B87CC5" w:rsidRDefault="00856ACE" w:rsidP="008A76D3">
            <w:pPr>
              <w:pStyle w:val="TableBullet"/>
              <w:spacing w:after="40"/>
              <w:rPr>
                <w:rFonts w:cstheme="minorHAnsi"/>
              </w:rPr>
            </w:pPr>
            <w:r w:rsidRPr="00B87CC5">
              <w:t>t</w:t>
            </w:r>
            <w:r w:rsidR="00C2540A" w:rsidRPr="00B87CC5">
              <w:t xml:space="preserve">his </w:t>
            </w:r>
            <w:r w:rsidRPr="00B87CC5">
              <w:t xml:space="preserve">increased interest </w:t>
            </w:r>
            <w:r w:rsidR="00C2540A" w:rsidRPr="00B87CC5">
              <w:t>could lead to increased investment in these types of removal activities</w:t>
            </w:r>
          </w:p>
          <w:p w14:paraId="5D85B18B" w14:textId="4F8BF63A" w:rsidR="00C2540A" w:rsidRPr="00B87CC5" w:rsidRDefault="00856ACE" w:rsidP="008A76D3">
            <w:pPr>
              <w:pStyle w:val="TableBullet"/>
              <w:spacing w:after="40"/>
              <w:rPr>
                <w:rFonts w:cstheme="minorHAnsi"/>
              </w:rPr>
            </w:pPr>
            <w:r w:rsidRPr="00B87CC5">
              <w:t>i</w:t>
            </w:r>
            <w:r w:rsidR="00C2540A" w:rsidRPr="00B87CC5">
              <w:t>ncentiv</w:t>
            </w:r>
            <w:r w:rsidRPr="00B87CC5">
              <w:t>es to</w:t>
            </w:r>
            <w:r w:rsidR="00C2540A" w:rsidRPr="00B87CC5">
              <w:t xml:space="preserve"> protect existing removal land categories</w:t>
            </w:r>
          </w:p>
          <w:p w14:paraId="6CF9109D" w14:textId="4771F6D9" w:rsidR="00C2540A" w:rsidRPr="00B87CC5" w:rsidRDefault="00856ACE" w:rsidP="008A76D3">
            <w:pPr>
              <w:spacing w:before="0" w:after="40"/>
              <w:jc w:val="left"/>
              <w:rPr>
                <w:rFonts w:cs="Calibri"/>
                <w:i/>
                <w:sz w:val="18"/>
                <w:szCs w:val="18"/>
              </w:rPr>
            </w:pPr>
            <w:r w:rsidRPr="00B87CC5">
              <w:rPr>
                <w:rFonts w:cs="Calibri"/>
                <w:i/>
                <w:sz w:val="18"/>
                <w:szCs w:val="18"/>
              </w:rPr>
              <w:t>… and b</w:t>
            </w:r>
            <w:r w:rsidR="00C2540A" w:rsidRPr="00B87CC5">
              <w:rPr>
                <w:rFonts w:cs="Calibri"/>
                <w:i/>
                <w:sz w:val="18"/>
                <w:szCs w:val="18"/>
              </w:rPr>
              <w:t>y 2050 we can expect:</w:t>
            </w:r>
          </w:p>
          <w:p w14:paraId="29FF3F30" w14:textId="02DA15F2" w:rsidR="00C2540A" w:rsidRPr="00B87CC5" w:rsidRDefault="0085786E" w:rsidP="008A76D3">
            <w:pPr>
              <w:pStyle w:val="TableBullet"/>
              <w:spacing w:after="40"/>
              <w:rPr>
                <w:rFonts w:cstheme="minorHAnsi"/>
              </w:rPr>
            </w:pPr>
            <w:r w:rsidRPr="00B87CC5">
              <w:t>a</w:t>
            </w:r>
            <w:r w:rsidR="00C2540A" w:rsidRPr="00B87CC5">
              <w:t>ll land</w:t>
            </w:r>
            <w:r w:rsidRPr="00B87CC5">
              <w:t>-</w:t>
            </w:r>
            <w:r w:rsidR="00C2540A" w:rsidRPr="00B87CC5">
              <w:t xml:space="preserve">use categories </w:t>
            </w:r>
            <w:r w:rsidRPr="00B87CC5">
              <w:t xml:space="preserve">to be </w:t>
            </w:r>
            <w:r w:rsidR="00C2540A" w:rsidRPr="00B87CC5">
              <w:t>measured, accounted for and incentivised through suitable, high</w:t>
            </w:r>
            <w:r w:rsidRPr="00B87CC5">
              <w:t>-</w:t>
            </w:r>
            <w:r w:rsidR="00C2540A" w:rsidRPr="00B87CC5">
              <w:t xml:space="preserve">integrity mechanisms </w:t>
            </w:r>
          </w:p>
          <w:p w14:paraId="4027DA7F" w14:textId="03888E81" w:rsidR="00C2540A" w:rsidRPr="00B87CC5" w:rsidRDefault="0085786E" w:rsidP="008A76D3">
            <w:pPr>
              <w:pStyle w:val="TableBullet"/>
              <w:spacing w:after="40"/>
              <w:rPr>
                <w:szCs w:val="18"/>
              </w:rPr>
            </w:pPr>
            <w:r w:rsidRPr="00B87CC5">
              <w:t>r</w:t>
            </w:r>
            <w:r w:rsidR="00C2540A" w:rsidRPr="00B87CC5">
              <w:t>estoration of degraded land categories such as wetlands and peatlands</w:t>
            </w:r>
          </w:p>
        </w:tc>
        <w:tc>
          <w:tcPr>
            <w:tcW w:w="5528" w:type="dxa"/>
            <w:shd w:val="clear" w:color="auto" w:fill="FFFFFF" w:themeFill="background1"/>
          </w:tcPr>
          <w:p w14:paraId="53F60D9B" w14:textId="28CF9713" w:rsidR="00C2540A" w:rsidRPr="00B87CC5" w:rsidRDefault="00856ACE">
            <w:pPr>
              <w:spacing w:before="0" w:after="0" w:line="240" w:lineRule="auto"/>
              <w:jc w:val="left"/>
              <w:textAlignment w:val="baseline"/>
              <w:rPr>
                <w:rFonts w:eastAsia="Times New Roman" w:cs="Calibri"/>
                <w:i/>
                <w:sz w:val="18"/>
                <w:szCs w:val="18"/>
              </w:rPr>
            </w:pPr>
            <w:r w:rsidRPr="00B87CC5">
              <w:rPr>
                <w:rFonts w:cs="Calibri"/>
                <w:i/>
                <w:sz w:val="18"/>
                <w:szCs w:val="18"/>
              </w:rPr>
              <w:t>… and then in the second emissions budget,</w:t>
            </w:r>
            <w:r w:rsidR="00C2540A" w:rsidRPr="00B87CC5">
              <w:rPr>
                <w:rFonts w:cs="Calibri"/>
                <w:i/>
                <w:sz w:val="18"/>
                <w:szCs w:val="18"/>
              </w:rPr>
              <w:t xml:space="preserve"> this will lead to</w:t>
            </w:r>
            <w:r w:rsidR="00C2540A" w:rsidRPr="00B87CC5">
              <w:rPr>
                <w:rFonts w:eastAsia="Times New Roman" w:cs="Calibri"/>
                <w:i/>
                <w:sz w:val="18"/>
                <w:szCs w:val="18"/>
              </w:rPr>
              <w:t>:</w:t>
            </w:r>
          </w:p>
          <w:p w14:paraId="2174DA7D" w14:textId="396B171C" w:rsidR="00C2540A" w:rsidRPr="00B87CC5" w:rsidRDefault="0085786E" w:rsidP="008A76D3">
            <w:pPr>
              <w:pStyle w:val="TableBullet"/>
              <w:spacing w:after="40"/>
              <w:rPr>
                <w:rFonts w:cstheme="minorHAnsi"/>
              </w:rPr>
            </w:pPr>
            <w:r w:rsidRPr="00B87CC5">
              <w:t>the beginnings of an increase in a</w:t>
            </w:r>
            <w:r w:rsidR="00C2540A" w:rsidRPr="00B87CC5">
              <w:t>ctual removal of emissions through non-forest activities</w:t>
            </w:r>
          </w:p>
          <w:p w14:paraId="1AEEA576" w14:textId="50E99A94" w:rsidR="00C2540A" w:rsidRPr="00B87CC5" w:rsidRDefault="0085786E" w:rsidP="008A76D3">
            <w:pPr>
              <w:pStyle w:val="TableBullet"/>
              <w:spacing w:after="40"/>
              <w:rPr>
                <w:rFonts w:cstheme="minorHAnsi"/>
              </w:rPr>
            </w:pPr>
            <w:r w:rsidRPr="00B87CC5">
              <w:t xml:space="preserve">a </w:t>
            </w:r>
            <w:r w:rsidR="00C2540A" w:rsidRPr="00B87CC5">
              <w:t xml:space="preserve">potential increase in reported net emissions compared </w:t>
            </w:r>
            <w:r w:rsidRPr="00B87CC5">
              <w:t xml:space="preserve">with </w:t>
            </w:r>
            <w:r w:rsidR="00C2540A" w:rsidRPr="00B87CC5">
              <w:t xml:space="preserve">the base year as recent increases in net emissions of non-forest land uses are accounted for, dependent on </w:t>
            </w:r>
            <w:r w:rsidRPr="00B87CC5">
              <w:t xml:space="preserve">what </w:t>
            </w:r>
            <w:r w:rsidR="00C2540A" w:rsidRPr="00B87CC5">
              <w:t xml:space="preserve">choices </w:t>
            </w:r>
            <w:r w:rsidR="00072870" w:rsidRPr="00B87CC5">
              <w:t>the Government</w:t>
            </w:r>
            <w:r w:rsidRPr="00B87CC5">
              <w:t xml:space="preserve"> makes</w:t>
            </w:r>
            <w:r w:rsidR="00C2540A" w:rsidRPr="00B87CC5">
              <w:t xml:space="preserve">. This can be mitigated by adopting a phased approach </w:t>
            </w:r>
            <w:r w:rsidR="00B54C62" w:rsidRPr="00B87CC5">
              <w:t xml:space="preserve">that first </w:t>
            </w:r>
            <w:r w:rsidR="00C2540A" w:rsidRPr="00B87CC5">
              <w:t>recognis</w:t>
            </w:r>
            <w:r w:rsidR="00B54C62" w:rsidRPr="00B87CC5">
              <w:t>es</w:t>
            </w:r>
            <w:r w:rsidR="00C2540A" w:rsidRPr="00B87CC5">
              <w:t xml:space="preserve"> activities </w:t>
            </w:r>
            <w:r w:rsidR="00B54C62" w:rsidRPr="00B87CC5">
              <w:t xml:space="preserve">that </w:t>
            </w:r>
            <w:r w:rsidR="00C2540A" w:rsidRPr="00B87CC5">
              <w:t>do not result in a net increase for this period and then expand</w:t>
            </w:r>
            <w:r w:rsidR="00B54C62" w:rsidRPr="00B87CC5">
              <w:t>s</w:t>
            </w:r>
            <w:r w:rsidR="00C2540A" w:rsidRPr="00B87CC5">
              <w:t xml:space="preserve"> the activities recognised over time</w:t>
            </w:r>
          </w:p>
          <w:p w14:paraId="504E4E3F" w14:textId="2CDC0392" w:rsidR="00C2540A" w:rsidRPr="00B87CC5" w:rsidRDefault="00856ACE" w:rsidP="008A76D3">
            <w:pPr>
              <w:pStyle w:val="Bullet"/>
              <w:numPr>
                <w:ilvl w:val="0"/>
                <w:numId w:val="0"/>
              </w:numPr>
              <w:spacing w:after="40"/>
              <w:rPr>
                <w:rFonts w:cs="Calibri"/>
                <w:i/>
                <w:sz w:val="18"/>
                <w:szCs w:val="18"/>
              </w:rPr>
            </w:pPr>
            <w:r w:rsidRPr="00B87CC5">
              <w:rPr>
                <w:rFonts w:cs="Calibri"/>
                <w:i/>
                <w:sz w:val="18"/>
                <w:szCs w:val="18"/>
              </w:rPr>
              <w:t xml:space="preserve">… and then in </w:t>
            </w:r>
            <w:r w:rsidR="00C2540A" w:rsidRPr="00B87CC5">
              <w:rPr>
                <w:rFonts w:cs="Calibri"/>
                <w:i/>
                <w:sz w:val="18"/>
                <w:szCs w:val="18"/>
              </w:rPr>
              <w:t>future emissions budgets</w:t>
            </w:r>
            <w:r w:rsidRPr="00B87CC5">
              <w:rPr>
                <w:rFonts w:cs="Calibri"/>
                <w:i/>
                <w:sz w:val="18"/>
                <w:szCs w:val="18"/>
              </w:rPr>
              <w:t>,</w:t>
            </w:r>
            <w:r w:rsidR="00C2540A" w:rsidRPr="00B87CC5">
              <w:rPr>
                <w:rFonts w:cs="Calibri"/>
                <w:i/>
                <w:sz w:val="18"/>
                <w:szCs w:val="18"/>
              </w:rPr>
              <w:t xml:space="preserve"> this will lead to:</w:t>
            </w:r>
          </w:p>
          <w:p w14:paraId="671CB16F" w14:textId="3BC85752" w:rsidR="00C2540A" w:rsidRPr="00B87CC5" w:rsidRDefault="00B54C62" w:rsidP="008A76D3">
            <w:pPr>
              <w:pStyle w:val="TableBullet"/>
              <w:spacing w:after="40"/>
              <w:rPr>
                <w:rFonts w:cstheme="minorHAnsi"/>
              </w:rPr>
            </w:pPr>
            <w:r w:rsidRPr="00B87CC5">
              <w:t>i</w:t>
            </w:r>
            <w:r w:rsidR="00C2540A" w:rsidRPr="00B87CC5">
              <w:t xml:space="preserve">ncreased removal of emissions through non-forestry activities reported in </w:t>
            </w:r>
            <w:r w:rsidRPr="00B87CC5">
              <w:t>the Greenhouse Gas I</w:t>
            </w:r>
            <w:r w:rsidR="00C2540A" w:rsidRPr="00B87CC5">
              <w:t>nventory and in New Zealand</w:t>
            </w:r>
            <w:r w:rsidRPr="00B87CC5">
              <w:t>’</w:t>
            </w:r>
            <w:r w:rsidR="00C2540A" w:rsidRPr="00B87CC5">
              <w:t>s NDC</w:t>
            </w:r>
            <w:r w:rsidR="00704616" w:rsidRPr="00B87CC5">
              <w:t>s</w:t>
            </w:r>
          </w:p>
          <w:p w14:paraId="52CFD467" w14:textId="6EDDA538" w:rsidR="00C2540A" w:rsidRPr="00B87CC5" w:rsidRDefault="00B54C62" w:rsidP="008A76D3">
            <w:pPr>
              <w:pStyle w:val="TableBullet"/>
              <w:spacing w:after="40"/>
              <w:rPr>
                <w:rFonts w:cstheme="minorHAnsi"/>
              </w:rPr>
            </w:pPr>
            <w:r w:rsidRPr="00B87CC5">
              <w:t>r</w:t>
            </w:r>
            <w:r w:rsidR="00C2540A" w:rsidRPr="00B87CC5">
              <w:t>educed reported net emissions from land</w:t>
            </w:r>
            <w:r w:rsidRPr="00B87CC5">
              <w:t>-</w:t>
            </w:r>
            <w:r w:rsidR="00C2540A" w:rsidRPr="00B87CC5">
              <w:t>use removal categories such as wetlands and peatlands</w:t>
            </w:r>
          </w:p>
          <w:p w14:paraId="0A144E89" w14:textId="67A81843" w:rsidR="00C2540A" w:rsidRPr="00B87CC5" w:rsidRDefault="00C2540A" w:rsidP="008A76D3">
            <w:pPr>
              <w:pStyle w:val="TableBullet"/>
              <w:spacing w:after="40"/>
              <w:rPr>
                <w:szCs w:val="18"/>
              </w:rPr>
            </w:pPr>
            <w:r w:rsidRPr="00B87CC5">
              <w:t xml:space="preserve">an overall decrease in net emissions compared </w:t>
            </w:r>
            <w:r w:rsidR="00B54C62" w:rsidRPr="00B87CC5">
              <w:t>with</w:t>
            </w:r>
            <w:r w:rsidR="00FE745E" w:rsidRPr="00B87CC5">
              <w:t xml:space="preserve"> the</w:t>
            </w:r>
            <w:r w:rsidR="00B54C62" w:rsidRPr="00B87CC5">
              <w:t xml:space="preserve"> </w:t>
            </w:r>
            <w:r w:rsidRPr="00B87CC5">
              <w:t>base year</w:t>
            </w:r>
            <w:r w:rsidR="00B54C62" w:rsidRPr="00B87CC5">
              <w:t xml:space="preserve"> </w:t>
            </w:r>
            <w:proofErr w:type="gramStart"/>
            <w:r w:rsidR="00B54C62" w:rsidRPr="00B87CC5">
              <w:t>as a result of</w:t>
            </w:r>
            <w:proofErr w:type="gramEnd"/>
            <w:r w:rsidR="00B54C62" w:rsidRPr="00B87CC5">
              <w:t xml:space="preserve"> the above changes.</w:t>
            </w:r>
          </w:p>
        </w:tc>
      </w:tr>
      <w:tr w:rsidR="00851655" w:rsidRPr="00B87CC5" w14:paraId="23C8ADB8" w14:textId="77777777" w:rsidTr="0464AED2">
        <w:trPr>
          <w:trHeight w:val="300"/>
        </w:trPr>
        <w:tc>
          <w:tcPr>
            <w:tcW w:w="1596" w:type="dxa"/>
            <w:vMerge/>
          </w:tcPr>
          <w:p w14:paraId="7DB9F7D5"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6265A156" w14:textId="36B7BEDF" w:rsidR="00C2540A" w:rsidRPr="00B87CC5" w:rsidRDefault="00C2540A" w:rsidP="008A76D3">
            <w:pPr>
              <w:pStyle w:val="TableTextbold"/>
              <w:spacing w:before="40" w:after="40"/>
              <w:rPr>
                <w:szCs w:val="18"/>
              </w:rPr>
            </w:pPr>
            <w:r w:rsidRPr="00B87CC5">
              <w:t xml:space="preserve">Assumptions and </w:t>
            </w:r>
            <w:r w:rsidR="0085786E" w:rsidRPr="00B87CC5">
              <w:t>d</w:t>
            </w:r>
            <w:r w:rsidRPr="00B87CC5">
              <w:t>ependencies </w:t>
            </w:r>
          </w:p>
        </w:tc>
        <w:tc>
          <w:tcPr>
            <w:tcW w:w="11030" w:type="dxa"/>
            <w:gridSpan w:val="3"/>
            <w:shd w:val="clear" w:color="auto" w:fill="FFFFFF" w:themeFill="background1"/>
          </w:tcPr>
          <w:p w14:paraId="6FEB3CED" w14:textId="77777777" w:rsidR="00C2540A" w:rsidRPr="00B87CC5" w:rsidRDefault="00C2540A" w:rsidP="008A76D3">
            <w:pPr>
              <w:pStyle w:val="TableBullet"/>
              <w:spacing w:after="40"/>
            </w:pPr>
            <w:r w:rsidRPr="00B87CC5">
              <w:t xml:space="preserve">Methodologies appropriate for New Zealand, and internationally aligned, can be developed and tested to begin measuring and reporting prior to 2030. </w:t>
            </w:r>
          </w:p>
          <w:p w14:paraId="2E8D4463" w14:textId="5BD91AEC" w:rsidR="00C2540A" w:rsidRPr="00B87CC5" w:rsidRDefault="00C2540A" w:rsidP="008A76D3">
            <w:pPr>
              <w:pStyle w:val="TableBullet"/>
              <w:spacing w:after="40"/>
            </w:pPr>
            <w:r w:rsidRPr="00B87CC5">
              <w:t xml:space="preserve">Incentives and rewards are established for </w:t>
            </w:r>
            <w:proofErr w:type="gramStart"/>
            <w:r w:rsidRPr="00B87CC5">
              <w:t>land</w:t>
            </w:r>
            <w:r w:rsidR="00B54C62" w:rsidRPr="00B87CC5">
              <w:t xml:space="preserve"> </w:t>
            </w:r>
            <w:r w:rsidRPr="00B87CC5">
              <w:t>owners</w:t>
            </w:r>
            <w:proofErr w:type="gramEnd"/>
            <w:r w:rsidRPr="00B87CC5">
              <w:t>.</w:t>
            </w:r>
            <w:r w:rsidR="00E4003E" w:rsidRPr="00B87CC5">
              <w:t xml:space="preserve"> </w:t>
            </w:r>
          </w:p>
          <w:p w14:paraId="7C856034" w14:textId="33E885C7" w:rsidR="00C2540A" w:rsidRPr="00B87CC5" w:rsidRDefault="00C2540A" w:rsidP="008A76D3">
            <w:pPr>
              <w:pStyle w:val="TableBullet"/>
              <w:spacing w:after="40"/>
              <w:rPr>
                <w:rFonts w:eastAsiaTheme="majorEastAsia" w:cs="Calibri"/>
                <w:szCs w:val="18"/>
              </w:rPr>
            </w:pPr>
            <w:r w:rsidRPr="00B87CC5">
              <w:t>Net emissions have increased overall across non-forest land uses since the base year</w:t>
            </w:r>
            <w:r w:rsidR="00B54C62" w:rsidRPr="00B87CC5">
              <w:t>.</w:t>
            </w:r>
          </w:p>
        </w:tc>
      </w:tr>
      <w:tr w:rsidR="00851655" w:rsidRPr="00B87CC5" w14:paraId="3194B79D" w14:textId="77777777" w:rsidTr="0464AED2">
        <w:trPr>
          <w:trHeight w:val="300"/>
        </w:trPr>
        <w:tc>
          <w:tcPr>
            <w:tcW w:w="1596" w:type="dxa"/>
            <w:vMerge/>
          </w:tcPr>
          <w:p w14:paraId="64BD2503"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tcPr>
          <w:p w14:paraId="4741D4A2" w14:textId="77777777" w:rsidR="00C2540A" w:rsidRPr="00B87CC5" w:rsidRDefault="00C2540A" w:rsidP="008A76D3">
            <w:pPr>
              <w:pStyle w:val="TableTextbold"/>
              <w:spacing w:before="40" w:after="40"/>
            </w:pPr>
            <w:r w:rsidRPr="00B87CC5">
              <w:t>Other benefits </w:t>
            </w:r>
          </w:p>
        </w:tc>
        <w:tc>
          <w:tcPr>
            <w:tcW w:w="11030" w:type="dxa"/>
            <w:gridSpan w:val="3"/>
            <w:shd w:val="clear" w:color="auto" w:fill="FFFFFF" w:themeFill="background1"/>
          </w:tcPr>
          <w:p w14:paraId="43871DF2" w14:textId="42224681" w:rsidR="00C2540A" w:rsidRPr="00B87CC5" w:rsidRDefault="00C2540A" w:rsidP="008A76D3">
            <w:pPr>
              <w:pStyle w:val="TableBullet"/>
              <w:spacing w:after="40"/>
            </w:pPr>
            <w:r w:rsidRPr="00B87CC5">
              <w:t>Improved ecosystem services deliver biodiversity and resilience outcomes through restoration and development of land categories such as mangroves</w:t>
            </w:r>
            <w:r w:rsidR="001931CB" w:rsidRPr="00B87CC5">
              <w:t>.</w:t>
            </w:r>
          </w:p>
        </w:tc>
      </w:tr>
      <w:tr w:rsidR="00851655" w:rsidRPr="00B87CC5" w14:paraId="0DC5634B" w14:textId="77777777" w:rsidTr="0464AED2">
        <w:trPr>
          <w:trHeight w:val="300"/>
        </w:trPr>
        <w:tc>
          <w:tcPr>
            <w:tcW w:w="1596" w:type="dxa"/>
            <w:vMerge/>
          </w:tcPr>
          <w:p w14:paraId="3154CEB0" w14:textId="77777777" w:rsidR="00C2540A" w:rsidRPr="00B87CC5" w:rsidRDefault="00C2540A">
            <w:pPr>
              <w:spacing w:before="0" w:after="0" w:line="240" w:lineRule="auto"/>
              <w:jc w:val="left"/>
              <w:textAlignment w:val="baseline"/>
              <w:rPr>
                <w:rFonts w:eastAsia="Times New Roman" w:cs="Calibri"/>
                <w:b/>
                <w:bCs/>
                <w:i/>
                <w:iCs/>
                <w:sz w:val="18"/>
                <w:szCs w:val="18"/>
              </w:rPr>
            </w:pPr>
          </w:p>
        </w:tc>
        <w:tc>
          <w:tcPr>
            <w:tcW w:w="1833" w:type="dxa"/>
            <w:gridSpan w:val="2"/>
            <w:shd w:val="clear" w:color="auto" w:fill="FFFFFF" w:themeFill="background1"/>
            <w:vAlign w:val="center"/>
          </w:tcPr>
          <w:p w14:paraId="1D8A08D0" w14:textId="15B6D61A" w:rsidR="00C2540A" w:rsidRPr="00B87CC5" w:rsidRDefault="00C2540A" w:rsidP="008A76D3">
            <w:pPr>
              <w:pStyle w:val="TableTextbold"/>
              <w:spacing w:before="40" w:after="40"/>
            </w:pPr>
            <w:r w:rsidRPr="00B87CC5">
              <w:t xml:space="preserve">Why this </w:t>
            </w:r>
            <w:r w:rsidR="0085786E" w:rsidRPr="00B87CC5">
              <w:t xml:space="preserve">is </w:t>
            </w:r>
            <w:r w:rsidRPr="00B87CC5">
              <w:t xml:space="preserve">complementary to the </w:t>
            </w:r>
            <w:r w:rsidR="0085786E" w:rsidRPr="00B87CC5">
              <w:t xml:space="preserve">NZ </w:t>
            </w:r>
            <w:r w:rsidRPr="00B87CC5">
              <w:t>ETS</w:t>
            </w:r>
          </w:p>
        </w:tc>
        <w:tc>
          <w:tcPr>
            <w:tcW w:w="11030" w:type="dxa"/>
            <w:gridSpan w:val="3"/>
            <w:shd w:val="clear" w:color="auto" w:fill="FFFFFF" w:themeFill="background1"/>
          </w:tcPr>
          <w:p w14:paraId="5380C2FE" w14:textId="368BEE94" w:rsidR="00C2540A" w:rsidRPr="00B87CC5" w:rsidRDefault="00C2540A" w:rsidP="008A76D3">
            <w:pPr>
              <w:pStyle w:val="TableBullet"/>
              <w:spacing w:after="40"/>
            </w:pPr>
            <w:r w:rsidRPr="00B87CC5">
              <w:t xml:space="preserve">The </w:t>
            </w:r>
            <w:r w:rsidR="001931CB" w:rsidRPr="00B87CC5">
              <w:t>NZ ETS</w:t>
            </w:r>
            <w:r w:rsidRPr="00B87CC5">
              <w:t xml:space="preserve"> is one potential mechanism to recognise non-forest carbon removals. Over time</w:t>
            </w:r>
            <w:r w:rsidR="001931CB" w:rsidRPr="00B87CC5">
              <w:t>,</w:t>
            </w:r>
            <w:r w:rsidRPr="00B87CC5">
              <w:t xml:space="preserve"> additional removals will be developed </w:t>
            </w:r>
            <w:r w:rsidR="001931CB" w:rsidRPr="00B87CC5">
              <w:t xml:space="preserve">that </w:t>
            </w:r>
            <w:r w:rsidRPr="00B87CC5">
              <w:t>could contribute to New Zealand’s N</w:t>
            </w:r>
            <w:r w:rsidR="001931CB" w:rsidRPr="00B87CC5">
              <w:t>DC</w:t>
            </w:r>
            <w:r w:rsidRPr="00B87CC5">
              <w:t>.</w:t>
            </w:r>
          </w:p>
        </w:tc>
      </w:tr>
    </w:tbl>
    <w:p w14:paraId="5131D396" w14:textId="6D2E9438" w:rsidR="00E739AF" w:rsidRPr="00B87CC5" w:rsidRDefault="00E739AF" w:rsidP="00E739AF">
      <w:pPr>
        <w:pStyle w:val="Heading1"/>
      </w:pPr>
      <w:bookmarkStart w:id="101" w:name="_Toc171609759"/>
      <w:r w:rsidRPr="00B87CC5">
        <w:lastRenderedPageBreak/>
        <w:t>Appendix 3:</w:t>
      </w:r>
      <w:r w:rsidR="003C6167" w:rsidRPr="00B87CC5">
        <w:tab/>
      </w:r>
      <w:r w:rsidR="00B32199" w:rsidRPr="00B87CC5">
        <w:t xml:space="preserve">Assumptions used in </w:t>
      </w:r>
      <w:r w:rsidR="00D93092" w:rsidRPr="00B87CC5">
        <w:t>p</w:t>
      </w:r>
      <w:r w:rsidR="00F054A8" w:rsidRPr="00B87CC5">
        <w:t xml:space="preserve">olicy </w:t>
      </w:r>
      <w:r w:rsidR="00D93092" w:rsidRPr="00B87CC5">
        <w:t>m</w:t>
      </w:r>
      <w:r w:rsidR="00F054A8" w:rsidRPr="00B87CC5">
        <w:t>odelling</w:t>
      </w:r>
      <w:bookmarkEnd w:id="101"/>
    </w:p>
    <w:p w14:paraId="116EE661" w14:textId="495E5D71" w:rsidR="00F054A8" w:rsidRPr="00B87CC5" w:rsidRDefault="006E2C27" w:rsidP="002A0756">
      <w:pPr>
        <w:pStyle w:val="Tableheading"/>
      </w:pPr>
      <w:bookmarkStart w:id="102" w:name="_Toc171609775"/>
      <w:r w:rsidRPr="00B87CC5">
        <w:t>Table</w:t>
      </w:r>
      <w:r w:rsidR="00163546" w:rsidRPr="00B87CC5">
        <w:t xml:space="preserve"> </w:t>
      </w:r>
      <w:r w:rsidR="001931CB" w:rsidRPr="00B87CC5">
        <w:t>A</w:t>
      </w:r>
      <w:r w:rsidR="00163546" w:rsidRPr="00B87CC5">
        <w:t>3.1</w:t>
      </w:r>
      <w:r w:rsidR="005E1D91" w:rsidRPr="00B87CC5">
        <w:t>:</w:t>
      </w:r>
      <w:r w:rsidR="005E1D91" w:rsidRPr="00B87CC5">
        <w:tab/>
      </w:r>
      <w:r w:rsidRPr="00B87CC5">
        <w:t>Assumptions used for modelling proposed ERP2 policies</w:t>
      </w:r>
      <w:bookmarkEnd w:id="102"/>
    </w:p>
    <w:tbl>
      <w:tblPr>
        <w:tblStyle w:val="LightList-Accent11"/>
        <w:tblW w:w="5000" w:type="pct"/>
        <w:tblBorders>
          <w:top w:val="none" w:sz="0" w:space="0" w:color="auto"/>
          <w:left w:val="none" w:sz="0" w:space="0" w:color="auto"/>
          <w:right w:val="none" w:sz="0" w:space="0" w:color="auto"/>
          <w:insideH w:val="single" w:sz="8" w:space="0" w:color="1C556C" w:themeColor="accent1"/>
        </w:tblBorders>
        <w:tblLook w:val="04A0" w:firstRow="1" w:lastRow="0" w:firstColumn="1" w:lastColumn="0" w:noHBand="0" w:noVBand="1"/>
      </w:tblPr>
      <w:tblGrid>
        <w:gridCol w:w="1133"/>
        <w:gridCol w:w="2128"/>
        <w:gridCol w:w="11311"/>
      </w:tblGrid>
      <w:tr w:rsidR="008A76D3" w:rsidRPr="00B87CC5" w14:paraId="7CEF2B81" w14:textId="77777777" w:rsidTr="008A76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1C556C" w:themeColor="accent1"/>
              <w:left w:val="nil"/>
              <w:bottom w:val="single" w:sz="8" w:space="0" w:color="1C556C" w:themeColor="accent1"/>
            </w:tcBorders>
            <w:vAlign w:val="bottom"/>
          </w:tcPr>
          <w:p w14:paraId="618394D2" w14:textId="77777777" w:rsidR="00F054A8" w:rsidRPr="00B87CC5" w:rsidRDefault="00F054A8" w:rsidP="008A76D3">
            <w:pPr>
              <w:pStyle w:val="TableTextbold"/>
              <w:spacing w:before="40" w:after="40"/>
              <w:rPr>
                <w:b/>
                <w:bCs w:val="0"/>
              </w:rPr>
            </w:pPr>
            <w:r w:rsidRPr="00B87CC5">
              <w:rPr>
                <w:b/>
                <w:bCs w:val="0"/>
              </w:rPr>
              <w:t>Sector</w:t>
            </w:r>
          </w:p>
        </w:tc>
        <w:tc>
          <w:tcPr>
            <w:tcW w:w="730" w:type="pct"/>
            <w:tcBorders>
              <w:top w:val="single" w:sz="4" w:space="0" w:color="1C556C" w:themeColor="accent1"/>
              <w:bottom w:val="single" w:sz="8" w:space="0" w:color="1C556C" w:themeColor="accent1"/>
            </w:tcBorders>
            <w:vAlign w:val="bottom"/>
          </w:tcPr>
          <w:p w14:paraId="0FF11D2D" w14:textId="77777777" w:rsidR="00F054A8" w:rsidRPr="00B87CC5" w:rsidRDefault="00F054A8" w:rsidP="008A76D3">
            <w:pPr>
              <w:pStyle w:val="TableTextbold"/>
              <w:spacing w:before="40" w:after="40"/>
              <w:cnfStyle w:val="100000000000" w:firstRow="1" w:lastRow="0" w:firstColumn="0" w:lastColumn="0" w:oddVBand="0" w:evenVBand="0" w:oddHBand="0" w:evenHBand="0" w:firstRowFirstColumn="0" w:firstRowLastColumn="0" w:lastRowFirstColumn="0" w:lastRowLastColumn="0"/>
              <w:rPr>
                <w:b/>
                <w:bCs w:val="0"/>
              </w:rPr>
            </w:pPr>
            <w:r w:rsidRPr="00B87CC5">
              <w:rPr>
                <w:b/>
                <w:bCs w:val="0"/>
              </w:rPr>
              <w:t>Policy</w:t>
            </w:r>
          </w:p>
        </w:tc>
        <w:tc>
          <w:tcPr>
            <w:tcW w:w="3881" w:type="pct"/>
            <w:tcBorders>
              <w:top w:val="single" w:sz="4" w:space="0" w:color="1C556C" w:themeColor="accent1"/>
              <w:bottom w:val="single" w:sz="8" w:space="0" w:color="1C556C" w:themeColor="accent1"/>
            </w:tcBorders>
          </w:tcPr>
          <w:p w14:paraId="2FF8F581" w14:textId="1BAA5BBC" w:rsidR="00F054A8" w:rsidRPr="00B87CC5" w:rsidRDefault="00F054A8" w:rsidP="008A76D3">
            <w:pPr>
              <w:pStyle w:val="TableTextbold"/>
              <w:spacing w:before="40" w:after="40"/>
              <w:cnfStyle w:val="100000000000" w:firstRow="1" w:lastRow="0" w:firstColumn="0" w:lastColumn="0" w:oddVBand="0" w:evenVBand="0" w:oddHBand="0" w:evenHBand="0" w:firstRowFirstColumn="0" w:firstRowLastColumn="0" w:lastRowFirstColumn="0" w:lastRowLastColumn="0"/>
              <w:rPr>
                <w:b/>
                <w:bCs w:val="0"/>
              </w:rPr>
            </w:pPr>
            <w:r w:rsidRPr="00B87CC5">
              <w:rPr>
                <w:b/>
                <w:bCs w:val="0"/>
              </w:rPr>
              <w:t>Assumptions</w:t>
            </w:r>
          </w:p>
        </w:tc>
      </w:tr>
      <w:tr w:rsidR="00657E7D" w:rsidRPr="00B87CC5" w14:paraId="42761137" w14:textId="77777777" w:rsidTr="008A7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 w:type="pct"/>
            <w:tcBorders>
              <w:left w:val="nil"/>
              <w:bottom w:val="nil"/>
            </w:tcBorders>
          </w:tcPr>
          <w:p w14:paraId="7E64E54D" w14:textId="77777777" w:rsidR="00657E7D" w:rsidRPr="00B87CC5" w:rsidRDefault="00657E7D" w:rsidP="00CE35FA">
            <w:pPr>
              <w:pStyle w:val="TableText"/>
              <w:spacing w:before="40" w:after="40"/>
            </w:pPr>
            <w:r w:rsidRPr="00B87CC5">
              <w:t>Energy</w:t>
            </w:r>
          </w:p>
        </w:tc>
        <w:tc>
          <w:tcPr>
            <w:tcW w:w="730" w:type="pct"/>
            <w:tcBorders>
              <w:bottom w:val="single" w:sz="4" w:space="0" w:color="1C556C" w:themeColor="accent1"/>
            </w:tcBorders>
          </w:tcPr>
          <w:p w14:paraId="7FBDBB79" w14:textId="77777777" w:rsidR="00657E7D" w:rsidRPr="00B87CC5" w:rsidRDefault="00657E7D" w:rsidP="00CE35FA">
            <w:pPr>
              <w:pStyle w:val="TableText"/>
              <w:spacing w:before="40" w:after="40"/>
              <w:cnfStyle w:val="000000100000" w:firstRow="0" w:lastRow="0" w:firstColumn="0" w:lastColumn="0" w:oddVBand="0" w:evenVBand="0" w:oddHBand="1" w:evenHBand="0" w:firstRowFirstColumn="0" w:firstRowLastColumn="0" w:lastRowFirstColumn="0" w:lastRowLastColumn="0"/>
            </w:pPr>
            <w:r w:rsidRPr="00B87CC5">
              <w:t>Electrify NZ</w:t>
            </w:r>
          </w:p>
        </w:tc>
        <w:tc>
          <w:tcPr>
            <w:tcW w:w="3881" w:type="pct"/>
            <w:tcBorders>
              <w:bottom w:val="single" w:sz="4" w:space="0" w:color="1C556C" w:themeColor="accent1"/>
              <w:right w:val="nil"/>
            </w:tcBorders>
          </w:tcPr>
          <w:p w14:paraId="2CCDFE94" w14:textId="4E88D57E" w:rsidR="00657E7D" w:rsidRPr="00B87CC5" w:rsidRDefault="00657E7D" w:rsidP="00CE35FA">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87CC5">
              <w:t>Assume a halving in consenting costs (</w:t>
            </w:r>
            <w:r w:rsidR="001931CB" w:rsidRPr="00B87CC5">
              <w:t xml:space="preserve">about </w:t>
            </w:r>
            <w:r w:rsidRPr="00B87CC5">
              <w:t>2</w:t>
            </w:r>
            <w:r w:rsidR="001931CB" w:rsidRPr="00B87CC5">
              <w:t xml:space="preserve">% to </w:t>
            </w:r>
            <w:r w:rsidRPr="00B87CC5">
              <w:t xml:space="preserve">5% of capital costs) for renewables generation but no change to completion time of new build. </w:t>
            </w:r>
            <w:r w:rsidR="00515A7B" w:rsidRPr="00B87CC5">
              <w:br/>
            </w:r>
            <w:r w:rsidR="00260036" w:rsidRPr="00B87CC5">
              <w:rPr>
                <w:rFonts w:cstheme="minorHAnsi"/>
              </w:rPr>
              <w:t>Base c</w:t>
            </w:r>
            <w:r w:rsidR="00515A7B" w:rsidRPr="00B87CC5">
              <w:rPr>
                <w:rFonts w:cstheme="minorHAnsi"/>
              </w:rPr>
              <w:t>onsenting cost assumptions</w:t>
            </w:r>
            <w:r w:rsidR="008C1B12" w:rsidRPr="00B87CC5">
              <w:rPr>
                <w:rFonts w:cstheme="minorHAnsi"/>
              </w:rPr>
              <w:t xml:space="preserve"> ($</w:t>
            </w:r>
            <w:r w:rsidR="001931CB" w:rsidRPr="00B87CC5">
              <w:rPr>
                <w:rFonts w:cstheme="minorHAnsi"/>
              </w:rPr>
              <w:t xml:space="preserve"> per </w:t>
            </w:r>
            <w:r w:rsidR="008C1B12" w:rsidRPr="00B87CC5">
              <w:rPr>
                <w:rFonts w:cstheme="minorHAnsi"/>
              </w:rPr>
              <w:t>kW)</w:t>
            </w:r>
            <w:r w:rsidR="00515A7B" w:rsidRPr="00B87CC5">
              <w:rPr>
                <w:rFonts w:cstheme="minorHAnsi"/>
              </w:rPr>
              <w:t xml:space="preserve">: </w:t>
            </w:r>
            <w:r w:rsidR="002965AD" w:rsidRPr="00B87CC5">
              <w:rPr>
                <w:rFonts w:cstheme="minorHAnsi"/>
              </w:rPr>
              <w:t>hydro</w:t>
            </w:r>
            <w:r w:rsidR="00A20F03" w:rsidRPr="00B87CC5">
              <w:rPr>
                <w:rFonts w:cstheme="minorHAnsi"/>
              </w:rPr>
              <w:t xml:space="preserve"> </w:t>
            </w:r>
            <w:r w:rsidR="008C1B12" w:rsidRPr="00B87CC5">
              <w:rPr>
                <w:rFonts w:cstheme="minorHAnsi"/>
              </w:rPr>
              <w:t xml:space="preserve">$116; </w:t>
            </w:r>
            <w:r w:rsidR="00EB1FF1" w:rsidRPr="00B87CC5">
              <w:rPr>
                <w:rFonts w:cstheme="minorHAnsi"/>
              </w:rPr>
              <w:t xml:space="preserve">geothermal </w:t>
            </w:r>
            <w:r w:rsidR="00C00DC0" w:rsidRPr="00B87CC5">
              <w:rPr>
                <w:rFonts w:cstheme="minorHAnsi"/>
              </w:rPr>
              <w:t>$98</w:t>
            </w:r>
            <w:r w:rsidR="0089286F" w:rsidRPr="00B87CC5">
              <w:rPr>
                <w:rFonts w:cstheme="minorHAnsi"/>
              </w:rPr>
              <w:t xml:space="preserve">; </w:t>
            </w:r>
            <w:r w:rsidR="00B52BF2" w:rsidRPr="00B87CC5">
              <w:rPr>
                <w:rFonts w:cstheme="minorHAnsi"/>
              </w:rPr>
              <w:t xml:space="preserve">onshore wind </w:t>
            </w:r>
            <w:r w:rsidR="003A1B3F" w:rsidRPr="00B87CC5">
              <w:rPr>
                <w:rFonts w:cstheme="minorHAnsi"/>
              </w:rPr>
              <w:t xml:space="preserve">$116; </w:t>
            </w:r>
            <w:r w:rsidR="00281312" w:rsidRPr="00B87CC5">
              <w:rPr>
                <w:rFonts w:cstheme="minorHAnsi"/>
              </w:rPr>
              <w:t>offsh</w:t>
            </w:r>
            <w:r w:rsidR="00684B2C" w:rsidRPr="00B87CC5">
              <w:rPr>
                <w:rFonts w:cstheme="minorHAnsi"/>
              </w:rPr>
              <w:t>o</w:t>
            </w:r>
            <w:r w:rsidR="00281312" w:rsidRPr="00B87CC5">
              <w:rPr>
                <w:rFonts w:cstheme="minorHAnsi"/>
              </w:rPr>
              <w:t xml:space="preserve">re wind $139; </w:t>
            </w:r>
            <w:r w:rsidR="00684B2C" w:rsidRPr="00B87CC5">
              <w:rPr>
                <w:rFonts w:cstheme="minorHAnsi"/>
              </w:rPr>
              <w:t>solar $69</w:t>
            </w:r>
            <w:r w:rsidR="00282AE9" w:rsidRPr="00B87CC5">
              <w:rPr>
                <w:rFonts w:cstheme="minorHAnsi"/>
              </w:rPr>
              <w:t>.</w:t>
            </w:r>
          </w:p>
        </w:tc>
      </w:tr>
      <w:tr w:rsidR="00746FED" w:rsidRPr="00B87CC5" w14:paraId="7FB9AE2F" w14:textId="77777777" w:rsidTr="008A76D3">
        <w:tc>
          <w:tcPr>
            <w:cnfStyle w:val="001000000000" w:firstRow="0" w:lastRow="0" w:firstColumn="1" w:lastColumn="0" w:oddVBand="0" w:evenVBand="0" w:oddHBand="0" w:evenHBand="0" w:firstRowFirstColumn="0" w:firstRowLastColumn="0" w:lastRowFirstColumn="0" w:lastRowLastColumn="0"/>
            <w:tcW w:w="389" w:type="pct"/>
            <w:tcBorders>
              <w:top w:val="nil"/>
              <w:left w:val="nil"/>
              <w:bottom w:val="single" w:sz="4" w:space="0" w:color="1C556C" w:themeColor="accent1"/>
            </w:tcBorders>
          </w:tcPr>
          <w:p w14:paraId="6CAE960D" w14:textId="3E9CBA6C" w:rsidR="00657E7D" w:rsidRPr="00B87CC5" w:rsidRDefault="00657E7D" w:rsidP="008A76D3">
            <w:pPr>
              <w:pStyle w:val="TableText"/>
            </w:pPr>
          </w:p>
        </w:tc>
        <w:tc>
          <w:tcPr>
            <w:tcW w:w="730" w:type="pct"/>
            <w:tcBorders>
              <w:top w:val="single" w:sz="4" w:space="0" w:color="1C556C" w:themeColor="accent1"/>
              <w:bottom w:val="single" w:sz="4" w:space="0" w:color="1C556C" w:themeColor="accent1"/>
            </w:tcBorders>
          </w:tcPr>
          <w:p w14:paraId="00BF5129" w14:textId="7CC667BB" w:rsidR="00657E7D" w:rsidRPr="00B87CC5" w:rsidRDefault="003D4DCD" w:rsidP="002B1BF8">
            <w:pPr>
              <w:pStyle w:val="TableText"/>
              <w:cnfStyle w:val="000000000000" w:firstRow="0" w:lastRow="0" w:firstColumn="0" w:lastColumn="0" w:oddVBand="0" w:evenVBand="0" w:oddHBand="0" w:evenHBand="0" w:firstRowFirstColumn="0" w:firstRowLastColumn="0" w:lastRowFirstColumn="0" w:lastRowLastColumn="0"/>
            </w:pPr>
            <w:r w:rsidRPr="00B87CC5">
              <w:t xml:space="preserve">Enable </w:t>
            </w:r>
            <w:r w:rsidR="00657E7D" w:rsidRPr="00B87CC5">
              <w:t>carbon capture, utilisation and storage (CCUS)</w:t>
            </w:r>
          </w:p>
        </w:tc>
        <w:tc>
          <w:tcPr>
            <w:tcW w:w="3881" w:type="pct"/>
            <w:tcBorders>
              <w:top w:val="single" w:sz="4" w:space="0" w:color="1C556C" w:themeColor="accent1"/>
              <w:bottom w:val="single" w:sz="4" w:space="0" w:color="1C556C" w:themeColor="accent1"/>
              <w:right w:val="nil"/>
            </w:tcBorders>
          </w:tcPr>
          <w:p w14:paraId="21973184" w14:textId="616546D3" w:rsidR="001565C2" w:rsidRPr="00B87CC5" w:rsidRDefault="001565C2" w:rsidP="001931CB">
            <w:pPr>
              <w:pStyle w:val="TableBullet"/>
              <w:cnfStyle w:val="000000000000" w:firstRow="0" w:lastRow="0" w:firstColumn="0" w:lastColumn="0" w:oddVBand="0" w:evenVBand="0" w:oddHBand="0" w:evenHBand="0" w:firstRowFirstColumn="0" w:firstRowLastColumn="0" w:lastRowFirstColumn="0" w:lastRowLastColumn="0"/>
            </w:pPr>
            <w:r w:rsidRPr="00B87CC5">
              <w:t>CC</w:t>
            </w:r>
            <w:r w:rsidR="00530F4A" w:rsidRPr="00B87CC5">
              <w:t>U</w:t>
            </w:r>
            <w:r w:rsidRPr="00B87CC5">
              <w:t>S is used to capture an additional 20</w:t>
            </w:r>
            <w:r w:rsidR="008C6F5F" w:rsidRPr="00B87CC5">
              <w:t>%</w:t>
            </w:r>
            <w:r w:rsidRPr="00B87CC5">
              <w:t xml:space="preserve"> of geothermal generation emissions from 2027 (compared with counterfactual). This is </w:t>
            </w:r>
            <w:r w:rsidR="00394834" w:rsidRPr="00B87CC5">
              <w:t>because</w:t>
            </w:r>
            <w:r w:rsidRPr="00B87CC5">
              <w:t xml:space="preserve"> having certainty for the future monitoring and liability regime will incentivise investment in this technology for geothermal electricity generation.</w:t>
            </w:r>
          </w:p>
          <w:p w14:paraId="40535AC9" w14:textId="055AFBDA" w:rsidR="001565C2" w:rsidRPr="00B87CC5" w:rsidRDefault="001565C2" w:rsidP="001931CB">
            <w:pPr>
              <w:pStyle w:val="TableBullet"/>
              <w:cnfStyle w:val="000000000000" w:firstRow="0" w:lastRow="0" w:firstColumn="0" w:lastColumn="0" w:oddVBand="0" w:evenVBand="0" w:oddHBand="0" w:evenHBand="0" w:firstRowFirstColumn="0" w:firstRowLastColumn="0" w:lastRowFirstColumn="0" w:lastRowLastColumn="0"/>
            </w:pPr>
            <w:r w:rsidRPr="00B87CC5">
              <w:t>CC</w:t>
            </w:r>
            <w:r w:rsidR="00530F4A" w:rsidRPr="00B87CC5">
              <w:t>U</w:t>
            </w:r>
            <w:r w:rsidRPr="00B87CC5">
              <w:t xml:space="preserve">S is commercially and technically viable from 2027 for gas production and </w:t>
            </w:r>
            <w:r w:rsidR="00282AE9" w:rsidRPr="00B87CC5">
              <w:t xml:space="preserve">from </w:t>
            </w:r>
            <w:r w:rsidRPr="00B87CC5">
              <w:t>2030 for the petrochemical industry if a suitable regulatory regime is put in place. The commercial viability will be driven by the cost of CC</w:t>
            </w:r>
            <w:r w:rsidR="00530F4A" w:rsidRPr="00B87CC5">
              <w:t>U</w:t>
            </w:r>
            <w:r w:rsidRPr="00B87CC5">
              <w:t xml:space="preserve">S compared </w:t>
            </w:r>
            <w:r w:rsidR="00282AE9" w:rsidRPr="00B87CC5">
              <w:t xml:space="preserve">with NZ </w:t>
            </w:r>
            <w:r w:rsidRPr="00B87CC5">
              <w:t xml:space="preserve">ETS carbon prices. </w:t>
            </w:r>
          </w:p>
          <w:p w14:paraId="58CEB5F2" w14:textId="58C46EA4" w:rsidR="001565C2" w:rsidRPr="00B87CC5" w:rsidRDefault="001565C2" w:rsidP="001931CB">
            <w:pPr>
              <w:pStyle w:val="TableBullet"/>
              <w:cnfStyle w:val="000000000000" w:firstRow="0" w:lastRow="0" w:firstColumn="0" w:lastColumn="0" w:oddVBand="0" w:evenVBand="0" w:oddHBand="0" w:evenHBand="0" w:firstRowFirstColumn="0" w:firstRowLastColumn="0" w:lastRowFirstColumn="0" w:lastRowLastColumn="0"/>
            </w:pPr>
            <w:r w:rsidRPr="00B87CC5">
              <w:t>CC</w:t>
            </w:r>
            <w:r w:rsidR="00530F4A" w:rsidRPr="00B87CC5">
              <w:t>U</w:t>
            </w:r>
            <w:r w:rsidRPr="00B87CC5">
              <w:t>S will be used to capture 100</w:t>
            </w:r>
            <w:r w:rsidR="008C6F5F" w:rsidRPr="00B87CC5">
              <w:t>%</w:t>
            </w:r>
            <w:r w:rsidRPr="00B87CC5" w:rsidDel="008C6F5F">
              <w:t xml:space="preserve"> </w:t>
            </w:r>
            <w:r w:rsidRPr="00B87CC5">
              <w:t xml:space="preserve">of emissions from gas production from the high </w:t>
            </w:r>
            <w:r w:rsidR="008C6F5F" w:rsidRPr="00B87CC5">
              <w:t>carbon dioxide (</w:t>
            </w:r>
            <w:r w:rsidRPr="00B87CC5">
              <w:t>CO</w:t>
            </w:r>
            <w:r w:rsidRPr="00B87CC5">
              <w:rPr>
                <w:vertAlign w:val="subscript"/>
              </w:rPr>
              <w:t>2</w:t>
            </w:r>
            <w:r w:rsidR="008C6F5F" w:rsidRPr="00B87CC5">
              <w:t>)</w:t>
            </w:r>
            <w:r w:rsidRPr="00B87CC5">
              <w:t xml:space="preserve"> </w:t>
            </w:r>
            <w:proofErr w:type="spellStart"/>
            <w:r w:rsidRPr="00B87CC5">
              <w:t>Kapuni</w:t>
            </w:r>
            <w:proofErr w:type="spellEnd"/>
            <w:r w:rsidRPr="00B87CC5">
              <w:t xml:space="preserve"> and Maui East fields based on the figures in the </w:t>
            </w:r>
            <w:r w:rsidRPr="00B87CC5">
              <w:rPr>
                <w:i/>
              </w:rPr>
              <w:t>Review of CCS/CC</w:t>
            </w:r>
            <w:r w:rsidR="00530F4A" w:rsidRPr="00B87CC5">
              <w:rPr>
                <w:i/>
              </w:rPr>
              <w:t>U</w:t>
            </w:r>
            <w:r w:rsidRPr="00B87CC5">
              <w:rPr>
                <w:i/>
              </w:rPr>
              <w:t xml:space="preserve">S Potential in New Zealand </w:t>
            </w:r>
            <w:r w:rsidRPr="00B87CC5">
              <w:t>report from Wood Beca.</w:t>
            </w:r>
            <w:r w:rsidR="00DB6E26" w:rsidRPr="00B87CC5">
              <w:rPr>
                <w:rStyle w:val="FootnoteReference"/>
              </w:rPr>
              <w:footnoteReference w:id="31"/>
            </w:r>
            <w:r w:rsidRPr="00B87CC5">
              <w:t xml:space="preserve"> This means that the emissions associated with the production of the gas at Maui East will be fully captured</w:t>
            </w:r>
            <w:r w:rsidR="00CE6A30" w:rsidRPr="00B87CC5">
              <w:t>,</w:t>
            </w:r>
            <w:r w:rsidRPr="00B87CC5">
              <w:t xml:space="preserve"> leading to a net zero emissions profile for Maui East production. The additional emissions from the combustion of the gas from Maui East are captured in the additional gas availability line. </w:t>
            </w:r>
          </w:p>
          <w:p w14:paraId="0D26F875" w14:textId="5B0874B3" w:rsidR="001565C2" w:rsidRPr="00B87CC5" w:rsidRDefault="001565C2" w:rsidP="001931CB">
            <w:pPr>
              <w:pStyle w:val="TableBullet"/>
              <w:cnfStyle w:val="000000000000" w:firstRow="0" w:lastRow="0" w:firstColumn="0" w:lastColumn="0" w:oddVBand="0" w:evenVBand="0" w:oddHBand="0" w:evenHBand="0" w:firstRowFirstColumn="0" w:firstRowLastColumn="0" w:lastRowFirstColumn="0" w:lastRowLastColumn="0"/>
            </w:pPr>
            <w:r w:rsidRPr="00B87CC5">
              <w:t>CC</w:t>
            </w:r>
            <w:r w:rsidR="00530F4A" w:rsidRPr="00B87CC5">
              <w:t>U</w:t>
            </w:r>
            <w:r w:rsidRPr="00B87CC5">
              <w:t>S will result in additional emissions from additional gas supply being unlocked. It is assumed that:</w:t>
            </w:r>
          </w:p>
          <w:p w14:paraId="2B16576E" w14:textId="5B91CB8C" w:rsidR="001565C2" w:rsidRPr="00B87CC5" w:rsidRDefault="001565C2" w:rsidP="001931CB">
            <w:pPr>
              <w:pStyle w:val="TableDash"/>
              <w:cnfStyle w:val="000000000000" w:firstRow="0" w:lastRow="0" w:firstColumn="0" w:lastColumn="0" w:oddVBand="0" w:evenVBand="0" w:oddHBand="0" w:evenHBand="0" w:firstRowFirstColumn="0" w:firstRowLastColumn="0" w:lastRowFirstColumn="0" w:lastRowLastColumn="0"/>
            </w:pPr>
            <w:r w:rsidRPr="00B87CC5">
              <w:t xml:space="preserve">Maui East, which started production at the end of 2023, will produce gas that </w:t>
            </w:r>
            <w:r w:rsidR="00CE6A30" w:rsidRPr="00B87CC5">
              <w:t>it is only</w:t>
            </w:r>
            <w:r w:rsidRPr="00B87CC5">
              <w:t xml:space="preserve"> </w:t>
            </w:r>
            <w:r w:rsidR="00CE6A30" w:rsidRPr="00B87CC5">
              <w:t>possible to</w:t>
            </w:r>
            <w:r w:rsidRPr="00B87CC5">
              <w:t xml:space="preserve"> produce with CC</w:t>
            </w:r>
            <w:r w:rsidR="00530F4A" w:rsidRPr="00B87CC5">
              <w:t>U</w:t>
            </w:r>
            <w:r w:rsidRPr="00B87CC5">
              <w:t>S</w:t>
            </w:r>
          </w:p>
          <w:p w14:paraId="6CBF6304" w14:textId="11332473" w:rsidR="00FB0D58" w:rsidRPr="00B87CC5" w:rsidRDefault="00D728CF" w:rsidP="001931CB">
            <w:pPr>
              <w:pStyle w:val="TableDash"/>
              <w:cnfStyle w:val="000000000000" w:firstRow="0" w:lastRow="0" w:firstColumn="0" w:lastColumn="0" w:oddVBand="0" w:evenVBand="0" w:oddHBand="0" w:evenHBand="0" w:firstRowFirstColumn="0" w:firstRowLastColumn="0" w:lastRowFirstColumn="0" w:lastRowLastColumn="0"/>
            </w:pPr>
            <w:r w:rsidRPr="00B87CC5">
              <w:t>f</w:t>
            </w:r>
            <w:r w:rsidR="00FB0D58" w:rsidRPr="00B87CC5">
              <w:t>or Maui East production, we have used a proxy estimate of nearly 85 petajoules (PJ) available (based on existing 2C volumes for Maui), with 70</w:t>
            </w:r>
            <w:r w:rsidR="00CE6A30" w:rsidRPr="00B87CC5">
              <w:t>%</w:t>
            </w:r>
            <w:r w:rsidR="00FB0D58" w:rsidRPr="00B87CC5" w:rsidDel="00CE6A30">
              <w:t xml:space="preserve"> </w:t>
            </w:r>
            <w:r w:rsidR="00FB0D58" w:rsidRPr="00B87CC5">
              <w:t>produced and more than half of that production consumed by 2035 (based on overall 2C production estimates from the EY supply and demand study)</w:t>
            </w:r>
            <w:r w:rsidR="00985FFA" w:rsidRPr="00B87CC5">
              <w:rPr>
                <w:rStyle w:val="FootnoteReference"/>
              </w:rPr>
              <w:footnoteReference w:id="32"/>
            </w:r>
          </w:p>
          <w:p w14:paraId="1324CFE9" w14:textId="0D6F0B3A" w:rsidR="001565C2" w:rsidRPr="00B87CC5" w:rsidRDefault="00D728CF" w:rsidP="00BB3C16">
            <w:pPr>
              <w:pStyle w:val="TableDash"/>
              <w:cnfStyle w:val="000000000000" w:firstRow="0" w:lastRow="0" w:firstColumn="0" w:lastColumn="0" w:oddVBand="0" w:evenVBand="0" w:oddHBand="0" w:evenHBand="0" w:firstRowFirstColumn="0" w:firstRowLastColumn="0" w:lastRowFirstColumn="0" w:lastRowLastColumn="0"/>
            </w:pPr>
            <w:r w:rsidRPr="00B87CC5">
              <w:t>t</w:t>
            </w:r>
            <w:r w:rsidR="00FB0D58" w:rsidRPr="00B87CC5">
              <w:t xml:space="preserve">his additional production would have the Maui </w:t>
            </w:r>
            <w:r w:rsidRPr="00B87CC5">
              <w:t>e</w:t>
            </w:r>
            <w:r w:rsidR="00FB0D58" w:rsidRPr="00B87CC5">
              <w:t>mission factor of 52,840 tonnes per PJ</w:t>
            </w:r>
          </w:p>
          <w:p w14:paraId="0648D2EC" w14:textId="64BEAC9D" w:rsidR="001565C2" w:rsidRPr="00B87CC5" w:rsidRDefault="001565C2" w:rsidP="001931CB">
            <w:pPr>
              <w:pStyle w:val="TableDash"/>
              <w:cnfStyle w:val="000000000000" w:firstRow="0" w:lastRow="0" w:firstColumn="0" w:lastColumn="0" w:oddVBand="0" w:evenVBand="0" w:oddHBand="0" w:evenHBand="0" w:firstRowFirstColumn="0" w:firstRowLastColumn="0" w:lastRowFirstColumn="0" w:lastRowLastColumn="0"/>
            </w:pPr>
            <w:r w:rsidRPr="00B87CC5">
              <w:t>emission</w:t>
            </w:r>
            <w:r w:rsidR="00D728CF" w:rsidRPr="00B87CC5">
              <w:t>s would</w:t>
            </w:r>
            <w:r w:rsidRPr="00B87CC5">
              <w:t xml:space="preserve"> reduc</w:t>
            </w:r>
            <w:r w:rsidR="00D728CF" w:rsidRPr="00B87CC5">
              <w:t>e by</w:t>
            </w:r>
            <w:r w:rsidRPr="00B87CC5">
              <w:t xml:space="preserve"> 20</w:t>
            </w:r>
            <w:r w:rsidR="00D728CF" w:rsidRPr="00B87CC5">
              <w:t>%</w:t>
            </w:r>
            <w:r w:rsidRPr="00B87CC5" w:rsidDel="00D728CF">
              <w:t xml:space="preserve"> </w:t>
            </w:r>
            <w:r w:rsidRPr="00B87CC5">
              <w:t>from this additional gas because</w:t>
            </w:r>
            <w:r w:rsidR="00D728CF" w:rsidRPr="00B87CC5">
              <w:t xml:space="preserve"> Methanex would consume</w:t>
            </w:r>
            <w:r w:rsidRPr="00B87CC5">
              <w:t xml:space="preserve"> a significant portion </w:t>
            </w:r>
            <w:r w:rsidR="00D728CF" w:rsidRPr="00B87CC5">
              <w:t>of it through using</w:t>
            </w:r>
            <w:r w:rsidRPr="00B87CC5">
              <w:t xml:space="preserve"> it in methanol feedstock for export. This is a conservative estimate because Methanex stated in 2023 that </w:t>
            </w:r>
            <w:r w:rsidR="00D728CF" w:rsidRPr="00B87CC5">
              <w:t>it uses two-thirds</w:t>
            </w:r>
            <w:r w:rsidRPr="00B87CC5">
              <w:t xml:space="preserve"> of </w:t>
            </w:r>
            <w:r w:rsidR="00D728CF" w:rsidRPr="00B87CC5">
              <w:t xml:space="preserve">the </w:t>
            </w:r>
            <w:r w:rsidRPr="00B87CC5">
              <w:t>gas it consumes in feedstock.</w:t>
            </w:r>
            <w:r w:rsidR="00E4003E" w:rsidRPr="00B87CC5">
              <w:t xml:space="preserve"> </w:t>
            </w:r>
          </w:p>
          <w:p w14:paraId="32D060D5" w14:textId="7BE73855" w:rsidR="001565C2" w:rsidRPr="00B87CC5" w:rsidRDefault="001565C2" w:rsidP="001931CB">
            <w:pPr>
              <w:pStyle w:val="TableBullet"/>
              <w:cnfStyle w:val="000000000000" w:firstRow="0" w:lastRow="0" w:firstColumn="0" w:lastColumn="0" w:oddVBand="0" w:evenVBand="0" w:oddHBand="0" w:evenHBand="0" w:firstRowFirstColumn="0" w:firstRowLastColumn="0" w:lastRowFirstColumn="0" w:lastRowLastColumn="0"/>
            </w:pPr>
            <w:r w:rsidRPr="00B87CC5">
              <w:lastRenderedPageBreak/>
              <w:t>CC</w:t>
            </w:r>
            <w:r w:rsidR="00530F4A" w:rsidRPr="00B87CC5">
              <w:t>U</w:t>
            </w:r>
            <w:r w:rsidRPr="00B87CC5">
              <w:t>S will be used to capture 35</w:t>
            </w:r>
            <w:r w:rsidR="00D728CF" w:rsidRPr="00B87CC5">
              <w:t>%</w:t>
            </w:r>
            <w:r w:rsidRPr="00B87CC5">
              <w:t xml:space="preserve"> of emissions from the petrochemical industry (from the ‘industry plus electricity focus’ gas emissions modelling done by EY in early 2024). </w:t>
            </w:r>
          </w:p>
          <w:p w14:paraId="7F1F8E96" w14:textId="79FA8DEE" w:rsidR="001565C2" w:rsidRPr="00B87CC5" w:rsidRDefault="001565C2" w:rsidP="001931CB">
            <w:pPr>
              <w:pStyle w:val="TableBullet"/>
              <w:cnfStyle w:val="000000000000" w:firstRow="0" w:lastRow="0" w:firstColumn="0" w:lastColumn="0" w:oddVBand="0" w:evenVBand="0" w:oddHBand="0" w:evenHBand="0" w:firstRowFirstColumn="0" w:firstRowLastColumn="0" w:lastRowFirstColumn="0" w:lastRowLastColumn="0"/>
            </w:pPr>
            <w:r w:rsidRPr="00B87CC5">
              <w:t>CC</w:t>
            </w:r>
            <w:r w:rsidR="00530F4A" w:rsidRPr="00B87CC5">
              <w:t>U</w:t>
            </w:r>
            <w:r w:rsidRPr="00B87CC5">
              <w:t>S will be used to capture 5</w:t>
            </w:r>
            <w:r w:rsidR="00D728CF" w:rsidRPr="00B87CC5">
              <w:t>%</w:t>
            </w:r>
            <w:r w:rsidRPr="00B87CC5">
              <w:t xml:space="preserve"> of emissions for other industries (</w:t>
            </w:r>
            <w:proofErr w:type="spellStart"/>
            <w:r w:rsidRPr="00B87CC5">
              <w:t>eg</w:t>
            </w:r>
            <w:proofErr w:type="spellEnd"/>
            <w:r w:rsidR="00D728CF" w:rsidRPr="00B87CC5">
              <w:t>,</w:t>
            </w:r>
            <w:r w:rsidRPr="00B87CC5">
              <w:t xml:space="preserve"> cement and steel). These industries use less gas than petrochemical industries and would have higher costs for CC</w:t>
            </w:r>
            <w:r w:rsidR="00530F4A" w:rsidRPr="00B87CC5">
              <w:t>U</w:t>
            </w:r>
            <w:r w:rsidRPr="00B87CC5">
              <w:t>S due to lower economies of scale. The emissions figures for other industries are based on the figures in the ‘industry plus electricity focus’ scenario in the gas emissions modelling done by EY in early 2024.</w:t>
            </w:r>
          </w:p>
          <w:p w14:paraId="46993CAE" w14:textId="0852A5F3" w:rsidR="001565C2" w:rsidRPr="00B87CC5" w:rsidRDefault="001565C2" w:rsidP="001931CB">
            <w:pPr>
              <w:pStyle w:val="TableBullet"/>
              <w:cnfStyle w:val="000000000000" w:firstRow="0" w:lastRow="0" w:firstColumn="0" w:lastColumn="0" w:oddVBand="0" w:evenVBand="0" w:oddHBand="0" w:evenHBand="0" w:firstRowFirstColumn="0" w:firstRowLastColumn="0" w:lastRowFirstColumn="0" w:lastRowLastColumn="0"/>
            </w:pPr>
            <w:r w:rsidRPr="00B87CC5">
              <w:t>CC</w:t>
            </w:r>
            <w:r w:rsidR="00530F4A" w:rsidRPr="00B87CC5">
              <w:t>U</w:t>
            </w:r>
            <w:r w:rsidRPr="00B87CC5">
              <w:t>S is not likely to be used by 2035 for</w:t>
            </w:r>
            <w:r w:rsidR="35E4A196" w:rsidRPr="00B87CC5">
              <w:t xml:space="preserve"> gas</w:t>
            </w:r>
            <w:r w:rsidRPr="00B87CC5">
              <w:t>-powered electricity generation, which would involve significant capital investment to meet very high CO</w:t>
            </w:r>
            <w:r w:rsidRPr="00B87CC5">
              <w:rPr>
                <w:vertAlign w:val="subscript"/>
              </w:rPr>
              <w:t>2</w:t>
            </w:r>
            <w:r w:rsidRPr="00B87CC5">
              <w:t xml:space="preserve"> production rates when the stations are operating</w:t>
            </w:r>
            <w:r w:rsidR="008F200B" w:rsidRPr="00B87CC5">
              <w:t>.</w:t>
            </w:r>
            <w:r w:rsidRPr="00B87CC5">
              <w:t xml:space="preserve"> CC</w:t>
            </w:r>
            <w:r w:rsidR="00530F4A" w:rsidRPr="00B87CC5">
              <w:t>U</w:t>
            </w:r>
            <w:r w:rsidRPr="00B87CC5">
              <w:t xml:space="preserve">S infrastructure </w:t>
            </w:r>
            <w:r w:rsidR="008F200B" w:rsidRPr="00B87CC5">
              <w:t xml:space="preserve">would </w:t>
            </w:r>
            <w:r w:rsidRPr="00B87CC5">
              <w:t>be used infrequently</w:t>
            </w:r>
            <w:r w:rsidRPr="00B87CC5" w:rsidDel="008F200B">
              <w:t xml:space="preserve"> </w:t>
            </w:r>
            <w:r w:rsidR="008F200B" w:rsidRPr="00B87CC5">
              <w:t>because</w:t>
            </w:r>
            <w:r w:rsidRPr="00B87CC5">
              <w:t xml:space="preserve"> gas-fired power generation </w:t>
            </w:r>
            <w:r w:rsidR="008F200B" w:rsidRPr="00B87CC5">
              <w:t xml:space="preserve">would </w:t>
            </w:r>
            <w:r w:rsidRPr="00B87CC5">
              <w:t>only operat</w:t>
            </w:r>
            <w:r w:rsidR="008F200B" w:rsidRPr="00B87CC5">
              <w:t>e</w:t>
            </w:r>
            <w:r w:rsidRPr="00B87CC5">
              <w:t xml:space="preserve"> when needed.</w:t>
            </w:r>
            <w:r w:rsidR="008B2B99" w:rsidRPr="00B87CC5">
              <w:t xml:space="preserve"> </w:t>
            </w:r>
            <w:r w:rsidRPr="00B87CC5">
              <w:t>Carbon captured via CC</w:t>
            </w:r>
            <w:r w:rsidR="00530F4A" w:rsidRPr="00B87CC5">
              <w:t>U</w:t>
            </w:r>
            <w:r w:rsidRPr="00B87CC5">
              <w:t xml:space="preserve">S will have a very low risk of leaking over the assessed </w:t>
            </w:r>
            <w:proofErr w:type="gramStart"/>
            <w:r w:rsidRPr="00B87CC5">
              <w:t>time period</w:t>
            </w:r>
            <w:proofErr w:type="gramEnd"/>
            <w:r w:rsidRPr="00B87CC5">
              <w:t xml:space="preserve"> (</w:t>
            </w:r>
            <w:r w:rsidR="008F200B" w:rsidRPr="00B87CC5">
              <w:t>in line with</w:t>
            </w:r>
            <w:r w:rsidRPr="00B87CC5">
              <w:t xml:space="preserve"> the International Energy Agency view) and given there will be a regulatory regime in place.</w:t>
            </w:r>
          </w:p>
        </w:tc>
      </w:tr>
      <w:tr w:rsidR="00657E7D" w:rsidRPr="00B87CC5" w14:paraId="0F5D0EFF" w14:textId="77777777" w:rsidTr="008A7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 w:type="pct"/>
            <w:tcBorders>
              <w:top w:val="single" w:sz="4" w:space="0" w:color="1C556C" w:themeColor="accent1"/>
              <w:left w:val="nil"/>
              <w:bottom w:val="nil"/>
            </w:tcBorders>
          </w:tcPr>
          <w:p w14:paraId="115C379D" w14:textId="77777777" w:rsidR="00657E7D" w:rsidRPr="00B87CC5" w:rsidRDefault="00657E7D" w:rsidP="002B1BF8">
            <w:pPr>
              <w:pStyle w:val="TableText"/>
            </w:pPr>
            <w:r w:rsidRPr="00B87CC5">
              <w:lastRenderedPageBreak/>
              <w:t>Transport</w:t>
            </w:r>
          </w:p>
        </w:tc>
        <w:tc>
          <w:tcPr>
            <w:tcW w:w="730" w:type="pct"/>
            <w:tcBorders>
              <w:top w:val="single" w:sz="4" w:space="0" w:color="1C556C" w:themeColor="accent1"/>
            </w:tcBorders>
          </w:tcPr>
          <w:p w14:paraId="19CE434D" w14:textId="7237050D" w:rsidR="00657E7D" w:rsidRPr="00B87CC5" w:rsidRDefault="00657E7D" w:rsidP="002B1BF8">
            <w:pPr>
              <w:pStyle w:val="TableText"/>
              <w:cnfStyle w:val="000000100000" w:firstRow="0" w:lastRow="0" w:firstColumn="0" w:lastColumn="0" w:oddVBand="0" w:evenVBand="0" w:oddHBand="1" w:evenHBand="0" w:firstRowFirstColumn="0" w:firstRowLastColumn="0" w:lastRowFirstColumn="0" w:lastRowLastColumn="0"/>
            </w:pPr>
            <w:r w:rsidRPr="00B87CC5">
              <w:t xml:space="preserve">10,000 public </w:t>
            </w:r>
            <w:r w:rsidR="008F200B" w:rsidRPr="00B87CC5">
              <w:t xml:space="preserve">electrical vehicle </w:t>
            </w:r>
            <w:r w:rsidRPr="00B87CC5">
              <w:t>chargers</w:t>
            </w:r>
          </w:p>
        </w:tc>
        <w:tc>
          <w:tcPr>
            <w:tcW w:w="3881" w:type="pct"/>
            <w:tcBorders>
              <w:top w:val="single" w:sz="4" w:space="0" w:color="1C556C" w:themeColor="accent1"/>
              <w:right w:val="nil"/>
            </w:tcBorders>
          </w:tcPr>
          <w:p w14:paraId="18F89C78" w14:textId="43C9B9E2" w:rsidR="00657E7D" w:rsidRPr="00B87CC5" w:rsidRDefault="00657E7D" w:rsidP="001931CB">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87CC5">
              <w:t xml:space="preserve">Assume lack of chargers causes the proportion of </w:t>
            </w:r>
            <w:r w:rsidR="00D70C40" w:rsidRPr="00B87CC5">
              <w:t xml:space="preserve">battery electric vehicles among </w:t>
            </w:r>
            <w:r w:rsidRPr="00B87CC5">
              <w:t>new light vehicles to be 10% lower than if there is no constraint</w:t>
            </w:r>
            <w:r w:rsidR="00D70C40" w:rsidRPr="00B87CC5">
              <w:t>.</w:t>
            </w:r>
          </w:p>
        </w:tc>
      </w:tr>
      <w:tr w:rsidR="00746FED" w:rsidRPr="00B87CC5" w14:paraId="6469CE75" w14:textId="77777777" w:rsidTr="008A76D3">
        <w:tc>
          <w:tcPr>
            <w:cnfStyle w:val="001000000000" w:firstRow="0" w:lastRow="0" w:firstColumn="1" w:lastColumn="0" w:oddVBand="0" w:evenVBand="0" w:oddHBand="0" w:evenHBand="0" w:firstRowFirstColumn="0" w:firstRowLastColumn="0" w:lastRowFirstColumn="0" w:lastRowLastColumn="0"/>
            <w:tcW w:w="389" w:type="pct"/>
            <w:tcBorders>
              <w:top w:val="nil"/>
              <w:left w:val="nil"/>
              <w:bottom w:val="nil"/>
            </w:tcBorders>
          </w:tcPr>
          <w:p w14:paraId="0ED54479" w14:textId="668B3E05" w:rsidR="00657E7D" w:rsidRPr="00B87CC5" w:rsidRDefault="00657E7D" w:rsidP="00657E7D">
            <w:pPr>
              <w:pStyle w:val="BodyText"/>
              <w:spacing w:before="0" w:after="0" w:line="240" w:lineRule="auto"/>
              <w:rPr>
                <w:rFonts w:asciiTheme="minorHAnsi" w:hAnsiTheme="minorHAnsi" w:cstheme="minorHAnsi"/>
                <w:sz w:val="18"/>
                <w:szCs w:val="18"/>
              </w:rPr>
            </w:pPr>
          </w:p>
        </w:tc>
        <w:tc>
          <w:tcPr>
            <w:tcW w:w="730" w:type="pct"/>
            <w:tcBorders>
              <w:top w:val="single" w:sz="8" w:space="0" w:color="1C556C" w:themeColor="accent1"/>
            </w:tcBorders>
          </w:tcPr>
          <w:p w14:paraId="26B07F8B" w14:textId="1ADFCD7B" w:rsidR="00657E7D" w:rsidRPr="00B87CC5" w:rsidRDefault="00657E7D" w:rsidP="002B1BF8">
            <w:pPr>
              <w:pStyle w:val="TableText"/>
              <w:cnfStyle w:val="000000000000" w:firstRow="0" w:lastRow="0" w:firstColumn="0" w:lastColumn="0" w:oddVBand="0" w:evenVBand="0" w:oddHBand="0" w:evenHBand="0" w:firstRowFirstColumn="0" w:firstRowLastColumn="0" w:lastRowFirstColumn="0" w:lastRowLastColumn="0"/>
            </w:pPr>
            <w:r w:rsidRPr="00B87CC5">
              <w:t>Clean Car</w:t>
            </w:r>
            <w:r w:rsidR="0053688A" w:rsidRPr="00B87CC5">
              <w:t xml:space="preserve"> </w:t>
            </w:r>
            <w:r w:rsidRPr="00B87CC5">
              <w:t>Standard</w:t>
            </w:r>
          </w:p>
        </w:tc>
        <w:tc>
          <w:tcPr>
            <w:tcW w:w="3881" w:type="pct"/>
            <w:tcBorders>
              <w:top w:val="single" w:sz="8" w:space="0" w:color="1C556C" w:themeColor="accent1"/>
              <w:right w:val="nil"/>
            </w:tcBorders>
          </w:tcPr>
          <w:p w14:paraId="5C19CA11" w14:textId="7388F95B" w:rsidR="00657E7D" w:rsidRPr="00B87CC5" w:rsidRDefault="0053688A" w:rsidP="001931C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vertAlign w:val="subscript"/>
              </w:rPr>
            </w:pPr>
            <w:r w:rsidRPr="00B87CC5">
              <w:t>Clean Car Standard</w:t>
            </w:r>
            <w:r w:rsidR="00FD349D" w:rsidRPr="00B87CC5">
              <w:t xml:space="preserve"> </w:t>
            </w:r>
            <w:r w:rsidR="0073409C" w:rsidRPr="00B87CC5">
              <w:t>reduces</w:t>
            </w:r>
            <w:r w:rsidR="00210988" w:rsidRPr="00B87CC5">
              <w:t xml:space="preserve"> </w:t>
            </w:r>
            <w:r w:rsidR="0073409C" w:rsidRPr="00B87CC5">
              <w:t>at</w:t>
            </w:r>
            <w:r w:rsidR="006D54C5" w:rsidRPr="00B87CC5">
              <w:t xml:space="preserve"> a </w:t>
            </w:r>
            <w:r w:rsidR="00F907A4" w:rsidRPr="00B87CC5">
              <w:t xml:space="preserve">slower </w:t>
            </w:r>
            <w:r w:rsidR="0073409C" w:rsidRPr="00B87CC5">
              <w:t>rate</w:t>
            </w:r>
            <w:r w:rsidR="001F2A92" w:rsidRPr="00B87CC5">
              <w:t xml:space="preserve">. </w:t>
            </w:r>
            <w:r w:rsidR="00DE4159" w:rsidRPr="00B87CC5">
              <w:t>By 20</w:t>
            </w:r>
            <w:r w:rsidR="00FE4FC0" w:rsidRPr="00B87CC5">
              <w:t>27</w:t>
            </w:r>
            <w:r w:rsidR="00DE4159" w:rsidRPr="00B87CC5">
              <w:t xml:space="preserve"> the standard</w:t>
            </w:r>
            <w:r w:rsidR="00210988" w:rsidRPr="00B87CC5">
              <w:t xml:space="preserve"> for passenger vehicles</w:t>
            </w:r>
            <w:r w:rsidR="00DE4159" w:rsidRPr="00B87CC5">
              <w:t xml:space="preserve"> is </w:t>
            </w:r>
            <w:r w:rsidR="00B6671C" w:rsidRPr="00B87CC5">
              <w:t xml:space="preserve">103 </w:t>
            </w:r>
            <w:r w:rsidR="00BD0793" w:rsidRPr="00B87CC5">
              <w:t>g</w:t>
            </w:r>
            <w:r w:rsidR="00D70C40" w:rsidRPr="00B87CC5">
              <w:t xml:space="preserve"> </w:t>
            </w:r>
            <w:r w:rsidR="00BD0793" w:rsidRPr="00B87CC5">
              <w:t>CO</w:t>
            </w:r>
            <w:r w:rsidR="00BD0793" w:rsidRPr="00B87CC5">
              <w:rPr>
                <w:vertAlign w:val="subscript"/>
              </w:rPr>
              <w:t>2</w:t>
            </w:r>
            <w:r w:rsidR="00BD0793" w:rsidRPr="00B87CC5">
              <w:t xml:space="preserve">/km rather than </w:t>
            </w:r>
            <w:r w:rsidR="00937B13" w:rsidRPr="00B87CC5">
              <w:t>63</w:t>
            </w:r>
            <w:r w:rsidR="00BD0793" w:rsidRPr="00B87CC5">
              <w:t xml:space="preserve"> </w:t>
            </w:r>
            <w:r w:rsidR="00883C0A" w:rsidRPr="00B87CC5">
              <w:t>g</w:t>
            </w:r>
            <w:r w:rsidR="00D70C40" w:rsidRPr="00B87CC5">
              <w:t xml:space="preserve"> </w:t>
            </w:r>
            <w:r w:rsidR="00883C0A" w:rsidRPr="00B87CC5">
              <w:t>CO</w:t>
            </w:r>
            <w:r w:rsidR="00883C0A" w:rsidRPr="00B87CC5">
              <w:rPr>
                <w:vertAlign w:val="subscript"/>
              </w:rPr>
              <w:t>2</w:t>
            </w:r>
            <w:r w:rsidR="00883C0A" w:rsidRPr="00B87CC5">
              <w:t>/km</w:t>
            </w:r>
            <w:r w:rsidR="00F907A4" w:rsidRPr="00B87CC5">
              <w:t xml:space="preserve">. For </w:t>
            </w:r>
            <w:r w:rsidR="00225017" w:rsidRPr="00B87CC5">
              <w:t>commercial vehicles</w:t>
            </w:r>
            <w:r w:rsidR="00D70C40" w:rsidRPr="00B87CC5">
              <w:t>,</w:t>
            </w:r>
            <w:r w:rsidR="00225017" w:rsidRPr="00B87CC5">
              <w:t xml:space="preserve"> the </w:t>
            </w:r>
            <w:r w:rsidR="00DF04CD" w:rsidRPr="00B87CC5">
              <w:t xml:space="preserve">initial </w:t>
            </w:r>
            <w:r w:rsidR="00AF553E" w:rsidRPr="00B87CC5">
              <w:t>2025 standard is 222</w:t>
            </w:r>
            <w:r w:rsidR="00D70C40" w:rsidRPr="00B87CC5">
              <w:t xml:space="preserve"> </w:t>
            </w:r>
            <w:r w:rsidR="00FC643A" w:rsidRPr="00B87CC5">
              <w:t>g/km</w:t>
            </w:r>
            <w:r w:rsidR="00AF553E" w:rsidRPr="00B87CC5">
              <w:t xml:space="preserve"> rather than 155</w:t>
            </w:r>
            <w:r w:rsidR="00D70C40" w:rsidRPr="00B87CC5">
              <w:t xml:space="preserve"> </w:t>
            </w:r>
            <w:r w:rsidR="00093958" w:rsidRPr="00B87CC5">
              <w:t>g/km</w:t>
            </w:r>
            <w:r w:rsidR="00AF553E" w:rsidRPr="00B87CC5">
              <w:t xml:space="preserve"> </w:t>
            </w:r>
            <w:r w:rsidR="00225017" w:rsidRPr="00B87CC5">
              <w:t xml:space="preserve">and </w:t>
            </w:r>
            <w:r w:rsidR="00D40A16" w:rsidRPr="00B87CC5">
              <w:t>by 2027 the standard is 175</w:t>
            </w:r>
            <w:r w:rsidR="00D70C40" w:rsidRPr="00B87CC5">
              <w:t xml:space="preserve"> </w:t>
            </w:r>
            <w:r w:rsidR="00D40A16" w:rsidRPr="00B87CC5">
              <w:t>g/km</w:t>
            </w:r>
            <w:r w:rsidR="000D0BDF" w:rsidRPr="00B87CC5">
              <w:t xml:space="preserve"> rather than 87.2</w:t>
            </w:r>
            <w:r w:rsidR="00D70C40" w:rsidRPr="00B87CC5">
              <w:t xml:space="preserve"> </w:t>
            </w:r>
            <w:r w:rsidR="000D0BDF" w:rsidRPr="00B87CC5">
              <w:t>g/km</w:t>
            </w:r>
            <w:r w:rsidR="00D70C40" w:rsidRPr="00B87CC5">
              <w:t>.</w:t>
            </w:r>
          </w:p>
        </w:tc>
      </w:tr>
      <w:tr w:rsidR="00657E7D" w:rsidRPr="00B87CC5" w14:paraId="7FCEF266" w14:textId="77777777" w:rsidTr="008A7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 w:type="pct"/>
            <w:tcBorders>
              <w:top w:val="nil"/>
              <w:left w:val="nil"/>
            </w:tcBorders>
          </w:tcPr>
          <w:p w14:paraId="4A224801" w14:textId="06D72474" w:rsidR="00657E7D" w:rsidRPr="00B87CC5" w:rsidRDefault="00657E7D" w:rsidP="00657E7D">
            <w:pPr>
              <w:pStyle w:val="BodyText"/>
              <w:spacing w:before="0" w:after="0" w:line="240" w:lineRule="auto"/>
              <w:rPr>
                <w:rFonts w:asciiTheme="minorHAnsi" w:hAnsiTheme="minorHAnsi" w:cstheme="minorHAnsi"/>
                <w:sz w:val="18"/>
                <w:szCs w:val="18"/>
              </w:rPr>
            </w:pPr>
          </w:p>
        </w:tc>
        <w:tc>
          <w:tcPr>
            <w:tcW w:w="730" w:type="pct"/>
          </w:tcPr>
          <w:p w14:paraId="20311E9D" w14:textId="77777777" w:rsidR="00657E7D" w:rsidRPr="00B87CC5" w:rsidRDefault="00657E7D" w:rsidP="002B1BF8">
            <w:pPr>
              <w:pStyle w:val="TableText"/>
              <w:cnfStyle w:val="000000100000" w:firstRow="0" w:lastRow="0" w:firstColumn="0" w:lastColumn="0" w:oddVBand="0" w:evenVBand="0" w:oddHBand="1" w:evenHBand="0" w:firstRowFirstColumn="0" w:firstRowLastColumn="0" w:lastRowFirstColumn="0" w:lastRowLastColumn="0"/>
            </w:pPr>
            <w:r w:rsidRPr="00B87CC5">
              <w:t>Better public transport</w:t>
            </w:r>
          </w:p>
        </w:tc>
        <w:tc>
          <w:tcPr>
            <w:tcW w:w="3881" w:type="pct"/>
            <w:tcBorders>
              <w:right w:val="nil"/>
            </w:tcBorders>
          </w:tcPr>
          <w:p w14:paraId="1770351E" w14:textId="3B62689A" w:rsidR="00657E7D" w:rsidRPr="00B87CC5" w:rsidRDefault="003F49AD" w:rsidP="001931CB">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87CC5">
              <w:rPr>
                <w:szCs w:val="20"/>
              </w:rPr>
              <w:t xml:space="preserve">Assume </w:t>
            </w:r>
            <w:r w:rsidR="00657E7D" w:rsidRPr="00B87CC5">
              <w:rPr>
                <w:szCs w:val="20"/>
              </w:rPr>
              <w:t xml:space="preserve">investment in </w:t>
            </w:r>
            <w:r w:rsidR="00DE0530" w:rsidRPr="00B87CC5">
              <w:rPr>
                <w:szCs w:val="20"/>
              </w:rPr>
              <w:t xml:space="preserve">public transport </w:t>
            </w:r>
            <w:r w:rsidR="00657E7D" w:rsidRPr="00B87CC5">
              <w:rPr>
                <w:szCs w:val="20"/>
              </w:rPr>
              <w:t xml:space="preserve">decreases light vehicle mode share </w:t>
            </w:r>
            <w:r w:rsidR="003D326A" w:rsidRPr="00B87CC5">
              <w:rPr>
                <w:szCs w:val="20"/>
              </w:rPr>
              <w:t>0.7</w:t>
            </w:r>
            <w:r w:rsidR="00387AE9" w:rsidRPr="00B87CC5">
              <w:rPr>
                <w:szCs w:val="20"/>
              </w:rPr>
              <w:t>%</w:t>
            </w:r>
            <w:r w:rsidR="000607DF" w:rsidRPr="00B87CC5">
              <w:rPr>
                <w:szCs w:val="20"/>
              </w:rPr>
              <w:t xml:space="preserve"> by</w:t>
            </w:r>
            <w:r w:rsidR="00657E7D" w:rsidRPr="00B87CC5">
              <w:rPr>
                <w:szCs w:val="20"/>
              </w:rPr>
              <w:t xml:space="preserve"> 2028</w:t>
            </w:r>
            <w:r w:rsidR="00DE0530" w:rsidRPr="00B87CC5">
              <w:rPr>
                <w:szCs w:val="20"/>
              </w:rPr>
              <w:t>.</w:t>
            </w:r>
          </w:p>
        </w:tc>
      </w:tr>
      <w:tr w:rsidR="00746FED" w:rsidRPr="00B87CC5" w14:paraId="09EE218F" w14:textId="77777777" w:rsidTr="008A76D3">
        <w:tc>
          <w:tcPr>
            <w:cnfStyle w:val="001000000000" w:firstRow="0" w:lastRow="0" w:firstColumn="1" w:lastColumn="0" w:oddVBand="0" w:evenVBand="0" w:oddHBand="0" w:evenHBand="0" w:firstRowFirstColumn="0" w:firstRowLastColumn="0" w:lastRowFirstColumn="0" w:lastRowLastColumn="0"/>
            <w:tcW w:w="389" w:type="pct"/>
            <w:tcBorders>
              <w:top w:val="single" w:sz="8" w:space="0" w:color="1C556C" w:themeColor="accent1"/>
              <w:left w:val="nil"/>
              <w:bottom w:val="single" w:sz="8" w:space="0" w:color="1C556C" w:themeColor="accent1"/>
            </w:tcBorders>
          </w:tcPr>
          <w:p w14:paraId="4B3F8AA9" w14:textId="77777777" w:rsidR="00657E7D" w:rsidRPr="00B87CC5" w:rsidRDefault="00657E7D" w:rsidP="002B1BF8">
            <w:pPr>
              <w:pStyle w:val="TableText"/>
            </w:pPr>
            <w:r w:rsidRPr="00B87CC5">
              <w:t>Agriculture</w:t>
            </w:r>
          </w:p>
        </w:tc>
        <w:tc>
          <w:tcPr>
            <w:tcW w:w="730" w:type="pct"/>
            <w:tcBorders>
              <w:top w:val="single" w:sz="8" w:space="0" w:color="1C556C" w:themeColor="accent1"/>
            </w:tcBorders>
          </w:tcPr>
          <w:p w14:paraId="5FB75DEB" w14:textId="49539F4E" w:rsidR="00657E7D" w:rsidRPr="00B87CC5" w:rsidRDefault="00657E7D" w:rsidP="002B1BF8">
            <w:pPr>
              <w:pStyle w:val="TableText"/>
              <w:cnfStyle w:val="000000000000" w:firstRow="0" w:lastRow="0" w:firstColumn="0" w:lastColumn="0" w:oddVBand="0" w:evenVBand="0" w:oddHBand="0" w:evenHBand="0" w:firstRowFirstColumn="0" w:firstRowLastColumn="0" w:lastRowFirstColumn="0" w:lastRowLastColumn="0"/>
            </w:pPr>
            <w:r w:rsidRPr="00B87CC5">
              <w:t xml:space="preserve">Agricultural emissions pricing </w:t>
            </w:r>
            <w:r w:rsidR="00DE0530" w:rsidRPr="00B87CC5">
              <w:t xml:space="preserve">and </w:t>
            </w:r>
            <w:r w:rsidRPr="00B87CC5">
              <w:t>mitigation technologies</w:t>
            </w:r>
          </w:p>
        </w:tc>
        <w:tc>
          <w:tcPr>
            <w:tcW w:w="3881" w:type="pct"/>
            <w:tcBorders>
              <w:top w:val="single" w:sz="8" w:space="0" w:color="1C556C" w:themeColor="accent1"/>
              <w:right w:val="nil"/>
            </w:tcBorders>
          </w:tcPr>
          <w:p w14:paraId="49211AD5" w14:textId="77777777" w:rsidR="003D30DF" w:rsidRPr="00B87CC5" w:rsidRDefault="003D30DF" w:rsidP="003D30DF">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sz w:val="18"/>
              </w:rPr>
            </w:pPr>
            <w:r w:rsidRPr="00B87CC5">
              <w:rPr>
                <w:sz w:val="18"/>
              </w:rPr>
              <w:t>Modelled via the effect rather than assuming specific prices or incentive payment amounts.</w:t>
            </w:r>
          </w:p>
          <w:p w14:paraId="79D099E8" w14:textId="245C9888" w:rsidR="00A06B20" w:rsidRPr="00B87CC5" w:rsidRDefault="00177159" w:rsidP="001931CB">
            <w:pPr>
              <w:pStyle w:val="TableText"/>
              <w:cnfStyle w:val="000000000000" w:firstRow="0" w:lastRow="0" w:firstColumn="0" w:lastColumn="0" w:oddVBand="0" w:evenVBand="0" w:oddHBand="0" w:evenHBand="0" w:firstRowFirstColumn="0" w:firstRowLastColumn="0" w:lastRowFirstColumn="0" w:lastRowLastColumn="0"/>
            </w:pPr>
            <w:r w:rsidRPr="00B87CC5">
              <w:t xml:space="preserve">Note: The form of the agricultural pricing mechanism </w:t>
            </w:r>
            <w:r w:rsidR="00A06B20" w:rsidRPr="00B87CC5">
              <w:t xml:space="preserve">has not been decided currently. </w:t>
            </w:r>
          </w:p>
          <w:p w14:paraId="33D3574B" w14:textId="7A1E5C87" w:rsidR="00177159" w:rsidRPr="00B87CC5" w:rsidRDefault="00B11238" w:rsidP="001931CB">
            <w:pPr>
              <w:pStyle w:val="TableText"/>
              <w:cnfStyle w:val="000000000000" w:firstRow="0" w:lastRow="0" w:firstColumn="0" w:lastColumn="0" w:oddVBand="0" w:evenVBand="0" w:oddHBand="0" w:evenHBand="0" w:firstRowFirstColumn="0" w:firstRowLastColumn="0" w:lastRowFirstColumn="0" w:lastRowLastColumn="0"/>
            </w:pPr>
            <w:r w:rsidRPr="00B87CC5">
              <w:t>P</w:t>
            </w:r>
            <w:r w:rsidR="00FC15AF" w:rsidRPr="00B87CC5">
              <w:t>roduction is assumed not to be affected by agricultural emissions pricing</w:t>
            </w:r>
            <w:r w:rsidR="00CA59CC" w:rsidRPr="00B87CC5">
              <w:t>.</w:t>
            </w:r>
          </w:p>
          <w:p w14:paraId="1B7FBD73" w14:textId="3B4C18B5" w:rsidR="00AD3058" w:rsidRPr="00B87CC5" w:rsidRDefault="00AD3058" w:rsidP="001931CB">
            <w:pPr>
              <w:pStyle w:val="TableText"/>
              <w:cnfStyle w:val="000000000000" w:firstRow="0" w:lastRow="0" w:firstColumn="0" w:lastColumn="0" w:oddVBand="0" w:evenVBand="0" w:oddHBand="0" w:evenHBand="0" w:firstRowFirstColumn="0" w:firstRowLastColumn="0" w:lastRowFirstColumn="0" w:lastRowLastColumn="0"/>
            </w:pPr>
            <w:r w:rsidRPr="00B87CC5">
              <w:t>Methane inhibitor</w:t>
            </w:r>
            <w:r w:rsidR="00EE370B" w:rsidRPr="00B87CC5">
              <w:t>s</w:t>
            </w:r>
            <w:r w:rsidR="002B6585" w:rsidRPr="00B87CC5">
              <w:t>:</w:t>
            </w:r>
            <w:r w:rsidRPr="00B87CC5">
              <w:t xml:space="preserve"> </w:t>
            </w:r>
            <w:r w:rsidR="0013094E" w:rsidRPr="00B87CC5">
              <w:t>45%</w:t>
            </w:r>
            <w:r w:rsidR="00C22D20" w:rsidRPr="00B87CC5">
              <w:t xml:space="preserve"> efficacy</w:t>
            </w:r>
            <w:r w:rsidR="0013094E" w:rsidRPr="00B87CC5">
              <w:t xml:space="preserve">, available 2028 with peak adoption </w:t>
            </w:r>
            <w:r w:rsidR="00FF419E" w:rsidRPr="00B87CC5">
              <w:t xml:space="preserve">for dairy 69% </w:t>
            </w:r>
            <w:r w:rsidR="00AE377F" w:rsidRPr="00B87CC5">
              <w:t>by</w:t>
            </w:r>
            <w:r w:rsidR="00253371" w:rsidRPr="00B87CC5">
              <w:t xml:space="preserve"> 2041 and </w:t>
            </w:r>
            <w:r w:rsidR="00FF419E" w:rsidRPr="00B87CC5">
              <w:t xml:space="preserve">for beef </w:t>
            </w:r>
            <w:r w:rsidR="00E7690E" w:rsidRPr="00B87CC5">
              <w:t xml:space="preserve">15% </w:t>
            </w:r>
            <w:r w:rsidR="00AE377F" w:rsidRPr="00B87CC5">
              <w:t>by</w:t>
            </w:r>
            <w:r w:rsidR="00E7690E" w:rsidRPr="00B87CC5">
              <w:t xml:space="preserve"> </w:t>
            </w:r>
            <w:r w:rsidR="00176542" w:rsidRPr="00B87CC5">
              <w:t>2047</w:t>
            </w:r>
            <w:r w:rsidR="00CA59CC" w:rsidRPr="00B87CC5">
              <w:t>.</w:t>
            </w:r>
          </w:p>
          <w:p w14:paraId="009794F0" w14:textId="0F545773" w:rsidR="003D2F93" w:rsidRPr="00B87CC5" w:rsidRDefault="003D2F93" w:rsidP="001931CB">
            <w:pPr>
              <w:pStyle w:val="TableText"/>
              <w:cnfStyle w:val="000000000000" w:firstRow="0" w:lastRow="0" w:firstColumn="0" w:lastColumn="0" w:oddVBand="0" w:evenVBand="0" w:oddHBand="0" w:evenHBand="0" w:firstRowFirstColumn="0" w:firstRowLastColumn="0" w:lastRowFirstColumn="0" w:lastRowLastColumn="0"/>
            </w:pPr>
            <w:r w:rsidRPr="00B87CC5">
              <w:t>Low</w:t>
            </w:r>
            <w:r w:rsidR="00CA59CC" w:rsidRPr="00B87CC5">
              <w:t>-</w:t>
            </w:r>
            <w:r w:rsidRPr="00B87CC5">
              <w:t>emissions feeds for dairy cattle</w:t>
            </w:r>
            <w:r w:rsidR="004E5CD0" w:rsidRPr="00B87CC5">
              <w:t>:</w:t>
            </w:r>
            <w:r w:rsidRPr="00B87CC5">
              <w:t xml:space="preserve"> 8% </w:t>
            </w:r>
            <w:r w:rsidR="00C22D20" w:rsidRPr="00B87CC5">
              <w:t>efficacy</w:t>
            </w:r>
            <w:r w:rsidRPr="00B87CC5">
              <w:t>, available</w:t>
            </w:r>
            <w:r w:rsidR="00D12EF6" w:rsidRPr="00B87CC5">
              <w:t xml:space="preserve"> from</w:t>
            </w:r>
            <w:r w:rsidRPr="00B87CC5">
              <w:t xml:space="preserve"> </w:t>
            </w:r>
            <w:r w:rsidR="00CF5C01" w:rsidRPr="00B87CC5">
              <w:t xml:space="preserve">2024 with peak adoption 6% </w:t>
            </w:r>
            <w:r w:rsidR="00AE377F" w:rsidRPr="00B87CC5">
              <w:t>by 2035</w:t>
            </w:r>
            <w:r w:rsidR="00CA59CC" w:rsidRPr="00B87CC5">
              <w:t>.</w:t>
            </w:r>
          </w:p>
          <w:p w14:paraId="50D4067D" w14:textId="31AB998A" w:rsidR="00E673EA" w:rsidRPr="00B87CC5" w:rsidRDefault="00E673EA" w:rsidP="001931CB">
            <w:pPr>
              <w:pStyle w:val="TableText"/>
              <w:cnfStyle w:val="000000000000" w:firstRow="0" w:lastRow="0" w:firstColumn="0" w:lastColumn="0" w:oddVBand="0" w:evenVBand="0" w:oddHBand="0" w:evenHBand="0" w:firstRowFirstColumn="0" w:firstRowLastColumn="0" w:lastRowFirstColumn="0" w:lastRowLastColumn="0"/>
            </w:pPr>
            <w:proofErr w:type="spellStart"/>
            <w:r w:rsidRPr="00B87CC5">
              <w:t>EcoPond</w:t>
            </w:r>
            <w:proofErr w:type="spellEnd"/>
            <w:r w:rsidR="00D50921" w:rsidRPr="00B87CC5">
              <w:t>™</w:t>
            </w:r>
            <w:r w:rsidRPr="00B87CC5">
              <w:t xml:space="preserve"> for dairy</w:t>
            </w:r>
            <w:r w:rsidR="004E5CD0" w:rsidRPr="00B87CC5">
              <w:t>:</w:t>
            </w:r>
            <w:r w:rsidRPr="00B87CC5">
              <w:t xml:space="preserve"> </w:t>
            </w:r>
            <w:r w:rsidR="00367689" w:rsidRPr="00B87CC5">
              <w:t>92%</w:t>
            </w:r>
            <w:r w:rsidR="00C22D20" w:rsidRPr="00B87CC5">
              <w:t xml:space="preserve"> efficacy</w:t>
            </w:r>
            <w:r w:rsidR="00431CBB" w:rsidRPr="00B87CC5">
              <w:t xml:space="preserve">, available </w:t>
            </w:r>
            <w:r w:rsidR="008303EF" w:rsidRPr="00B87CC5">
              <w:t xml:space="preserve">from 2025 with peak adoption </w:t>
            </w:r>
            <w:r w:rsidR="0029602E" w:rsidRPr="00B87CC5">
              <w:t>3% by 2037</w:t>
            </w:r>
            <w:r w:rsidR="00CA59CC" w:rsidRPr="00B87CC5">
              <w:t>.</w:t>
            </w:r>
          </w:p>
          <w:p w14:paraId="55EA466F" w14:textId="7B1E8CFA" w:rsidR="00CE4CD8" w:rsidRPr="00B87CC5" w:rsidRDefault="00CE4CD8" w:rsidP="001931CB">
            <w:pPr>
              <w:pStyle w:val="TableText"/>
              <w:cnfStyle w:val="000000000000" w:firstRow="0" w:lastRow="0" w:firstColumn="0" w:lastColumn="0" w:oddVBand="0" w:evenVBand="0" w:oddHBand="0" w:evenHBand="0" w:firstRowFirstColumn="0" w:firstRowLastColumn="0" w:lastRowFirstColumn="0" w:lastRowLastColumn="0"/>
            </w:pPr>
            <w:r w:rsidRPr="00B87CC5">
              <w:t xml:space="preserve">Nitrification inhibitors </w:t>
            </w:r>
            <w:r w:rsidR="004E1E37" w:rsidRPr="00B87CC5">
              <w:t>for dairy</w:t>
            </w:r>
            <w:r w:rsidR="004E5CD0" w:rsidRPr="00B87CC5">
              <w:t>:</w:t>
            </w:r>
            <w:r w:rsidR="00E32EF8" w:rsidRPr="00B87CC5">
              <w:t xml:space="preserve"> </w:t>
            </w:r>
            <w:r w:rsidR="0036762B" w:rsidRPr="00B87CC5">
              <w:t>17% ef</w:t>
            </w:r>
            <w:r w:rsidR="00443ACA" w:rsidRPr="00B87CC5">
              <w:t xml:space="preserve">ficacy, available from </w:t>
            </w:r>
            <w:r w:rsidR="00FA2ED5" w:rsidRPr="00B87CC5">
              <w:t xml:space="preserve">2030 with peak adoption </w:t>
            </w:r>
            <w:r w:rsidR="00C22D20" w:rsidRPr="00B87CC5">
              <w:t>1% by 2045</w:t>
            </w:r>
            <w:r w:rsidR="00CA59CC" w:rsidRPr="00B87CC5">
              <w:t>.</w:t>
            </w:r>
          </w:p>
          <w:p w14:paraId="189AE920" w14:textId="4631789B" w:rsidR="00657E7D" w:rsidRPr="00B87CC5" w:rsidRDefault="00F126CA" w:rsidP="001931CB">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B87CC5">
              <w:t>Low</w:t>
            </w:r>
            <w:r w:rsidR="00E72540" w:rsidRPr="00B87CC5">
              <w:t>-</w:t>
            </w:r>
            <w:r w:rsidRPr="00B87CC5">
              <w:t>meth</w:t>
            </w:r>
            <w:r w:rsidR="008B7538" w:rsidRPr="00B87CC5">
              <w:t xml:space="preserve">ane genetics </w:t>
            </w:r>
            <w:r w:rsidR="00AA7050" w:rsidRPr="00B87CC5">
              <w:t xml:space="preserve">for </w:t>
            </w:r>
            <w:r w:rsidR="000F330C" w:rsidRPr="00B87CC5">
              <w:t xml:space="preserve">sheep, beef and dairy cattle </w:t>
            </w:r>
            <w:r w:rsidR="003C48CE" w:rsidRPr="00B87CC5">
              <w:t>based on the tim</w:t>
            </w:r>
            <w:r w:rsidR="00105B6F" w:rsidRPr="00B87CC5">
              <w:t xml:space="preserve">e series provided by </w:t>
            </w:r>
            <w:r w:rsidR="00CA59CC" w:rsidRPr="00B87CC5">
              <w:t>the Ministry for Primary Industries.</w:t>
            </w:r>
          </w:p>
        </w:tc>
      </w:tr>
      <w:tr w:rsidR="00657E7D" w:rsidRPr="00B87CC5" w14:paraId="1513C9D1" w14:textId="77777777" w:rsidTr="008A7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 w:type="pct"/>
            <w:tcBorders>
              <w:left w:val="nil"/>
              <w:bottom w:val="nil"/>
            </w:tcBorders>
          </w:tcPr>
          <w:p w14:paraId="0F8A0F84" w14:textId="77777777" w:rsidR="00657E7D" w:rsidRPr="00B87CC5" w:rsidRDefault="00657E7D" w:rsidP="00C356E2">
            <w:pPr>
              <w:pStyle w:val="TableText"/>
            </w:pPr>
            <w:r w:rsidRPr="00B87CC5">
              <w:t>Forestry</w:t>
            </w:r>
          </w:p>
        </w:tc>
        <w:tc>
          <w:tcPr>
            <w:tcW w:w="730" w:type="pct"/>
          </w:tcPr>
          <w:p w14:paraId="3E820701" w14:textId="12DBB974" w:rsidR="00657E7D" w:rsidRPr="00B87CC5" w:rsidRDefault="00657E7D" w:rsidP="00657E7D">
            <w:pPr>
              <w:pStyle w:val="BodyText"/>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87CC5">
              <w:rPr>
                <w:rFonts w:asciiTheme="minorHAnsi" w:hAnsiTheme="minorHAnsi" w:cstheme="minorHAnsi"/>
                <w:color w:val="000000"/>
                <w:sz w:val="18"/>
                <w:szCs w:val="18"/>
              </w:rPr>
              <w:t>Limits to land</w:t>
            </w:r>
            <w:r w:rsidR="00CA59CC" w:rsidRPr="00B87CC5">
              <w:rPr>
                <w:rFonts w:asciiTheme="minorHAnsi" w:hAnsiTheme="minorHAnsi" w:cstheme="minorHAnsi"/>
                <w:color w:val="000000"/>
                <w:sz w:val="18"/>
                <w:szCs w:val="18"/>
              </w:rPr>
              <w:t>-</w:t>
            </w:r>
            <w:r w:rsidRPr="00B87CC5">
              <w:rPr>
                <w:rFonts w:asciiTheme="minorHAnsi" w:hAnsiTheme="minorHAnsi" w:cstheme="minorHAnsi"/>
                <w:color w:val="000000"/>
                <w:sz w:val="18"/>
                <w:szCs w:val="18"/>
              </w:rPr>
              <w:t>use change to forestry on high</w:t>
            </w:r>
            <w:r w:rsidR="00CA59CC" w:rsidRPr="00B87CC5">
              <w:rPr>
                <w:rFonts w:asciiTheme="minorHAnsi" w:hAnsiTheme="minorHAnsi" w:cstheme="minorHAnsi"/>
                <w:color w:val="000000"/>
                <w:sz w:val="18"/>
                <w:szCs w:val="18"/>
              </w:rPr>
              <w:t>-</w:t>
            </w:r>
            <w:r w:rsidRPr="00B87CC5">
              <w:rPr>
                <w:rFonts w:asciiTheme="minorHAnsi" w:hAnsiTheme="minorHAnsi" w:cstheme="minorHAnsi"/>
                <w:color w:val="000000"/>
                <w:sz w:val="18"/>
                <w:szCs w:val="18"/>
              </w:rPr>
              <w:t>value land uses</w:t>
            </w:r>
          </w:p>
        </w:tc>
        <w:tc>
          <w:tcPr>
            <w:tcW w:w="3881" w:type="pct"/>
            <w:tcBorders>
              <w:right w:val="nil"/>
            </w:tcBorders>
          </w:tcPr>
          <w:p w14:paraId="1D539937" w14:textId="159ED629" w:rsidR="00657E7D" w:rsidRPr="00B87CC5" w:rsidRDefault="00657E7D" w:rsidP="001931CB">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87CC5">
              <w:t xml:space="preserve">Conversion limits have no effect with current forestry projections. </w:t>
            </w:r>
          </w:p>
        </w:tc>
      </w:tr>
      <w:tr w:rsidR="00964C26" w:rsidRPr="00B87CC5" w14:paraId="550CC1F7" w14:textId="77777777" w:rsidTr="008A76D3">
        <w:tc>
          <w:tcPr>
            <w:cnfStyle w:val="001000000000" w:firstRow="0" w:lastRow="0" w:firstColumn="1" w:lastColumn="0" w:oddVBand="0" w:evenVBand="0" w:oddHBand="0" w:evenHBand="0" w:firstRowFirstColumn="0" w:firstRowLastColumn="0" w:lastRowFirstColumn="0" w:lastRowLastColumn="0"/>
            <w:tcW w:w="389" w:type="pct"/>
            <w:tcBorders>
              <w:top w:val="nil"/>
              <w:left w:val="nil"/>
            </w:tcBorders>
          </w:tcPr>
          <w:p w14:paraId="19C91DFB" w14:textId="77777777" w:rsidR="00964C26" w:rsidRPr="00B87CC5" w:rsidRDefault="00964C26" w:rsidP="00657E7D">
            <w:pPr>
              <w:pStyle w:val="BodyText"/>
              <w:spacing w:before="0" w:after="0" w:line="240" w:lineRule="auto"/>
              <w:rPr>
                <w:rFonts w:asciiTheme="minorHAnsi" w:hAnsiTheme="minorHAnsi" w:cstheme="minorHAnsi"/>
                <w:color w:val="000000"/>
                <w:sz w:val="18"/>
                <w:szCs w:val="18"/>
              </w:rPr>
            </w:pPr>
          </w:p>
        </w:tc>
        <w:tc>
          <w:tcPr>
            <w:tcW w:w="730" w:type="pct"/>
          </w:tcPr>
          <w:p w14:paraId="538FEF50" w14:textId="4147443E" w:rsidR="00964C26" w:rsidRPr="00B87CC5" w:rsidRDefault="00964C26" w:rsidP="00657E7D">
            <w:pPr>
              <w:pStyle w:val="BodyText"/>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B87CC5">
              <w:rPr>
                <w:rFonts w:asciiTheme="minorHAnsi" w:hAnsiTheme="minorHAnsi" w:cstheme="minorHAnsi"/>
                <w:color w:val="000000"/>
                <w:sz w:val="18"/>
                <w:szCs w:val="18"/>
              </w:rPr>
              <w:t xml:space="preserve">Afforestation of Crown </w:t>
            </w:r>
            <w:r w:rsidR="00CA59CC" w:rsidRPr="00B87CC5">
              <w:rPr>
                <w:rFonts w:asciiTheme="minorHAnsi" w:hAnsiTheme="minorHAnsi" w:cstheme="minorHAnsi"/>
                <w:color w:val="000000"/>
                <w:sz w:val="18"/>
                <w:szCs w:val="18"/>
              </w:rPr>
              <w:t>l</w:t>
            </w:r>
            <w:r w:rsidRPr="00B87CC5">
              <w:rPr>
                <w:rFonts w:asciiTheme="minorHAnsi" w:hAnsiTheme="minorHAnsi" w:cstheme="minorHAnsi"/>
                <w:color w:val="000000"/>
                <w:sz w:val="18"/>
                <w:szCs w:val="18"/>
              </w:rPr>
              <w:t>and</w:t>
            </w:r>
          </w:p>
        </w:tc>
        <w:tc>
          <w:tcPr>
            <w:tcW w:w="3881" w:type="pct"/>
            <w:tcBorders>
              <w:right w:val="nil"/>
            </w:tcBorders>
          </w:tcPr>
          <w:p w14:paraId="32AF3B6C" w14:textId="76653A92" w:rsidR="00101DBD" w:rsidRPr="00B87CC5" w:rsidRDefault="00101DBD" w:rsidP="00101DBD">
            <w:pPr>
              <w:pStyle w:val="TableText"/>
              <w:cnfStyle w:val="000000000000" w:firstRow="0" w:lastRow="0" w:firstColumn="0" w:lastColumn="0" w:oddVBand="0" w:evenVBand="0" w:oddHBand="0" w:evenHBand="0" w:firstRowFirstColumn="0" w:firstRowLastColumn="0" w:lastRowFirstColumn="0" w:lastRowLastColumn="0"/>
            </w:pPr>
            <w:r w:rsidRPr="00B87CC5">
              <w:t>The Government is further exploring the potential to support afforestation on Crown land. Assuming planting as follows:</w:t>
            </w:r>
            <w:r w:rsidRPr="00B87CC5">
              <w:rPr>
                <w:rStyle w:val="FootnoteReference"/>
                <w:rFonts w:cs="Times New Roman"/>
              </w:rPr>
              <w:footnoteReference w:id="33"/>
            </w:r>
          </w:p>
          <w:p w14:paraId="4755FA91" w14:textId="693CF7C8" w:rsidR="00101DBD" w:rsidRPr="00B87CC5" w:rsidRDefault="00101DBD" w:rsidP="008A76D3">
            <w:pPr>
              <w:pStyle w:val="TableBullet"/>
              <w:cnfStyle w:val="000000000000" w:firstRow="0" w:lastRow="0" w:firstColumn="0" w:lastColumn="0" w:oddVBand="0" w:evenVBand="0" w:oddHBand="0" w:evenHBand="0" w:firstRowFirstColumn="0" w:firstRowLastColumn="0" w:lastRowFirstColumn="0" w:lastRowLastColumn="0"/>
            </w:pPr>
            <w:r w:rsidRPr="00B87CC5">
              <w:t>Indigenous planting of 5,000 ha in 2027 and 7,500 ha from 2028.</w:t>
            </w:r>
          </w:p>
          <w:p w14:paraId="53DCB4B1" w14:textId="38C22CA7" w:rsidR="00964C26" w:rsidRPr="00B87CC5" w:rsidRDefault="00101DBD" w:rsidP="008A76D3">
            <w:pPr>
              <w:pStyle w:val="TableBullet"/>
              <w:cnfStyle w:val="000000000000" w:firstRow="0" w:lastRow="0" w:firstColumn="0" w:lastColumn="0" w:oddVBand="0" w:evenVBand="0" w:oddHBand="0" w:evenHBand="0" w:firstRowFirstColumn="0" w:firstRowLastColumn="0" w:lastRowFirstColumn="0" w:lastRowLastColumn="0"/>
            </w:pPr>
            <w:r w:rsidRPr="00B87CC5">
              <w:t xml:space="preserve">Exotic planting of 10,000 ha </w:t>
            </w:r>
            <w:r w:rsidR="00232D6E" w:rsidRPr="00B87CC5">
              <w:t xml:space="preserve">per annum </w:t>
            </w:r>
            <w:r w:rsidRPr="00B87CC5">
              <w:t xml:space="preserve">from 2027. </w:t>
            </w:r>
          </w:p>
        </w:tc>
      </w:tr>
      <w:tr w:rsidR="00746FED" w:rsidRPr="00B87CC5" w14:paraId="11FBC386" w14:textId="77777777" w:rsidTr="008A7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 w:type="pct"/>
            <w:tcBorders>
              <w:left w:val="nil"/>
            </w:tcBorders>
          </w:tcPr>
          <w:p w14:paraId="776D9641" w14:textId="77777777" w:rsidR="00657E7D" w:rsidRPr="00B87CC5" w:rsidRDefault="00657E7D" w:rsidP="00C356E2">
            <w:pPr>
              <w:pStyle w:val="TableText"/>
            </w:pPr>
            <w:r w:rsidRPr="00B87CC5">
              <w:t>Waste</w:t>
            </w:r>
          </w:p>
        </w:tc>
        <w:tc>
          <w:tcPr>
            <w:tcW w:w="730" w:type="pct"/>
          </w:tcPr>
          <w:p w14:paraId="422A2989" w14:textId="77777777" w:rsidR="00657E7D" w:rsidRPr="00B87CC5" w:rsidRDefault="00657E7D" w:rsidP="00C356E2">
            <w:pPr>
              <w:pStyle w:val="TableText"/>
              <w:cnfStyle w:val="000000100000" w:firstRow="0" w:lastRow="0" w:firstColumn="0" w:lastColumn="0" w:oddVBand="0" w:evenVBand="0" w:oddHBand="1" w:evenHBand="0" w:firstRowFirstColumn="0" w:firstRowLastColumn="0" w:lastRowFirstColumn="0" w:lastRowLastColumn="0"/>
            </w:pPr>
            <w:r w:rsidRPr="00B87CC5">
              <w:t>Waste Minimisation Fund</w:t>
            </w:r>
          </w:p>
        </w:tc>
        <w:tc>
          <w:tcPr>
            <w:tcW w:w="3881" w:type="pct"/>
            <w:tcBorders>
              <w:right w:val="nil"/>
            </w:tcBorders>
          </w:tcPr>
          <w:p w14:paraId="6688323A" w14:textId="515F37A4" w:rsidR="00657E7D" w:rsidRPr="00B87CC5" w:rsidRDefault="00657E7D" w:rsidP="00C356E2">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B87CC5">
              <w:t>Investing $30</w:t>
            </w:r>
            <w:r w:rsidR="00775CC3" w:rsidRPr="00B87CC5">
              <w:t xml:space="preserve"> million</w:t>
            </w:r>
            <w:r w:rsidRPr="00B87CC5">
              <w:t xml:space="preserve"> of the forecast levy revenue (through to 2030) into resource recovery systems and infrastructure that process organic waste has potential to support an ongoing abatement of up to 250</w:t>
            </w:r>
            <w:r w:rsidR="00775CC3" w:rsidRPr="00B87CC5">
              <w:t xml:space="preserve"> </w:t>
            </w:r>
            <w:r w:rsidRPr="00B87CC5">
              <w:t>kt CO</w:t>
            </w:r>
            <w:r w:rsidRPr="00B87CC5">
              <w:rPr>
                <w:vertAlign w:val="subscript"/>
              </w:rPr>
              <w:t>2</w:t>
            </w:r>
            <w:r w:rsidRPr="00B87CC5">
              <w:t>-e per year</w:t>
            </w:r>
            <w:r w:rsidR="00775CC3" w:rsidRPr="00B87CC5">
              <w:t>.</w:t>
            </w:r>
            <w:r w:rsidRPr="00B87CC5">
              <w:t xml:space="preserve"> </w:t>
            </w:r>
          </w:p>
        </w:tc>
      </w:tr>
      <w:tr w:rsidR="00657E7D" w:rsidRPr="00B87CC5" w14:paraId="06C14F05" w14:textId="77777777" w:rsidTr="008A76D3">
        <w:tc>
          <w:tcPr>
            <w:cnfStyle w:val="001000000000" w:firstRow="0" w:lastRow="0" w:firstColumn="1" w:lastColumn="0" w:oddVBand="0" w:evenVBand="0" w:oddHBand="0" w:evenHBand="0" w:firstRowFirstColumn="0" w:firstRowLastColumn="0" w:lastRowFirstColumn="0" w:lastRowLastColumn="0"/>
            <w:tcW w:w="389" w:type="pct"/>
            <w:tcBorders>
              <w:left w:val="nil"/>
            </w:tcBorders>
          </w:tcPr>
          <w:p w14:paraId="0288A71A" w14:textId="77777777" w:rsidR="00657E7D" w:rsidRPr="00B87CC5" w:rsidRDefault="00657E7D" w:rsidP="00C356E2">
            <w:pPr>
              <w:pStyle w:val="TableText"/>
            </w:pPr>
            <w:r w:rsidRPr="00B87CC5">
              <w:t>Waste</w:t>
            </w:r>
          </w:p>
        </w:tc>
        <w:tc>
          <w:tcPr>
            <w:tcW w:w="730" w:type="pct"/>
          </w:tcPr>
          <w:p w14:paraId="4F7F457E" w14:textId="2877082C" w:rsidR="00657E7D" w:rsidRPr="00B87CC5" w:rsidRDefault="00657E7D" w:rsidP="00C356E2">
            <w:pPr>
              <w:pStyle w:val="TableText"/>
              <w:cnfStyle w:val="000000000000" w:firstRow="0" w:lastRow="0" w:firstColumn="0" w:lastColumn="0" w:oddVBand="0" w:evenVBand="0" w:oddHBand="0" w:evenHBand="0" w:firstRowFirstColumn="0" w:firstRowLastColumn="0" w:lastRowFirstColumn="0" w:lastRowLastColumn="0"/>
            </w:pPr>
            <w:r w:rsidRPr="00B87CC5">
              <w:t xml:space="preserve">Organic waste and landfill gas </w:t>
            </w:r>
            <w:r w:rsidR="00085103" w:rsidRPr="00B87CC5">
              <w:t xml:space="preserve">(LFG) </w:t>
            </w:r>
            <w:r w:rsidRPr="00B87CC5">
              <w:t>capture</w:t>
            </w:r>
          </w:p>
        </w:tc>
        <w:tc>
          <w:tcPr>
            <w:tcW w:w="3881" w:type="pct"/>
            <w:tcBorders>
              <w:right w:val="nil"/>
            </w:tcBorders>
          </w:tcPr>
          <w:p w14:paraId="6099E3B1" w14:textId="2854F2C9" w:rsidR="00657E7D" w:rsidRPr="00B87CC5" w:rsidRDefault="004C5DF5" w:rsidP="00775CC3">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87CC5">
              <w:t xml:space="preserve">Average </w:t>
            </w:r>
            <w:r w:rsidR="00657E7D" w:rsidRPr="00B87CC5">
              <w:t>LFG capture increases from 68% to 73%</w:t>
            </w:r>
            <w:r w:rsidR="00A80231" w:rsidRPr="00B87CC5">
              <w:t xml:space="preserve"> for </w:t>
            </w:r>
            <w:r w:rsidR="00775CC3" w:rsidRPr="00B87CC5">
              <w:t>c</w:t>
            </w:r>
            <w:r w:rsidR="00FA4B62" w:rsidRPr="00B87CC5">
              <w:t xml:space="preserve">lass 1 (municipal) landfills following </w:t>
            </w:r>
            <w:proofErr w:type="gramStart"/>
            <w:r w:rsidR="00FA4B62" w:rsidRPr="00B87CC5">
              <w:t>requirement</w:t>
            </w:r>
            <w:proofErr w:type="gramEnd"/>
            <w:r w:rsidR="00FA4B62" w:rsidRPr="00B87CC5">
              <w:t xml:space="preserve"> for all to </w:t>
            </w:r>
            <w:r w:rsidRPr="00B87CC5">
              <w:t xml:space="preserve">have </w:t>
            </w:r>
            <w:r w:rsidR="004279BF" w:rsidRPr="00B87CC5">
              <w:t>LFG capture.</w:t>
            </w:r>
          </w:p>
        </w:tc>
      </w:tr>
    </w:tbl>
    <w:p w14:paraId="3CC23E30" w14:textId="73DA4635" w:rsidR="00F054A8" w:rsidRPr="00B87CC5" w:rsidRDefault="00F054A8" w:rsidP="008A76D3">
      <w:pPr>
        <w:pStyle w:val="BodyText"/>
      </w:pPr>
    </w:p>
    <w:p w14:paraId="51E5EB97" w14:textId="77777777" w:rsidR="006529B9" w:rsidRPr="00B87CC5" w:rsidRDefault="006529B9" w:rsidP="008A76D3">
      <w:pPr>
        <w:pStyle w:val="BodyText"/>
      </w:pPr>
    </w:p>
    <w:sectPr w:rsidR="006529B9" w:rsidRPr="00B87CC5" w:rsidSect="00E26C7A">
      <w:pgSz w:w="16840" w:h="11907" w:orient="landscape" w:code="9"/>
      <w:pgMar w:top="1701" w:right="1134" w:bottom="170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A457F" w14:textId="77777777" w:rsidR="001E64AD" w:rsidRDefault="001E64AD" w:rsidP="0080531E">
      <w:pPr>
        <w:spacing w:before="0" w:after="0" w:line="240" w:lineRule="auto"/>
      </w:pPr>
      <w:r>
        <w:separator/>
      </w:r>
    </w:p>
    <w:p w14:paraId="1498FAB2" w14:textId="77777777" w:rsidR="001E64AD" w:rsidRDefault="001E64AD"/>
  </w:endnote>
  <w:endnote w:type="continuationSeparator" w:id="0">
    <w:p w14:paraId="76287FE6" w14:textId="77777777" w:rsidR="001E64AD" w:rsidRDefault="001E64AD" w:rsidP="0080531E">
      <w:pPr>
        <w:spacing w:before="0" w:after="0" w:line="240" w:lineRule="auto"/>
      </w:pPr>
      <w:r>
        <w:continuationSeparator/>
      </w:r>
    </w:p>
    <w:p w14:paraId="0ABF8F5F" w14:textId="77777777" w:rsidR="001E64AD" w:rsidRDefault="001E64AD"/>
  </w:endnote>
  <w:endnote w:type="continuationNotice" w:id="1">
    <w:p w14:paraId="027849B0" w14:textId="77777777" w:rsidR="001E64AD" w:rsidRDefault="001E64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0F536" w14:textId="7F5801C2" w:rsidR="00E453AB" w:rsidRDefault="00E5210B" w:rsidP="00CD25E1">
    <w:pPr>
      <w:pStyle w:val="Footereven"/>
    </w:pPr>
    <w:r>
      <w:tab/>
    </w:r>
    <w:r w:rsidR="002366FE">
      <w:t>Technical Annex: Modelling Supporting ERP2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03F1E" w14:textId="27ED7B00" w:rsidR="00E453AB" w:rsidRDefault="00E5210B" w:rsidP="00CD25E1">
    <w:pPr>
      <w:pStyle w:val="Footerodd"/>
    </w:pPr>
    <w:r>
      <w:tab/>
    </w:r>
    <w:r w:rsidR="002366FE">
      <w:t>Technical Annex: Modelling Supporting ERP2</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D6AC9" w14:textId="0C83F133" w:rsidR="007C089F" w:rsidRDefault="005D346A">
    <w:pPr>
      <w:pStyle w:val="Footer"/>
    </w:pPr>
    <w:r>
      <w:rPr>
        <w:b/>
        <w:bCs/>
        <w:noProof/>
      </w:rPr>
      <w:drawing>
        <wp:inline distT="0" distB="0" distL="0" distR="0" wp14:anchorId="3CC8F364" wp14:editId="042E1035">
          <wp:extent cx="2239911" cy="538480"/>
          <wp:effectExtent l="0" t="0" r="0" b="0"/>
          <wp:docPr id="200058178" name="Picture 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0635"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FB2C5" w14:textId="2B35CB7E" w:rsidR="009179FB" w:rsidRPr="009179FB" w:rsidRDefault="009179FB" w:rsidP="009179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F5135" w14:textId="3DB9597F" w:rsidR="00857CA5" w:rsidRPr="00AC41D4" w:rsidRDefault="00857CA5" w:rsidP="00AC41D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63908" w14:textId="0B77DD38" w:rsidR="00BB0493" w:rsidRPr="009179FB" w:rsidRDefault="00BB0493" w:rsidP="00BB0493">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9179FB">
      <w:t>New Zealand’s second emissions reduction plan (2026–30): Technical annex to the discussion document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5DA29" w14:textId="21341741" w:rsidR="00AC41D4" w:rsidRDefault="00AC41D4" w:rsidP="009179FB">
    <w:pPr>
      <w:pStyle w:val="Footerodd"/>
    </w:pPr>
    <w:r>
      <w:tab/>
    </w:r>
    <w:r w:rsidR="009179FB" w:rsidRPr="009179FB">
      <w:t>New Zealand’s second emissions reduction plan (2026–30): Technical annex to the discussion document</w:t>
    </w:r>
    <w:r w:rsidR="00BB0493">
      <w:tab/>
    </w:r>
    <w:r w:rsidR="00BB0493">
      <w:fldChar w:fldCharType="begin"/>
    </w:r>
    <w:r w:rsidR="00BB0493">
      <w:instrText xml:space="preserve"> PAGE   \* MERGEFORMAT </w:instrText>
    </w:r>
    <w:r w:rsidR="00BB0493">
      <w:fldChar w:fldCharType="separate"/>
    </w:r>
    <w:r w:rsidR="00BB0493">
      <w:t>3</w:t>
    </w:r>
    <w:r w:rsidR="00BB0493">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BC52A" w14:textId="2C351D97" w:rsidR="009179FB" w:rsidRPr="009179FB" w:rsidRDefault="009179FB" w:rsidP="009179FB">
    <w:pPr>
      <w:pStyle w:val="Footerodd"/>
    </w:pPr>
    <w:r>
      <w:tab/>
    </w:r>
    <w:r>
      <w:rPr>
        <w:bdr w:val="none" w:sz="0" w:space="0" w:color="auto" w:frame="1"/>
        <w:shd w:val="clear" w:color="auto" w:fill="FFFFFF"/>
      </w:rPr>
      <w:t xml:space="preserve">New Zealand’s second emissions reduction plan (2026–30): </w:t>
    </w:r>
    <w:r w:rsidRPr="009179FB">
      <w:t>Technical</w:t>
    </w:r>
    <w:r>
      <w:rPr>
        <w:bdr w:val="none" w:sz="0" w:space="0" w:color="auto" w:frame="1"/>
        <w:shd w:val="clear" w:color="auto" w:fill="FFFFFF"/>
      </w:rPr>
      <w:t xml:space="preserve"> annex to the discussion document</w:t>
    </w:r>
    <w:r>
      <w:rPr>
        <w:bdr w:val="none" w:sz="0" w:space="0" w:color="auto" w:frame="1"/>
        <w:shd w:val="clear" w:color="auto" w:fill="FFFFFF"/>
      </w:rPr>
      <w:tab/>
    </w: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1A53E" w14:textId="5C1F189F" w:rsidR="00200CBE" w:rsidRDefault="00153259" w:rsidP="00153259">
    <w:pPr>
      <w:pStyle w:val="Footerodd"/>
      <w:tabs>
        <w:tab w:val="clear" w:pos="7938"/>
        <w:tab w:val="clear" w:pos="8505"/>
        <w:tab w:val="right" w:pos="13892"/>
        <w:tab w:val="right" w:pos="14572"/>
      </w:tabs>
    </w:pPr>
    <w:r>
      <w:tab/>
    </w:r>
    <w:r w:rsidR="00200CBE">
      <w:t xml:space="preserve">Technical </w:t>
    </w:r>
    <w:r w:rsidR="00C262AE">
      <w:t>a</w:t>
    </w:r>
    <w:r w:rsidR="00200CBE">
      <w:t xml:space="preserve">nnex: Modelling </w:t>
    </w:r>
    <w:r w:rsidR="00C262AE">
      <w:t>s</w:t>
    </w:r>
    <w:r w:rsidR="00200CBE">
      <w:t xml:space="preserve">upporting </w:t>
    </w:r>
    <w:r w:rsidR="00C262AE">
      <w:t>the discussion document for the second emissions reduction plan</w:t>
    </w:r>
    <w:r w:rsidR="00C262AE" w:rsidDel="00C262AE">
      <w:t xml:space="preserve"> </w:t>
    </w:r>
    <w:r w:rsidR="00200CBE">
      <w:tab/>
    </w:r>
    <w:r w:rsidR="00200CBE">
      <w:fldChar w:fldCharType="begin"/>
    </w:r>
    <w:r w:rsidR="00200CBE">
      <w:instrText xml:space="preserve"> PAGE   \* MERGEFORMAT </w:instrText>
    </w:r>
    <w:r w:rsidR="00200CBE">
      <w:fldChar w:fldCharType="separate"/>
    </w:r>
    <w:r w:rsidR="00200CBE">
      <w:rPr>
        <w:noProof/>
      </w:rPr>
      <w:t>7</w:t>
    </w:r>
    <w:r w:rsidR="00200CB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D1ECA" w14:textId="77777777" w:rsidR="001E64AD" w:rsidRDefault="001E64AD" w:rsidP="00CB5C5F">
      <w:pPr>
        <w:spacing w:before="0" w:after="80" w:line="240" w:lineRule="auto"/>
      </w:pPr>
      <w:r>
        <w:separator/>
      </w:r>
    </w:p>
  </w:footnote>
  <w:footnote w:type="continuationSeparator" w:id="0">
    <w:p w14:paraId="501F7F3A" w14:textId="77777777" w:rsidR="001E64AD" w:rsidRDefault="001E64AD" w:rsidP="0080531E">
      <w:pPr>
        <w:spacing w:before="0" w:after="0" w:line="240" w:lineRule="auto"/>
      </w:pPr>
      <w:r>
        <w:continuationSeparator/>
      </w:r>
    </w:p>
    <w:p w14:paraId="6360A6B7" w14:textId="77777777" w:rsidR="001E64AD" w:rsidRDefault="001E64AD"/>
  </w:footnote>
  <w:footnote w:type="continuationNotice" w:id="1">
    <w:p w14:paraId="30916850" w14:textId="77777777" w:rsidR="001E64AD" w:rsidRDefault="001E64AD">
      <w:pPr>
        <w:spacing w:before="0" w:after="0" w:line="240" w:lineRule="auto"/>
      </w:pPr>
    </w:p>
  </w:footnote>
  <w:footnote w:id="2">
    <w:p w14:paraId="6B3E94EB" w14:textId="067E6821" w:rsidR="00EB1963" w:rsidRDefault="00EB1963">
      <w:pPr>
        <w:pStyle w:val="FootnoteText"/>
      </w:pPr>
      <w:r>
        <w:rPr>
          <w:rStyle w:val="FootnoteReference"/>
        </w:rPr>
        <w:footnoteRef/>
      </w:r>
      <w:r w:rsidR="00A15B34">
        <w:tab/>
      </w:r>
      <w:r>
        <w:t xml:space="preserve">See </w:t>
      </w:r>
      <w:r w:rsidR="0077481B">
        <w:t>b</w:t>
      </w:r>
      <w:r w:rsidR="00AF5484">
        <w:t xml:space="preserve">ox 3.2, </w:t>
      </w:r>
      <w:r w:rsidR="0077481B">
        <w:t>t</w:t>
      </w:r>
      <w:r w:rsidR="00AF5484">
        <w:t>able 1 in</w:t>
      </w:r>
      <w:r w:rsidR="009E6C1A">
        <w:t>:</w:t>
      </w:r>
      <w:r w:rsidR="00AF5484">
        <w:t xml:space="preserve"> </w:t>
      </w:r>
      <w:r w:rsidR="00A71168">
        <w:t>IPCC</w:t>
      </w:r>
      <w:r w:rsidR="0077481B">
        <w:t>.</w:t>
      </w:r>
      <w:r w:rsidR="00A71168">
        <w:t xml:space="preserve"> 2014</w:t>
      </w:r>
      <w:r w:rsidR="00A15B34">
        <w:t>.</w:t>
      </w:r>
      <w:r w:rsidR="0077481B" w:rsidRPr="0077481B">
        <w:rPr>
          <w:i/>
          <w:iCs/>
        </w:rPr>
        <w:t xml:space="preserve"> </w:t>
      </w:r>
      <w:hyperlink r:id="rId1" w:history="1">
        <w:r w:rsidR="0077481B" w:rsidRPr="007B0E46">
          <w:rPr>
            <w:rStyle w:val="Hyperlink"/>
            <w:i/>
            <w:iCs/>
          </w:rPr>
          <w:t>Climate Change 2014: Synthesis Report. Contribution of Working Groups I, II and III to the Fifth Assessment Report of the Intergovernmental Panel on Climate Change</w:t>
        </w:r>
      </w:hyperlink>
      <w:r w:rsidR="0077481B">
        <w:t xml:space="preserve"> [Core</w:t>
      </w:r>
      <w:r w:rsidR="00504923">
        <w:t> </w:t>
      </w:r>
      <w:r w:rsidR="0077481B">
        <w:t>Writing Team, RK Pachauri and LA Meyer (eds)]. Geneva: IPCC.</w:t>
      </w:r>
    </w:p>
  </w:footnote>
  <w:footnote w:id="3">
    <w:p w14:paraId="5351CAF6" w14:textId="7DBD0CA8" w:rsidR="00392E54" w:rsidRDefault="00392E54">
      <w:pPr>
        <w:pStyle w:val="FootnoteText"/>
      </w:pPr>
      <w:r>
        <w:rPr>
          <w:rStyle w:val="FootnoteReference"/>
        </w:rPr>
        <w:footnoteRef/>
      </w:r>
      <w:r w:rsidR="003165DF">
        <w:tab/>
        <w:t xml:space="preserve">Ministry for the Environment. 2023. </w:t>
      </w:r>
      <w:hyperlink r:id="rId2" w:history="1">
        <w:r w:rsidR="003165DF" w:rsidRPr="003165DF">
          <w:rPr>
            <w:rStyle w:val="Hyperlink"/>
          </w:rPr>
          <w:t>New Zealand’s projected greenhouse gas emissions to 2050</w:t>
        </w:r>
      </w:hyperlink>
      <w:r w:rsidR="003165DF">
        <w:t>. Retrieved 2 July 2024.</w:t>
      </w:r>
    </w:p>
  </w:footnote>
  <w:footnote w:id="4">
    <w:p w14:paraId="4CBCA9BC" w14:textId="11929699" w:rsidR="00232471" w:rsidRDefault="00232471" w:rsidP="00FA2162">
      <w:pPr>
        <w:pStyle w:val="FootnoteText"/>
      </w:pPr>
      <w:r>
        <w:rPr>
          <w:rStyle w:val="FootnoteReference"/>
        </w:rPr>
        <w:footnoteRef/>
      </w:r>
      <w:r w:rsidR="00FA2162">
        <w:tab/>
      </w:r>
      <w:r w:rsidR="001B1F69" w:rsidRPr="00FB4002">
        <w:t xml:space="preserve">Ministry for the Environment. 2023. </w:t>
      </w:r>
      <w:hyperlink r:id="rId3" w:history="1">
        <w:r w:rsidR="001B1F69" w:rsidRPr="00BF75CE">
          <w:rPr>
            <w:rStyle w:val="Hyperlink"/>
            <w:i/>
            <w:iCs/>
          </w:rPr>
          <w:t>Review of the New Zealand Emissions Trading Scheme: Summary of modelling</w:t>
        </w:r>
      </w:hyperlink>
      <w:r w:rsidR="001B1F69" w:rsidRPr="00FB4002">
        <w:t>. Wellington: Ministry for the Environment.</w:t>
      </w:r>
    </w:p>
  </w:footnote>
  <w:footnote w:id="5">
    <w:p w14:paraId="0E97A0B7" w14:textId="35A3C3F8" w:rsidR="00BE6F0C" w:rsidRDefault="00BE6F0C">
      <w:pPr>
        <w:pStyle w:val="FootnoteText"/>
      </w:pPr>
      <w:r>
        <w:rPr>
          <w:rStyle w:val="FootnoteReference"/>
        </w:rPr>
        <w:footnoteRef/>
      </w:r>
      <w:r w:rsidR="007642AF">
        <w:tab/>
      </w:r>
      <w:r>
        <w:t xml:space="preserve">This is the NZU price at which </w:t>
      </w:r>
      <w:proofErr w:type="gramStart"/>
      <w:r>
        <w:t>land</w:t>
      </w:r>
      <w:r w:rsidR="007642AF">
        <w:t xml:space="preserve"> </w:t>
      </w:r>
      <w:r>
        <w:t>owners</w:t>
      </w:r>
      <w:proofErr w:type="gramEnd"/>
      <w:r>
        <w:t xml:space="preserve"> are assumed to be willing to change from sheep </w:t>
      </w:r>
      <w:r w:rsidR="007642AF">
        <w:t xml:space="preserve">and </w:t>
      </w:r>
      <w:r>
        <w:t>beef farming to forestry</w:t>
      </w:r>
      <w:r w:rsidR="00455054">
        <w:t>.</w:t>
      </w:r>
    </w:p>
  </w:footnote>
  <w:footnote w:id="6">
    <w:p w14:paraId="725265AF" w14:textId="6AE2CE49" w:rsidR="007D7550" w:rsidRDefault="007D7550">
      <w:pPr>
        <w:pStyle w:val="FootnoteText"/>
      </w:pPr>
      <w:r>
        <w:rPr>
          <w:rStyle w:val="FootnoteReference"/>
        </w:rPr>
        <w:footnoteRef/>
      </w:r>
      <w:r w:rsidR="007642AF">
        <w:tab/>
      </w:r>
      <w:r w:rsidR="00232E14">
        <w:rPr>
          <w:lang w:eastAsia="en-US"/>
        </w:rPr>
        <w:t xml:space="preserve">Ministry for the Environment. 2024. </w:t>
      </w:r>
      <w:hyperlink r:id="rId4" w:history="1">
        <w:r w:rsidR="00232E14" w:rsidRPr="00FB4002">
          <w:rPr>
            <w:rStyle w:val="Hyperlink"/>
            <w:i/>
          </w:rPr>
          <w:t>New Zealand’s Greenhouse Gas Inventory 1990–2022</w:t>
        </w:r>
      </w:hyperlink>
      <w:r w:rsidR="00232E14">
        <w:rPr>
          <w:lang w:eastAsia="en-US"/>
        </w:rPr>
        <w:t>. Wellington: Ministry for the Environment.</w:t>
      </w:r>
    </w:p>
  </w:footnote>
  <w:footnote w:id="7">
    <w:p w14:paraId="748133A0" w14:textId="5EF58F56" w:rsidR="007F3BE3" w:rsidRDefault="007F3BE3" w:rsidP="001623D3">
      <w:pPr>
        <w:pStyle w:val="FootnoteText"/>
      </w:pPr>
      <w:r>
        <w:rPr>
          <w:rStyle w:val="FootnoteReference"/>
        </w:rPr>
        <w:footnoteRef/>
      </w:r>
      <w:r w:rsidR="00232E14">
        <w:tab/>
      </w:r>
      <w:r>
        <w:t xml:space="preserve">See changes in </w:t>
      </w:r>
      <w:r w:rsidR="00232E14">
        <w:t>c</w:t>
      </w:r>
      <w:r>
        <w:t xml:space="preserve">hapter 10 of </w:t>
      </w:r>
      <w:r w:rsidRPr="007F3BE3">
        <w:t xml:space="preserve">Ministry for the Environment </w:t>
      </w:r>
      <w:r w:rsidR="001623D3" w:rsidDel="00AA1220">
        <w:t>(</w:t>
      </w:r>
      <w:r w:rsidRPr="007F3BE3">
        <w:t>2024</w:t>
      </w:r>
      <w:r w:rsidR="001623D3" w:rsidDel="00AA1220">
        <w:t>)</w:t>
      </w:r>
      <w:r w:rsidR="00D80285">
        <w:t xml:space="preserve">, above note </w:t>
      </w:r>
      <w:r w:rsidR="00404451">
        <w:t>5</w:t>
      </w:r>
      <w:r w:rsidR="00AA1220">
        <w:rPr>
          <w:lang w:eastAsia="en-US"/>
        </w:rPr>
        <w:t>.</w:t>
      </w:r>
    </w:p>
  </w:footnote>
  <w:footnote w:id="8">
    <w:p w14:paraId="05EA5C83" w14:textId="72777602" w:rsidR="00484F39" w:rsidRDefault="00484F39">
      <w:pPr>
        <w:pStyle w:val="FootnoteText"/>
      </w:pPr>
      <w:r>
        <w:rPr>
          <w:rStyle w:val="FootnoteReference"/>
        </w:rPr>
        <w:footnoteRef/>
      </w:r>
      <w:r w:rsidR="00232E14">
        <w:tab/>
      </w:r>
      <w:r>
        <w:t xml:space="preserve">Manley </w:t>
      </w:r>
      <w:r w:rsidR="00232E14">
        <w:t xml:space="preserve">B. </w:t>
      </w:r>
      <w:r>
        <w:t>2024</w:t>
      </w:r>
      <w:r w:rsidR="00232E14">
        <w:t>.</w:t>
      </w:r>
      <w:r w:rsidR="00232E14">
        <w:rPr>
          <w:lang w:eastAsia="en-US"/>
        </w:rPr>
        <w:t xml:space="preserve"> </w:t>
      </w:r>
      <w:r w:rsidR="00232E14" w:rsidRPr="00FB4002">
        <w:rPr>
          <w:i/>
        </w:rPr>
        <w:t>Afforestation and Deforestation Intentions Survey 2023 Final Report</w:t>
      </w:r>
      <w:r w:rsidR="00232E14">
        <w:t>.</w:t>
      </w:r>
      <w:r w:rsidR="00232E14" w:rsidRPr="00232E14">
        <w:t xml:space="preserve"> </w:t>
      </w:r>
      <w:r w:rsidR="00232E14" w:rsidRPr="00FB4002">
        <w:t>MPI Technical Paper No</w:t>
      </w:r>
      <w:r w:rsidR="00232E14" w:rsidRPr="00232E14">
        <w:t>:</w:t>
      </w:r>
      <w:r w:rsidR="00232E14">
        <w:t xml:space="preserve"> 2024/14.</w:t>
      </w:r>
    </w:p>
  </w:footnote>
  <w:footnote w:id="9">
    <w:p w14:paraId="1CD1175B" w14:textId="6D08CE06" w:rsidR="00F15A61" w:rsidRDefault="00F15A61" w:rsidP="001623D3">
      <w:pPr>
        <w:pStyle w:val="FootnoteText"/>
      </w:pPr>
      <w:r>
        <w:rPr>
          <w:rStyle w:val="FootnoteReference"/>
        </w:rPr>
        <w:footnoteRef/>
      </w:r>
      <w:r w:rsidR="00232E14">
        <w:tab/>
      </w:r>
      <w:r>
        <w:t>Boston Consulting Group</w:t>
      </w:r>
      <w:r w:rsidR="00E866C2">
        <w:t>.</w:t>
      </w:r>
      <w:r>
        <w:t xml:space="preserve"> 2022</w:t>
      </w:r>
      <w:r w:rsidR="00E866C2">
        <w:t>.</w:t>
      </w:r>
      <w:r w:rsidR="00885CB9">
        <w:rPr>
          <w:lang w:eastAsia="en-US"/>
        </w:rPr>
        <w:t xml:space="preserve"> </w:t>
      </w:r>
      <w:hyperlink r:id="rId5" w:history="1">
        <w:r w:rsidR="00885CB9" w:rsidRPr="00E866C2">
          <w:rPr>
            <w:rStyle w:val="Hyperlink"/>
            <w:i/>
            <w:iCs/>
            <w:lang w:eastAsia="en-US"/>
          </w:rPr>
          <w:t xml:space="preserve">The Future is Electric. A </w:t>
        </w:r>
        <w:r w:rsidR="00E866C2" w:rsidRPr="00E866C2">
          <w:rPr>
            <w:rStyle w:val="Hyperlink"/>
            <w:i/>
            <w:iCs/>
            <w:lang w:eastAsia="en-US"/>
          </w:rPr>
          <w:t>decarbonisation roadma</w:t>
        </w:r>
        <w:r w:rsidR="00885CB9" w:rsidRPr="00E866C2">
          <w:rPr>
            <w:rStyle w:val="Hyperlink"/>
            <w:i/>
            <w:iCs/>
            <w:lang w:eastAsia="en-US"/>
          </w:rPr>
          <w:t xml:space="preserve">p for New Zealand’s </w:t>
        </w:r>
        <w:r w:rsidR="00E866C2" w:rsidRPr="00E866C2">
          <w:rPr>
            <w:rStyle w:val="Hyperlink"/>
            <w:i/>
            <w:iCs/>
            <w:lang w:eastAsia="en-US"/>
          </w:rPr>
          <w:t>electricity s</w:t>
        </w:r>
        <w:r w:rsidR="00885CB9" w:rsidRPr="00E866C2">
          <w:rPr>
            <w:rStyle w:val="Hyperlink"/>
            <w:i/>
            <w:iCs/>
            <w:lang w:eastAsia="en-US"/>
          </w:rPr>
          <w:t>ector</w:t>
        </w:r>
        <w:r w:rsidR="00885CB9" w:rsidRPr="00E866C2">
          <w:rPr>
            <w:rStyle w:val="Hyperlink"/>
            <w:lang w:eastAsia="en-US"/>
          </w:rPr>
          <w:t>.</w:t>
        </w:r>
      </w:hyperlink>
      <w:r w:rsidR="00E866C2" w:rsidRPr="00E866C2">
        <w:rPr>
          <w:rFonts w:cs="Calibri"/>
          <w:sz w:val="20"/>
          <w:szCs w:val="20"/>
        </w:rPr>
        <w:t xml:space="preserve"> </w:t>
      </w:r>
      <w:r w:rsidR="00E866C2">
        <w:rPr>
          <w:rFonts w:cs="Calibri"/>
          <w:sz w:val="20"/>
          <w:szCs w:val="20"/>
        </w:rPr>
        <w:t>Auckland: Boston Consulting Group.</w:t>
      </w:r>
    </w:p>
  </w:footnote>
  <w:footnote w:id="10">
    <w:p w14:paraId="4BD9D1EA" w14:textId="7237A78F" w:rsidR="00D106A9" w:rsidRDefault="00D106A9" w:rsidP="001623D3">
      <w:pPr>
        <w:pStyle w:val="FootnoteText"/>
      </w:pPr>
      <w:r>
        <w:rPr>
          <w:rStyle w:val="FootnoteReference"/>
        </w:rPr>
        <w:footnoteRef/>
      </w:r>
      <w:r w:rsidR="00E866C2">
        <w:tab/>
      </w:r>
      <w:r w:rsidRPr="00D106A9">
        <w:t>Climate Change Commission</w:t>
      </w:r>
      <w:r w:rsidR="00A85768">
        <w:t>.</w:t>
      </w:r>
      <w:r w:rsidRPr="00D106A9">
        <w:t xml:space="preserve"> </w:t>
      </w:r>
      <w:r w:rsidR="004B41BA">
        <w:t>2021</w:t>
      </w:r>
      <w:r w:rsidR="00A85768">
        <w:t xml:space="preserve">. </w:t>
      </w:r>
      <w:hyperlink r:id="rId6" w:history="1">
        <w:r w:rsidR="00A85768" w:rsidRPr="008A3F22">
          <w:rPr>
            <w:rStyle w:val="Hyperlink"/>
            <w:i/>
            <w:iCs/>
            <w:lang w:eastAsia="en-US"/>
          </w:rPr>
          <w:t>Emissions in New Zealand (ENZ) Model Technical Manual</w:t>
        </w:r>
      </w:hyperlink>
      <w:r w:rsidR="00A85768">
        <w:rPr>
          <w:i/>
          <w:iCs/>
          <w:lang w:eastAsia="en-US"/>
        </w:rPr>
        <w:t>.</w:t>
      </w:r>
      <w:r w:rsidR="00A85768" w:rsidRPr="00A85768">
        <w:t xml:space="preserve"> </w:t>
      </w:r>
      <w:r w:rsidR="00A85768" w:rsidRPr="00D106A9">
        <w:t>Climate Change Commission</w:t>
      </w:r>
      <w:r w:rsidR="00A85768">
        <w:t>.</w:t>
      </w:r>
      <w:r w:rsidR="00A85768" w:rsidRPr="00D106A9">
        <w:t xml:space="preserve"> </w:t>
      </w:r>
      <w:r w:rsidR="00A85768">
        <w:t>2024.</w:t>
      </w:r>
      <w:r w:rsidR="00A85768" w:rsidRPr="00A85768">
        <w:rPr>
          <w:i/>
          <w:iCs/>
          <w:lang w:eastAsia="en-US"/>
        </w:rPr>
        <w:t xml:space="preserve"> </w:t>
      </w:r>
      <w:hyperlink r:id="rId7" w:history="1">
        <w:r w:rsidR="00A85768" w:rsidRPr="00770863">
          <w:rPr>
            <w:rStyle w:val="Hyperlink"/>
            <w:i/>
            <w:iCs/>
            <w:lang w:eastAsia="en-US"/>
          </w:rPr>
          <w:t>Technical Annex. Modelling and analysis to support the draft advice on Aotearoa New Zealand’s fourth emissions budget</w:t>
        </w:r>
      </w:hyperlink>
      <w:r w:rsidR="00A85768">
        <w:rPr>
          <w:lang w:eastAsia="en-US"/>
        </w:rPr>
        <w:t>.</w:t>
      </w:r>
    </w:p>
  </w:footnote>
  <w:footnote w:id="11">
    <w:p w14:paraId="4643F0BB" w14:textId="01DBA6C6" w:rsidR="00E84224" w:rsidRDefault="00E84224" w:rsidP="001623D3">
      <w:pPr>
        <w:pStyle w:val="FootnoteText"/>
      </w:pPr>
      <w:r>
        <w:rPr>
          <w:rStyle w:val="FootnoteReference"/>
        </w:rPr>
        <w:footnoteRef/>
      </w:r>
      <w:r w:rsidR="00A85768">
        <w:tab/>
      </w:r>
      <w:r w:rsidRPr="00E84224">
        <w:t>Ministry for the Environment</w:t>
      </w:r>
      <w:r w:rsidR="00A85768">
        <w:t>.</w:t>
      </w:r>
      <w:r w:rsidRPr="00E84224">
        <w:t xml:space="preserve"> 2020</w:t>
      </w:r>
      <w:r w:rsidR="00A85768">
        <w:t>.</w:t>
      </w:r>
      <w:r w:rsidR="00A85768" w:rsidRPr="00E84224">
        <w:rPr>
          <w:lang w:eastAsia="en-US"/>
        </w:rPr>
        <w:t xml:space="preserve"> </w:t>
      </w:r>
      <w:hyperlink r:id="rId8" w:history="1">
        <w:r w:rsidR="00A85768" w:rsidRPr="00A5655B">
          <w:rPr>
            <w:rStyle w:val="Hyperlink"/>
            <w:i/>
            <w:iCs/>
            <w:lang w:eastAsia="en-US"/>
          </w:rPr>
          <w:t>Marginal abatement cost curves analysis for New Zealand: Potential greenhouse gas mitigation options and their costs</w:t>
        </w:r>
      </w:hyperlink>
      <w:r w:rsidR="00A85768" w:rsidRPr="00E84224">
        <w:rPr>
          <w:lang w:eastAsia="en-US"/>
        </w:rPr>
        <w:t>. Wellington: Ministry for the Environment.</w:t>
      </w:r>
    </w:p>
  </w:footnote>
  <w:footnote w:id="12">
    <w:p w14:paraId="2523EDD9" w14:textId="1E98F18E" w:rsidR="00015041" w:rsidRPr="00015041" w:rsidRDefault="00015041">
      <w:pPr>
        <w:pStyle w:val="FootnoteText"/>
      </w:pPr>
      <w:r>
        <w:rPr>
          <w:rStyle w:val="FootnoteReference"/>
        </w:rPr>
        <w:footnoteRef/>
      </w:r>
      <w:r w:rsidR="00A85768">
        <w:tab/>
      </w:r>
      <w:proofErr w:type="spellStart"/>
      <w:r w:rsidR="00A85768">
        <w:rPr>
          <w:lang w:eastAsia="en-US"/>
        </w:rPr>
        <w:t>Torshizian</w:t>
      </w:r>
      <w:proofErr w:type="spellEnd"/>
      <w:r w:rsidR="00A85768">
        <w:rPr>
          <w:lang w:eastAsia="en-US"/>
        </w:rPr>
        <w:t xml:space="preserve"> E, Adams P, </w:t>
      </w:r>
      <w:proofErr w:type="spellStart"/>
      <w:r w:rsidR="00A85768">
        <w:rPr>
          <w:lang w:eastAsia="en-US"/>
        </w:rPr>
        <w:t>Stroombergen</w:t>
      </w:r>
      <w:proofErr w:type="spellEnd"/>
      <w:r w:rsidR="00A85768">
        <w:rPr>
          <w:lang w:eastAsia="en-US"/>
        </w:rPr>
        <w:t xml:space="preserve"> A. 2024. </w:t>
      </w:r>
      <w:r w:rsidR="00A85768">
        <w:rPr>
          <w:i/>
          <w:iCs/>
          <w:lang w:eastAsia="en-US"/>
        </w:rPr>
        <w:t>Economic Impact of New Zealand’s Second Emission</w:t>
      </w:r>
      <w:r w:rsidR="00DB0D7C">
        <w:rPr>
          <w:i/>
          <w:iCs/>
          <w:lang w:eastAsia="en-US"/>
        </w:rPr>
        <w:t>s</w:t>
      </w:r>
      <w:r w:rsidR="00A85768">
        <w:rPr>
          <w:i/>
          <w:iCs/>
          <w:lang w:eastAsia="en-US"/>
        </w:rPr>
        <w:t xml:space="preserve"> Reduction Plan.</w:t>
      </w:r>
      <w:r w:rsidR="00A85768">
        <w:rPr>
          <w:lang w:eastAsia="en-US"/>
        </w:rPr>
        <w:t xml:space="preserve"> Report to Ministry for the Environment by Principal Economics Limited in collaboration with the Centre for Policy Studies and </w:t>
      </w:r>
      <w:proofErr w:type="spellStart"/>
      <w:r w:rsidR="00A85768">
        <w:rPr>
          <w:lang w:eastAsia="en-US"/>
        </w:rPr>
        <w:t>Infometrics</w:t>
      </w:r>
      <w:proofErr w:type="spellEnd"/>
      <w:r w:rsidR="00A85768">
        <w:rPr>
          <w:lang w:eastAsia="en-US"/>
        </w:rPr>
        <w:t xml:space="preserve"> Limited.</w:t>
      </w:r>
    </w:p>
  </w:footnote>
  <w:footnote w:id="13">
    <w:p w14:paraId="79A25FD3" w14:textId="6136C2E2" w:rsidR="000B1059" w:rsidRDefault="000B1059">
      <w:pPr>
        <w:pStyle w:val="FootnoteText"/>
      </w:pPr>
      <w:r>
        <w:rPr>
          <w:rStyle w:val="FootnoteReference"/>
        </w:rPr>
        <w:footnoteRef/>
      </w:r>
      <w:r w:rsidR="00920E55">
        <w:tab/>
      </w:r>
      <w:r>
        <w:t>Transport projections used a slightly higher price path, consistent with the Commission’s demonstration path, rose to $250 in 2050. Forestry projections are based on the afforestation and deforestation intentions survey, rather than a price-responsive model.</w:t>
      </w:r>
    </w:p>
  </w:footnote>
  <w:footnote w:id="14">
    <w:p w14:paraId="5057A530" w14:textId="31E82B2E" w:rsidR="000124D3" w:rsidRDefault="000124D3">
      <w:pPr>
        <w:pStyle w:val="FootnoteText"/>
      </w:pPr>
      <w:r>
        <w:rPr>
          <w:rStyle w:val="FootnoteReference"/>
        </w:rPr>
        <w:footnoteRef/>
      </w:r>
      <w:r w:rsidR="00A85768">
        <w:tab/>
        <w:t xml:space="preserve">Ministry for the Environment. </w:t>
      </w:r>
      <w:hyperlink r:id="rId9" w:history="1">
        <w:r w:rsidR="00A85768" w:rsidRPr="00A85768">
          <w:rPr>
            <w:rStyle w:val="Hyperlink"/>
          </w:rPr>
          <w:t>New Zealand’s projected greenhouse gas emissions to 2050</w:t>
        </w:r>
      </w:hyperlink>
      <w:r w:rsidR="00A85768">
        <w:t>. Retrieved 3</w:t>
      </w:r>
      <w:r w:rsidR="00A46454">
        <w:t> </w:t>
      </w:r>
      <w:r w:rsidR="00A85768">
        <w:t>July 2024.</w:t>
      </w:r>
    </w:p>
  </w:footnote>
  <w:footnote w:id="15">
    <w:p w14:paraId="31CB6FF7" w14:textId="013C9A09" w:rsidR="009211CB" w:rsidRDefault="009211CB" w:rsidP="00A85768">
      <w:pPr>
        <w:pStyle w:val="FootnoteText"/>
      </w:pPr>
      <w:r>
        <w:rPr>
          <w:rStyle w:val="FootnoteReference"/>
        </w:rPr>
        <w:footnoteRef/>
      </w:r>
      <w:r w:rsidR="00A85768">
        <w:tab/>
        <w:t xml:space="preserve">Ministry for the Environment. 2024. </w:t>
      </w:r>
      <w:hyperlink r:id="rId10" w:history="1">
        <w:r w:rsidR="00A85768" w:rsidRPr="00352AAC">
          <w:rPr>
            <w:rStyle w:val="Hyperlink"/>
            <w:i/>
          </w:rPr>
          <w:t>Planned methodological improvements for New Zealand’s Greenhouse Gas Inventory 1990–2022</w:t>
        </w:r>
      </w:hyperlink>
      <w:r w:rsidR="00A85768">
        <w:t>. Wellington: Ministry for the Environment.</w:t>
      </w:r>
    </w:p>
  </w:footnote>
  <w:footnote w:id="16">
    <w:p w14:paraId="5992333F" w14:textId="1CEB036F" w:rsidR="002B1C70" w:rsidRPr="0093726C" w:rsidRDefault="00CB1EE3" w:rsidP="00A46454">
      <w:pPr>
        <w:pStyle w:val="FootnoteText"/>
      </w:pPr>
      <w:r>
        <w:rPr>
          <w:rStyle w:val="FootnoteReference"/>
        </w:rPr>
        <w:footnoteRef/>
      </w:r>
      <w:r w:rsidR="00F71751">
        <w:tab/>
      </w:r>
      <w:r w:rsidR="002B1C70" w:rsidRPr="0093726C">
        <w:t>Officials need to make assumptions on the forward pathway of NZ ETS prices to inform modelling</w:t>
      </w:r>
      <w:r w:rsidR="00897522" w:rsidRPr="00377EA4">
        <w:t>.</w:t>
      </w:r>
      <w:r w:rsidR="002B1C70" w:rsidRPr="00377EA4">
        <w:t xml:space="preserve"> The </w:t>
      </w:r>
      <w:r w:rsidR="00377EA4" w:rsidRPr="00377EA4">
        <w:t>emissions</w:t>
      </w:r>
      <w:r w:rsidR="002B1C70" w:rsidRPr="00377EA4">
        <w:t xml:space="preserve"> price assumptions are not a prediction or forecast of future NZ ETS prices. They should be considere</w:t>
      </w:r>
      <w:r w:rsidR="002B1C70" w:rsidRPr="0093726C">
        <w:t xml:space="preserve">d in the context for which </w:t>
      </w:r>
      <w:r w:rsidR="004327D0">
        <w:t>they are</w:t>
      </w:r>
      <w:r w:rsidR="002B1C70" w:rsidRPr="0093726C">
        <w:t xml:space="preserve"> intended to be used, namely </w:t>
      </w:r>
      <w:r w:rsidR="004327D0">
        <w:t xml:space="preserve">in </w:t>
      </w:r>
      <w:r w:rsidR="002B1C70" w:rsidRPr="0093726C">
        <w:t>providing a consistent input into government climate policy modelling.</w:t>
      </w:r>
    </w:p>
    <w:p w14:paraId="51109EAD" w14:textId="44587782" w:rsidR="00CB1EE3" w:rsidRPr="002B1C70" w:rsidRDefault="00F71751" w:rsidP="00A46454">
      <w:pPr>
        <w:pStyle w:val="FootnoteText"/>
      </w:pPr>
      <w:r>
        <w:tab/>
      </w:r>
      <w:r w:rsidR="002B1C70" w:rsidRPr="0093726C">
        <w:t>The rising then falling price assumption reflects one view of the broad market dynamics expected under the current NZ ETS framework. Over</w:t>
      </w:r>
      <w:r>
        <w:t xml:space="preserve"> the period of the first and second</w:t>
      </w:r>
      <w:r w:rsidR="002B1C70" w:rsidRPr="0093726C">
        <w:t xml:space="preserve"> emissions budgets, </w:t>
      </w:r>
      <w:r w:rsidR="00377EA4">
        <w:t>emission</w:t>
      </w:r>
      <w:r>
        <w:t>s</w:t>
      </w:r>
      <w:r w:rsidR="00377EA4">
        <w:t xml:space="preserve"> </w:t>
      </w:r>
      <w:r w:rsidR="002B1C70" w:rsidRPr="0093726C">
        <w:t xml:space="preserve">prices are expected to rise modestly, reflecting </w:t>
      </w:r>
      <w:r>
        <w:t xml:space="preserve">how </w:t>
      </w:r>
      <w:r w:rsidR="002B1C70" w:rsidRPr="0093726C" w:rsidDel="00F71751">
        <w:t xml:space="preserve">the </w:t>
      </w:r>
      <w:r w:rsidR="002B1C70" w:rsidRPr="0093726C">
        <w:t>NZ ETS cap</w:t>
      </w:r>
      <w:r>
        <w:t xml:space="preserve"> is steadily tightening and</w:t>
      </w:r>
      <w:r w:rsidR="002B1C70" w:rsidRPr="0093726C">
        <w:t xml:space="preserve"> relatively few forestry units </w:t>
      </w:r>
      <w:r>
        <w:t>are</w:t>
      </w:r>
      <w:r w:rsidRPr="0093726C">
        <w:t xml:space="preserve"> </w:t>
      </w:r>
      <w:r w:rsidR="002B1C70" w:rsidRPr="0093726C">
        <w:t xml:space="preserve">available to the market, </w:t>
      </w:r>
      <w:r>
        <w:t>with the</w:t>
      </w:r>
      <w:r w:rsidRPr="0093726C">
        <w:t xml:space="preserve"> </w:t>
      </w:r>
      <w:r w:rsidR="002B1C70" w:rsidRPr="0093726C">
        <w:t>consequent need to draw down the stockpile of NZUs to meet demand for NZUs. Over the medium to long term, forestry units are expected to become the dominant source of NZUs in the NZ ETS and therefore the marginal cost of exotic afforestation is expected to anchor the NZ ETS price.</w:t>
      </w:r>
      <w:r w:rsidR="00377EA4">
        <w:t xml:space="preserve"> </w:t>
      </w:r>
      <w:r w:rsidR="002B1C70" w:rsidRPr="0093726C">
        <w:t>The peak in 2028 was calibrated based on NZ ETS forward prices as of February 2024 (acknowledging that trading volumes are low on the secondary market forwards). The long-run price of $50 is based on Ministry for Primary Industries</w:t>
      </w:r>
      <w:r w:rsidR="002B1C70" w:rsidRPr="0093726C" w:rsidDel="00F71751">
        <w:t xml:space="preserve"> </w:t>
      </w:r>
      <w:r w:rsidR="002B1C70" w:rsidRPr="0093726C">
        <w:t xml:space="preserve">analysis of </w:t>
      </w:r>
      <w:r>
        <w:t>what</w:t>
      </w:r>
      <w:r w:rsidRPr="0093726C">
        <w:t xml:space="preserve"> </w:t>
      </w:r>
      <w:r>
        <w:t xml:space="preserve">NZ </w:t>
      </w:r>
      <w:r w:rsidR="002B1C70" w:rsidRPr="0093726C">
        <w:t xml:space="preserve">ETS price </w:t>
      </w:r>
      <w:r>
        <w:t xml:space="preserve">is </w:t>
      </w:r>
      <w:r w:rsidR="002B1C70" w:rsidRPr="0093726C">
        <w:t>needed to provide a reasonable return on investment for exotic afforestation. This is the central estimate within a range of $25–</w:t>
      </w:r>
      <w:r>
        <w:t>$</w:t>
      </w:r>
      <w:r w:rsidR="002B1C70" w:rsidRPr="0093726C">
        <w:t>75 per tonne.</w:t>
      </w:r>
    </w:p>
  </w:footnote>
  <w:footnote w:id="17">
    <w:p w14:paraId="62CC5151" w14:textId="0848DB4B" w:rsidR="00CF1C2A" w:rsidRPr="00CF1C2A" w:rsidRDefault="00CF1C2A">
      <w:pPr>
        <w:pStyle w:val="FootnoteText"/>
      </w:pPr>
      <w:r>
        <w:rPr>
          <w:rStyle w:val="FootnoteReference"/>
        </w:rPr>
        <w:footnoteRef/>
      </w:r>
      <w:r>
        <w:t xml:space="preserve"> </w:t>
      </w:r>
      <w:r>
        <w:tab/>
      </w:r>
      <w:r w:rsidRPr="00E84224">
        <w:rPr>
          <w:lang w:eastAsia="en-US"/>
        </w:rPr>
        <w:t>Ministry for the Environment. 202</w:t>
      </w:r>
      <w:r>
        <w:rPr>
          <w:lang w:eastAsia="en-US"/>
        </w:rPr>
        <w:t>3</w:t>
      </w:r>
      <w:r w:rsidRPr="00E84224">
        <w:rPr>
          <w:lang w:eastAsia="en-US"/>
        </w:rPr>
        <w:t>.</w:t>
      </w:r>
      <w:r>
        <w:rPr>
          <w:lang w:eastAsia="en-US"/>
        </w:rPr>
        <w:t xml:space="preserve"> </w:t>
      </w:r>
      <w:hyperlink r:id="rId11" w:history="1">
        <w:r w:rsidRPr="0040707B">
          <w:rPr>
            <w:rStyle w:val="Hyperlink"/>
            <w:i/>
            <w:iCs/>
            <w:lang w:eastAsia="en-US"/>
          </w:rPr>
          <w:t>National Policy Statement for Greenhouse Gas Emissions from Industrial Process Heat 2023</w:t>
        </w:r>
      </w:hyperlink>
      <w:r>
        <w:rPr>
          <w:i/>
          <w:iCs/>
          <w:lang w:eastAsia="en-US"/>
        </w:rPr>
        <w:t>.</w:t>
      </w:r>
      <w:r>
        <w:t xml:space="preserve"> Wellington: Ministry for the Environment.</w:t>
      </w:r>
    </w:p>
  </w:footnote>
  <w:footnote w:id="18">
    <w:p w14:paraId="72B48F47" w14:textId="671D8471" w:rsidR="00323884" w:rsidRDefault="00323884">
      <w:pPr>
        <w:pStyle w:val="FootnoteText"/>
      </w:pPr>
      <w:r>
        <w:rPr>
          <w:rStyle w:val="FootnoteReference"/>
        </w:rPr>
        <w:footnoteRef/>
      </w:r>
      <w:r>
        <w:t xml:space="preserve"> </w:t>
      </w:r>
      <w:r w:rsidR="00A726E9">
        <w:tab/>
        <w:t xml:space="preserve">Ministry for the Environment. </w:t>
      </w:r>
      <w:hyperlink r:id="rId12" w:history="1">
        <w:r w:rsidR="00A726E9" w:rsidRPr="00A726E9">
          <w:rPr>
            <w:rStyle w:val="Hyperlink"/>
          </w:rPr>
          <w:t>Nationally Determined Contribution</w:t>
        </w:r>
      </w:hyperlink>
      <w:r w:rsidR="00A726E9">
        <w:t>. Retrieved 3 July 2024.</w:t>
      </w:r>
    </w:p>
  </w:footnote>
  <w:footnote w:id="19">
    <w:p w14:paraId="136CB39E" w14:textId="426AA8BB" w:rsidR="00EA18FB" w:rsidRDefault="00EA18FB">
      <w:pPr>
        <w:pStyle w:val="FootnoteText"/>
      </w:pPr>
      <w:r>
        <w:rPr>
          <w:rStyle w:val="FootnoteReference"/>
        </w:rPr>
        <w:footnoteRef/>
      </w:r>
      <w:r w:rsidR="000952C1">
        <w:tab/>
      </w:r>
      <w:r>
        <w:t>Th</w:t>
      </w:r>
      <w:r w:rsidR="000952C1">
        <w:t>ese</w:t>
      </w:r>
      <w:r>
        <w:t xml:space="preserve"> include data in the </w:t>
      </w:r>
      <w:r w:rsidR="000952C1">
        <w:t>2024 Greenhouse Gas I</w:t>
      </w:r>
      <w:r w:rsidR="00307BF3">
        <w:t>nventory</w:t>
      </w:r>
      <w:r w:rsidR="00B21883">
        <w:t xml:space="preserve">, modified with </w:t>
      </w:r>
      <w:r w:rsidR="00E706BA">
        <w:t>recent updates t</w:t>
      </w:r>
      <w:r w:rsidR="0011317C">
        <w:t>o</w:t>
      </w:r>
      <w:r w:rsidR="00E706BA">
        <w:t xml:space="preserve"> animal numbers</w:t>
      </w:r>
      <w:r w:rsidR="0011317C">
        <w:t xml:space="preserve"> and forestry expectations</w:t>
      </w:r>
      <w:r w:rsidR="006651EA">
        <w:t>.</w:t>
      </w:r>
    </w:p>
  </w:footnote>
  <w:footnote w:id="20">
    <w:p w14:paraId="614BB21A" w14:textId="3A4B920F" w:rsidR="009826FB" w:rsidRDefault="009826FB">
      <w:pPr>
        <w:pStyle w:val="FootnoteText"/>
      </w:pPr>
      <w:r>
        <w:rPr>
          <w:rStyle w:val="FootnoteReference"/>
        </w:rPr>
        <w:footnoteRef/>
      </w:r>
      <w:r w:rsidR="00317F64">
        <w:tab/>
      </w:r>
      <w:r w:rsidR="00FE12EF" w:rsidRPr="00E84224">
        <w:rPr>
          <w:lang w:eastAsia="en-US"/>
        </w:rPr>
        <w:t>Ministry for the Environment</w:t>
      </w:r>
      <w:r w:rsidR="00317F64">
        <w:rPr>
          <w:lang w:eastAsia="en-US"/>
        </w:rPr>
        <w:t>.</w:t>
      </w:r>
      <w:r w:rsidR="00FE12EF">
        <w:rPr>
          <w:lang w:eastAsia="en-US"/>
        </w:rPr>
        <w:t xml:space="preserve"> </w:t>
      </w:r>
      <w:r w:rsidR="00FE12EF" w:rsidRPr="00E84224">
        <w:rPr>
          <w:lang w:eastAsia="en-US"/>
        </w:rPr>
        <w:t>202</w:t>
      </w:r>
      <w:r w:rsidR="00FE12EF">
        <w:rPr>
          <w:lang w:eastAsia="en-US"/>
        </w:rPr>
        <w:t>3</w:t>
      </w:r>
      <w:r w:rsidR="005F28E6" w:rsidRPr="00E84224">
        <w:rPr>
          <w:lang w:eastAsia="en-US"/>
        </w:rPr>
        <w:t>.</w:t>
      </w:r>
      <w:r w:rsidR="005F28E6">
        <w:rPr>
          <w:lang w:eastAsia="en-US"/>
        </w:rPr>
        <w:t xml:space="preserve"> </w:t>
      </w:r>
      <w:hyperlink r:id="rId13" w:history="1">
        <w:r w:rsidR="005F28E6" w:rsidRPr="00685CC0">
          <w:rPr>
            <w:rStyle w:val="Hyperlink"/>
            <w:i/>
            <w:iCs/>
            <w:lang w:eastAsia="en-US"/>
          </w:rPr>
          <w:t>National Policy Statement for Greenhouse Gas Emissions from Industrial Process Heat 2023</w:t>
        </w:r>
      </w:hyperlink>
      <w:r w:rsidR="005F28E6">
        <w:rPr>
          <w:i/>
          <w:iCs/>
          <w:lang w:eastAsia="en-US"/>
        </w:rPr>
        <w:t>.</w:t>
      </w:r>
      <w:r w:rsidR="005F28E6">
        <w:t xml:space="preserve"> Wellington: Ministry for the Environment.</w:t>
      </w:r>
    </w:p>
  </w:footnote>
  <w:footnote w:id="21">
    <w:p w14:paraId="6F049703" w14:textId="48010617" w:rsidR="00B51DB2" w:rsidRDefault="00B51DB2" w:rsidP="00965AE7">
      <w:pPr>
        <w:pStyle w:val="FootnoteText"/>
        <w:spacing w:after="40"/>
      </w:pPr>
      <w:r>
        <w:rPr>
          <w:rStyle w:val="FootnoteReference"/>
        </w:rPr>
        <w:footnoteRef/>
      </w:r>
      <w:r>
        <w:t xml:space="preserve"> </w:t>
      </w:r>
      <w:r>
        <w:tab/>
        <w:t xml:space="preserve">These insights are based on preliminary Computable General Equilibrium (CGE) modelling commissioned by </w:t>
      </w:r>
      <w:proofErr w:type="spellStart"/>
      <w:r>
        <w:t>MfE</w:t>
      </w:r>
      <w:proofErr w:type="spellEnd"/>
      <w:r>
        <w:t>. The CGE modelling estimates the aggregate impacts of ERP2 on the economy and then breaks these down into insights on distributional impacts.</w:t>
      </w:r>
    </w:p>
  </w:footnote>
  <w:footnote w:id="22">
    <w:p w14:paraId="2B51A546" w14:textId="2F944FD4" w:rsidR="0034594A" w:rsidRDefault="0034594A" w:rsidP="00965AE7">
      <w:pPr>
        <w:pStyle w:val="FootnoteText"/>
        <w:spacing w:after="40"/>
      </w:pPr>
      <w:r>
        <w:rPr>
          <w:rStyle w:val="FootnoteReference"/>
        </w:rPr>
        <w:footnoteRef/>
      </w:r>
      <w:r w:rsidR="004253DE">
        <w:tab/>
      </w:r>
      <w:r w:rsidR="00CC6006">
        <w:t>F</w:t>
      </w:r>
      <w:r>
        <w:t>or the full set of assumptions used to create the counterfactual scenario</w:t>
      </w:r>
      <w:r w:rsidR="00CC6006">
        <w:t xml:space="preserve">, see chapter 2 of </w:t>
      </w:r>
      <w:proofErr w:type="spellStart"/>
      <w:r w:rsidR="00CC6006">
        <w:t>Torshizian</w:t>
      </w:r>
      <w:proofErr w:type="spellEnd"/>
      <w:r w:rsidR="00CC6006">
        <w:t xml:space="preserve"> </w:t>
      </w:r>
      <w:r w:rsidR="00CC6006">
        <w:rPr>
          <w:lang w:eastAsia="en-US"/>
        </w:rPr>
        <w:t xml:space="preserve">E, Adams P, </w:t>
      </w:r>
      <w:proofErr w:type="spellStart"/>
      <w:r w:rsidR="00CC6006">
        <w:rPr>
          <w:lang w:eastAsia="en-US"/>
        </w:rPr>
        <w:t>Stroombergen</w:t>
      </w:r>
      <w:proofErr w:type="spellEnd"/>
      <w:r w:rsidR="00CC6006">
        <w:rPr>
          <w:lang w:eastAsia="en-US"/>
        </w:rPr>
        <w:t xml:space="preserve"> A. 2024. </w:t>
      </w:r>
      <w:r w:rsidR="00CC6006">
        <w:rPr>
          <w:i/>
          <w:iCs/>
          <w:lang w:eastAsia="en-US"/>
        </w:rPr>
        <w:t>Economic Impact of New Zealand’s Second Emissions Reduction Plan.</w:t>
      </w:r>
      <w:r w:rsidR="00CC6006">
        <w:rPr>
          <w:lang w:eastAsia="en-US"/>
        </w:rPr>
        <w:t xml:space="preserve"> Report to Ministry for the Environment by Principal Economics Limited in collaboration with the Centre for Policy Studies and </w:t>
      </w:r>
      <w:proofErr w:type="spellStart"/>
      <w:r w:rsidR="00CC6006">
        <w:rPr>
          <w:lang w:eastAsia="en-US"/>
        </w:rPr>
        <w:t>Infometrics</w:t>
      </w:r>
      <w:proofErr w:type="spellEnd"/>
      <w:r w:rsidR="00CC6006">
        <w:rPr>
          <w:lang w:eastAsia="en-US"/>
        </w:rPr>
        <w:t xml:space="preserve"> Limited</w:t>
      </w:r>
      <w:r>
        <w:t>.</w:t>
      </w:r>
    </w:p>
  </w:footnote>
  <w:footnote w:id="23">
    <w:p w14:paraId="33AB08BB" w14:textId="1CAC5A1E" w:rsidR="004253DE" w:rsidRDefault="004253DE" w:rsidP="00965AE7">
      <w:pPr>
        <w:pStyle w:val="FootnoteText"/>
        <w:spacing w:after="40"/>
      </w:pPr>
      <w:r>
        <w:rPr>
          <w:rStyle w:val="FootnoteReference"/>
        </w:rPr>
        <w:footnoteRef/>
      </w:r>
      <w:r>
        <w:t xml:space="preserve"> </w:t>
      </w:r>
      <w:r>
        <w:tab/>
      </w:r>
      <w:proofErr w:type="spellStart"/>
      <w:r w:rsidR="00B628DB">
        <w:rPr>
          <w:lang w:eastAsia="en-US"/>
        </w:rPr>
        <w:t>Torshizian</w:t>
      </w:r>
      <w:proofErr w:type="spellEnd"/>
      <w:r w:rsidR="00B628DB">
        <w:rPr>
          <w:lang w:eastAsia="en-US"/>
        </w:rPr>
        <w:t xml:space="preserve"> et al (2024), above note 2</w:t>
      </w:r>
      <w:r w:rsidR="005D1039">
        <w:rPr>
          <w:lang w:eastAsia="en-US"/>
        </w:rPr>
        <w:t>1</w:t>
      </w:r>
      <w:r w:rsidR="00CC6006">
        <w:rPr>
          <w:lang w:eastAsia="en-US"/>
        </w:rPr>
        <w:t>.</w:t>
      </w:r>
    </w:p>
  </w:footnote>
  <w:footnote w:id="24">
    <w:p w14:paraId="1558E1F7" w14:textId="6A08D4D0" w:rsidR="004253DE" w:rsidRDefault="004253DE" w:rsidP="00965AE7">
      <w:pPr>
        <w:pStyle w:val="FootnoteText"/>
        <w:spacing w:after="40"/>
      </w:pPr>
      <w:r>
        <w:rPr>
          <w:rStyle w:val="FootnoteReference"/>
        </w:rPr>
        <w:footnoteRef/>
      </w:r>
      <w:r>
        <w:t xml:space="preserve"> </w:t>
      </w:r>
      <w:r>
        <w:tab/>
      </w:r>
      <w:proofErr w:type="spellStart"/>
      <w:r w:rsidR="00B628DB">
        <w:rPr>
          <w:lang w:eastAsia="en-US"/>
        </w:rPr>
        <w:t>Torshizian</w:t>
      </w:r>
      <w:proofErr w:type="spellEnd"/>
      <w:r w:rsidR="00B628DB">
        <w:rPr>
          <w:lang w:eastAsia="en-US"/>
        </w:rPr>
        <w:t xml:space="preserve"> et al (2024), above note 2</w:t>
      </w:r>
      <w:r w:rsidR="005D1039">
        <w:rPr>
          <w:lang w:eastAsia="en-US"/>
        </w:rPr>
        <w:t>1</w:t>
      </w:r>
      <w:r w:rsidR="00CC6006">
        <w:rPr>
          <w:lang w:eastAsia="en-US"/>
        </w:rPr>
        <w:t>.</w:t>
      </w:r>
    </w:p>
  </w:footnote>
  <w:footnote w:id="25">
    <w:p w14:paraId="66395F68" w14:textId="7A270294" w:rsidR="004253DE" w:rsidRDefault="004253DE">
      <w:pPr>
        <w:pStyle w:val="FootnoteText"/>
      </w:pPr>
      <w:r>
        <w:rPr>
          <w:rStyle w:val="FootnoteReference"/>
        </w:rPr>
        <w:footnoteRef/>
      </w:r>
      <w:r>
        <w:t xml:space="preserve"> </w:t>
      </w:r>
      <w:r>
        <w:tab/>
      </w:r>
      <w:proofErr w:type="spellStart"/>
      <w:r w:rsidR="00B628DB">
        <w:rPr>
          <w:lang w:eastAsia="en-US"/>
        </w:rPr>
        <w:t>Torshizian</w:t>
      </w:r>
      <w:proofErr w:type="spellEnd"/>
      <w:r w:rsidR="00B628DB">
        <w:rPr>
          <w:lang w:eastAsia="en-US"/>
        </w:rPr>
        <w:t xml:space="preserve"> et al (2024), above note 2</w:t>
      </w:r>
      <w:r w:rsidR="005D1039">
        <w:rPr>
          <w:lang w:eastAsia="en-US"/>
        </w:rPr>
        <w:t>1</w:t>
      </w:r>
      <w:r w:rsidR="00CC6006">
        <w:rPr>
          <w:lang w:eastAsia="en-US"/>
        </w:rPr>
        <w:t>.</w:t>
      </w:r>
    </w:p>
  </w:footnote>
  <w:footnote w:id="26">
    <w:p w14:paraId="687EDFA1" w14:textId="07FB1367" w:rsidR="00C2540A" w:rsidRDefault="00C2540A" w:rsidP="004731FA">
      <w:pPr>
        <w:pStyle w:val="FootnoteText"/>
      </w:pPr>
      <w:r w:rsidRPr="00431601">
        <w:rPr>
          <w:rStyle w:val="FootnoteReference"/>
          <w:sz w:val="16"/>
          <w:szCs w:val="16"/>
        </w:rPr>
        <w:footnoteRef/>
      </w:r>
      <w:r w:rsidR="00995CC3">
        <w:tab/>
      </w:r>
      <w:r w:rsidRPr="00431601">
        <w:t xml:space="preserve">For example, Waitaki and Manapouri </w:t>
      </w:r>
      <w:r w:rsidR="00995CC3">
        <w:t>d</w:t>
      </w:r>
      <w:r w:rsidRPr="00431601">
        <w:t xml:space="preserve">ams would need reconsenting during the </w:t>
      </w:r>
      <w:r w:rsidR="00995CC3">
        <w:t>second emissions budget</w:t>
      </w:r>
      <w:r w:rsidR="00995CC3" w:rsidRPr="00431601">
        <w:t xml:space="preserve"> </w:t>
      </w:r>
      <w:r w:rsidRPr="00431601">
        <w:t>period.</w:t>
      </w:r>
      <w:r>
        <w:t xml:space="preserve"> </w:t>
      </w:r>
    </w:p>
  </w:footnote>
  <w:footnote w:id="27">
    <w:p w14:paraId="665603D8" w14:textId="704132FF" w:rsidR="00C2540A" w:rsidRPr="00C63531" w:rsidRDefault="00C2540A" w:rsidP="004731FA">
      <w:pPr>
        <w:pStyle w:val="FootnoteText"/>
      </w:pPr>
      <w:r w:rsidRPr="00431601">
        <w:rPr>
          <w:rStyle w:val="FootnoteReference"/>
          <w:sz w:val="16"/>
          <w:szCs w:val="16"/>
        </w:rPr>
        <w:footnoteRef/>
      </w:r>
      <w:r w:rsidR="00995CC3">
        <w:tab/>
      </w:r>
      <w:r w:rsidRPr="00431601">
        <w:t>Thermal generation accounted for 2.5</w:t>
      </w:r>
      <w:r w:rsidR="00995CC3">
        <w:t xml:space="preserve"> </w:t>
      </w:r>
      <w:r w:rsidRPr="00431601">
        <w:t>Mt CO</w:t>
      </w:r>
      <w:r w:rsidRPr="00C63531">
        <w:rPr>
          <w:vertAlign w:val="subscript"/>
        </w:rPr>
        <w:t>2</w:t>
      </w:r>
      <w:r w:rsidRPr="00431601">
        <w:t xml:space="preserve"> in the year to December 2023. Some firming/peaking generation could be displaced if renewables are able to free up flexible baseload hydroelectricity capacity. Emissions info</w:t>
      </w:r>
      <w:r w:rsidR="00995CC3">
        <w:t>rmation</w:t>
      </w:r>
      <w:r w:rsidRPr="00431601">
        <w:t xml:space="preserve"> from </w:t>
      </w:r>
      <w:r w:rsidR="00995CC3">
        <w:t>q</w:t>
      </w:r>
      <w:r w:rsidRPr="00431601">
        <w:t xml:space="preserve">uarterly electricity and liquid fuel emissions data tables: </w:t>
      </w:r>
      <w:r w:rsidR="00995CC3" w:rsidRPr="00995CC3">
        <w:t>Minis</w:t>
      </w:r>
      <w:r w:rsidR="00995CC3" w:rsidRPr="00C63531">
        <w:rPr>
          <w:szCs w:val="19"/>
        </w:rPr>
        <w:t xml:space="preserve">try of Business, Innovation and Employment. </w:t>
      </w:r>
      <w:hyperlink r:id="rId14" w:history="1">
        <w:r w:rsidR="00995CC3" w:rsidRPr="00984806">
          <w:rPr>
            <w:rStyle w:val="Hyperlink"/>
            <w:szCs w:val="19"/>
          </w:rPr>
          <w:t>New Zealand energy sector greenhouse gas emissions</w:t>
        </w:r>
      </w:hyperlink>
      <w:r w:rsidR="00995CC3" w:rsidRPr="00431601">
        <w:t>.</w:t>
      </w:r>
      <w:r w:rsidR="00995CC3">
        <w:t xml:space="preserve"> Retrieved 5 July 2024.</w:t>
      </w:r>
    </w:p>
  </w:footnote>
  <w:footnote w:id="28">
    <w:p w14:paraId="0CDE65F1" w14:textId="32E1ABEB" w:rsidR="00C2540A" w:rsidRDefault="00C2540A" w:rsidP="004731FA">
      <w:pPr>
        <w:pStyle w:val="FootnoteText"/>
      </w:pPr>
      <w:r w:rsidRPr="00D620C6">
        <w:rPr>
          <w:rStyle w:val="FootnoteReference"/>
          <w:sz w:val="16"/>
          <w:szCs w:val="16"/>
        </w:rPr>
        <w:footnoteRef/>
      </w:r>
      <w:r w:rsidR="00995CC3">
        <w:tab/>
      </w:r>
      <w:r w:rsidRPr="00D620C6">
        <w:t>The Infrastructure</w:t>
      </w:r>
      <w:r w:rsidRPr="00431601">
        <w:t xml:space="preserve"> Commission estimated that New Zealand is on track to miss between 11</w:t>
      </w:r>
      <w:r w:rsidR="00BC3741">
        <w:t xml:space="preserve"> per cent and </w:t>
      </w:r>
      <w:r w:rsidRPr="00431601">
        <w:t>15 per cent of the emissions reductions required from the energy and transport sectors by 2050 due to consenting delays, and a 50 per cent reduction in projected consent processing times is required from 2028 to meet New Zealand’s net zero targets by 2050.</w:t>
      </w:r>
      <w:r w:rsidR="00BC3741">
        <w:t xml:space="preserve"> New</w:t>
      </w:r>
      <w:r w:rsidR="008A76D3">
        <w:t> </w:t>
      </w:r>
      <w:r w:rsidR="00BC3741">
        <w:t xml:space="preserve">Zealand Infrastructure Commission </w:t>
      </w:r>
      <w:proofErr w:type="spellStart"/>
      <w:r w:rsidR="00BC3741" w:rsidRPr="00BC3741">
        <w:t>Te</w:t>
      </w:r>
      <w:proofErr w:type="spellEnd"/>
      <w:r w:rsidR="00BC3741" w:rsidRPr="00BC3741">
        <w:t xml:space="preserve"> </w:t>
      </w:r>
      <w:proofErr w:type="spellStart"/>
      <w:r w:rsidR="00BC3741" w:rsidRPr="00BC3741">
        <w:t>Waihanga</w:t>
      </w:r>
      <w:proofErr w:type="spellEnd"/>
      <w:r w:rsidR="00BC3741">
        <w:t>.</w:t>
      </w:r>
      <w:r w:rsidRPr="00431601">
        <w:t xml:space="preserve"> </w:t>
      </w:r>
      <w:hyperlink r:id="rId15" w:history="1">
        <w:r w:rsidR="00BC3741" w:rsidRPr="00984806">
          <w:rPr>
            <w:rStyle w:val="Hyperlink"/>
            <w:szCs w:val="19"/>
          </w:rPr>
          <w:t>Infrastructure consenting for climate targets</w:t>
        </w:r>
      </w:hyperlink>
      <w:r w:rsidR="00BC3741" w:rsidRPr="00C63531">
        <w:rPr>
          <w:szCs w:val="19"/>
        </w:rPr>
        <w:t xml:space="preserve">. </w:t>
      </w:r>
      <w:r w:rsidR="00BC3741">
        <w:t>Retrieved 5 July 2024.</w:t>
      </w:r>
    </w:p>
  </w:footnote>
  <w:footnote w:id="29">
    <w:p w14:paraId="4D7BA09C" w14:textId="67A02B56" w:rsidR="00A94054" w:rsidRDefault="00A94054" w:rsidP="00A94054">
      <w:pPr>
        <w:pStyle w:val="FootnoteText"/>
      </w:pPr>
      <w:r>
        <w:rPr>
          <w:rStyle w:val="FootnoteReference"/>
        </w:rPr>
        <w:footnoteRef/>
      </w:r>
      <w:r>
        <w:t xml:space="preserve"> </w:t>
      </w:r>
      <w:r>
        <w:tab/>
        <w:t>If you jump on a waterbed, it sinks in one place and rises in another, but the amount of water in the bed remains the same. The waterbed effect applies the same concept to emissions in an ETS. If emissions are reduced by one participant, this frees up allowances for another participant to increase their emissions</w:t>
      </w:r>
      <w:r w:rsidR="003C1FAA">
        <w:t>,</w:t>
      </w:r>
      <w:r>
        <w:t xml:space="preserve"> such that total net emissions remain the same.</w:t>
      </w:r>
    </w:p>
  </w:footnote>
  <w:footnote w:id="30">
    <w:p w14:paraId="4AF97450" w14:textId="1BD5EFA9" w:rsidR="00C2540A" w:rsidRPr="00CC1CD4" w:rsidRDefault="00C2540A" w:rsidP="004731FA">
      <w:pPr>
        <w:pStyle w:val="FootnoteText"/>
      </w:pPr>
      <w:r w:rsidRPr="00CC1CD4">
        <w:rPr>
          <w:rStyle w:val="FootnoteReference"/>
        </w:rPr>
        <w:footnoteRef/>
      </w:r>
      <w:r w:rsidR="008F78C0">
        <w:tab/>
      </w:r>
      <w:r>
        <w:t>L</w:t>
      </w:r>
      <w:r w:rsidRPr="00CC1CD4">
        <w:t>onger-lived HWPs such as structural timber or engineered wood products delay release of carbon capture by trees by many decades. At the end of a product</w:t>
      </w:r>
      <w:r w:rsidR="00027FD9">
        <w:t>’</w:t>
      </w:r>
      <w:r w:rsidRPr="00CC1CD4">
        <w:t xml:space="preserve">s life, stored carbon is released back into the atmosphere. </w:t>
      </w:r>
      <w:r w:rsidR="00027FD9">
        <w:t>An</w:t>
      </w:r>
      <w:r w:rsidR="00027FD9" w:rsidRPr="00CC1CD4">
        <w:t xml:space="preserve"> </w:t>
      </w:r>
      <w:r w:rsidRPr="00CC1CD4">
        <w:t xml:space="preserve">overall </w:t>
      </w:r>
      <w:r w:rsidR="00027FD9">
        <w:t xml:space="preserve">move </w:t>
      </w:r>
      <w:r w:rsidRPr="00CC1CD4">
        <w:t xml:space="preserve">towards more </w:t>
      </w:r>
      <w:r w:rsidR="00027FD9">
        <w:t xml:space="preserve">use of </w:t>
      </w:r>
      <w:r w:rsidRPr="00CC1CD4">
        <w:t xml:space="preserve">long-lived wood products is recorded as higher </w:t>
      </w:r>
      <w:r>
        <w:t xml:space="preserve">emissions </w:t>
      </w:r>
      <w:r w:rsidRPr="00CC1CD4">
        <w:t xml:space="preserve">removals in New Zealand’s </w:t>
      </w:r>
      <w:r>
        <w:t>international carbon accounting</w:t>
      </w:r>
      <w:r w:rsidRPr="00CC1CD4">
        <w:t>.</w:t>
      </w:r>
      <w:r w:rsidR="00E4003E">
        <w:t xml:space="preserve"> </w:t>
      </w:r>
    </w:p>
  </w:footnote>
  <w:footnote w:id="31">
    <w:p w14:paraId="6E7F828E" w14:textId="34CD0967" w:rsidR="00DB6E26" w:rsidRPr="00DB6E26" w:rsidRDefault="00DB6E26">
      <w:pPr>
        <w:pStyle w:val="FootnoteText"/>
      </w:pPr>
      <w:r>
        <w:rPr>
          <w:rStyle w:val="FootnoteReference"/>
        </w:rPr>
        <w:footnoteRef/>
      </w:r>
      <w:r>
        <w:t xml:space="preserve"> </w:t>
      </w:r>
      <w:r w:rsidR="000106CA">
        <w:tab/>
      </w:r>
      <w:r>
        <w:t xml:space="preserve">Wood Beca. 2023. </w:t>
      </w:r>
      <w:hyperlink r:id="rId16" w:history="1">
        <w:r w:rsidRPr="00861C8A">
          <w:rPr>
            <w:rStyle w:val="Hyperlink"/>
            <w:i/>
            <w:iCs/>
          </w:rPr>
          <w:t>Review of CCS/CCUS Potential in New Zealand: Written in support of the Gas Transition Plan</w:t>
        </w:r>
      </w:hyperlink>
      <w:r>
        <w:rPr>
          <w:i/>
          <w:iCs/>
        </w:rPr>
        <w:t>.</w:t>
      </w:r>
      <w:r>
        <w:t xml:space="preserve"> Prepared for Gas Industry Company.</w:t>
      </w:r>
    </w:p>
  </w:footnote>
  <w:footnote w:id="32">
    <w:p w14:paraId="52617B60" w14:textId="6BB35D23" w:rsidR="00985FFA" w:rsidRDefault="00985FFA" w:rsidP="00420C42">
      <w:pPr>
        <w:pStyle w:val="FootnoteText"/>
      </w:pPr>
      <w:r>
        <w:rPr>
          <w:rStyle w:val="FootnoteReference"/>
        </w:rPr>
        <w:footnoteRef/>
      </w:r>
      <w:r>
        <w:t xml:space="preserve"> </w:t>
      </w:r>
      <w:r>
        <w:tab/>
      </w:r>
      <w:r w:rsidR="00121AE0">
        <w:t>Ernst &amp; Young. 2</w:t>
      </w:r>
      <w:r w:rsidR="001243EF">
        <w:t>023</w:t>
      </w:r>
      <w:hyperlink r:id="rId17" w:history="1">
        <w:r w:rsidR="001243EF" w:rsidRPr="00E5625F">
          <w:rPr>
            <w:rStyle w:val="Hyperlink"/>
          </w:rPr>
          <w:t xml:space="preserve">. </w:t>
        </w:r>
        <w:r w:rsidR="00731612" w:rsidRPr="00E5625F">
          <w:rPr>
            <w:rStyle w:val="Hyperlink"/>
            <w:i/>
            <w:iCs/>
          </w:rPr>
          <w:t>Gas industry company: Gas supply and demand study</w:t>
        </w:r>
      </w:hyperlink>
      <w:r w:rsidR="00731612">
        <w:t xml:space="preserve">. </w:t>
      </w:r>
      <w:r w:rsidR="00E5625F">
        <w:t xml:space="preserve">Auckland, New Zealand: Ernst &amp; Young. </w:t>
      </w:r>
    </w:p>
  </w:footnote>
  <w:footnote w:id="33">
    <w:p w14:paraId="02F73593" w14:textId="300F261E" w:rsidR="00101DBD" w:rsidRDefault="00101DBD" w:rsidP="0008245D">
      <w:pPr>
        <w:pStyle w:val="FootnoteText"/>
        <w:rPr>
          <w:lang w:val="en-US"/>
        </w:rPr>
      </w:pPr>
      <w:r w:rsidRPr="00103404">
        <w:rPr>
          <w:rStyle w:val="FootnoteReference"/>
          <w:sz w:val="18"/>
          <w:szCs w:val="18"/>
        </w:rPr>
        <w:footnoteRef/>
      </w:r>
      <w:r w:rsidRPr="00103404">
        <w:t xml:space="preserve"> </w:t>
      </w:r>
      <w:r w:rsidR="004E4A64">
        <w:tab/>
      </w:r>
      <w:r w:rsidRPr="00103404">
        <w:t xml:space="preserve">These have been provided as illustrative examples of what could be expected under a certain scenario. Afforestation area is </w:t>
      </w:r>
      <w:r w:rsidRPr="00103404">
        <w:rPr>
          <w:lang w:val="en-US"/>
        </w:rPr>
        <w:t xml:space="preserve">based on preliminary estimates of Crown land suitable for planting. Further analysis will be required to confirm land suitability. Afforestation rates would be highly sensitive to policy design. For this scenario, </w:t>
      </w:r>
      <w:r w:rsidRPr="00103404">
        <w:t xml:space="preserve">native afforestation is based on similar rates achieved during previous </w:t>
      </w:r>
      <w:r w:rsidR="00922359">
        <w:t>g</w:t>
      </w:r>
      <w:r w:rsidR="00922359" w:rsidRPr="00103404">
        <w:t xml:space="preserve">overnment </w:t>
      </w:r>
      <w:r w:rsidRPr="0008245D">
        <w:t>afforestation</w:t>
      </w:r>
      <w:r w:rsidRPr="00103404">
        <w:t xml:space="preserve"> programmes, and exotic rates are based on the estimated available area spread across the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F216E" w14:textId="43099A7C" w:rsidR="00E23AAF" w:rsidRDefault="00E23AAF" w:rsidP="00091E4C">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B4EEA" w14:textId="15135178" w:rsidR="00424ED9" w:rsidRDefault="000E2D6B" w:rsidP="000E2D6B">
    <w:pPr>
      <w:pStyle w:val="Header"/>
      <w:jc w:val="left"/>
    </w:pPr>
    <w:r>
      <w:rPr>
        <w:rFonts w:ascii="Calibri" w:hAnsi="Calibri"/>
        <w:noProof/>
      </w:rPr>
      <w:drawing>
        <wp:inline distT="0" distB="0" distL="0" distR="0" wp14:anchorId="2529D398" wp14:editId="50A740B7">
          <wp:extent cx="2117598" cy="695325"/>
          <wp:effectExtent l="0" t="0" r="0" b="0"/>
          <wp:docPr id="1607973926" name="Picture 2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13915" name="Picture 23" descr="A close-up of a 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5D364" w14:textId="3ED37A04" w:rsidR="00EF24BB" w:rsidRDefault="00EF24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7CBCE" w14:textId="51FCCD62" w:rsidR="00EF24BB" w:rsidRDefault="00EF24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BA314" w14:textId="62785EA3" w:rsidR="00EF24BB" w:rsidRDefault="00EF24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A18FE" w14:textId="029D7FF5" w:rsidR="00EF24BB" w:rsidRDefault="00EF24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4CF18" w14:textId="6F4283F6" w:rsidR="00EF24BB" w:rsidRDefault="00EF24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63E8B" w14:textId="6A6011F3" w:rsidR="00EF24BB" w:rsidRDefault="00EF24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multilevel"/>
    <w:tmpl w:val="E004AED6"/>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770526"/>
    <w:multiLevelType w:val="hybridMultilevel"/>
    <w:tmpl w:val="56AA093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AA937C0"/>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2A1548D"/>
    <w:multiLevelType w:val="hybridMultilevel"/>
    <w:tmpl w:val="F8289CF6"/>
    <w:lvl w:ilvl="0" w:tplc="14090003">
      <w:start w:val="1"/>
      <w:numFmt w:val="bullet"/>
      <w:lvlText w:val="o"/>
      <w:lvlJc w:val="left"/>
      <w:pPr>
        <w:ind w:left="757" w:hanging="360"/>
      </w:pPr>
      <w:rPr>
        <w:rFonts w:ascii="Courier New" w:hAnsi="Courier New" w:cs="Courier New" w:hint="default"/>
      </w:rPr>
    </w:lvl>
    <w:lvl w:ilvl="1" w:tplc="14090003">
      <w:start w:val="1"/>
      <w:numFmt w:val="bullet"/>
      <w:lvlText w:val="o"/>
      <w:lvlJc w:val="left"/>
      <w:pPr>
        <w:ind w:left="1477" w:hanging="360"/>
      </w:pPr>
      <w:rPr>
        <w:rFonts w:ascii="Courier New" w:hAnsi="Courier New" w:cs="Courier New" w:hint="default"/>
      </w:rPr>
    </w:lvl>
    <w:lvl w:ilvl="2" w:tplc="14090005">
      <w:start w:val="1"/>
      <w:numFmt w:val="bullet"/>
      <w:lvlText w:val=""/>
      <w:lvlJc w:val="left"/>
      <w:pPr>
        <w:ind w:left="2197" w:hanging="360"/>
      </w:pPr>
      <w:rPr>
        <w:rFonts w:ascii="Wingdings" w:hAnsi="Wingdings" w:hint="default"/>
      </w:rPr>
    </w:lvl>
    <w:lvl w:ilvl="3" w:tplc="14090001">
      <w:start w:val="1"/>
      <w:numFmt w:val="bullet"/>
      <w:lvlText w:val=""/>
      <w:lvlJc w:val="left"/>
      <w:pPr>
        <w:ind w:left="2917" w:hanging="360"/>
      </w:pPr>
      <w:rPr>
        <w:rFonts w:ascii="Symbol" w:hAnsi="Symbol" w:hint="default"/>
      </w:rPr>
    </w:lvl>
    <w:lvl w:ilvl="4" w:tplc="14090003">
      <w:start w:val="1"/>
      <w:numFmt w:val="bullet"/>
      <w:lvlText w:val="o"/>
      <w:lvlJc w:val="left"/>
      <w:pPr>
        <w:ind w:left="3637" w:hanging="360"/>
      </w:pPr>
      <w:rPr>
        <w:rFonts w:ascii="Courier New" w:hAnsi="Courier New" w:cs="Courier New" w:hint="default"/>
      </w:rPr>
    </w:lvl>
    <w:lvl w:ilvl="5" w:tplc="14090005">
      <w:start w:val="1"/>
      <w:numFmt w:val="bullet"/>
      <w:lvlText w:val=""/>
      <w:lvlJc w:val="left"/>
      <w:pPr>
        <w:ind w:left="4357" w:hanging="360"/>
      </w:pPr>
      <w:rPr>
        <w:rFonts w:ascii="Wingdings" w:hAnsi="Wingdings" w:hint="default"/>
      </w:rPr>
    </w:lvl>
    <w:lvl w:ilvl="6" w:tplc="14090001">
      <w:start w:val="1"/>
      <w:numFmt w:val="bullet"/>
      <w:lvlText w:val=""/>
      <w:lvlJc w:val="left"/>
      <w:pPr>
        <w:ind w:left="5077" w:hanging="360"/>
      </w:pPr>
      <w:rPr>
        <w:rFonts w:ascii="Symbol" w:hAnsi="Symbol" w:hint="default"/>
      </w:rPr>
    </w:lvl>
    <w:lvl w:ilvl="7" w:tplc="14090003">
      <w:start w:val="1"/>
      <w:numFmt w:val="bullet"/>
      <w:lvlText w:val="o"/>
      <w:lvlJc w:val="left"/>
      <w:pPr>
        <w:ind w:left="5797" w:hanging="360"/>
      </w:pPr>
      <w:rPr>
        <w:rFonts w:ascii="Courier New" w:hAnsi="Courier New" w:cs="Courier New" w:hint="default"/>
      </w:rPr>
    </w:lvl>
    <w:lvl w:ilvl="8" w:tplc="14090005">
      <w:start w:val="1"/>
      <w:numFmt w:val="bullet"/>
      <w:lvlText w:val=""/>
      <w:lvlJc w:val="left"/>
      <w:pPr>
        <w:ind w:left="6517" w:hanging="360"/>
      </w:pPr>
      <w:rPr>
        <w:rFonts w:ascii="Wingdings" w:hAnsi="Wingdings" w:hint="default"/>
      </w:rPr>
    </w:lvl>
  </w:abstractNum>
  <w:abstractNum w:abstractNumId="5" w15:restartNumberingAfterBreak="0">
    <w:nsid w:val="13332D6B"/>
    <w:multiLevelType w:val="hybridMultilevel"/>
    <w:tmpl w:val="1AC08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E846F9D"/>
    <w:multiLevelType w:val="hybridMultilevel"/>
    <w:tmpl w:val="B02CF6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E8E64D3"/>
    <w:multiLevelType w:val="hybridMultilevel"/>
    <w:tmpl w:val="762882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15:restartNumberingAfterBreak="0">
    <w:nsid w:val="23E366CF"/>
    <w:multiLevelType w:val="hybridMultilevel"/>
    <w:tmpl w:val="6102E244"/>
    <w:lvl w:ilvl="0" w:tplc="E11812CA">
      <w:start w:val="1"/>
      <w:numFmt w:val="bullet"/>
      <w:lvlText w:val=""/>
      <w:lvlJc w:val="left"/>
      <w:pPr>
        <w:ind w:left="720" w:hanging="360"/>
      </w:pPr>
      <w:rPr>
        <w:rFonts w:ascii="Symbol" w:hAnsi="Symbol" w:hint="default"/>
        <w:sz w:val="18"/>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2D3791"/>
    <w:multiLevelType w:val="hybridMultilevel"/>
    <w:tmpl w:val="FFAAE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D2D3319"/>
    <w:multiLevelType w:val="hybridMultilevel"/>
    <w:tmpl w:val="023E79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EA92015"/>
    <w:multiLevelType w:val="hybridMultilevel"/>
    <w:tmpl w:val="13F4F3A2"/>
    <w:lvl w:ilvl="0" w:tplc="14090003">
      <w:start w:val="1"/>
      <w:numFmt w:val="bullet"/>
      <w:lvlText w:val="o"/>
      <w:lvlJc w:val="left"/>
      <w:pPr>
        <w:ind w:left="1117" w:hanging="360"/>
      </w:pPr>
      <w:rPr>
        <w:rFonts w:ascii="Courier New" w:hAnsi="Courier New" w:cs="Courier New" w:hint="default"/>
      </w:rPr>
    </w:lvl>
    <w:lvl w:ilvl="1" w:tplc="14090003" w:tentative="1">
      <w:start w:val="1"/>
      <w:numFmt w:val="bullet"/>
      <w:lvlText w:val="o"/>
      <w:lvlJc w:val="left"/>
      <w:pPr>
        <w:ind w:left="1837" w:hanging="360"/>
      </w:pPr>
      <w:rPr>
        <w:rFonts w:ascii="Courier New" w:hAnsi="Courier New" w:cs="Courier New" w:hint="default"/>
      </w:rPr>
    </w:lvl>
    <w:lvl w:ilvl="2" w:tplc="14090005" w:tentative="1">
      <w:start w:val="1"/>
      <w:numFmt w:val="bullet"/>
      <w:lvlText w:val=""/>
      <w:lvlJc w:val="left"/>
      <w:pPr>
        <w:ind w:left="2557" w:hanging="360"/>
      </w:pPr>
      <w:rPr>
        <w:rFonts w:ascii="Wingdings" w:hAnsi="Wingdings" w:hint="default"/>
      </w:rPr>
    </w:lvl>
    <w:lvl w:ilvl="3" w:tplc="14090001" w:tentative="1">
      <w:start w:val="1"/>
      <w:numFmt w:val="bullet"/>
      <w:lvlText w:val=""/>
      <w:lvlJc w:val="left"/>
      <w:pPr>
        <w:ind w:left="3277" w:hanging="360"/>
      </w:pPr>
      <w:rPr>
        <w:rFonts w:ascii="Symbol" w:hAnsi="Symbol" w:hint="default"/>
      </w:rPr>
    </w:lvl>
    <w:lvl w:ilvl="4" w:tplc="14090003" w:tentative="1">
      <w:start w:val="1"/>
      <w:numFmt w:val="bullet"/>
      <w:lvlText w:val="o"/>
      <w:lvlJc w:val="left"/>
      <w:pPr>
        <w:ind w:left="3997" w:hanging="360"/>
      </w:pPr>
      <w:rPr>
        <w:rFonts w:ascii="Courier New" w:hAnsi="Courier New" w:cs="Courier New" w:hint="default"/>
      </w:rPr>
    </w:lvl>
    <w:lvl w:ilvl="5" w:tplc="14090005" w:tentative="1">
      <w:start w:val="1"/>
      <w:numFmt w:val="bullet"/>
      <w:lvlText w:val=""/>
      <w:lvlJc w:val="left"/>
      <w:pPr>
        <w:ind w:left="4717" w:hanging="360"/>
      </w:pPr>
      <w:rPr>
        <w:rFonts w:ascii="Wingdings" w:hAnsi="Wingdings" w:hint="default"/>
      </w:rPr>
    </w:lvl>
    <w:lvl w:ilvl="6" w:tplc="14090001" w:tentative="1">
      <w:start w:val="1"/>
      <w:numFmt w:val="bullet"/>
      <w:lvlText w:val=""/>
      <w:lvlJc w:val="left"/>
      <w:pPr>
        <w:ind w:left="5437" w:hanging="360"/>
      </w:pPr>
      <w:rPr>
        <w:rFonts w:ascii="Symbol" w:hAnsi="Symbol" w:hint="default"/>
      </w:rPr>
    </w:lvl>
    <w:lvl w:ilvl="7" w:tplc="14090003" w:tentative="1">
      <w:start w:val="1"/>
      <w:numFmt w:val="bullet"/>
      <w:lvlText w:val="o"/>
      <w:lvlJc w:val="left"/>
      <w:pPr>
        <w:ind w:left="6157" w:hanging="360"/>
      </w:pPr>
      <w:rPr>
        <w:rFonts w:ascii="Courier New" w:hAnsi="Courier New" w:cs="Courier New" w:hint="default"/>
      </w:rPr>
    </w:lvl>
    <w:lvl w:ilvl="8" w:tplc="14090005" w:tentative="1">
      <w:start w:val="1"/>
      <w:numFmt w:val="bullet"/>
      <w:lvlText w:val=""/>
      <w:lvlJc w:val="left"/>
      <w:pPr>
        <w:ind w:left="6877" w:hanging="360"/>
      </w:pPr>
      <w:rPr>
        <w:rFonts w:ascii="Wingdings" w:hAnsi="Wingdings" w:hint="default"/>
      </w:rPr>
    </w:lvl>
  </w:abstractNum>
  <w:abstractNum w:abstractNumId="18" w15:restartNumberingAfterBreak="0">
    <w:nsid w:val="3EB01912"/>
    <w:multiLevelType w:val="hybridMultilevel"/>
    <w:tmpl w:val="3B1CFC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multilevel"/>
    <w:tmpl w:val="EB12C69E"/>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33729D"/>
    <w:multiLevelType w:val="hybridMultilevel"/>
    <w:tmpl w:val="2C5C37D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7C339BA"/>
    <w:multiLevelType w:val="hybridMultilevel"/>
    <w:tmpl w:val="A920A8EC"/>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24" w15:restartNumberingAfterBreak="0">
    <w:nsid w:val="4F3E480E"/>
    <w:multiLevelType w:val="hybridMultilevel"/>
    <w:tmpl w:val="74124BD0"/>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1A311C3"/>
    <w:multiLevelType w:val="hybridMultilevel"/>
    <w:tmpl w:val="3A5EB106"/>
    <w:lvl w:ilvl="0" w:tplc="D220954A">
      <w:start w:val="1"/>
      <w:numFmt w:val="bullet"/>
      <w:lvlText w:val=""/>
      <w:lvlJc w:val="left"/>
      <w:pPr>
        <w:ind w:left="1080" w:hanging="360"/>
      </w:pPr>
      <w:rPr>
        <w:rFonts w:ascii="Symbol" w:hAnsi="Symbol"/>
      </w:rPr>
    </w:lvl>
    <w:lvl w:ilvl="1" w:tplc="AF40D714">
      <w:start w:val="1"/>
      <w:numFmt w:val="bullet"/>
      <w:lvlText w:val=""/>
      <w:lvlJc w:val="left"/>
      <w:pPr>
        <w:ind w:left="1080" w:hanging="360"/>
      </w:pPr>
      <w:rPr>
        <w:rFonts w:ascii="Symbol" w:hAnsi="Symbol"/>
      </w:rPr>
    </w:lvl>
    <w:lvl w:ilvl="2" w:tplc="C1AEC548">
      <w:start w:val="1"/>
      <w:numFmt w:val="bullet"/>
      <w:lvlText w:val=""/>
      <w:lvlJc w:val="left"/>
      <w:pPr>
        <w:ind w:left="1080" w:hanging="360"/>
      </w:pPr>
      <w:rPr>
        <w:rFonts w:ascii="Symbol" w:hAnsi="Symbol"/>
      </w:rPr>
    </w:lvl>
    <w:lvl w:ilvl="3" w:tplc="D59441AC">
      <w:start w:val="1"/>
      <w:numFmt w:val="bullet"/>
      <w:lvlText w:val=""/>
      <w:lvlJc w:val="left"/>
      <w:pPr>
        <w:ind w:left="1080" w:hanging="360"/>
      </w:pPr>
      <w:rPr>
        <w:rFonts w:ascii="Symbol" w:hAnsi="Symbol"/>
      </w:rPr>
    </w:lvl>
    <w:lvl w:ilvl="4" w:tplc="B48833A6">
      <w:start w:val="1"/>
      <w:numFmt w:val="bullet"/>
      <w:lvlText w:val=""/>
      <w:lvlJc w:val="left"/>
      <w:pPr>
        <w:ind w:left="1080" w:hanging="360"/>
      </w:pPr>
      <w:rPr>
        <w:rFonts w:ascii="Symbol" w:hAnsi="Symbol"/>
      </w:rPr>
    </w:lvl>
    <w:lvl w:ilvl="5" w:tplc="BB7AE504">
      <w:start w:val="1"/>
      <w:numFmt w:val="bullet"/>
      <w:lvlText w:val=""/>
      <w:lvlJc w:val="left"/>
      <w:pPr>
        <w:ind w:left="1080" w:hanging="360"/>
      </w:pPr>
      <w:rPr>
        <w:rFonts w:ascii="Symbol" w:hAnsi="Symbol"/>
      </w:rPr>
    </w:lvl>
    <w:lvl w:ilvl="6" w:tplc="658C3C74">
      <w:start w:val="1"/>
      <w:numFmt w:val="bullet"/>
      <w:lvlText w:val=""/>
      <w:lvlJc w:val="left"/>
      <w:pPr>
        <w:ind w:left="1080" w:hanging="360"/>
      </w:pPr>
      <w:rPr>
        <w:rFonts w:ascii="Symbol" w:hAnsi="Symbol"/>
      </w:rPr>
    </w:lvl>
    <w:lvl w:ilvl="7" w:tplc="BB6243D8">
      <w:start w:val="1"/>
      <w:numFmt w:val="bullet"/>
      <w:lvlText w:val=""/>
      <w:lvlJc w:val="left"/>
      <w:pPr>
        <w:ind w:left="1080" w:hanging="360"/>
      </w:pPr>
      <w:rPr>
        <w:rFonts w:ascii="Symbol" w:hAnsi="Symbol"/>
      </w:rPr>
    </w:lvl>
    <w:lvl w:ilvl="8" w:tplc="37342E04">
      <w:start w:val="1"/>
      <w:numFmt w:val="bullet"/>
      <w:lvlText w:val=""/>
      <w:lvlJc w:val="left"/>
      <w:pPr>
        <w:ind w:left="1080" w:hanging="360"/>
      </w:pPr>
      <w:rPr>
        <w:rFonts w:ascii="Symbol" w:hAnsi="Symbol"/>
      </w:rPr>
    </w:lvl>
  </w:abstractNum>
  <w:abstractNum w:abstractNumId="2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7" w15:restartNumberingAfterBreak="0">
    <w:nsid w:val="57657FAE"/>
    <w:multiLevelType w:val="hybridMultilevel"/>
    <w:tmpl w:val="10026A1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9E314BB"/>
    <w:multiLevelType w:val="hybridMultilevel"/>
    <w:tmpl w:val="1B9C8B9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9" w15:restartNumberingAfterBreak="0">
    <w:nsid w:val="60B01973"/>
    <w:multiLevelType w:val="hybridMultilevel"/>
    <w:tmpl w:val="E73C9D52"/>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324275E"/>
    <w:multiLevelType w:val="hybridMultilevel"/>
    <w:tmpl w:val="1C149F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4B54CBC"/>
    <w:multiLevelType w:val="hybridMultilevel"/>
    <w:tmpl w:val="B4104904"/>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32" w15:restartNumberingAfterBreak="0">
    <w:nsid w:val="69BD55CE"/>
    <w:multiLevelType w:val="multilevel"/>
    <w:tmpl w:val="A65809B6"/>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4" w15:restartNumberingAfterBreak="0">
    <w:nsid w:val="71F931FF"/>
    <w:multiLevelType w:val="hybridMultilevel"/>
    <w:tmpl w:val="05504D6C"/>
    <w:lvl w:ilvl="0" w:tplc="14090003">
      <w:start w:val="1"/>
      <w:numFmt w:val="bullet"/>
      <w:lvlText w:val="o"/>
      <w:lvlJc w:val="left"/>
      <w:pPr>
        <w:ind w:left="1045" w:hanging="360"/>
      </w:pPr>
      <w:rPr>
        <w:rFonts w:ascii="Courier New" w:hAnsi="Courier New" w:cs="Courier New" w:hint="default"/>
      </w:rPr>
    </w:lvl>
    <w:lvl w:ilvl="1" w:tplc="14090003">
      <w:start w:val="1"/>
      <w:numFmt w:val="bullet"/>
      <w:lvlText w:val="o"/>
      <w:lvlJc w:val="left"/>
      <w:pPr>
        <w:ind w:left="1765" w:hanging="360"/>
      </w:pPr>
      <w:rPr>
        <w:rFonts w:ascii="Courier New" w:hAnsi="Courier New" w:cs="Courier New" w:hint="default"/>
      </w:rPr>
    </w:lvl>
    <w:lvl w:ilvl="2" w:tplc="14090005">
      <w:start w:val="1"/>
      <w:numFmt w:val="bullet"/>
      <w:lvlText w:val=""/>
      <w:lvlJc w:val="left"/>
      <w:pPr>
        <w:ind w:left="2485" w:hanging="360"/>
      </w:pPr>
      <w:rPr>
        <w:rFonts w:ascii="Wingdings" w:hAnsi="Wingdings" w:hint="default"/>
      </w:rPr>
    </w:lvl>
    <w:lvl w:ilvl="3" w:tplc="14090001">
      <w:start w:val="1"/>
      <w:numFmt w:val="bullet"/>
      <w:lvlText w:val=""/>
      <w:lvlJc w:val="left"/>
      <w:pPr>
        <w:ind w:left="3205" w:hanging="360"/>
      </w:pPr>
      <w:rPr>
        <w:rFonts w:ascii="Symbol" w:hAnsi="Symbol" w:hint="default"/>
      </w:rPr>
    </w:lvl>
    <w:lvl w:ilvl="4" w:tplc="14090003">
      <w:start w:val="1"/>
      <w:numFmt w:val="bullet"/>
      <w:lvlText w:val="o"/>
      <w:lvlJc w:val="left"/>
      <w:pPr>
        <w:ind w:left="3925" w:hanging="360"/>
      </w:pPr>
      <w:rPr>
        <w:rFonts w:ascii="Courier New" w:hAnsi="Courier New" w:cs="Courier New" w:hint="default"/>
      </w:rPr>
    </w:lvl>
    <w:lvl w:ilvl="5" w:tplc="14090005">
      <w:start w:val="1"/>
      <w:numFmt w:val="bullet"/>
      <w:lvlText w:val=""/>
      <w:lvlJc w:val="left"/>
      <w:pPr>
        <w:ind w:left="4645" w:hanging="360"/>
      </w:pPr>
      <w:rPr>
        <w:rFonts w:ascii="Wingdings" w:hAnsi="Wingdings" w:hint="default"/>
      </w:rPr>
    </w:lvl>
    <w:lvl w:ilvl="6" w:tplc="14090001">
      <w:start w:val="1"/>
      <w:numFmt w:val="bullet"/>
      <w:lvlText w:val=""/>
      <w:lvlJc w:val="left"/>
      <w:pPr>
        <w:ind w:left="5365" w:hanging="360"/>
      </w:pPr>
      <w:rPr>
        <w:rFonts w:ascii="Symbol" w:hAnsi="Symbol" w:hint="default"/>
      </w:rPr>
    </w:lvl>
    <w:lvl w:ilvl="7" w:tplc="14090003">
      <w:start w:val="1"/>
      <w:numFmt w:val="bullet"/>
      <w:lvlText w:val="o"/>
      <w:lvlJc w:val="left"/>
      <w:pPr>
        <w:ind w:left="6085" w:hanging="360"/>
      </w:pPr>
      <w:rPr>
        <w:rFonts w:ascii="Courier New" w:hAnsi="Courier New" w:cs="Courier New" w:hint="default"/>
      </w:rPr>
    </w:lvl>
    <w:lvl w:ilvl="8" w:tplc="14090005">
      <w:start w:val="1"/>
      <w:numFmt w:val="bullet"/>
      <w:lvlText w:val=""/>
      <w:lvlJc w:val="left"/>
      <w:pPr>
        <w:ind w:left="6805" w:hanging="360"/>
      </w:pPr>
      <w:rPr>
        <w:rFonts w:ascii="Wingdings" w:hAnsi="Wingdings" w:hint="default"/>
      </w:rPr>
    </w:lvl>
  </w:abstractNum>
  <w:abstractNum w:abstractNumId="3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9A1768"/>
    <w:multiLevelType w:val="hybridMultilevel"/>
    <w:tmpl w:val="489A9C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48715540">
    <w:abstractNumId w:val="14"/>
  </w:num>
  <w:num w:numId="2" w16cid:durableId="1287734805">
    <w:abstractNumId w:val="26"/>
  </w:num>
  <w:num w:numId="3" w16cid:durableId="550508225">
    <w:abstractNumId w:val="19"/>
  </w:num>
  <w:num w:numId="4" w16cid:durableId="745567648">
    <w:abstractNumId w:val="13"/>
  </w:num>
  <w:num w:numId="5" w16cid:durableId="2076933510">
    <w:abstractNumId w:val="9"/>
  </w:num>
  <w:num w:numId="6" w16cid:durableId="1899433097">
    <w:abstractNumId w:val="22"/>
  </w:num>
  <w:num w:numId="7" w16cid:durableId="1088233813">
    <w:abstractNumId w:val="20"/>
  </w:num>
  <w:num w:numId="8" w16cid:durableId="394550804">
    <w:abstractNumId w:val="35"/>
  </w:num>
  <w:num w:numId="9" w16cid:durableId="17093806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4602378">
    <w:abstractNumId w:val="2"/>
  </w:num>
  <w:num w:numId="11" w16cid:durableId="797454537">
    <w:abstractNumId w:val="12"/>
  </w:num>
  <w:num w:numId="12" w16cid:durableId="180439593">
    <w:abstractNumId w:val="3"/>
  </w:num>
  <w:num w:numId="13" w16cid:durableId="1425766684">
    <w:abstractNumId w:val="16"/>
  </w:num>
  <w:num w:numId="14" w16cid:durableId="1911882459">
    <w:abstractNumId w:val="8"/>
  </w:num>
  <w:num w:numId="15" w16cid:durableId="1044714646">
    <w:abstractNumId w:val="33"/>
  </w:num>
  <w:num w:numId="16" w16cid:durableId="541021429">
    <w:abstractNumId w:val="36"/>
  </w:num>
  <w:num w:numId="17" w16cid:durableId="962735022">
    <w:abstractNumId w:val="0"/>
  </w:num>
  <w:num w:numId="18" w16cid:durableId="115148303">
    <w:abstractNumId w:val="5"/>
  </w:num>
  <w:num w:numId="19" w16cid:durableId="904679420">
    <w:abstractNumId w:val="18"/>
  </w:num>
  <w:num w:numId="20" w16cid:durableId="2038583472">
    <w:abstractNumId w:val="15"/>
  </w:num>
  <w:num w:numId="21" w16cid:durableId="1954244994">
    <w:abstractNumId w:val="29"/>
  </w:num>
  <w:num w:numId="22" w16cid:durableId="12660026">
    <w:abstractNumId w:val="24"/>
  </w:num>
  <w:num w:numId="23" w16cid:durableId="1783648297">
    <w:abstractNumId w:val="10"/>
  </w:num>
  <w:num w:numId="24" w16cid:durableId="924416376">
    <w:abstractNumId w:val="23"/>
  </w:num>
  <w:num w:numId="25" w16cid:durableId="822089960">
    <w:abstractNumId w:val="11"/>
  </w:num>
  <w:num w:numId="26" w16cid:durableId="2047950253">
    <w:abstractNumId w:val="27"/>
  </w:num>
  <w:num w:numId="27" w16cid:durableId="150119408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67675662">
    <w:abstractNumId w:val="32"/>
  </w:num>
  <w:num w:numId="29" w16cid:durableId="1815560182">
    <w:abstractNumId w:val="4"/>
  </w:num>
  <w:num w:numId="30" w16cid:durableId="349187332">
    <w:abstractNumId w:val="6"/>
  </w:num>
  <w:num w:numId="31" w16cid:durableId="595095168">
    <w:abstractNumId w:val="4"/>
  </w:num>
  <w:num w:numId="32" w16cid:durableId="312872064">
    <w:abstractNumId w:val="17"/>
  </w:num>
  <w:num w:numId="33" w16cid:durableId="217254337">
    <w:abstractNumId w:val="31"/>
  </w:num>
  <w:num w:numId="34" w16cid:durableId="348411394">
    <w:abstractNumId w:val="34"/>
  </w:num>
  <w:num w:numId="35" w16cid:durableId="1454204615">
    <w:abstractNumId w:val="32"/>
  </w:num>
  <w:num w:numId="36" w16cid:durableId="2120759014">
    <w:abstractNumId w:val="21"/>
  </w:num>
  <w:num w:numId="37" w16cid:durableId="767042428">
    <w:abstractNumId w:val="1"/>
  </w:num>
  <w:num w:numId="38" w16cid:durableId="1443299429">
    <w:abstractNumId w:val="25"/>
  </w:num>
  <w:num w:numId="39" w16cid:durableId="797376728">
    <w:abstractNumId w:val="7"/>
  </w:num>
  <w:num w:numId="40" w16cid:durableId="926770376">
    <w:abstractNumId w:val="28"/>
  </w:num>
  <w:num w:numId="41" w16cid:durableId="1283809275">
    <w:abstractNumId w:val="30"/>
  </w:num>
  <w:num w:numId="42" w16cid:durableId="1479804035">
    <w:abstractNumId w:val="26"/>
  </w:num>
  <w:num w:numId="43" w16cid:durableId="1435713731">
    <w:abstractNumId w:val="8"/>
  </w:num>
  <w:num w:numId="44" w16cid:durableId="860625880">
    <w:abstractNumId w:val="16"/>
  </w:num>
  <w:num w:numId="45" w16cid:durableId="1610774492">
    <w:abstractNumId w:val="13"/>
  </w:num>
  <w:num w:numId="46" w16cid:durableId="312414389">
    <w:abstractNumId w:val="19"/>
  </w:num>
  <w:num w:numId="47" w16cid:durableId="436338874">
    <w:abstractNumId w:val="9"/>
  </w:num>
  <w:num w:numId="48" w16cid:durableId="496461581">
    <w:abstractNumId w:val="22"/>
  </w:num>
  <w:num w:numId="49" w16cid:durableId="742068654">
    <w:abstractNumId w:val="20"/>
  </w:num>
  <w:num w:numId="50" w16cid:durableId="2129814735">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wMjQyMzIyNjAysTRR0lEKTi0uzszPAykwNK8FALsK7VstAAAA"/>
  </w:docVars>
  <w:rsids>
    <w:rsidRoot w:val="00884035"/>
    <w:rsid w:val="000004FB"/>
    <w:rsid w:val="0000059B"/>
    <w:rsid w:val="00000792"/>
    <w:rsid w:val="00000BD0"/>
    <w:rsid w:val="00000BD1"/>
    <w:rsid w:val="00000CC3"/>
    <w:rsid w:val="00000F04"/>
    <w:rsid w:val="00000F9B"/>
    <w:rsid w:val="0000103D"/>
    <w:rsid w:val="00001162"/>
    <w:rsid w:val="00001511"/>
    <w:rsid w:val="00001C52"/>
    <w:rsid w:val="00001D2C"/>
    <w:rsid w:val="00001F6E"/>
    <w:rsid w:val="0000237A"/>
    <w:rsid w:val="0000238B"/>
    <w:rsid w:val="00002403"/>
    <w:rsid w:val="000027CF"/>
    <w:rsid w:val="000029C9"/>
    <w:rsid w:val="00002A9C"/>
    <w:rsid w:val="00002AC4"/>
    <w:rsid w:val="0000324D"/>
    <w:rsid w:val="00003A71"/>
    <w:rsid w:val="00003B40"/>
    <w:rsid w:val="00003C4F"/>
    <w:rsid w:val="00003DF2"/>
    <w:rsid w:val="000042A1"/>
    <w:rsid w:val="00004ACA"/>
    <w:rsid w:val="00004B69"/>
    <w:rsid w:val="00004D3D"/>
    <w:rsid w:val="00004E0A"/>
    <w:rsid w:val="00004FD3"/>
    <w:rsid w:val="0000504A"/>
    <w:rsid w:val="00005666"/>
    <w:rsid w:val="000058F7"/>
    <w:rsid w:val="00005C30"/>
    <w:rsid w:val="000061EF"/>
    <w:rsid w:val="000067FE"/>
    <w:rsid w:val="00006BBE"/>
    <w:rsid w:val="00006C69"/>
    <w:rsid w:val="00006DF5"/>
    <w:rsid w:val="00006F95"/>
    <w:rsid w:val="00007023"/>
    <w:rsid w:val="0000709F"/>
    <w:rsid w:val="000071D6"/>
    <w:rsid w:val="00007381"/>
    <w:rsid w:val="000073E9"/>
    <w:rsid w:val="0000755B"/>
    <w:rsid w:val="000075EF"/>
    <w:rsid w:val="00007C3C"/>
    <w:rsid w:val="00007F2D"/>
    <w:rsid w:val="00007FAC"/>
    <w:rsid w:val="000106CA"/>
    <w:rsid w:val="00010A9C"/>
    <w:rsid w:val="00010ABA"/>
    <w:rsid w:val="00010E15"/>
    <w:rsid w:val="00010F57"/>
    <w:rsid w:val="00010FAC"/>
    <w:rsid w:val="00011003"/>
    <w:rsid w:val="0001100C"/>
    <w:rsid w:val="00011188"/>
    <w:rsid w:val="0001164E"/>
    <w:rsid w:val="000124D3"/>
    <w:rsid w:val="00012555"/>
    <w:rsid w:val="000125F3"/>
    <w:rsid w:val="00012D67"/>
    <w:rsid w:val="0001303C"/>
    <w:rsid w:val="0001330C"/>
    <w:rsid w:val="00013849"/>
    <w:rsid w:val="00013ACB"/>
    <w:rsid w:val="00013F5C"/>
    <w:rsid w:val="000141A5"/>
    <w:rsid w:val="00014236"/>
    <w:rsid w:val="00014309"/>
    <w:rsid w:val="0001435C"/>
    <w:rsid w:val="00014546"/>
    <w:rsid w:val="000148F6"/>
    <w:rsid w:val="00014903"/>
    <w:rsid w:val="00014ED2"/>
    <w:rsid w:val="00015041"/>
    <w:rsid w:val="00015217"/>
    <w:rsid w:val="00015864"/>
    <w:rsid w:val="000159D2"/>
    <w:rsid w:val="00015B7E"/>
    <w:rsid w:val="00015F98"/>
    <w:rsid w:val="00016264"/>
    <w:rsid w:val="00016993"/>
    <w:rsid w:val="00016CA1"/>
    <w:rsid w:val="00016CAB"/>
    <w:rsid w:val="00016D65"/>
    <w:rsid w:val="00016D76"/>
    <w:rsid w:val="00016E5B"/>
    <w:rsid w:val="000172B8"/>
    <w:rsid w:val="0001749B"/>
    <w:rsid w:val="00017D75"/>
    <w:rsid w:val="00017FE5"/>
    <w:rsid w:val="000200E3"/>
    <w:rsid w:val="0002034F"/>
    <w:rsid w:val="0002079A"/>
    <w:rsid w:val="0002091D"/>
    <w:rsid w:val="00020B84"/>
    <w:rsid w:val="00020C0E"/>
    <w:rsid w:val="00021910"/>
    <w:rsid w:val="0002196D"/>
    <w:rsid w:val="00021A2F"/>
    <w:rsid w:val="00021FE8"/>
    <w:rsid w:val="000220FD"/>
    <w:rsid w:val="000224DD"/>
    <w:rsid w:val="00022DD7"/>
    <w:rsid w:val="00022E8D"/>
    <w:rsid w:val="0002348A"/>
    <w:rsid w:val="000235B5"/>
    <w:rsid w:val="000237FB"/>
    <w:rsid w:val="0002389E"/>
    <w:rsid w:val="000238AB"/>
    <w:rsid w:val="000238B4"/>
    <w:rsid w:val="0002399A"/>
    <w:rsid w:val="00023B6F"/>
    <w:rsid w:val="00023BDA"/>
    <w:rsid w:val="00024148"/>
    <w:rsid w:val="000241A8"/>
    <w:rsid w:val="000242B8"/>
    <w:rsid w:val="000243D2"/>
    <w:rsid w:val="00024708"/>
    <w:rsid w:val="000248A6"/>
    <w:rsid w:val="00024911"/>
    <w:rsid w:val="00024EE7"/>
    <w:rsid w:val="00025201"/>
    <w:rsid w:val="000254B2"/>
    <w:rsid w:val="0002559C"/>
    <w:rsid w:val="00025B0F"/>
    <w:rsid w:val="00025C96"/>
    <w:rsid w:val="00025DFD"/>
    <w:rsid w:val="00025F96"/>
    <w:rsid w:val="00025FAB"/>
    <w:rsid w:val="00026E89"/>
    <w:rsid w:val="00026EE1"/>
    <w:rsid w:val="00026F20"/>
    <w:rsid w:val="00027176"/>
    <w:rsid w:val="000275A3"/>
    <w:rsid w:val="00027B0F"/>
    <w:rsid w:val="00027D2D"/>
    <w:rsid w:val="00027FD9"/>
    <w:rsid w:val="00030558"/>
    <w:rsid w:val="00030699"/>
    <w:rsid w:val="00030725"/>
    <w:rsid w:val="00030D38"/>
    <w:rsid w:val="00030DB8"/>
    <w:rsid w:val="00030DE3"/>
    <w:rsid w:val="00030E6D"/>
    <w:rsid w:val="00030EC4"/>
    <w:rsid w:val="0003113F"/>
    <w:rsid w:val="00031347"/>
    <w:rsid w:val="000316ED"/>
    <w:rsid w:val="00031A83"/>
    <w:rsid w:val="00031ADF"/>
    <w:rsid w:val="00031AE8"/>
    <w:rsid w:val="0003213A"/>
    <w:rsid w:val="00032145"/>
    <w:rsid w:val="00032A81"/>
    <w:rsid w:val="00033051"/>
    <w:rsid w:val="00033075"/>
    <w:rsid w:val="000332FD"/>
    <w:rsid w:val="000340D8"/>
    <w:rsid w:val="000341F6"/>
    <w:rsid w:val="0003427D"/>
    <w:rsid w:val="000342F3"/>
    <w:rsid w:val="000343AE"/>
    <w:rsid w:val="000343DA"/>
    <w:rsid w:val="00034521"/>
    <w:rsid w:val="00034B66"/>
    <w:rsid w:val="00034DFA"/>
    <w:rsid w:val="00034FAB"/>
    <w:rsid w:val="000357ED"/>
    <w:rsid w:val="000359CF"/>
    <w:rsid w:val="00035A20"/>
    <w:rsid w:val="00035B7E"/>
    <w:rsid w:val="00035CE0"/>
    <w:rsid w:val="00035DEA"/>
    <w:rsid w:val="00035E15"/>
    <w:rsid w:val="00035EEA"/>
    <w:rsid w:val="00035F01"/>
    <w:rsid w:val="00036049"/>
    <w:rsid w:val="000363A3"/>
    <w:rsid w:val="0003640E"/>
    <w:rsid w:val="00036744"/>
    <w:rsid w:val="0003682E"/>
    <w:rsid w:val="0003688A"/>
    <w:rsid w:val="000368FC"/>
    <w:rsid w:val="00036A0D"/>
    <w:rsid w:val="00036DA3"/>
    <w:rsid w:val="00037110"/>
    <w:rsid w:val="00037473"/>
    <w:rsid w:val="00037956"/>
    <w:rsid w:val="000379BF"/>
    <w:rsid w:val="00037B8E"/>
    <w:rsid w:val="00037BEC"/>
    <w:rsid w:val="00037D60"/>
    <w:rsid w:val="00037F8A"/>
    <w:rsid w:val="000400D9"/>
    <w:rsid w:val="0004035C"/>
    <w:rsid w:val="00040490"/>
    <w:rsid w:val="00040860"/>
    <w:rsid w:val="00040AF3"/>
    <w:rsid w:val="00040B06"/>
    <w:rsid w:val="00040CED"/>
    <w:rsid w:val="00040EA1"/>
    <w:rsid w:val="00040FE1"/>
    <w:rsid w:val="00041A8B"/>
    <w:rsid w:val="00041AB3"/>
    <w:rsid w:val="0004205F"/>
    <w:rsid w:val="00042099"/>
    <w:rsid w:val="00042370"/>
    <w:rsid w:val="000423C6"/>
    <w:rsid w:val="00042496"/>
    <w:rsid w:val="00042BB4"/>
    <w:rsid w:val="00042EDB"/>
    <w:rsid w:val="000434D8"/>
    <w:rsid w:val="00043B1E"/>
    <w:rsid w:val="00043BA0"/>
    <w:rsid w:val="00043DC4"/>
    <w:rsid w:val="00043DCB"/>
    <w:rsid w:val="00044200"/>
    <w:rsid w:val="00044291"/>
    <w:rsid w:val="0004488D"/>
    <w:rsid w:val="000448C3"/>
    <w:rsid w:val="00044A50"/>
    <w:rsid w:val="00044C65"/>
    <w:rsid w:val="000456F4"/>
    <w:rsid w:val="000458C7"/>
    <w:rsid w:val="00045991"/>
    <w:rsid w:val="00045E5C"/>
    <w:rsid w:val="00045FA0"/>
    <w:rsid w:val="00046288"/>
    <w:rsid w:val="0004638D"/>
    <w:rsid w:val="00046646"/>
    <w:rsid w:val="00046E3A"/>
    <w:rsid w:val="00046FC8"/>
    <w:rsid w:val="000471C2"/>
    <w:rsid w:val="00047941"/>
    <w:rsid w:val="0004797C"/>
    <w:rsid w:val="00047E31"/>
    <w:rsid w:val="0005060D"/>
    <w:rsid w:val="00050713"/>
    <w:rsid w:val="00050A22"/>
    <w:rsid w:val="00050B06"/>
    <w:rsid w:val="00050B46"/>
    <w:rsid w:val="00050E27"/>
    <w:rsid w:val="00050E45"/>
    <w:rsid w:val="00050F03"/>
    <w:rsid w:val="0005144F"/>
    <w:rsid w:val="000518D2"/>
    <w:rsid w:val="000519A6"/>
    <w:rsid w:val="00051AF1"/>
    <w:rsid w:val="00051D42"/>
    <w:rsid w:val="00052FAC"/>
    <w:rsid w:val="0005334A"/>
    <w:rsid w:val="000534FE"/>
    <w:rsid w:val="000538A1"/>
    <w:rsid w:val="000538A7"/>
    <w:rsid w:val="0005427E"/>
    <w:rsid w:val="00054B63"/>
    <w:rsid w:val="000550BA"/>
    <w:rsid w:val="00055231"/>
    <w:rsid w:val="00055375"/>
    <w:rsid w:val="00055461"/>
    <w:rsid w:val="000559EB"/>
    <w:rsid w:val="00055FDC"/>
    <w:rsid w:val="0005609B"/>
    <w:rsid w:val="0005612C"/>
    <w:rsid w:val="000561AA"/>
    <w:rsid w:val="000562FC"/>
    <w:rsid w:val="00056319"/>
    <w:rsid w:val="000564E7"/>
    <w:rsid w:val="00056770"/>
    <w:rsid w:val="000568FF"/>
    <w:rsid w:val="0005696F"/>
    <w:rsid w:val="00056C38"/>
    <w:rsid w:val="000570AA"/>
    <w:rsid w:val="000570F1"/>
    <w:rsid w:val="00057386"/>
    <w:rsid w:val="000574AC"/>
    <w:rsid w:val="0005785E"/>
    <w:rsid w:val="0005799B"/>
    <w:rsid w:val="00057AFE"/>
    <w:rsid w:val="00057D24"/>
    <w:rsid w:val="00057ED0"/>
    <w:rsid w:val="00057EEF"/>
    <w:rsid w:val="00060625"/>
    <w:rsid w:val="000607DF"/>
    <w:rsid w:val="0006097E"/>
    <w:rsid w:val="0006193A"/>
    <w:rsid w:val="000619CB"/>
    <w:rsid w:val="00062387"/>
    <w:rsid w:val="000624A4"/>
    <w:rsid w:val="00062841"/>
    <w:rsid w:val="00063180"/>
    <w:rsid w:val="00063769"/>
    <w:rsid w:val="0006379D"/>
    <w:rsid w:val="00063980"/>
    <w:rsid w:val="00063B7B"/>
    <w:rsid w:val="000640F0"/>
    <w:rsid w:val="00064163"/>
    <w:rsid w:val="000641E8"/>
    <w:rsid w:val="0006429E"/>
    <w:rsid w:val="0006434D"/>
    <w:rsid w:val="000643A1"/>
    <w:rsid w:val="00064679"/>
    <w:rsid w:val="000648AE"/>
    <w:rsid w:val="00064961"/>
    <w:rsid w:val="00064A13"/>
    <w:rsid w:val="00064AF4"/>
    <w:rsid w:val="00064D04"/>
    <w:rsid w:val="00064DB1"/>
    <w:rsid w:val="00064FE2"/>
    <w:rsid w:val="00065055"/>
    <w:rsid w:val="00065BA3"/>
    <w:rsid w:val="00065D3B"/>
    <w:rsid w:val="00066466"/>
    <w:rsid w:val="000667E9"/>
    <w:rsid w:val="00066F28"/>
    <w:rsid w:val="00066F5C"/>
    <w:rsid w:val="00067128"/>
    <w:rsid w:val="000675CD"/>
    <w:rsid w:val="00067809"/>
    <w:rsid w:val="00067872"/>
    <w:rsid w:val="000678AC"/>
    <w:rsid w:val="00067A3F"/>
    <w:rsid w:val="00067BCF"/>
    <w:rsid w:val="000703B2"/>
    <w:rsid w:val="00070A67"/>
    <w:rsid w:val="00070B01"/>
    <w:rsid w:val="00070FBF"/>
    <w:rsid w:val="00071016"/>
    <w:rsid w:val="000711EE"/>
    <w:rsid w:val="000712CB"/>
    <w:rsid w:val="0007180E"/>
    <w:rsid w:val="00071AE4"/>
    <w:rsid w:val="00071CB5"/>
    <w:rsid w:val="00071CCB"/>
    <w:rsid w:val="00071D03"/>
    <w:rsid w:val="0007232B"/>
    <w:rsid w:val="00072628"/>
    <w:rsid w:val="00072870"/>
    <w:rsid w:val="00072883"/>
    <w:rsid w:val="00072E6E"/>
    <w:rsid w:val="00072E79"/>
    <w:rsid w:val="00072FFC"/>
    <w:rsid w:val="000733B6"/>
    <w:rsid w:val="000733FA"/>
    <w:rsid w:val="000735A2"/>
    <w:rsid w:val="00073640"/>
    <w:rsid w:val="00073741"/>
    <w:rsid w:val="00073860"/>
    <w:rsid w:val="000741C1"/>
    <w:rsid w:val="00074298"/>
    <w:rsid w:val="000745C8"/>
    <w:rsid w:val="000748C3"/>
    <w:rsid w:val="0007517E"/>
    <w:rsid w:val="000751A8"/>
    <w:rsid w:val="0007581F"/>
    <w:rsid w:val="0007586D"/>
    <w:rsid w:val="000759B6"/>
    <w:rsid w:val="00075FE1"/>
    <w:rsid w:val="000761BD"/>
    <w:rsid w:val="00076667"/>
    <w:rsid w:val="00076842"/>
    <w:rsid w:val="000768EC"/>
    <w:rsid w:val="00076CC3"/>
    <w:rsid w:val="00076CD3"/>
    <w:rsid w:val="00077021"/>
    <w:rsid w:val="00077082"/>
    <w:rsid w:val="00077153"/>
    <w:rsid w:val="000772BC"/>
    <w:rsid w:val="00077473"/>
    <w:rsid w:val="00077481"/>
    <w:rsid w:val="000776F9"/>
    <w:rsid w:val="0007796B"/>
    <w:rsid w:val="00077981"/>
    <w:rsid w:val="000779B8"/>
    <w:rsid w:val="000779F3"/>
    <w:rsid w:val="00077EE0"/>
    <w:rsid w:val="000802F9"/>
    <w:rsid w:val="00080576"/>
    <w:rsid w:val="00080B14"/>
    <w:rsid w:val="0008145A"/>
    <w:rsid w:val="0008162D"/>
    <w:rsid w:val="0008233C"/>
    <w:rsid w:val="0008245D"/>
    <w:rsid w:val="00082BA4"/>
    <w:rsid w:val="000831C8"/>
    <w:rsid w:val="0008345B"/>
    <w:rsid w:val="0008378B"/>
    <w:rsid w:val="00083A8E"/>
    <w:rsid w:val="00083AEB"/>
    <w:rsid w:val="00083EE9"/>
    <w:rsid w:val="00083F5E"/>
    <w:rsid w:val="00084C53"/>
    <w:rsid w:val="00084D14"/>
    <w:rsid w:val="00084FDB"/>
    <w:rsid w:val="0008505C"/>
    <w:rsid w:val="00085103"/>
    <w:rsid w:val="00085796"/>
    <w:rsid w:val="000858FA"/>
    <w:rsid w:val="000859CC"/>
    <w:rsid w:val="00085C46"/>
    <w:rsid w:val="00086306"/>
    <w:rsid w:val="000867C4"/>
    <w:rsid w:val="0008686A"/>
    <w:rsid w:val="00086961"/>
    <w:rsid w:val="00086CE3"/>
    <w:rsid w:val="00087175"/>
    <w:rsid w:val="00087D35"/>
    <w:rsid w:val="00087E10"/>
    <w:rsid w:val="000908FC"/>
    <w:rsid w:val="00090E7A"/>
    <w:rsid w:val="0009123C"/>
    <w:rsid w:val="0009132D"/>
    <w:rsid w:val="0009168D"/>
    <w:rsid w:val="00091796"/>
    <w:rsid w:val="00091BA2"/>
    <w:rsid w:val="00091CB0"/>
    <w:rsid w:val="00091CE7"/>
    <w:rsid w:val="00091E4C"/>
    <w:rsid w:val="0009205C"/>
    <w:rsid w:val="000933F1"/>
    <w:rsid w:val="00093730"/>
    <w:rsid w:val="00093958"/>
    <w:rsid w:val="00093E04"/>
    <w:rsid w:val="00093FE9"/>
    <w:rsid w:val="000942F6"/>
    <w:rsid w:val="00094344"/>
    <w:rsid w:val="000944BE"/>
    <w:rsid w:val="000948D0"/>
    <w:rsid w:val="000949C4"/>
    <w:rsid w:val="00094C69"/>
    <w:rsid w:val="000952C1"/>
    <w:rsid w:val="0009536C"/>
    <w:rsid w:val="000953C6"/>
    <w:rsid w:val="000953F4"/>
    <w:rsid w:val="0009553E"/>
    <w:rsid w:val="0009590C"/>
    <w:rsid w:val="000959E7"/>
    <w:rsid w:val="00095C45"/>
    <w:rsid w:val="00095E7D"/>
    <w:rsid w:val="00095E8C"/>
    <w:rsid w:val="00095FF6"/>
    <w:rsid w:val="00095FF9"/>
    <w:rsid w:val="00096048"/>
    <w:rsid w:val="000964DE"/>
    <w:rsid w:val="00096C58"/>
    <w:rsid w:val="00096F2D"/>
    <w:rsid w:val="000971AE"/>
    <w:rsid w:val="00097263"/>
    <w:rsid w:val="000972AB"/>
    <w:rsid w:val="00097643"/>
    <w:rsid w:val="000979AA"/>
    <w:rsid w:val="00097A66"/>
    <w:rsid w:val="00097B16"/>
    <w:rsid w:val="00097B40"/>
    <w:rsid w:val="00097B8E"/>
    <w:rsid w:val="00097D0E"/>
    <w:rsid w:val="00097DCF"/>
    <w:rsid w:val="000A0214"/>
    <w:rsid w:val="000A087F"/>
    <w:rsid w:val="000A1002"/>
    <w:rsid w:val="000A109B"/>
    <w:rsid w:val="000A10D8"/>
    <w:rsid w:val="000A17EA"/>
    <w:rsid w:val="000A1AC7"/>
    <w:rsid w:val="000A1C7A"/>
    <w:rsid w:val="000A20EE"/>
    <w:rsid w:val="000A2345"/>
    <w:rsid w:val="000A2394"/>
    <w:rsid w:val="000A23D7"/>
    <w:rsid w:val="000A300D"/>
    <w:rsid w:val="000A30E4"/>
    <w:rsid w:val="000A31B2"/>
    <w:rsid w:val="000A31C1"/>
    <w:rsid w:val="000A325F"/>
    <w:rsid w:val="000A32C5"/>
    <w:rsid w:val="000A3411"/>
    <w:rsid w:val="000A34CA"/>
    <w:rsid w:val="000A35AB"/>
    <w:rsid w:val="000A3FA9"/>
    <w:rsid w:val="000A40D5"/>
    <w:rsid w:val="000A426F"/>
    <w:rsid w:val="000A4559"/>
    <w:rsid w:val="000A45F0"/>
    <w:rsid w:val="000A45FD"/>
    <w:rsid w:val="000A477B"/>
    <w:rsid w:val="000A54BF"/>
    <w:rsid w:val="000A558D"/>
    <w:rsid w:val="000A5611"/>
    <w:rsid w:val="000A563C"/>
    <w:rsid w:val="000A59C5"/>
    <w:rsid w:val="000A5DEA"/>
    <w:rsid w:val="000A5EBD"/>
    <w:rsid w:val="000A6027"/>
    <w:rsid w:val="000A6682"/>
    <w:rsid w:val="000A66C3"/>
    <w:rsid w:val="000A6A2E"/>
    <w:rsid w:val="000A70A6"/>
    <w:rsid w:val="000A74E1"/>
    <w:rsid w:val="000A7540"/>
    <w:rsid w:val="000A7658"/>
    <w:rsid w:val="000A779B"/>
    <w:rsid w:val="000A7C47"/>
    <w:rsid w:val="000A7F0F"/>
    <w:rsid w:val="000A7F4C"/>
    <w:rsid w:val="000B0025"/>
    <w:rsid w:val="000B0231"/>
    <w:rsid w:val="000B02BC"/>
    <w:rsid w:val="000B0498"/>
    <w:rsid w:val="000B0755"/>
    <w:rsid w:val="000B07BA"/>
    <w:rsid w:val="000B07D5"/>
    <w:rsid w:val="000B0B40"/>
    <w:rsid w:val="000B0E38"/>
    <w:rsid w:val="000B0F36"/>
    <w:rsid w:val="000B0F96"/>
    <w:rsid w:val="000B1059"/>
    <w:rsid w:val="000B1942"/>
    <w:rsid w:val="000B1AAD"/>
    <w:rsid w:val="000B1BED"/>
    <w:rsid w:val="000B2240"/>
    <w:rsid w:val="000B22C2"/>
    <w:rsid w:val="000B2477"/>
    <w:rsid w:val="000B2600"/>
    <w:rsid w:val="000B2725"/>
    <w:rsid w:val="000B2A05"/>
    <w:rsid w:val="000B36F9"/>
    <w:rsid w:val="000B3A34"/>
    <w:rsid w:val="000B3E02"/>
    <w:rsid w:val="000B4074"/>
    <w:rsid w:val="000B41A0"/>
    <w:rsid w:val="000B43C0"/>
    <w:rsid w:val="000B4448"/>
    <w:rsid w:val="000B45DD"/>
    <w:rsid w:val="000B4732"/>
    <w:rsid w:val="000B4A05"/>
    <w:rsid w:val="000B4BCD"/>
    <w:rsid w:val="000B52A9"/>
    <w:rsid w:val="000B55DF"/>
    <w:rsid w:val="000B59B0"/>
    <w:rsid w:val="000B5B4C"/>
    <w:rsid w:val="000B5CDE"/>
    <w:rsid w:val="000B5ECD"/>
    <w:rsid w:val="000B60AF"/>
    <w:rsid w:val="000B651C"/>
    <w:rsid w:val="000B66DC"/>
    <w:rsid w:val="000B6C94"/>
    <w:rsid w:val="000B6D1F"/>
    <w:rsid w:val="000B6F3B"/>
    <w:rsid w:val="000B77C7"/>
    <w:rsid w:val="000B78F8"/>
    <w:rsid w:val="000B79CC"/>
    <w:rsid w:val="000B7B33"/>
    <w:rsid w:val="000C01BE"/>
    <w:rsid w:val="000C062F"/>
    <w:rsid w:val="000C074C"/>
    <w:rsid w:val="000C075F"/>
    <w:rsid w:val="000C0761"/>
    <w:rsid w:val="000C1267"/>
    <w:rsid w:val="000C17E7"/>
    <w:rsid w:val="000C1C96"/>
    <w:rsid w:val="000C1D39"/>
    <w:rsid w:val="000C1DEF"/>
    <w:rsid w:val="000C2318"/>
    <w:rsid w:val="000C2503"/>
    <w:rsid w:val="000C26F8"/>
    <w:rsid w:val="000C27D2"/>
    <w:rsid w:val="000C2D2E"/>
    <w:rsid w:val="000C2D5B"/>
    <w:rsid w:val="000C3270"/>
    <w:rsid w:val="000C35D5"/>
    <w:rsid w:val="000C3990"/>
    <w:rsid w:val="000C39D7"/>
    <w:rsid w:val="000C3B28"/>
    <w:rsid w:val="000C3BF2"/>
    <w:rsid w:val="000C44D6"/>
    <w:rsid w:val="000C4892"/>
    <w:rsid w:val="000C48B0"/>
    <w:rsid w:val="000C55AD"/>
    <w:rsid w:val="000C577E"/>
    <w:rsid w:val="000C5BF6"/>
    <w:rsid w:val="000C62D2"/>
    <w:rsid w:val="000C64A7"/>
    <w:rsid w:val="000C66FA"/>
    <w:rsid w:val="000C6FFA"/>
    <w:rsid w:val="000C7117"/>
    <w:rsid w:val="000C73F4"/>
    <w:rsid w:val="000C7AB0"/>
    <w:rsid w:val="000C7DF9"/>
    <w:rsid w:val="000D00AC"/>
    <w:rsid w:val="000D00B5"/>
    <w:rsid w:val="000D0317"/>
    <w:rsid w:val="000D0434"/>
    <w:rsid w:val="000D04BA"/>
    <w:rsid w:val="000D08C7"/>
    <w:rsid w:val="000D09AC"/>
    <w:rsid w:val="000D0B6E"/>
    <w:rsid w:val="000D0BDF"/>
    <w:rsid w:val="000D0D65"/>
    <w:rsid w:val="000D0E8E"/>
    <w:rsid w:val="000D0F93"/>
    <w:rsid w:val="000D11BC"/>
    <w:rsid w:val="000D12E0"/>
    <w:rsid w:val="000D1640"/>
    <w:rsid w:val="000D1944"/>
    <w:rsid w:val="000D197E"/>
    <w:rsid w:val="000D1DD9"/>
    <w:rsid w:val="000D2172"/>
    <w:rsid w:val="000D21F1"/>
    <w:rsid w:val="000D2233"/>
    <w:rsid w:val="000D270A"/>
    <w:rsid w:val="000D293C"/>
    <w:rsid w:val="000D2BC1"/>
    <w:rsid w:val="000D2D05"/>
    <w:rsid w:val="000D2E4A"/>
    <w:rsid w:val="000D316B"/>
    <w:rsid w:val="000D337B"/>
    <w:rsid w:val="000D3414"/>
    <w:rsid w:val="000D36B3"/>
    <w:rsid w:val="000D3772"/>
    <w:rsid w:val="000D385A"/>
    <w:rsid w:val="000D38C2"/>
    <w:rsid w:val="000D3CA7"/>
    <w:rsid w:val="000D3DA0"/>
    <w:rsid w:val="000D3DDF"/>
    <w:rsid w:val="000D3EF2"/>
    <w:rsid w:val="000D413D"/>
    <w:rsid w:val="000D4810"/>
    <w:rsid w:val="000D51E5"/>
    <w:rsid w:val="000D58EA"/>
    <w:rsid w:val="000D595B"/>
    <w:rsid w:val="000D5B16"/>
    <w:rsid w:val="000D5FD6"/>
    <w:rsid w:val="000D6201"/>
    <w:rsid w:val="000D6488"/>
    <w:rsid w:val="000D654E"/>
    <w:rsid w:val="000D6D4F"/>
    <w:rsid w:val="000D7088"/>
    <w:rsid w:val="000D72B9"/>
    <w:rsid w:val="000D7571"/>
    <w:rsid w:val="000D770B"/>
    <w:rsid w:val="000D788E"/>
    <w:rsid w:val="000D79AF"/>
    <w:rsid w:val="000D7B86"/>
    <w:rsid w:val="000D7BC4"/>
    <w:rsid w:val="000D7CD5"/>
    <w:rsid w:val="000D7D4F"/>
    <w:rsid w:val="000D7F53"/>
    <w:rsid w:val="000D7F9A"/>
    <w:rsid w:val="000E0345"/>
    <w:rsid w:val="000E082A"/>
    <w:rsid w:val="000E0B9A"/>
    <w:rsid w:val="000E0D83"/>
    <w:rsid w:val="000E0D89"/>
    <w:rsid w:val="000E0DEF"/>
    <w:rsid w:val="000E0EA0"/>
    <w:rsid w:val="000E0F89"/>
    <w:rsid w:val="000E12B0"/>
    <w:rsid w:val="000E1427"/>
    <w:rsid w:val="000E19C9"/>
    <w:rsid w:val="000E1B82"/>
    <w:rsid w:val="000E1B93"/>
    <w:rsid w:val="000E1BC8"/>
    <w:rsid w:val="000E1D32"/>
    <w:rsid w:val="000E213B"/>
    <w:rsid w:val="000E24F0"/>
    <w:rsid w:val="000E26D8"/>
    <w:rsid w:val="000E2B94"/>
    <w:rsid w:val="000E2D6B"/>
    <w:rsid w:val="000E2E63"/>
    <w:rsid w:val="000E3156"/>
    <w:rsid w:val="000E31B4"/>
    <w:rsid w:val="000E35B6"/>
    <w:rsid w:val="000E3606"/>
    <w:rsid w:val="000E39E7"/>
    <w:rsid w:val="000E3BB8"/>
    <w:rsid w:val="000E3D9B"/>
    <w:rsid w:val="000E3DFD"/>
    <w:rsid w:val="000E4261"/>
    <w:rsid w:val="000E4363"/>
    <w:rsid w:val="000E44A7"/>
    <w:rsid w:val="000E4697"/>
    <w:rsid w:val="000E4F32"/>
    <w:rsid w:val="000E57D1"/>
    <w:rsid w:val="000E58C5"/>
    <w:rsid w:val="000E5BCE"/>
    <w:rsid w:val="000E5ECE"/>
    <w:rsid w:val="000E6032"/>
    <w:rsid w:val="000E6203"/>
    <w:rsid w:val="000E64CB"/>
    <w:rsid w:val="000E6A28"/>
    <w:rsid w:val="000E6A9B"/>
    <w:rsid w:val="000E6AE8"/>
    <w:rsid w:val="000E6CB2"/>
    <w:rsid w:val="000E7083"/>
    <w:rsid w:val="000E70B8"/>
    <w:rsid w:val="000E722C"/>
    <w:rsid w:val="000E73E2"/>
    <w:rsid w:val="000E755B"/>
    <w:rsid w:val="000E786F"/>
    <w:rsid w:val="000E7DA7"/>
    <w:rsid w:val="000E7FA0"/>
    <w:rsid w:val="000F00BA"/>
    <w:rsid w:val="000F02F8"/>
    <w:rsid w:val="000F0324"/>
    <w:rsid w:val="000F03DD"/>
    <w:rsid w:val="000F0409"/>
    <w:rsid w:val="000F049F"/>
    <w:rsid w:val="000F0642"/>
    <w:rsid w:val="000F068B"/>
    <w:rsid w:val="000F07FA"/>
    <w:rsid w:val="000F0A2A"/>
    <w:rsid w:val="000F0B5E"/>
    <w:rsid w:val="000F0B94"/>
    <w:rsid w:val="000F0C64"/>
    <w:rsid w:val="000F0E2C"/>
    <w:rsid w:val="000F11A4"/>
    <w:rsid w:val="000F1380"/>
    <w:rsid w:val="000F1D43"/>
    <w:rsid w:val="000F1D54"/>
    <w:rsid w:val="000F1E2B"/>
    <w:rsid w:val="000F1FFF"/>
    <w:rsid w:val="000F20AA"/>
    <w:rsid w:val="000F2651"/>
    <w:rsid w:val="000F3158"/>
    <w:rsid w:val="000F330C"/>
    <w:rsid w:val="000F3467"/>
    <w:rsid w:val="000F348D"/>
    <w:rsid w:val="000F369A"/>
    <w:rsid w:val="000F37EE"/>
    <w:rsid w:val="000F3907"/>
    <w:rsid w:val="000F3E22"/>
    <w:rsid w:val="000F4014"/>
    <w:rsid w:val="000F4463"/>
    <w:rsid w:val="000F519D"/>
    <w:rsid w:val="000F5285"/>
    <w:rsid w:val="000F52BD"/>
    <w:rsid w:val="000F52E0"/>
    <w:rsid w:val="000F52EB"/>
    <w:rsid w:val="000F53A9"/>
    <w:rsid w:val="000F5991"/>
    <w:rsid w:val="000F5B80"/>
    <w:rsid w:val="000F6464"/>
    <w:rsid w:val="000F6628"/>
    <w:rsid w:val="000F69CC"/>
    <w:rsid w:val="000F6C25"/>
    <w:rsid w:val="000F6E0F"/>
    <w:rsid w:val="000F74FF"/>
    <w:rsid w:val="000F750F"/>
    <w:rsid w:val="000F76EB"/>
    <w:rsid w:val="000F78AE"/>
    <w:rsid w:val="000F7E25"/>
    <w:rsid w:val="000F7E78"/>
    <w:rsid w:val="00100122"/>
    <w:rsid w:val="001007EE"/>
    <w:rsid w:val="00100855"/>
    <w:rsid w:val="00100F76"/>
    <w:rsid w:val="00101194"/>
    <w:rsid w:val="0010148E"/>
    <w:rsid w:val="0010150C"/>
    <w:rsid w:val="0010157F"/>
    <w:rsid w:val="001018BB"/>
    <w:rsid w:val="0010194E"/>
    <w:rsid w:val="00101C2A"/>
    <w:rsid w:val="00101DBD"/>
    <w:rsid w:val="00101F4E"/>
    <w:rsid w:val="00102458"/>
    <w:rsid w:val="0010253C"/>
    <w:rsid w:val="00102930"/>
    <w:rsid w:val="00102BD1"/>
    <w:rsid w:val="00103153"/>
    <w:rsid w:val="001033EE"/>
    <w:rsid w:val="00103404"/>
    <w:rsid w:val="00103507"/>
    <w:rsid w:val="0010355C"/>
    <w:rsid w:val="00103CCA"/>
    <w:rsid w:val="00103ECE"/>
    <w:rsid w:val="00103F00"/>
    <w:rsid w:val="0010409D"/>
    <w:rsid w:val="001046DC"/>
    <w:rsid w:val="00104856"/>
    <w:rsid w:val="0010486A"/>
    <w:rsid w:val="00104940"/>
    <w:rsid w:val="00105489"/>
    <w:rsid w:val="00105612"/>
    <w:rsid w:val="0010561C"/>
    <w:rsid w:val="00105797"/>
    <w:rsid w:val="001059BA"/>
    <w:rsid w:val="00105B6F"/>
    <w:rsid w:val="00105C0F"/>
    <w:rsid w:val="00105DF4"/>
    <w:rsid w:val="00105E39"/>
    <w:rsid w:val="0010604D"/>
    <w:rsid w:val="00106253"/>
    <w:rsid w:val="00106269"/>
    <w:rsid w:val="0010639E"/>
    <w:rsid w:val="00106561"/>
    <w:rsid w:val="00106A03"/>
    <w:rsid w:val="00106BDA"/>
    <w:rsid w:val="00106CD1"/>
    <w:rsid w:val="00106CEE"/>
    <w:rsid w:val="00106D63"/>
    <w:rsid w:val="00107353"/>
    <w:rsid w:val="00107526"/>
    <w:rsid w:val="001075F3"/>
    <w:rsid w:val="00107764"/>
    <w:rsid w:val="001077E9"/>
    <w:rsid w:val="00107A01"/>
    <w:rsid w:val="00107C23"/>
    <w:rsid w:val="00110307"/>
    <w:rsid w:val="001104CB"/>
    <w:rsid w:val="001106B3"/>
    <w:rsid w:val="00110844"/>
    <w:rsid w:val="001109DE"/>
    <w:rsid w:val="001109E6"/>
    <w:rsid w:val="00110A1D"/>
    <w:rsid w:val="00110C7F"/>
    <w:rsid w:val="00110CEC"/>
    <w:rsid w:val="00110EE2"/>
    <w:rsid w:val="0011139A"/>
    <w:rsid w:val="0011144B"/>
    <w:rsid w:val="00111A7A"/>
    <w:rsid w:val="00111A88"/>
    <w:rsid w:val="00111C14"/>
    <w:rsid w:val="00111F84"/>
    <w:rsid w:val="0011221A"/>
    <w:rsid w:val="0011237A"/>
    <w:rsid w:val="00112427"/>
    <w:rsid w:val="00112434"/>
    <w:rsid w:val="0011252C"/>
    <w:rsid w:val="00112B9D"/>
    <w:rsid w:val="0011316F"/>
    <w:rsid w:val="0011317C"/>
    <w:rsid w:val="00113283"/>
    <w:rsid w:val="00113607"/>
    <w:rsid w:val="0011360B"/>
    <w:rsid w:val="00113636"/>
    <w:rsid w:val="001137AE"/>
    <w:rsid w:val="00113B20"/>
    <w:rsid w:val="00113DA6"/>
    <w:rsid w:val="001146F6"/>
    <w:rsid w:val="001147B3"/>
    <w:rsid w:val="001148F7"/>
    <w:rsid w:val="001149B2"/>
    <w:rsid w:val="00114C2D"/>
    <w:rsid w:val="00114E84"/>
    <w:rsid w:val="001150A0"/>
    <w:rsid w:val="00115125"/>
    <w:rsid w:val="001152F2"/>
    <w:rsid w:val="001157D7"/>
    <w:rsid w:val="00116382"/>
    <w:rsid w:val="001163B6"/>
    <w:rsid w:val="00116484"/>
    <w:rsid w:val="001165D8"/>
    <w:rsid w:val="00116699"/>
    <w:rsid w:val="00116A3C"/>
    <w:rsid w:val="00116ACF"/>
    <w:rsid w:val="00116D5C"/>
    <w:rsid w:val="001171C8"/>
    <w:rsid w:val="001172B2"/>
    <w:rsid w:val="00117348"/>
    <w:rsid w:val="001173DC"/>
    <w:rsid w:val="00117499"/>
    <w:rsid w:val="00117748"/>
    <w:rsid w:val="00117761"/>
    <w:rsid w:val="00117972"/>
    <w:rsid w:val="00117A57"/>
    <w:rsid w:val="00117F9B"/>
    <w:rsid w:val="001201AD"/>
    <w:rsid w:val="00120626"/>
    <w:rsid w:val="00121211"/>
    <w:rsid w:val="0012127F"/>
    <w:rsid w:val="00121628"/>
    <w:rsid w:val="0012167D"/>
    <w:rsid w:val="00121709"/>
    <w:rsid w:val="001217D1"/>
    <w:rsid w:val="00121852"/>
    <w:rsid w:val="00121AE0"/>
    <w:rsid w:val="00121C7D"/>
    <w:rsid w:val="00122008"/>
    <w:rsid w:val="00122189"/>
    <w:rsid w:val="00122280"/>
    <w:rsid w:val="00122D42"/>
    <w:rsid w:val="00122D65"/>
    <w:rsid w:val="00123345"/>
    <w:rsid w:val="00123386"/>
    <w:rsid w:val="0012343F"/>
    <w:rsid w:val="00123693"/>
    <w:rsid w:val="001238DF"/>
    <w:rsid w:val="00123BBA"/>
    <w:rsid w:val="00123C46"/>
    <w:rsid w:val="00123DC8"/>
    <w:rsid w:val="0012423B"/>
    <w:rsid w:val="001243EF"/>
    <w:rsid w:val="0012470B"/>
    <w:rsid w:val="00124935"/>
    <w:rsid w:val="00124A89"/>
    <w:rsid w:val="00124B06"/>
    <w:rsid w:val="00124D62"/>
    <w:rsid w:val="00125C75"/>
    <w:rsid w:val="00125C7E"/>
    <w:rsid w:val="00125CA6"/>
    <w:rsid w:val="001260FC"/>
    <w:rsid w:val="00126785"/>
    <w:rsid w:val="00126ACF"/>
    <w:rsid w:val="00126C63"/>
    <w:rsid w:val="0012739B"/>
    <w:rsid w:val="001273A5"/>
    <w:rsid w:val="00127467"/>
    <w:rsid w:val="001278D4"/>
    <w:rsid w:val="00127945"/>
    <w:rsid w:val="001279AC"/>
    <w:rsid w:val="00127D94"/>
    <w:rsid w:val="00127E6D"/>
    <w:rsid w:val="00127E90"/>
    <w:rsid w:val="00127F9F"/>
    <w:rsid w:val="001302C1"/>
    <w:rsid w:val="001306D3"/>
    <w:rsid w:val="001307F0"/>
    <w:rsid w:val="0013094E"/>
    <w:rsid w:val="00130984"/>
    <w:rsid w:val="00130A41"/>
    <w:rsid w:val="00130B3C"/>
    <w:rsid w:val="001310BF"/>
    <w:rsid w:val="0013149F"/>
    <w:rsid w:val="0013152E"/>
    <w:rsid w:val="00131776"/>
    <w:rsid w:val="00132374"/>
    <w:rsid w:val="001323BD"/>
    <w:rsid w:val="001323F8"/>
    <w:rsid w:val="001328D3"/>
    <w:rsid w:val="0013290C"/>
    <w:rsid w:val="00132F54"/>
    <w:rsid w:val="00133108"/>
    <w:rsid w:val="00133735"/>
    <w:rsid w:val="00133E73"/>
    <w:rsid w:val="00133FDB"/>
    <w:rsid w:val="001341FE"/>
    <w:rsid w:val="00134593"/>
    <w:rsid w:val="00134EA0"/>
    <w:rsid w:val="00134F4A"/>
    <w:rsid w:val="00135065"/>
    <w:rsid w:val="001351CB"/>
    <w:rsid w:val="00135442"/>
    <w:rsid w:val="00135450"/>
    <w:rsid w:val="0013551E"/>
    <w:rsid w:val="00135821"/>
    <w:rsid w:val="00135B7E"/>
    <w:rsid w:val="00135E4E"/>
    <w:rsid w:val="00136246"/>
    <w:rsid w:val="001364D4"/>
    <w:rsid w:val="0013672F"/>
    <w:rsid w:val="00136CFD"/>
    <w:rsid w:val="001371C8"/>
    <w:rsid w:val="001372ED"/>
    <w:rsid w:val="0013767E"/>
    <w:rsid w:val="001378AC"/>
    <w:rsid w:val="00137DFD"/>
    <w:rsid w:val="001402EC"/>
    <w:rsid w:val="0014089A"/>
    <w:rsid w:val="00140986"/>
    <w:rsid w:val="00140D40"/>
    <w:rsid w:val="00140FEF"/>
    <w:rsid w:val="0014120F"/>
    <w:rsid w:val="001413B1"/>
    <w:rsid w:val="00141628"/>
    <w:rsid w:val="001417EA"/>
    <w:rsid w:val="001418F6"/>
    <w:rsid w:val="00141B2B"/>
    <w:rsid w:val="00141D53"/>
    <w:rsid w:val="001428EB"/>
    <w:rsid w:val="00142B50"/>
    <w:rsid w:val="00142F13"/>
    <w:rsid w:val="00142F8A"/>
    <w:rsid w:val="0014344E"/>
    <w:rsid w:val="00143698"/>
    <w:rsid w:val="001436C8"/>
    <w:rsid w:val="00143873"/>
    <w:rsid w:val="0014388B"/>
    <w:rsid w:val="001439E9"/>
    <w:rsid w:val="00143C55"/>
    <w:rsid w:val="00143D1D"/>
    <w:rsid w:val="0014467E"/>
    <w:rsid w:val="001448C6"/>
    <w:rsid w:val="00144B4D"/>
    <w:rsid w:val="00144C6F"/>
    <w:rsid w:val="00145089"/>
    <w:rsid w:val="001451E7"/>
    <w:rsid w:val="001455AB"/>
    <w:rsid w:val="00145642"/>
    <w:rsid w:val="00145689"/>
    <w:rsid w:val="001459A4"/>
    <w:rsid w:val="00145CC9"/>
    <w:rsid w:val="00145CE6"/>
    <w:rsid w:val="00145EDF"/>
    <w:rsid w:val="001460C9"/>
    <w:rsid w:val="00146221"/>
    <w:rsid w:val="00146293"/>
    <w:rsid w:val="001462E3"/>
    <w:rsid w:val="001463AA"/>
    <w:rsid w:val="0014641A"/>
    <w:rsid w:val="0014669B"/>
    <w:rsid w:val="00146955"/>
    <w:rsid w:val="0014720C"/>
    <w:rsid w:val="001472C2"/>
    <w:rsid w:val="00147458"/>
    <w:rsid w:val="00147578"/>
    <w:rsid w:val="001476C5"/>
    <w:rsid w:val="00147AC1"/>
    <w:rsid w:val="00147E21"/>
    <w:rsid w:val="00147ED4"/>
    <w:rsid w:val="00150331"/>
    <w:rsid w:val="00150617"/>
    <w:rsid w:val="001507E3"/>
    <w:rsid w:val="00150B46"/>
    <w:rsid w:val="00150BA8"/>
    <w:rsid w:val="00150C1F"/>
    <w:rsid w:val="00150D19"/>
    <w:rsid w:val="0015181B"/>
    <w:rsid w:val="00151925"/>
    <w:rsid w:val="00151A68"/>
    <w:rsid w:val="00151A9F"/>
    <w:rsid w:val="00151D41"/>
    <w:rsid w:val="00151E34"/>
    <w:rsid w:val="001520C0"/>
    <w:rsid w:val="001521DF"/>
    <w:rsid w:val="00152B87"/>
    <w:rsid w:val="00153259"/>
    <w:rsid w:val="0015343E"/>
    <w:rsid w:val="001536BA"/>
    <w:rsid w:val="001536DD"/>
    <w:rsid w:val="0015376E"/>
    <w:rsid w:val="00153A96"/>
    <w:rsid w:val="00153D1C"/>
    <w:rsid w:val="00153D2E"/>
    <w:rsid w:val="00153DB0"/>
    <w:rsid w:val="00153DE7"/>
    <w:rsid w:val="00153F0E"/>
    <w:rsid w:val="00153FC7"/>
    <w:rsid w:val="0015401C"/>
    <w:rsid w:val="0015414C"/>
    <w:rsid w:val="0015426C"/>
    <w:rsid w:val="00154315"/>
    <w:rsid w:val="001543C2"/>
    <w:rsid w:val="001543E2"/>
    <w:rsid w:val="00154F2C"/>
    <w:rsid w:val="00155B43"/>
    <w:rsid w:val="00155B99"/>
    <w:rsid w:val="00155BE9"/>
    <w:rsid w:val="001564B8"/>
    <w:rsid w:val="001565A2"/>
    <w:rsid w:val="001565C2"/>
    <w:rsid w:val="001565F7"/>
    <w:rsid w:val="001567C3"/>
    <w:rsid w:val="0015687B"/>
    <w:rsid w:val="00156A12"/>
    <w:rsid w:val="00157450"/>
    <w:rsid w:val="00157B3F"/>
    <w:rsid w:val="00157F8A"/>
    <w:rsid w:val="001601FC"/>
    <w:rsid w:val="001603FC"/>
    <w:rsid w:val="00160574"/>
    <w:rsid w:val="00160698"/>
    <w:rsid w:val="00160781"/>
    <w:rsid w:val="00160C3D"/>
    <w:rsid w:val="00160CC9"/>
    <w:rsid w:val="00161214"/>
    <w:rsid w:val="00161319"/>
    <w:rsid w:val="0016199A"/>
    <w:rsid w:val="00161B24"/>
    <w:rsid w:val="00161B9F"/>
    <w:rsid w:val="00161C41"/>
    <w:rsid w:val="00161DD5"/>
    <w:rsid w:val="00161FFE"/>
    <w:rsid w:val="001623D3"/>
    <w:rsid w:val="00162B06"/>
    <w:rsid w:val="001633A4"/>
    <w:rsid w:val="001634D6"/>
    <w:rsid w:val="00163546"/>
    <w:rsid w:val="00163566"/>
    <w:rsid w:val="001639C1"/>
    <w:rsid w:val="00163C0E"/>
    <w:rsid w:val="00163DE7"/>
    <w:rsid w:val="00164178"/>
    <w:rsid w:val="001648DD"/>
    <w:rsid w:val="00164A0A"/>
    <w:rsid w:val="00164B4C"/>
    <w:rsid w:val="0016535C"/>
    <w:rsid w:val="00165705"/>
    <w:rsid w:val="0016583C"/>
    <w:rsid w:val="00165942"/>
    <w:rsid w:val="00165BD5"/>
    <w:rsid w:val="00166093"/>
    <w:rsid w:val="00166236"/>
    <w:rsid w:val="00166389"/>
    <w:rsid w:val="001668AB"/>
    <w:rsid w:val="00166E03"/>
    <w:rsid w:val="00167E24"/>
    <w:rsid w:val="00167E4C"/>
    <w:rsid w:val="00170033"/>
    <w:rsid w:val="00170313"/>
    <w:rsid w:val="00170692"/>
    <w:rsid w:val="00170D32"/>
    <w:rsid w:val="00171117"/>
    <w:rsid w:val="00171449"/>
    <w:rsid w:val="0017199C"/>
    <w:rsid w:val="00171C7E"/>
    <w:rsid w:val="00171F35"/>
    <w:rsid w:val="001721A5"/>
    <w:rsid w:val="0017221B"/>
    <w:rsid w:val="00172552"/>
    <w:rsid w:val="00172582"/>
    <w:rsid w:val="00172873"/>
    <w:rsid w:val="00172CF7"/>
    <w:rsid w:val="00172E5C"/>
    <w:rsid w:val="00172FA9"/>
    <w:rsid w:val="0017319E"/>
    <w:rsid w:val="001732DB"/>
    <w:rsid w:val="001733BF"/>
    <w:rsid w:val="001733FC"/>
    <w:rsid w:val="00173400"/>
    <w:rsid w:val="001737C4"/>
    <w:rsid w:val="0017399C"/>
    <w:rsid w:val="00173A1F"/>
    <w:rsid w:val="00173BC3"/>
    <w:rsid w:val="00173EB5"/>
    <w:rsid w:val="00174128"/>
    <w:rsid w:val="00174A6A"/>
    <w:rsid w:val="00174B22"/>
    <w:rsid w:val="00174E8B"/>
    <w:rsid w:val="00174F72"/>
    <w:rsid w:val="00175106"/>
    <w:rsid w:val="001754FE"/>
    <w:rsid w:val="0017553F"/>
    <w:rsid w:val="00175859"/>
    <w:rsid w:val="00175979"/>
    <w:rsid w:val="00175BFB"/>
    <w:rsid w:val="00175C34"/>
    <w:rsid w:val="00175DFD"/>
    <w:rsid w:val="00175F9A"/>
    <w:rsid w:val="00176542"/>
    <w:rsid w:val="0017698C"/>
    <w:rsid w:val="00176E98"/>
    <w:rsid w:val="00176ECF"/>
    <w:rsid w:val="001770C5"/>
    <w:rsid w:val="00177159"/>
    <w:rsid w:val="001774E4"/>
    <w:rsid w:val="00177996"/>
    <w:rsid w:val="00177D4E"/>
    <w:rsid w:val="0018005A"/>
    <w:rsid w:val="0018027D"/>
    <w:rsid w:val="0018070F"/>
    <w:rsid w:val="00180B3F"/>
    <w:rsid w:val="00180C83"/>
    <w:rsid w:val="00180CE5"/>
    <w:rsid w:val="0018175B"/>
    <w:rsid w:val="00181AD5"/>
    <w:rsid w:val="00181FF2"/>
    <w:rsid w:val="001820A3"/>
    <w:rsid w:val="001823B9"/>
    <w:rsid w:val="0018241C"/>
    <w:rsid w:val="00182563"/>
    <w:rsid w:val="001827F2"/>
    <w:rsid w:val="001830FA"/>
    <w:rsid w:val="0018332A"/>
    <w:rsid w:val="0018378B"/>
    <w:rsid w:val="00183AEE"/>
    <w:rsid w:val="00183D80"/>
    <w:rsid w:val="00183E56"/>
    <w:rsid w:val="001842C8"/>
    <w:rsid w:val="00184818"/>
    <w:rsid w:val="00184CEB"/>
    <w:rsid w:val="00185044"/>
    <w:rsid w:val="001850DB"/>
    <w:rsid w:val="00185647"/>
    <w:rsid w:val="00185991"/>
    <w:rsid w:val="0018599C"/>
    <w:rsid w:val="00186538"/>
    <w:rsid w:val="00186631"/>
    <w:rsid w:val="001869EE"/>
    <w:rsid w:val="00186D00"/>
    <w:rsid w:val="0018739A"/>
    <w:rsid w:val="0018743A"/>
    <w:rsid w:val="00187BC5"/>
    <w:rsid w:val="00187DBC"/>
    <w:rsid w:val="00187F8D"/>
    <w:rsid w:val="00190209"/>
    <w:rsid w:val="00190891"/>
    <w:rsid w:val="00190A57"/>
    <w:rsid w:val="00190B3F"/>
    <w:rsid w:val="00190B98"/>
    <w:rsid w:val="0019107A"/>
    <w:rsid w:val="0019122C"/>
    <w:rsid w:val="00191262"/>
    <w:rsid w:val="001917D5"/>
    <w:rsid w:val="0019183A"/>
    <w:rsid w:val="00191908"/>
    <w:rsid w:val="00191926"/>
    <w:rsid w:val="0019273B"/>
    <w:rsid w:val="00192DF3"/>
    <w:rsid w:val="0019301F"/>
    <w:rsid w:val="001931CB"/>
    <w:rsid w:val="00193286"/>
    <w:rsid w:val="001937B8"/>
    <w:rsid w:val="00193CC1"/>
    <w:rsid w:val="00193E4B"/>
    <w:rsid w:val="00194066"/>
    <w:rsid w:val="0019472A"/>
    <w:rsid w:val="0019476E"/>
    <w:rsid w:val="00194BB7"/>
    <w:rsid w:val="00194CC5"/>
    <w:rsid w:val="0019505D"/>
    <w:rsid w:val="001951B2"/>
    <w:rsid w:val="00195263"/>
    <w:rsid w:val="0019565D"/>
    <w:rsid w:val="00195861"/>
    <w:rsid w:val="001961B2"/>
    <w:rsid w:val="0019677D"/>
    <w:rsid w:val="00196D15"/>
    <w:rsid w:val="0019720F"/>
    <w:rsid w:val="00197564"/>
    <w:rsid w:val="00197AD9"/>
    <w:rsid w:val="00197EC2"/>
    <w:rsid w:val="00197ECE"/>
    <w:rsid w:val="001A0350"/>
    <w:rsid w:val="001A062F"/>
    <w:rsid w:val="001A067D"/>
    <w:rsid w:val="001A0A02"/>
    <w:rsid w:val="001A0B44"/>
    <w:rsid w:val="001A0F26"/>
    <w:rsid w:val="001A0FDF"/>
    <w:rsid w:val="001A12E0"/>
    <w:rsid w:val="001A13EE"/>
    <w:rsid w:val="001A1637"/>
    <w:rsid w:val="001A1799"/>
    <w:rsid w:val="001A1CED"/>
    <w:rsid w:val="001A208E"/>
    <w:rsid w:val="001A234F"/>
    <w:rsid w:val="001A2374"/>
    <w:rsid w:val="001A26C1"/>
    <w:rsid w:val="001A279B"/>
    <w:rsid w:val="001A27AD"/>
    <w:rsid w:val="001A2A40"/>
    <w:rsid w:val="001A2BA4"/>
    <w:rsid w:val="001A2C91"/>
    <w:rsid w:val="001A2DA7"/>
    <w:rsid w:val="001A2DC3"/>
    <w:rsid w:val="001A2E87"/>
    <w:rsid w:val="001A311D"/>
    <w:rsid w:val="001A331B"/>
    <w:rsid w:val="001A3869"/>
    <w:rsid w:val="001A38C2"/>
    <w:rsid w:val="001A3B64"/>
    <w:rsid w:val="001A4038"/>
    <w:rsid w:val="001A4800"/>
    <w:rsid w:val="001A484E"/>
    <w:rsid w:val="001A4C49"/>
    <w:rsid w:val="001A4E15"/>
    <w:rsid w:val="001A4E2B"/>
    <w:rsid w:val="001A581F"/>
    <w:rsid w:val="001A598B"/>
    <w:rsid w:val="001A5AE5"/>
    <w:rsid w:val="001A5E16"/>
    <w:rsid w:val="001A62D8"/>
    <w:rsid w:val="001A64BA"/>
    <w:rsid w:val="001A65C8"/>
    <w:rsid w:val="001A685E"/>
    <w:rsid w:val="001A695D"/>
    <w:rsid w:val="001A6C45"/>
    <w:rsid w:val="001A6D92"/>
    <w:rsid w:val="001A719D"/>
    <w:rsid w:val="001A732E"/>
    <w:rsid w:val="001A77CF"/>
    <w:rsid w:val="001A7B30"/>
    <w:rsid w:val="001A7B8C"/>
    <w:rsid w:val="001A7F30"/>
    <w:rsid w:val="001B00FC"/>
    <w:rsid w:val="001B0113"/>
    <w:rsid w:val="001B01E3"/>
    <w:rsid w:val="001B06E2"/>
    <w:rsid w:val="001B0E7F"/>
    <w:rsid w:val="001B0E95"/>
    <w:rsid w:val="001B103A"/>
    <w:rsid w:val="001B103D"/>
    <w:rsid w:val="001B115B"/>
    <w:rsid w:val="001B13A9"/>
    <w:rsid w:val="001B1513"/>
    <w:rsid w:val="001B1767"/>
    <w:rsid w:val="001B19F9"/>
    <w:rsid w:val="001B1F69"/>
    <w:rsid w:val="001B2453"/>
    <w:rsid w:val="001B2667"/>
    <w:rsid w:val="001B27E4"/>
    <w:rsid w:val="001B28F7"/>
    <w:rsid w:val="001B2D1D"/>
    <w:rsid w:val="001B3185"/>
    <w:rsid w:val="001B3D48"/>
    <w:rsid w:val="001B41CD"/>
    <w:rsid w:val="001B42AB"/>
    <w:rsid w:val="001B4358"/>
    <w:rsid w:val="001B4481"/>
    <w:rsid w:val="001B516E"/>
    <w:rsid w:val="001B575A"/>
    <w:rsid w:val="001B5AF9"/>
    <w:rsid w:val="001B5D54"/>
    <w:rsid w:val="001B6398"/>
    <w:rsid w:val="001B653C"/>
    <w:rsid w:val="001B6600"/>
    <w:rsid w:val="001B668F"/>
    <w:rsid w:val="001B6B91"/>
    <w:rsid w:val="001B6B9B"/>
    <w:rsid w:val="001B6C27"/>
    <w:rsid w:val="001B6E3F"/>
    <w:rsid w:val="001B6FAD"/>
    <w:rsid w:val="001B7144"/>
    <w:rsid w:val="001B7199"/>
    <w:rsid w:val="001B71E5"/>
    <w:rsid w:val="001B71F1"/>
    <w:rsid w:val="001B7604"/>
    <w:rsid w:val="001B7953"/>
    <w:rsid w:val="001B7AF3"/>
    <w:rsid w:val="001B7E91"/>
    <w:rsid w:val="001B7ED5"/>
    <w:rsid w:val="001C0561"/>
    <w:rsid w:val="001C05F0"/>
    <w:rsid w:val="001C0DE1"/>
    <w:rsid w:val="001C0F99"/>
    <w:rsid w:val="001C1042"/>
    <w:rsid w:val="001C1400"/>
    <w:rsid w:val="001C147E"/>
    <w:rsid w:val="001C151B"/>
    <w:rsid w:val="001C158C"/>
    <w:rsid w:val="001C15B0"/>
    <w:rsid w:val="001C1657"/>
    <w:rsid w:val="001C19E5"/>
    <w:rsid w:val="001C2094"/>
    <w:rsid w:val="001C2B49"/>
    <w:rsid w:val="001C32D8"/>
    <w:rsid w:val="001C3651"/>
    <w:rsid w:val="001C3666"/>
    <w:rsid w:val="001C3800"/>
    <w:rsid w:val="001C3A72"/>
    <w:rsid w:val="001C3C7B"/>
    <w:rsid w:val="001C3D2F"/>
    <w:rsid w:val="001C420F"/>
    <w:rsid w:val="001C4EBC"/>
    <w:rsid w:val="001C54E3"/>
    <w:rsid w:val="001C5A42"/>
    <w:rsid w:val="001C5C01"/>
    <w:rsid w:val="001C5EB6"/>
    <w:rsid w:val="001C6122"/>
    <w:rsid w:val="001C62E2"/>
    <w:rsid w:val="001C62E4"/>
    <w:rsid w:val="001C6587"/>
    <w:rsid w:val="001C69BE"/>
    <w:rsid w:val="001C6DB5"/>
    <w:rsid w:val="001C71AC"/>
    <w:rsid w:val="001C7316"/>
    <w:rsid w:val="001C7355"/>
    <w:rsid w:val="001C747A"/>
    <w:rsid w:val="001C7668"/>
    <w:rsid w:val="001C7B5F"/>
    <w:rsid w:val="001C7E5C"/>
    <w:rsid w:val="001D00CC"/>
    <w:rsid w:val="001D02B8"/>
    <w:rsid w:val="001D0494"/>
    <w:rsid w:val="001D07B7"/>
    <w:rsid w:val="001D09DB"/>
    <w:rsid w:val="001D117B"/>
    <w:rsid w:val="001D15DD"/>
    <w:rsid w:val="001D1719"/>
    <w:rsid w:val="001D171B"/>
    <w:rsid w:val="001D1732"/>
    <w:rsid w:val="001D1822"/>
    <w:rsid w:val="001D1E2E"/>
    <w:rsid w:val="001D1E7F"/>
    <w:rsid w:val="001D1FDC"/>
    <w:rsid w:val="001D2203"/>
    <w:rsid w:val="001D255C"/>
    <w:rsid w:val="001D2DEF"/>
    <w:rsid w:val="001D30BB"/>
    <w:rsid w:val="001D3A3A"/>
    <w:rsid w:val="001D488C"/>
    <w:rsid w:val="001D48A7"/>
    <w:rsid w:val="001D4CDF"/>
    <w:rsid w:val="001D4F88"/>
    <w:rsid w:val="001D514E"/>
    <w:rsid w:val="001D532D"/>
    <w:rsid w:val="001D578D"/>
    <w:rsid w:val="001D57C6"/>
    <w:rsid w:val="001D5818"/>
    <w:rsid w:val="001D5B93"/>
    <w:rsid w:val="001D5E17"/>
    <w:rsid w:val="001D64BE"/>
    <w:rsid w:val="001D653A"/>
    <w:rsid w:val="001D684E"/>
    <w:rsid w:val="001D6892"/>
    <w:rsid w:val="001D6B5B"/>
    <w:rsid w:val="001D6C80"/>
    <w:rsid w:val="001D6CB5"/>
    <w:rsid w:val="001D6FA9"/>
    <w:rsid w:val="001D7806"/>
    <w:rsid w:val="001D7A96"/>
    <w:rsid w:val="001D7D90"/>
    <w:rsid w:val="001D7DEE"/>
    <w:rsid w:val="001E02CB"/>
    <w:rsid w:val="001E0938"/>
    <w:rsid w:val="001E0F22"/>
    <w:rsid w:val="001E0F27"/>
    <w:rsid w:val="001E0FE0"/>
    <w:rsid w:val="001E1051"/>
    <w:rsid w:val="001E127C"/>
    <w:rsid w:val="001E1297"/>
    <w:rsid w:val="001E14FD"/>
    <w:rsid w:val="001E171B"/>
    <w:rsid w:val="001E180F"/>
    <w:rsid w:val="001E18DF"/>
    <w:rsid w:val="001E1A93"/>
    <w:rsid w:val="001E1ACB"/>
    <w:rsid w:val="001E1C64"/>
    <w:rsid w:val="001E1C72"/>
    <w:rsid w:val="001E1CEC"/>
    <w:rsid w:val="001E2017"/>
    <w:rsid w:val="001E257C"/>
    <w:rsid w:val="001E2ECB"/>
    <w:rsid w:val="001E2ECC"/>
    <w:rsid w:val="001E2EF9"/>
    <w:rsid w:val="001E31EC"/>
    <w:rsid w:val="001E322D"/>
    <w:rsid w:val="001E32D9"/>
    <w:rsid w:val="001E32EF"/>
    <w:rsid w:val="001E3341"/>
    <w:rsid w:val="001E3770"/>
    <w:rsid w:val="001E3C7A"/>
    <w:rsid w:val="001E4B64"/>
    <w:rsid w:val="001E552A"/>
    <w:rsid w:val="001E57B9"/>
    <w:rsid w:val="001E57F7"/>
    <w:rsid w:val="001E5ECE"/>
    <w:rsid w:val="001E5EE9"/>
    <w:rsid w:val="001E6113"/>
    <w:rsid w:val="001E6479"/>
    <w:rsid w:val="001E64AD"/>
    <w:rsid w:val="001E64CE"/>
    <w:rsid w:val="001E6C41"/>
    <w:rsid w:val="001E6DB3"/>
    <w:rsid w:val="001E6E8D"/>
    <w:rsid w:val="001E75B1"/>
    <w:rsid w:val="001E7A39"/>
    <w:rsid w:val="001E7C3B"/>
    <w:rsid w:val="001E7DD4"/>
    <w:rsid w:val="001E7EE4"/>
    <w:rsid w:val="001E7F76"/>
    <w:rsid w:val="001F0074"/>
    <w:rsid w:val="001F01FA"/>
    <w:rsid w:val="001F026B"/>
    <w:rsid w:val="001F03EA"/>
    <w:rsid w:val="001F044F"/>
    <w:rsid w:val="001F09DA"/>
    <w:rsid w:val="001F0D9E"/>
    <w:rsid w:val="001F0FAF"/>
    <w:rsid w:val="001F139F"/>
    <w:rsid w:val="001F1D7E"/>
    <w:rsid w:val="001F1F9E"/>
    <w:rsid w:val="001F224D"/>
    <w:rsid w:val="001F2462"/>
    <w:rsid w:val="001F2805"/>
    <w:rsid w:val="001F2890"/>
    <w:rsid w:val="001F2A92"/>
    <w:rsid w:val="001F2E79"/>
    <w:rsid w:val="001F2F07"/>
    <w:rsid w:val="001F3123"/>
    <w:rsid w:val="001F34D8"/>
    <w:rsid w:val="001F376D"/>
    <w:rsid w:val="001F3ADD"/>
    <w:rsid w:val="001F3E9C"/>
    <w:rsid w:val="001F418C"/>
    <w:rsid w:val="001F42B8"/>
    <w:rsid w:val="001F433A"/>
    <w:rsid w:val="001F4435"/>
    <w:rsid w:val="001F46EF"/>
    <w:rsid w:val="001F4B2D"/>
    <w:rsid w:val="001F4F40"/>
    <w:rsid w:val="001F5046"/>
    <w:rsid w:val="001F50E0"/>
    <w:rsid w:val="001F5667"/>
    <w:rsid w:val="001F594C"/>
    <w:rsid w:val="001F5A6D"/>
    <w:rsid w:val="001F5E7F"/>
    <w:rsid w:val="001F5F95"/>
    <w:rsid w:val="001F6287"/>
    <w:rsid w:val="001F652B"/>
    <w:rsid w:val="001F680C"/>
    <w:rsid w:val="001F6834"/>
    <w:rsid w:val="001F69FC"/>
    <w:rsid w:val="001F6A51"/>
    <w:rsid w:val="001F6D62"/>
    <w:rsid w:val="001F6DE2"/>
    <w:rsid w:val="001F6E26"/>
    <w:rsid w:val="001F6ECF"/>
    <w:rsid w:val="001F6FC6"/>
    <w:rsid w:val="001F75AE"/>
    <w:rsid w:val="001F7675"/>
    <w:rsid w:val="001F7808"/>
    <w:rsid w:val="001F7AED"/>
    <w:rsid w:val="0020010E"/>
    <w:rsid w:val="00200A29"/>
    <w:rsid w:val="00200CBE"/>
    <w:rsid w:val="00200CF4"/>
    <w:rsid w:val="00200D6C"/>
    <w:rsid w:val="00200F27"/>
    <w:rsid w:val="00200F2F"/>
    <w:rsid w:val="00200FAE"/>
    <w:rsid w:val="0020102D"/>
    <w:rsid w:val="002010E2"/>
    <w:rsid w:val="002012EA"/>
    <w:rsid w:val="00201992"/>
    <w:rsid w:val="00201B5C"/>
    <w:rsid w:val="00201B73"/>
    <w:rsid w:val="00201D67"/>
    <w:rsid w:val="00201DCC"/>
    <w:rsid w:val="00201ECC"/>
    <w:rsid w:val="00202239"/>
    <w:rsid w:val="00202517"/>
    <w:rsid w:val="002027F6"/>
    <w:rsid w:val="00202ADB"/>
    <w:rsid w:val="00202BB7"/>
    <w:rsid w:val="00203158"/>
    <w:rsid w:val="00203473"/>
    <w:rsid w:val="00203A9F"/>
    <w:rsid w:val="00203E38"/>
    <w:rsid w:val="00203E4B"/>
    <w:rsid w:val="0020435B"/>
    <w:rsid w:val="00204533"/>
    <w:rsid w:val="002045BD"/>
    <w:rsid w:val="002045E6"/>
    <w:rsid w:val="00204A2E"/>
    <w:rsid w:val="00204AE7"/>
    <w:rsid w:val="00204F2D"/>
    <w:rsid w:val="002051CE"/>
    <w:rsid w:val="002054FD"/>
    <w:rsid w:val="00205533"/>
    <w:rsid w:val="00205566"/>
    <w:rsid w:val="0020576D"/>
    <w:rsid w:val="00205AE5"/>
    <w:rsid w:val="00205DE8"/>
    <w:rsid w:val="0020601C"/>
    <w:rsid w:val="002062A1"/>
    <w:rsid w:val="0020639C"/>
    <w:rsid w:val="002063AA"/>
    <w:rsid w:val="00206CE0"/>
    <w:rsid w:val="00206DE9"/>
    <w:rsid w:val="002072F9"/>
    <w:rsid w:val="002076FE"/>
    <w:rsid w:val="00207956"/>
    <w:rsid w:val="00207AB3"/>
    <w:rsid w:val="00207ADE"/>
    <w:rsid w:val="00207B16"/>
    <w:rsid w:val="00207ED9"/>
    <w:rsid w:val="00207F7A"/>
    <w:rsid w:val="00210177"/>
    <w:rsid w:val="00210549"/>
    <w:rsid w:val="0021069E"/>
    <w:rsid w:val="0021072E"/>
    <w:rsid w:val="00210804"/>
    <w:rsid w:val="0021088F"/>
    <w:rsid w:val="00210938"/>
    <w:rsid w:val="00210988"/>
    <w:rsid w:val="00210AC9"/>
    <w:rsid w:val="00210AE9"/>
    <w:rsid w:val="00210B04"/>
    <w:rsid w:val="00210B23"/>
    <w:rsid w:val="00210B46"/>
    <w:rsid w:val="00210ED3"/>
    <w:rsid w:val="002113FE"/>
    <w:rsid w:val="00211628"/>
    <w:rsid w:val="00211737"/>
    <w:rsid w:val="0021181B"/>
    <w:rsid w:val="00211A0C"/>
    <w:rsid w:val="00211A79"/>
    <w:rsid w:val="00211FA8"/>
    <w:rsid w:val="00212262"/>
    <w:rsid w:val="0021230F"/>
    <w:rsid w:val="002124DF"/>
    <w:rsid w:val="002125B0"/>
    <w:rsid w:val="002125F6"/>
    <w:rsid w:val="002126DB"/>
    <w:rsid w:val="00212956"/>
    <w:rsid w:val="002129B5"/>
    <w:rsid w:val="002129BA"/>
    <w:rsid w:val="00212A82"/>
    <w:rsid w:val="0021306B"/>
    <w:rsid w:val="002136DF"/>
    <w:rsid w:val="00213C0E"/>
    <w:rsid w:val="00213CEB"/>
    <w:rsid w:val="0021480C"/>
    <w:rsid w:val="00214B3A"/>
    <w:rsid w:val="00214CF3"/>
    <w:rsid w:val="00214EA2"/>
    <w:rsid w:val="002150A2"/>
    <w:rsid w:val="0021556D"/>
    <w:rsid w:val="002155DF"/>
    <w:rsid w:val="00215A27"/>
    <w:rsid w:val="00215A65"/>
    <w:rsid w:val="00215C37"/>
    <w:rsid w:val="0021609A"/>
    <w:rsid w:val="002160FA"/>
    <w:rsid w:val="002166D9"/>
    <w:rsid w:val="002166DD"/>
    <w:rsid w:val="002166FB"/>
    <w:rsid w:val="002168A2"/>
    <w:rsid w:val="00216AC3"/>
    <w:rsid w:val="00216CC6"/>
    <w:rsid w:val="0021712F"/>
    <w:rsid w:val="0021765F"/>
    <w:rsid w:val="00217867"/>
    <w:rsid w:val="0021792D"/>
    <w:rsid w:val="00217949"/>
    <w:rsid w:val="00217A8C"/>
    <w:rsid w:val="00217BB9"/>
    <w:rsid w:val="00217E86"/>
    <w:rsid w:val="002201C2"/>
    <w:rsid w:val="0022052F"/>
    <w:rsid w:val="002205E4"/>
    <w:rsid w:val="002206F0"/>
    <w:rsid w:val="002208A2"/>
    <w:rsid w:val="00220A40"/>
    <w:rsid w:val="00220D67"/>
    <w:rsid w:val="0022133A"/>
    <w:rsid w:val="002215F8"/>
    <w:rsid w:val="00221C6B"/>
    <w:rsid w:val="00221C91"/>
    <w:rsid w:val="00221F80"/>
    <w:rsid w:val="00221FA9"/>
    <w:rsid w:val="0022273A"/>
    <w:rsid w:val="002227B2"/>
    <w:rsid w:val="002227F6"/>
    <w:rsid w:val="002229CB"/>
    <w:rsid w:val="00222D28"/>
    <w:rsid w:val="00222F47"/>
    <w:rsid w:val="0022342E"/>
    <w:rsid w:val="0022359C"/>
    <w:rsid w:val="002238FE"/>
    <w:rsid w:val="002239D5"/>
    <w:rsid w:val="002239ED"/>
    <w:rsid w:val="00223CF4"/>
    <w:rsid w:val="00223DD5"/>
    <w:rsid w:val="00224220"/>
    <w:rsid w:val="00224398"/>
    <w:rsid w:val="002245E9"/>
    <w:rsid w:val="00224977"/>
    <w:rsid w:val="00224A81"/>
    <w:rsid w:val="00224E91"/>
    <w:rsid w:val="00224EAF"/>
    <w:rsid w:val="00225017"/>
    <w:rsid w:val="00225992"/>
    <w:rsid w:val="00225B4C"/>
    <w:rsid w:val="00225E1E"/>
    <w:rsid w:val="00226129"/>
    <w:rsid w:val="0022614D"/>
    <w:rsid w:val="002262DD"/>
    <w:rsid w:val="002267D9"/>
    <w:rsid w:val="002269EF"/>
    <w:rsid w:val="00226AA2"/>
    <w:rsid w:val="002270B8"/>
    <w:rsid w:val="00227218"/>
    <w:rsid w:val="0022770A"/>
    <w:rsid w:val="0022773F"/>
    <w:rsid w:val="0022778F"/>
    <w:rsid w:val="002278BD"/>
    <w:rsid w:val="00227A07"/>
    <w:rsid w:val="00227BEE"/>
    <w:rsid w:val="00227DF1"/>
    <w:rsid w:val="00227FB4"/>
    <w:rsid w:val="00230489"/>
    <w:rsid w:val="0023057E"/>
    <w:rsid w:val="00230862"/>
    <w:rsid w:val="0023129C"/>
    <w:rsid w:val="002312BC"/>
    <w:rsid w:val="002313EA"/>
    <w:rsid w:val="002320AC"/>
    <w:rsid w:val="00232471"/>
    <w:rsid w:val="002326B1"/>
    <w:rsid w:val="00232D6E"/>
    <w:rsid w:val="00232E14"/>
    <w:rsid w:val="0023300D"/>
    <w:rsid w:val="00233260"/>
    <w:rsid w:val="002332B5"/>
    <w:rsid w:val="002334E5"/>
    <w:rsid w:val="002337E5"/>
    <w:rsid w:val="00233928"/>
    <w:rsid w:val="00233C06"/>
    <w:rsid w:val="00233D97"/>
    <w:rsid w:val="00233F24"/>
    <w:rsid w:val="00234124"/>
    <w:rsid w:val="00234B69"/>
    <w:rsid w:val="00234BBB"/>
    <w:rsid w:val="00234C8F"/>
    <w:rsid w:val="00234E58"/>
    <w:rsid w:val="0023502A"/>
    <w:rsid w:val="0023540C"/>
    <w:rsid w:val="002356F4"/>
    <w:rsid w:val="00235CB2"/>
    <w:rsid w:val="00235EA5"/>
    <w:rsid w:val="00235F01"/>
    <w:rsid w:val="00235F02"/>
    <w:rsid w:val="002366FE"/>
    <w:rsid w:val="00236C68"/>
    <w:rsid w:val="00236D28"/>
    <w:rsid w:val="00236E61"/>
    <w:rsid w:val="00236FFD"/>
    <w:rsid w:val="00237609"/>
    <w:rsid w:val="002378A9"/>
    <w:rsid w:val="00237FE4"/>
    <w:rsid w:val="002400AB"/>
    <w:rsid w:val="0024014F"/>
    <w:rsid w:val="0024024C"/>
    <w:rsid w:val="002405BA"/>
    <w:rsid w:val="00240656"/>
    <w:rsid w:val="0024086B"/>
    <w:rsid w:val="00240C7B"/>
    <w:rsid w:val="00240D06"/>
    <w:rsid w:val="00241030"/>
    <w:rsid w:val="00241610"/>
    <w:rsid w:val="00241AED"/>
    <w:rsid w:val="00241B8A"/>
    <w:rsid w:val="00241C48"/>
    <w:rsid w:val="00241F11"/>
    <w:rsid w:val="00242275"/>
    <w:rsid w:val="00242289"/>
    <w:rsid w:val="002423D7"/>
    <w:rsid w:val="00242D82"/>
    <w:rsid w:val="00242E23"/>
    <w:rsid w:val="0024305B"/>
    <w:rsid w:val="002430DE"/>
    <w:rsid w:val="00243182"/>
    <w:rsid w:val="00243454"/>
    <w:rsid w:val="00243782"/>
    <w:rsid w:val="0024382F"/>
    <w:rsid w:val="002438E5"/>
    <w:rsid w:val="00243928"/>
    <w:rsid w:val="00243946"/>
    <w:rsid w:val="00243BC5"/>
    <w:rsid w:val="00243C7D"/>
    <w:rsid w:val="00243E9A"/>
    <w:rsid w:val="00244119"/>
    <w:rsid w:val="00244215"/>
    <w:rsid w:val="00244371"/>
    <w:rsid w:val="00244445"/>
    <w:rsid w:val="002445BD"/>
    <w:rsid w:val="00244A7B"/>
    <w:rsid w:val="00244AF8"/>
    <w:rsid w:val="00244BC5"/>
    <w:rsid w:val="00244C6C"/>
    <w:rsid w:val="00244E68"/>
    <w:rsid w:val="00244FBA"/>
    <w:rsid w:val="002450FC"/>
    <w:rsid w:val="002456C5"/>
    <w:rsid w:val="00245A8D"/>
    <w:rsid w:val="00245ABE"/>
    <w:rsid w:val="00245C0B"/>
    <w:rsid w:val="00245FF7"/>
    <w:rsid w:val="0024629A"/>
    <w:rsid w:val="00246651"/>
    <w:rsid w:val="00246768"/>
    <w:rsid w:val="002468A6"/>
    <w:rsid w:val="00246987"/>
    <w:rsid w:val="002469A3"/>
    <w:rsid w:val="00246DF0"/>
    <w:rsid w:val="00246EAE"/>
    <w:rsid w:val="00247116"/>
    <w:rsid w:val="0024712E"/>
    <w:rsid w:val="002471E5"/>
    <w:rsid w:val="002473EB"/>
    <w:rsid w:val="00247B74"/>
    <w:rsid w:val="002507BA"/>
    <w:rsid w:val="00250BED"/>
    <w:rsid w:val="00250CB1"/>
    <w:rsid w:val="00250E38"/>
    <w:rsid w:val="00251151"/>
    <w:rsid w:val="002517A8"/>
    <w:rsid w:val="00251EEE"/>
    <w:rsid w:val="00252217"/>
    <w:rsid w:val="00252BB8"/>
    <w:rsid w:val="00252FB6"/>
    <w:rsid w:val="0025301E"/>
    <w:rsid w:val="00253177"/>
    <w:rsid w:val="00253371"/>
    <w:rsid w:val="002538B8"/>
    <w:rsid w:val="0025396F"/>
    <w:rsid w:val="00253D6D"/>
    <w:rsid w:val="00253FDD"/>
    <w:rsid w:val="00254319"/>
    <w:rsid w:val="00254335"/>
    <w:rsid w:val="0025439A"/>
    <w:rsid w:val="00254659"/>
    <w:rsid w:val="002546A4"/>
    <w:rsid w:val="00254847"/>
    <w:rsid w:val="002548C2"/>
    <w:rsid w:val="00254974"/>
    <w:rsid w:val="0025539F"/>
    <w:rsid w:val="00255436"/>
    <w:rsid w:val="002555D6"/>
    <w:rsid w:val="00255A01"/>
    <w:rsid w:val="00255A17"/>
    <w:rsid w:val="00255AE5"/>
    <w:rsid w:val="00255CC8"/>
    <w:rsid w:val="00256276"/>
    <w:rsid w:val="00256388"/>
    <w:rsid w:val="00256E44"/>
    <w:rsid w:val="00257039"/>
    <w:rsid w:val="00257218"/>
    <w:rsid w:val="00257681"/>
    <w:rsid w:val="0025772F"/>
    <w:rsid w:val="002577C8"/>
    <w:rsid w:val="002578C8"/>
    <w:rsid w:val="002579B8"/>
    <w:rsid w:val="00257B1F"/>
    <w:rsid w:val="00260036"/>
    <w:rsid w:val="002602FE"/>
    <w:rsid w:val="00260493"/>
    <w:rsid w:val="002605BF"/>
    <w:rsid w:val="00260919"/>
    <w:rsid w:val="002612FD"/>
    <w:rsid w:val="0026134B"/>
    <w:rsid w:val="002613DC"/>
    <w:rsid w:val="00261755"/>
    <w:rsid w:val="00261AAA"/>
    <w:rsid w:val="00262097"/>
    <w:rsid w:val="0026249D"/>
    <w:rsid w:val="0026297D"/>
    <w:rsid w:val="00262A16"/>
    <w:rsid w:val="00262A40"/>
    <w:rsid w:val="00262B53"/>
    <w:rsid w:val="00262C4E"/>
    <w:rsid w:val="00262D20"/>
    <w:rsid w:val="00262F16"/>
    <w:rsid w:val="002634AB"/>
    <w:rsid w:val="002638E0"/>
    <w:rsid w:val="00263C19"/>
    <w:rsid w:val="00263DD2"/>
    <w:rsid w:val="00263E9F"/>
    <w:rsid w:val="002642E7"/>
    <w:rsid w:val="00264548"/>
    <w:rsid w:val="00264B77"/>
    <w:rsid w:val="00264EF7"/>
    <w:rsid w:val="00264F03"/>
    <w:rsid w:val="00264F8F"/>
    <w:rsid w:val="002655AE"/>
    <w:rsid w:val="002656E0"/>
    <w:rsid w:val="0026591F"/>
    <w:rsid w:val="00265960"/>
    <w:rsid w:val="00265A65"/>
    <w:rsid w:val="00265CA5"/>
    <w:rsid w:val="00265DCB"/>
    <w:rsid w:val="002660F0"/>
    <w:rsid w:val="00266629"/>
    <w:rsid w:val="00266684"/>
    <w:rsid w:val="00266D06"/>
    <w:rsid w:val="00266F1A"/>
    <w:rsid w:val="002670EE"/>
    <w:rsid w:val="002675B6"/>
    <w:rsid w:val="0026760B"/>
    <w:rsid w:val="00267A18"/>
    <w:rsid w:val="00267A99"/>
    <w:rsid w:val="00267C77"/>
    <w:rsid w:val="002700B3"/>
    <w:rsid w:val="00270271"/>
    <w:rsid w:val="00270899"/>
    <w:rsid w:val="002708CB"/>
    <w:rsid w:val="00270A7A"/>
    <w:rsid w:val="00270C35"/>
    <w:rsid w:val="00270CB5"/>
    <w:rsid w:val="0027185C"/>
    <w:rsid w:val="00271AAA"/>
    <w:rsid w:val="00272174"/>
    <w:rsid w:val="002721A6"/>
    <w:rsid w:val="002722E0"/>
    <w:rsid w:val="00272D3D"/>
    <w:rsid w:val="00272F18"/>
    <w:rsid w:val="002730EC"/>
    <w:rsid w:val="00273100"/>
    <w:rsid w:val="0027314E"/>
    <w:rsid w:val="002733DA"/>
    <w:rsid w:val="002733FC"/>
    <w:rsid w:val="002735CC"/>
    <w:rsid w:val="002743F9"/>
    <w:rsid w:val="002743FE"/>
    <w:rsid w:val="00274588"/>
    <w:rsid w:val="00274666"/>
    <w:rsid w:val="00274939"/>
    <w:rsid w:val="00274A67"/>
    <w:rsid w:val="00274AA2"/>
    <w:rsid w:val="00274E6B"/>
    <w:rsid w:val="00274E7E"/>
    <w:rsid w:val="00274F97"/>
    <w:rsid w:val="0027541B"/>
    <w:rsid w:val="002754A2"/>
    <w:rsid w:val="002756B1"/>
    <w:rsid w:val="002756EF"/>
    <w:rsid w:val="00275708"/>
    <w:rsid w:val="0027570F"/>
    <w:rsid w:val="00275C59"/>
    <w:rsid w:val="00275D7A"/>
    <w:rsid w:val="00275F2A"/>
    <w:rsid w:val="0027630C"/>
    <w:rsid w:val="00276649"/>
    <w:rsid w:val="00276743"/>
    <w:rsid w:val="0027685E"/>
    <w:rsid w:val="002768CF"/>
    <w:rsid w:val="00276AD6"/>
    <w:rsid w:val="00276F82"/>
    <w:rsid w:val="002772E2"/>
    <w:rsid w:val="0027776F"/>
    <w:rsid w:val="00277924"/>
    <w:rsid w:val="00277CB0"/>
    <w:rsid w:val="00277F9B"/>
    <w:rsid w:val="002805DF"/>
    <w:rsid w:val="0028092D"/>
    <w:rsid w:val="002809BC"/>
    <w:rsid w:val="00280EED"/>
    <w:rsid w:val="00281219"/>
    <w:rsid w:val="00281312"/>
    <w:rsid w:val="00281517"/>
    <w:rsid w:val="002815D9"/>
    <w:rsid w:val="00281ABB"/>
    <w:rsid w:val="00281ADF"/>
    <w:rsid w:val="00281D97"/>
    <w:rsid w:val="00282165"/>
    <w:rsid w:val="00282317"/>
    <w:rsid w:val="00282AE9"/>
    <w:rsid w:val="00282C3E"/>
    <w:rsid w:val="00282D25"/>
    <w:rsid w:val="00282DF9"/>
    <w:rsid w:val="002833FB"/>
    <w:rsid w:val="002834C8"/>
    <w:rsid w:val="00283A44"/>
    <w:rsid w:val="00284BBF"/>
    <w:rsid w:val="002851CC"/>
    <w:rsid w:val="0028523F"/>
    <w:rsid w:val="0028529F"/>
    <w:rsid w:val="002855CF"/>
    <w:rsid w:val="00285687"/>
    <w:rsid w:val="002856E4"/>
    <w:rsid w:val="00285EC9"/>
    <w:rsid w:val="002862F2"/>
    <w:rsid w:val="0028642C"/>
    <w:rsid w:val="00286CF4"/>
    <w:rsid w:val="002872C2"/>
    <w:rsid w:val="0028747D"/>
    <w:rsid w:val="00287649"/>
    <w:rsid w:val="00287867"/>
    <w:rsid w:val="00287A12"/>
    <w:rsid w:val="00287DAB"/>
    <w:rsid w:val="00287FB6"/>
    <w:rsid w:val="00290096"/>
    <w:rsid w:val="002900C5"/>
    <w:rsid w:val="002901E0"/>
    <w:rsid w:val="0029028F"/>
    <w:rsid w:val="00290549"/>
    <w:rsid w:val="0029066D"/>
    <w:rsid w:val="0029075B"/>
    <w:rsid w:val="0029080F"/>
    <w:rsid w:val="00290BB1"/>
    <w:rsid w:val="00290CFA"/>
    <w:rsid w:val="00290E47"/>
    <w:rsid w:val="0029103A"/>
    <w:rsid w:val="002910E2"/>
    <w:rsid w:val="002911AA"/>
    <w:rsid w:val="00291263"/>
    <w:rsid w:val="00291376"/>
    <w:rsid w:val="002914E8"/>
    <w:rsid w:val="00291BC1"/>
    <w:rsid w:val="00292441"/>
    <w:rsid w:val="002926A7"/>
    <w:rsid w:val="00292A44"/>
    <w:rsid w:val="00292A83"/>
    <w:rsid w:val="00292BAB"/>
    <w:rsid w:val="00292D56"/>
    <w:rsid w:val="00292EDB"/>
    <w:rsid w:val="00292F89"/>
    <w:rsid w:val="00292FEA"/>
    <w:rsid w:val="002933CA"/>
    <w:rsid w:val="00293412"/>
    <w:rsid w:val="0029386E"/>
    <w:rsid w:val="002939CF"/>
    <w:rsid w:val="00293A8F"/>
    <w:rsid w:val="00294361"/>
    <w:rsid w:val="00294555"/>
    <w:rsid w:val="0029489C"/>
    <w:rsid w:val="002948F8"/>
    <w:rsid w:val="00294E85"/>
    <w:rsid w:val="00294F8F"/>
    <w:rsid w:val="00295080"/>
    <w:rsid w:val="00295139"/>
    <w:rsid w:val="00295155"/>
    <w:rsid w:val="00295251"/>
    <w:rsid w:val="0029554C"/>
    <w:rsid w:val="0029572F"/>
    <w:rsid w:val="0029596E"/>
    <w:rsid w:val="00295C61"/>
    <w:rsid w:val="00295CF2"/>
    <w:rsid w:val="00295D51"/>
    <w:rsid w:val="00295E95"/>
    <w:rsid w:val="0029602E"/>
    <w:rsid w:val="00296203"/>
    <w:rsid w:val="002963BC"/>
    <w:rsid w:val="00296428"/>
    <w:rsid w:val="0029643D"/>
    <w:rsid w:val="00296523"/>
    <w:rsid w:val="002965AD"/>
    <w:rsid w:val="002966E9"/>
    <w:rsid w:val="00296C44"/>
    <w:rsid w:val="0029706A"/>
    <w:rsid w:val="002972EE"/>
    <w:rsid w:val="002975C3"/>
    <w:rsid w:val="00297862"/>
    <w:rsid w:val="00297DF7"/>
    <w:rsid w:val="00297F01"/>
    <w:rsid w:val="00297FE3"/>
    <w:rsid w:val="002A01AE"/>
    <w:rsid w:val="002A0343"/>
    <w:rsid w:val="002A0509"/>
    <w:rsid w:val="002A052D"/>
    <w:rsid w:val="002A0756"/>
    <w:rsid w:val="002A0818"/>
    <w:rsid w:val="002A0892"/>
    <w:rsid w:val="002A091B"/>
    <w:rsid w:val="002A0DA0"/>
    <w:rsid w:val="002A0DF8"/>
    <w:rsid w:val="002A10BB"/>
    <w:rsid w:val="002A13F8"/>
    <w:rsid w:val="002A14FD"/>
    <w:rsid w:val="002A18B1"/>
    <w:rsid w:val="002A1928"/>
    <w:rsid w:val="002A1BA5"/>
    <w:rsid w:val="002A1F1F"/>
    <w:rsid w:val="002A1FF0"/>
    <w:rsid w:val="002A21B5"/>
    <w:rsid w:val="002A24BC"/>
    <w:rsid w:val="002A2631"/>
    <w:rsid w:val="002A29EB"/>
    <w:rsid w:val="002A2A0C"/>
    <w:rsid w:val="002A2BB6"/>
    <w:rsid w:val="002A2E60"/>
    <w:rsid w:val="002A30E0"/>
    <w:rsid w:val="002A310C"/>
    <w:rsid w:val="002A34E7"/>
    <w:rsid w:val="002A3521"/>
    <w:rsid w:val="002A35C5"/>
    <w:rsid w:val="002A37E1"/>
    <w:rsid w:val="002A38B4"/>
    <w:rsid w:val="002A3B61"/>
    <w:rsid w:val="002A402A"/>
    <w:rsid w:val="002A4107"/>
    <w:rsid w:val="002A4284"/>
    <w:rsid w:val="002A45AA"/>
    <w:rsid w:val="002A45D9"/>
    <w:rsid w:val="002A4751"/>
    <w:rsid w:val="002A4807"/>
    <w:rsid w:val="002A4B0B"/>
    <w:rsid w:val="002A4B6F"/>
    <w:rsid w:val="002A4D68"/>
    <w:rsid w:val="002A4FFF"/>
    <w:rsid w:val="002A533C"/>
    <w:rsid w:val="002A550E"/>
    <w:rsid w:val="002A56E1"/>
    <w:rsid w:val="002A5876"/>
    <w:rsid w:val="002A59BD"/>
    <w:rsid w:val="002A5A18"/>
    <w:rsid w:val="002A6069"/>
    <w:rsid w:val="002A63EE"/>
    <w:rsid w:val="002A6EE8"/>
    <w:rsid w:val="002A6F7A"/>
    <w:rsid w:val="002A6FF9"/>
    <w:rsid w:val="002A75C0"/>
    <w:rsid w:val="002A75CA"/>
    <w:rsid w:val="002A75DD"/>
    <w:rsid w:val="002A75ED"/>
    <w:rsid w:val="002A782B"/>
    <w:rsid w:val="002A7889"/>
    <w:rsid w:val="002A799A"/>
    <w:rsid w:val="002A7AD0"/>
    <w:rsid w:val="002A7B04"/>
    <w:rsid w:val="002A7DFA"/>
    <w:rsid w:val="002B07C5"/>
    <w:rsid w:val="002B097D"/>
    <w:rsid w:val="002B11B2"/>
    <w:rsid w:val="002B189C"/>
    <w:rsid w:val="002B18F7"/>
    <w:rsid w:val="002B1BF8"/>
    <w:rsid w:val="002B1C70"/>
    <w:rsid w:val="002B1C9F"/>
    <w:rsid w:val="002B1CE9"/>
    <w:rsid w:val="002B2245"/>
    <w:rsid w:val="002B2312"/>
    <w:rsid w:val="002B2459"/>
    <w:rsid w:val="002B2DEA"/>
    <w:rsid w:val="002B31CF"/>
    <w:rsid w:val="002B33AD"/>
    <w:rsid w:val="002B372D"/>
    <w:rsid w:val="002B3892"/>
    <w:rsid w:val="002B3A4E"/>
    <w:rsid w:val="002B3BC6"/>
    <w:rsid w:val="002B3C3A"/>
    <w:rsid w:val="002B3E47"/>
    <w:rsid w:val="002B3ED7"/>
    <w:rsid w:val="002B3F84"/>
    <w:rsid w:val="002B43CA"/>
    <w:rsid w:val="002B4778"/>
    <w:rsid w:val="002B4A11"/>
    <w:rsid w:val="002B4F0A"/>
    <w:rsid w:val="002B53F1"/>
    <w:rsid w:val="002B5D37"/>
    <w:rsid w:val="002B5DDE"/>
    <w:rsid w:val="002B6428"/>
    <w:rsid w:val="002B6585"/>
    <w:rsid w:val="002B6A2D"/>
    <w:rsid w:val="002B6E1E"/>
    <w:rsid w:val="002B6E92"/>
    <w:rsid w:val="002B71E2"/>
    <w:rsid w:val="002B7308"/>
    <w:rsid w:val="002B75B2"/>
    <w:rsid w:val="002B75DB"/>
    <w:rsid w:val="002B79B7"/>
    <w:rsid w:val="002B79D0"/>
    <w:rsid w:val="002B7C60"/>
    <w:rsid w:val="002B7E09"/>
    <w:rsid w:val="002B7F4C"/>
    <w:rsid w:val="002C07C7"/>
    <w:rsid w:val="002C07DF"/>
    <w:rsid w:val="002C1058"/>
    <w:rsid w:val="002C1210"/>
    <w:rsid w:val="002C141D"/>
    <w:rsid w:val="002C1523"/>
    <w:rsid w:val="002C158A"/>
    <w:rsid w:val="002C19C0"/>
    <w:rsid w:val="002C1ADD"/>
    <w:rsid w:val="002C2357"/>
    <w:rsid w:val="002C2485"/>
    <w:rsid w:val="002C25E0"/>
    <w:rsid w:val="002C2A2D"/>
    <w:rsid w:val="002C2C49"/>
    <w:rsid w:val="002C2CF8"/>
    <w:rsid w:val="002C31E5"/>
    <w:rsid w:val="002C36C0"/>
    <w:rsid w:val="002C36FD"/>
    <w:rsid w:val="002C3928"/>
    <w:rsid w:val="002C3B33"/>
    <w:rsid w:val="002C3ED0"/>
    <w:rsid w:val="002C435E"/>
    <w:rsid w:val="002C43BB"/>
    <w:rsid w:val="002C44AB"/>
    <w:rsid w:val="002C48AB"/>
    <w:rsid w:val="002C4979"/>
    <w:rsid w:val="002C4AF7"/>
    <w:rsid w:val="002C4CF7"/>
    <w:rsid w:val="002C521C"/>
    <w:rsid w:val="002C5501"/>
    <w:rsid w:val="002C5782"/>
    <w:rsid w:val="002C5A94"/>
    <w:rsid w:val="002C5D3A"/>
    <w:rsid w:val="002C5E39"/>
    <w:rsid w:val="002C5FA2"/>
    <w:rsid w:val="002C6447"/>
    <w:rsid w:val="002C67BD"/>
    <w:rsid w:val="002C67D0"/>
    <w:rsid w:val="002C6CDF"/>
    <w:rsid w:val="002C6D8A"/>
    <w:rsid w:val="002C7584"/>
    <w:rsid w:val="002C767D"/>
    <w:rsid w:val="002C7A02"/>
    <w:rsid w:val="002C7B69"/>
    <w:rsid w:val="002C7BD4"/>
    <w:rsid w:val="002D0107"/>
    <w:rsid w:val="002D0156"/>
    <w:rsid w:val="002D05CC"/>
    <w:rsid w:val="002D062E"/>
    <w:rsid w:val="002D0765"/>
    <w:rsid w:val="002D0C78"/>
    <w:rsid w:val="002D0D43"/>
    <w:rsid w:val="002D0D73"/>
    <w:rsid w:val="002D0F31"/>
    <w:rsid w:val="002D15C2"/>
    <w:rsid w:val="002D1939"/>
    <w:rsid w:val="002D1AD1"/>
    <w:rsid w:val="002D1D15"/>
    <w:rsid w:val="002D2091"/>
    <w:rsid w:val="002D218D"/>
    <w:rsid w:val="002D279C"/>
    <w:rsid w:val="002D295B"/>
    <w:rsid w:val="002D2B10"/>
    <w:rsid w:val="002D2B86"/>
    <w:rsid w:val="002D3154"/>
    <w:rsid w:val="002D3222"/>
    <w:rsid w:val="002D33FF"/>
    <w:rsid w:val="002D3842"/>
    <w:rsid w:val="002D386A"/>
    <w:rsid w:val="002D3D17"/>
    <w:rsid w:val="002D3D37"/>
    <w:rsid w:val="002D3EB1"/>
    <w:rsid w:val="002D4100"/>
    <w:rsid w:val="002D4755"/>
    <w:rsid w:val="002D477F"/>
    <w:rsid w:val="002D4808"/>
    <w:rsid w:val="002D4E1F"/>
    <w:rsid w:val="002D4E3D"/>
    <w:rsid w:val="002D4F48"/>
    <w:rsid w:val="002D519B"/>
    <w:rsid w:val="002D523A"/>
    <w:rsid w:val="002D5419"/>
    <w:rsid w:val="002D5429"/>
    <w:rsid w:val="002D54FA"/>
    <w:rsid w:val="002D5E51"/>
    <w:rsid w:val="002D621E"/>
    <w:rsid w:val="002D6622"/>
    <w:rsid w:val="002D66DA"/>
    <w:rsid w:val="002D6A9C"/>
    <w:rsid w:val="002D6C36"/>
    <w:rsid w:val="002D6CCB"/>
    <w:rsid w:val="002D7027"/>
    <w:rsid w:val="002D70DC"/>
    <w:rsid w:val="002D71C8"/>
    <w:rsid w:val="002D73E2"/>
    <w:rsid w:val="002D758B"/>
    <w:rsid w:val="002D7665"/>
    <w:rsid w:val="002D77D5"/>
    <w:rsid w:val="002D784C"/>
    <w:rsid w:val="002D79BC"/>
    <w:rsid w:val="002D7D04"/>
    <w:rsid w:val="002D7D49"/>
    <w:rsid w:val="002D7D96"/>
    <w:rsid w:val="002D7E58"/>
    <w:rsid w:val="002D7ECB"/>
    <w:rsid w:val="002E0102"/>
    <w:rsid w:val="002E02FF"/>
    <w:rsid w:val="002E0A5C"/>
    <w:rsid w:val="002E0B33"/>
    <w:rsid w:val="002E0D31"/>
    <w:rsid w:val="002E0EFA"/>
    <w:rsid w:val="002E1073"/>
    <w:rsid w:val="002E12EC"/>
    <w:rsid w:val="002E146D"/>
    <w:rsid w:val="002E1803"/>
    <w:rsid w:val="002E1C91"/>
    <w:rsid w:val="002E1F26"/>
    <w:rsid w:val="002E209C"/>
    <w:rsid w:val="002E21F9"/>
    <w:rsid w:val="002E247F"/>
    <w:rsid w:val="002E25F5"/>
    <w:rsid w:val="002E272B"/>
    <w:rsid w:val="002E28FF"/>
    <w:rsid w:val="002E29F8"/>
    <w:rsid w:val="002E2B58"/>
    <w:rsid w:val="002E2BBA"/>
    <w:rsid w:val="002E2BD8"/>
    <w:rsid w:val="002E2C52"/>
    <w:rsid w:val="002E2D69"/>
    <w:rsid w:val="002E2E22"/>
    <w:rsid w:val="002E30B8"/>
    <w:rsid w:val="002E342B"/>
    <w:rsid w:val="002E3563"/>
    <w:rsid w:val="002E3B81"/>
    <w:rsid w:val="002E3D08"/>
    <w:rsid w:val="002E3DAA"/>
    <w:rsid w:val="002E3E1D"/>
    <w:rsid w:val="002E3EEA"/>
    <w:rsid w:val="002E4AE0"/>
    <w:rsid w:val="002E4B3F"/>
    <w:rsid w:val="002E4B45"/>
    <w:rsid w:val="002E4C70"/>
    <w:rsid w:val="002E4D08"/>
    <w:rsid w:val="002E4DA5"/>
    <w:rsid w:val="002E4EA4"/>
    <w:rsid w:val="002E529E"/>
    <w:rsid w:val="002E52B8"/>
    <w:rsid w:val="002E5624"/>
    <w:rsid w:val="002E5A07"/>
    <w:rsid w:val="002E5DBF"/>
    <w:rsid w:val="002E5E01"/>
    <w:rsid w:val="002E60F5"/>
    <w:rsid w:val="002E61D7"/>
    <w:rsid w:val="002E629F"/>
    <w:rsid w:val="002E6536"/>
    <w:rsid w:val="002E6687"/>
    <w:rsid w:val="002E67E8"/>
    <w:rsid w:val="002E683D"/>
    <w:rsid w:val="002E69F5"/>
    <w:rsid w:val="002E6CAA"/>
    <w:rsid w:val="002E732B"/>
    <w:rsid w:val="002E732D"/>
    <w:rsid w:val="002E73EC"/>
    <w:rsid w:val="002E742F"/>
    <w:rsid w:val="002E7862"/>
    <w:rsid w:val="002E78B2"/>
    <w:rsid w:val="002E7BC1"/>
    <w:rsid w:val="002F023D"/>
    <w:rsid w:val="002F0942"/>
    <w:rsid w:val="002F0A9C"/>
    <w:rsid w:val="002F0F09"/>
    <w:rsid w:val="002F10EC"/>
    <w:rsid w:val="002F1136"/>
    <w:rsid w:val="002F1231"/>
    <w:rsid w:val="002F1521"/>
    <w:rsid w:val="002F15EE"/>
    <w:rsid w:val="002F1BB8"/>
    <w:rsid w:val="002F1EFA"/>
    <w:rsid w:val="002F2115"/>
    <w:rsid w:val="002F2852"/>
    <w:rsid w:val="002F2A75"/>
    <w:rsid w:val="002F2C37"/>
    <w:rsid w:val="002F2EF4"/>
    <w:rsid w:val="002F30FC"/>
    <w:rsid w:val="002F3632"/>
    <w:rsid w:val="002F36F6"/>
    <w:rsid w:val="002F3756"/>
    <w:rsid w:val="002F3AFB"/>
    <w:rsid w:val="002F3C41"/>
    <w:rsid w:val="002F3C6F"/>
    <w:rsid w:val="002F3DC9"/>
    <w:rsid w:val="002F48CB"/>
    <w:rsid w:val="002F4A59"/>
    <w:rsid w:val="002F4B3D"/>
    <w:rsid w:val="002F4C41"/>
    <w:rsid w:val="002F4C8E"/>
    <w:rsid w:val="002F5076"/>
    <w:rsid w:val="002F56BD"/>
    <w:rsid w:val="002F5765"/>
    <w:rsid w:val="002F57B6"/>
    <w:rsid w:val="002F5839"/>
    <w:rsid w:val="002F59A7"/>
    <w:rsid w:val="002F5A8C"/>
    <w:rsid w:val="002F5B1F"/>
    <w:rsid w:val="002F60CD"/>
    <w:rsid w:val="002F64D9"/>
    <w:rsid w:val="002F651D"/>
    <w:rsid w:val="002F658A"/>
    <w:rsid w:val="002F6648"/>
    <w:rsid w:val="002F6ADC"/>
    <w:rsid w:val="002F6E44"/>
    <w:rsid w:val="002F6EE0"/>
    <w:rsid w:val="002F70AF"/>
    <w:rsid w:val="002F70EB"/>
    <w:rsid w:val="002F729A"/>
    <w:rsid w:val="002F74FD"/>
    <w:rsid w:val="002F787B"/>
    <w:rsid w:val="002F7974"/>
    <w:rsid w:val="002F7D01"/>
    <w:rsid w:val="002F7EC1"/>
    <w:rsid w:val="002F7F63"/>
    <w:rsid w:val="0030005C"/>
    <w:rsid w:val="00300369"/>
    <w:rsid w:val="00300A96"/>
    <w:rsid w:val="00300DCE"/>
    <w:rsid w:val="00300DE2"/>
    <w:rsid w:val="0030108C"/>
    <w:rsid w:val="00301377"/>
    <w:rsid w:val="0030186D"/>
    <w:rsid w:val="003018BF"/>
    <w:rsid w:val="003018DB"/>
    <w:rsid w:val="00301B16"/>
    <w:rsid w:val="00301D0A"/>
    <w:rsid w:val="00301E85"/>
    <w:rsid w:val="0030208A"/>
    <w:rsid w:val="003023CE"/>
    <w:rsid w:val="003027B8"/>
    <w:rsid w:val="0030293F"/>
    <w:rsid w:val="00302947"/>
    <w:rsid w:val="00302C50"/>
    <w:rsid w:val="00302D7E"/>
    <w:rsid w:val="00302DBB"/>
    <w:rsid w:val="00303040"/>
    <w:rsid w:val="0030311A"/>
    <w:rsid w:val="003031C2"/>
    <w:rsid w:val="00303201"/>
    <w:rsid w:val="003033D9"/>
    <w:rsid w:val="00303861"/>
    <w:rsid w:val="00303BA6"/>
    <w:rsid w:val="003042DA"/>
    <w:rsid w:val="00304407"/>
    <w:rsid w:val="00304559"/>
    <w:rsid w:val="00304765"/>
    <w:rsid w:val="003049B1"/>
    <w:rsid w:val="00304D3C"/>
    <w:rsid w:val="00304D97"/>
    <w:rsid w:val="00304FFF"/>
    <w:rsid w:val="003052FB"/>
    <w:rsid w:val="00305402"/>
    <w:rsid w:val="0030554C"/>
    <w:rsid w:val="00305557"/>
    <w:rsid w:val="00305584"/>
    <w:rsid w:val="0030561F"/>
    <w:rsid w:val="00305CA3"/>
    <w:rsid w:val="00306290"/>
    <w:rsid w:val="00306597"/>
    <w:rsid w:val="00306E5C"/>
    <w:rsid w:val="003073F2"/>
    <w:rsid w:val="00307BF3"/>
    <w:rsid w:val="00307C19"/>
    <w:rsid w:val="003100D1"/>
    <w:rsid w:val="00310434"/>
    <w:rsid w:val="0031070A"/>
    <w:rsid w:val="00310732"/>
    <w:rsid w:val="00310A29"/>
    <w:rsid w:val="00310AF3"/>
    <w:rsid w:val="00310BC9"/>
    <w:rsid w:val="0031128D"/>
    <w:rsid w:val="00311543"/>
    <w:rsid w:val="0031154D"/>
    <w:rsid w:val="003115E5"/>
    <w:rsid w:val="00311762"/>
    <w:rsid w:val="00311889"/>
    <w:rsid w:val="00311917"/>
    <w:rsid w:val="00311E98"/>
    <w:rsid w:val="00312215"/>
    <w:rsid w:val="0031249C"/>
    <w:rsid w:val="003125C3"/>
    <w:rsid w:val="00312896"/>
    <w:rsid w:val="00313122"/>
    <w:rsid w:val="003133EF"/>
    <w:rsid w:val="00313B82"/>
    <w:rsid w:val="00313EAC"/>
    <w:rsid w:val="00313FA5"/>
    <w:rsid w:val="003142F4"/>
    <w:rsid w:val="0031439F"/>
    <w:rsid w:val="003143D1"/>
    <w:rsid w:val="0031454E"/>
    <w:rsid w:val="00314688"/>
    <w:rsid w:val="0031469C"/>
    <w:rsid w:val="003147A2"/>
    <w:rsid w:val="003148C8"/>
    <w:rsid w:val="00314DE1"/>
    <w:rsid w:val="00314DFF"/>
    <w:rsid w:val="003150E9"/>
    <w:rsid w:val="003153C5"/>
    <w:rsid w:val="0031595D"/>
    <w:rsid w:val="00315B04"/>
    <w:rsid w:val="00315C97"/>
    <w:rsid w:val="0031611F"/>
    <w:rsid w:val="00316281"/>
    <w:rsid w:val="003165DF"/>
    <w:rsid w:val="003165FB"/>
    <w:rsid w:val="003166F0"/>
    <w:rsid w:val="003168D0"/>
    <w:rsid w:val="00316C3B"/>
    <w:rsid w:val="00316F96"/>
    <w:rsid w:val="0031702F"/>
    <w:rsid w:val="00317A33"/>
    <w:rsid w:val="00317F64"/>
    <w:rsid w:val="0032014E"/>
    <w:rsid w:val="00320339"/>
    <w:rsid w:val="00321214"/>
    <w:rsid w:val="003213D5"/>
    <w:rsid w:val="003215EF"/>
    <w:rsid w:val="003216C1"/>
    <w:rsid w:val="00321971"/>
    <w:rsid w:val="00321A22"/>
    <w:rsid w:val="00321E63"/>
    <w:rsid w:val="00322923"/>
    <w:rsid w:val="00322972"/>
    <w:rsid w:val="00322990"/>
    <w:rsid w:val="00322C6B"/>
    <w:rsid w:val="00323737"/>
    <w:rsid w:val="003237F7"/>
    <w:rsid w:val="00323884"/>
    <w:rsid w:val="00323AD6"/>
    <w:rsid w:val="00323F27"/>
    <w:rsid w:val="0032412B"/>
    <w:rsid w:val="003242EF"/>
    <w:rsid w:val="003242F2"/>
    <w:rsid w:val="00324991"/>
    <w:rsid w:val="00324AE9"/>
    <w:rsid w:val="00324AFF"/>
    <w:rsid w:val="0032509A"/>
    <w:rsid w:val="00325184"/>
    <w:rsid w:val="003251C0"/>
    <w:rsid w:val="00325339"/>
    <w:rsid w:val="003255AA"/>
    <w:rsid w:val="00325847"/>
    <w:rsid w:val="0032658F"/>
    <w:rsid w:val="00327125"/>
    <w:rsid w:val="003277F7"/>
    <w:rsid w:val="00327C84"/>
    <w:rsid w:val="00327CB5"/>
    <w:rsid w:val="00327E0E"/>
    <w:rsid w:val="0033095C"/>
    <w:rsid w:val="003314B6"/>
    <w:rsid w:val="00331784"/>
    <w:rsid w:val="003319E5"/>
    <w:rsid w:val="00331A20"/>
    <w:rsid w:val="00331A23"/>
    <w:rsid w:val="00331A92"/>
    <w:rsid w:val="00331C32"/>
    <w:rsid w:val="00331D53"/>
    <w:rsid w:val="00331E56"/>
    <w:rsid w:val="00331E65"/>
    <w:rsid w:val="0033247F"/>
    <w:rsid w:val="00332550"/>
    <w:rsid w:val="003325AA"/>
    <w:rsid w:val="00332FF3"/>
    <w:rsid w:val="00333107"/>
    <w:rsid w:val="0033337B"/>
    <w:rsid w:val="0033343B"/>
    <w:rsid w:val="003337B0"/>
    <w:rsid w:val="0033393C"/>
    <w:rsid w:val="00333BA0"/>
    <w:rsid w:val="00333D7B"/>
    <w:rsid w:val="00334789"/>
    <w:rsid w:val="00334A78"/>
    <w:rsid w:val="0033532A"/>
    <w:rsid w:val="00335647"/>
    <w:rsid w:val="003357EE"/>
    <w:rsid w:val="003359DE"/>
    <w:rsid w:val="00335B7D"/>
    <w:rsid w:val="00335E26"/>
    <w:rsid w:val="003362B0"/>
    <w:rsid w:val="00336645"/>
    <w:rsid w:val="00336732"/>
    <w:rsid w:val="00336C56"/>
    <w:rsid w:val="00336D15"/>
    <w:rsid w:val="0033703E"/>
    <w:rsid w:val="00337162"/>
    <w:rsid w:val="00337368"/>
    <w:rsid w:val="00337B4D"/>
    <w:rsid w:val="00337DB1"/>
    <w:rsid w:val="003400E8"/>
    <w:rsid w:val="003407A9"/>
    <w:rsid w:val="003409DB"/>
    <w:rsid w:val="00340BA3"/>
    <w:rsid w:val="00340BAF"/>
    <w:rsid w:val="00340C2B"/>
    <w:rsid w:val="00340F9A"/>
    <w:rsid w:val="00341018"/>
    <w:rsid w:val="0034107F"/>
    <w:rsid w:val="003414BA"/>
    <w:rsid w:val="0034157B"/>
    <w:rsid w:val="0034170E"/>
    <w:rsid w:val="00341723"/>
    <w:rsid w:val="0034190B"/>
    <w:rsid w:val="00341A2B"/>
    <w:rsid w:val="00341D45"/>
    <w:rsid w:val="003420D9"/>
    <w:rsid w:val="003423E0"/>
    <w:rsid w:val="0034260B"/>
    <w:rsid w:val="00342FAA"/>
    <w:rsid w:val="0034301A"/>
    <w:rsid w:val="00343441"/>
    <w:rsid w:val="00343474"/>
    <w:rsid w:val="00343D76"/>
    <w:rsid w:val="00343E68"/>
    <w:rsid w:val="00344D54"/>
    <w:rsid w:val="00344DFD"/>
    <w:rsid w:val="003451D3"/>
    <w:rsid w:val="003451E7"/>
    <w:rsid w:val="00345842"/>
    <w:rsid w:val="0034594A"/>
    <w:rsid w:val="00345B64"/>
    <w:rsid w:val="00345B68"/>
    <w:rsid w:val="00345CF4"/>
    <w:rsid w:val="00346631"/>
    <w:rsid w:val="00346A58"/>
    <w:rsid w:val="00346AAD"/>
    <w:rsid w:val="00346D96"/>
    <w:rsid w:val="00346DD3"/>
    <w:rsid w:val="0034716F"/>
    <w:rsid w:val="003472A5"/>
    <w:rsid w:val="003472DE"/>
    <w:rsid w:val="0034736A"/>
    <w:rsid w:val="0034747C"/>
    <w:rsid w:val="00347B6C"/>
    <w:rsid w:val="00347E04"/>
    <w:rsid w:val="00347EC3"/>
    <w:rsid w:val="003503E7"/>
    <w:rsid w:val="00350ABC"/>
    <w:rsid w:val="00350D0F"/>
    <w:rsid w:val="00350FAB"/>
    <w:rsid w:val="0035151C"/>
    <w:rsid w:val="00351940"/>
    <w:rsid w:val="00351A94"/>
    <w:rsid w:val="00351C91"/>
    <w:rsid w:val="00351CD5"/>
    <w:rsid w:val="00351E0A"/>
    <w:rsid w:val="00351FC4"/>
    <w:rsid w:val="00352254"/>
    <w:rsid w:val="003522A3"/>
    <w:rsid w:val="00352649"/>
    <w:rsid w:val="00352968"/>
    <w:rsid w:val="00352AAC"/>
    <w:rsid w:val="00352C90"/>
    <w:rsid w:val="00353737"/>
    <w:rsid w:val="00353929"/>
    <w:rsid w:val="00353F9E"/>
    <w:rsid w:val="00353FD9"/>
    <w:rsid w:val="003540D1"/>
    <w:rsid w:val="0035413E"/>
    <w:rsid w:val="003542B6"/>
    <w:rsid w:val="003545BF"/>
    <w:rsid w:val="00354D07"/>
    <w:rsid w:val="00354E52"/>
    <w:rsid w:val="003555B2"/>
    <w:rsid w:val="0035586A"/>
    <w:rsid w:val="00355D68"/>
    <w:rsid w:val="0035611A"/>
    <w:rsid w:val="00356136"/>
    <w:rsid w:val="00356532"/>
    <w:rsid w:val="003565AD"/>
    <w:rsid w:val="003567FC"/>
    <w:rsid w:val="00356C3D"/>
    <w:rsid w:val="00356E34"/>
    <w:rsid w:val="00356EDB"/>
    <w:rsid w:val="003571ED"/>
    <w:rsid w:val="003574F5"/>
    <w:rsid w:val="0035750B"/>
    <w:rsid w:val="003606B7"/>
    <w:rsid w:val="003608FC"/>
    <w:rsid w:val="00360B75"/>
    <w:rsid w:val="00360BD6"/>
    <w:rsid w:val="00360C2F"/>
    <w:rsid w:val="00360E00"/>
    <w:rsid w:val="0036122F"/>
    <w:rsid w:val="003613B4"/>
    <w:rsid w:val="0036151C"/>
    <w:rsid w:val="00361A9B"/>
    <w:rsid w:val="003623F6"/>
    <w:rsid w:val="003624C9"/>
    <w:rsid w:val="003626F3"/>
    <w:rsid w:val="00362A1D"/>
    <w:rsid w:val="00362BB4"/>
    <w:rsid w:val="00362CCF"/>
    <w:rsid w:val="003631DB"/>
    <w:rsid w:val="0036320B"/>
    <w:rsid w:val="00363B50"/>
    <w:rsid w:val="00364168"/>
    <w:rsid w:val="003644F7"/>
    <w:rsid w:val="00364524"/>
    <w:rsid w:val="00364BEA"/>
    <w:rsid w:val="00364C34"/>
    <w:rsid w:val="0036504F"/>
    <w:rsid w:val="0036513A"/>
    <w:rsid w:val="00365237"/>
    <w:rsid w:val="003653BD"/>
    <w:rsid w:val="0036559C"/>
    <w:rsid w:val="0036587E"/>
    <w:rsid w:val="003660CD"/>
    <w:rsid w:val="00366AC2"/>
    <w:rsid w:val="00366AD1"/>
    <w:rsid w:val="00366B08"/>
    <w:rsid w:val="00366CD1"/>
    <w:rsid w:val="00366D12"/>
    <w:rsid w:val="00366FD8"/>
    <w:rsid w:val="00366FEA"/>
    <w:rsid w:val="00367496"/>
    <w:rsid w:val="0036762B"/>
    <w:rsid w:val="00367689"/>
    <w:rsid w:val="003678BE"/>
    <w:rsid w:val="00367A70"/>
    <w:rsid w:val="00367E9D"/>
    <w:rsid w:val="003700D6"/>
    <w:rsid w:val="003700F8"/>
    <w:rsid w:val="00370125"/>
    <w:rsid w:val="003702A1"/>
    <w:rsid w:val="00370949"/>
    <w:rsid w:val="00370AB5"/>
    <w:rsid w:val="00370E9E"/>
    <w:rsid w:val="00371282"/>
    <w:rsid w:val="003715D1"/>
    <w:rsid w:val="00371926"/>
    <w:rsid w:val="00371EF8"/>
    <w:rsid w:val="0037200A"/>
    <w:rsid w:val="00372056"/>
    <w:rsid w:val="0037243B"/>
    <w:rsid w:val="003724C9"/>
    <w:rsid w:val="0037251C"/>
    <w:rsid w:val="003726D8"/>
    <w:rsid w:val="0037272C"/>
    <w:rsid w:val="003728C1"/>
    <w:rsid w:val="00372B9A"/>
    <w:rsid w:val="003731B5"/>
    <w:rsid w:val="003731BF"/>
    <w:rsid w:val="00373B02"/>
    <w:rsid w:val="00373B47"/>
    <w:rsid w:val="00374A75"/>
    <w:rsid w:val="00375287"/>
    <w:rsid w:val="0037530E"/>
    <w:rsid w:val="0037562C"/>
    <w:rsid w:val="00375791"/>
    <w:rsid w:val="00375826"/>
    <w:rsid w:val="00375994"/>
    <w:rsid w:val="00375A23"/>
    <w:rsid w:val="00375A37"/>
    <w:rsid w:val="00375ABC"/>
    <w:rsid w:val="00375C59"/>
    <w:rsid w:val="00375E05"/>
    <w:rsid w:val="00376BB7"/>
    <w:rsid w:val="00376DE8"/>
    <w:rsid w:val="00376EEE"/>
    <w:rsid w:val="00376F60"/>
    <w:rsid w:val="003778A2"/>
    <w:rsid w:val="00377BA1"/>
    <w:rsid w:val="00377EA4"/>
    <w:rsid w:val="00377FC0"/>
    <w:rsid w:val="00377FF0"/>
    <w:rsid w:val="003800C0"/>
    <w:rsid w:val="00380616"/>
    <w:rsid w:val="00380768"/>
    <w:rsid w:val="0038095D"/>
    <w:rsid w:val="00380D0A"/>
    <w:rsid w:val="00381022"/>
    <w:rsid w:val="003814B8"/>
    <w:rsid w:val="003816B9"/>
    <w:rsid w:val="00381F5B"/>
    <w:rsid w:val="00382909"/>
    <w:rsid w:val="00382A7F"/>
    <w:rsid w:val="00382EE1"/>
    <w:rsid w:val="00383810"/>
    <w:rsid w:val="00383B26"/>
    <w:rsid w:val="00383BAE"/>
    <w:rsid w:val="00384258"/>
    <w:rsid w:val="003848E2"/>
    <w:rsid w:val="00385111"/>
    <w:rsid w:val="00385131"/>
    <w:rsid w:val="00385EA4"/>
    <w:rsid w:val="0038600D"/>
    <w:rsid w:val="00386143"/>
    <w:rsid w:val="0038620B"/>
    <w:rsid w:val="00386873"/>
    <w:rsid w:val="00386B43"/>
    <w:rsid w:val="00386E1E"/>
    <w:rsid w:val="00386F11"/>
    <w:rsid w:val="003872C7"/>
    <w:rsid w:val="00387347"/>
    <w:rsid w:val="0038762F"/>
    <w:rsid w:val="00387647"/>
    <w:rsid w:val="00387825"/>
    <w:rsid w:val="003878D1"/>
    <w:rsid w:val="0038791A"/>
    <w:rsid w:val="00387A51"/>
    <w:rsid w:val="00387AE9"/>
    <w:rsid w:val="00387E05"/>
    <w:rsid w:val="00390056"/>
    <w:rsid w:val="0039055C"/>
    <w:rsid w:val="00390718"/>
    <w:rsid w:val="00390767"/>
    <w:rsid w:val="00390830"/>
    <w:rsid w:val="00390883"/>
    <w:rsid w:val="003908AF"/>
    <w:rsid w:val="00391180"/>
    <w:rsid w:val="003912D2"/>
    <w:rsid w:val="00391470"/>
    <w:rsid w:val="003920C4"/>
    <w:rsid w:val="003920CE"/>
    <w:rsid w:val="00392184"/>
    <w:rsid w:val="00392652"/>
    <w:rsid w:val="0039272E"/>
    <w:rsid w:val="00392B41"/>
    <w:rsid w:val="00392CC6"/>
    <w:rsid w:val="00392E54"/>
    <w:rsid w:val="00393073"/>
    <w:rsid w:val="0039311B"/>
    <w:rsid w:val="00393597"/>
    <w:rsid w:val="00393730"/>
    <w:rsid w:val="00394305"/>
    <w:rsid w:val="0039456F"/>
    <w:rsid w:val="003945C8"/>
    <w:rsid w:val="0039480D"/>
    <w:rsid w:val="00394834"/>
    <w:rsid w:val="00394EEB"/>
    <w:rsid w:val="00395446"/>
    <w:rsid w:val="00395B3E"/>
    <w:rsid w:val="00395F43"/>
    <w:rsid w:val="003964C8"/>
    <w:rsid w:val="00396725"/>
    <w:rsid w:val="0039692D"/>
    <w:rsid w:val="00396B31"/>
    <w:rsid w:val="00396E18"/>
    <w:rsid w:val="003971BF"/>
    <w:rsid w:val="0039735D"/>
    <w:rsid w:val="0039756C"/>
    <w:rsid w:val="00397672"/>
    <w:rsid w:val="0039780A"/>
    <w:rsid w:val="00397A28"/>
    <w:rsid w:val="00397C55"/>
    <w:rsid w:val="00397CD5"/>
    <w:rsid w:val="00397E94"/>
    <w:rsid w:val="00397F05"/>
    <w:rsid w:val="003A0442"/>
    <w:rsid w:val="003A064A"/>
    <w:rsid w:val="003A07CB"/>
    <w:rsid w:val="003A0899"/>
    <w:rsid w:val="003A0B94"/>
    <w:rsid w:val="003A0ECC"/>
    <w:rsid w:val="003A11A6"/>
    <w:rsid w:val="003A1512"/>
    <w:rsid w:val="003A19AC"/>
    <w:rsid w:val="003A1B3F"/>
    <w:rsid w:val="003A1B6C"/>
    <w:rsid w:val="003A1EB7"/>
    <w:rsid w:val="003A22FD"/>
    <w:rsid w:val="003A23F3"/>
    <w:rsid w:val="003A27D3"/>
    <w:rsid w:val="003A2A28"/>
    <w:rsid w:val="003A2D7E"/>
    <w:rsid w:val="003A2D82"/>
    <w:rsid w:val="003A2E1D"/>
    <w:rsid w:val="003A2E2C"/>
    <w:rsid w:val="003A337C"/>
    <w:rsid w:val="003A36C4"/>
    <w:rsid w:val="003A36DA"/>
    <w:rsid w:val="003A3838"/>
    <w:rsid w:val="003A38F1"/>
    <w:rsid w:val="003A39A6"/>
    <w:rsid w:val="003A3A77"/>
    <w:rsid w:val="003A3D1B"/>
    <w:rsid w:val="003A3F39"/>
    <w:rsid w:val="003A4296"/>
    <w:rsid w:val="003A4351"/>
    <w:rsid w:val="003A4549"/>
    <w:rsid w:val="003A48B5"/>
    <w:rsid w:val="003A49B3"/>
    <w:rsid w:val="003A4CF1"/>
    <w:rsid w:val="003A4DC7"/>
    <w:rsid w:val="003A517A"/>
    <w:rsid w:val="003A518A"/>
    <w:rsid w:val="003A528F"/>
    <w:rsid w:val="003A55B4"/>
    <w:rsid w:val="003A5E69"/>
    <w:rsid w:val="003A5FC7"/>
    <w:rsid w:val="003A61B6"/>
    <w:rsid w:val="003A623F"/>
    <w:rsid w:val="003A6D79"/>
    <w:rsid w:val="003A6F12"/>
    <w:rsid w:val="003A71AD"/>
    <w:rsid w:val="003A7446"/>
    <w:rsid w:val="003A77B9"/>
    <w:rsid w:val="003A7D1D"/>
    <w:rsid w:val="003A7F9D"/>
    <w:rsid w:val="003B01D6"/>
    <w:rsid w:val="003B05E7"/>
    <w:rsid w:val="003B07A5"/>
    <w:rsid w:val="003B090A"/>
    <w:rsid w:val="003B1688"/>
    <w:rsid w:val="003B1EE4"/>
    <w:rsid w:val="003B1FA4"/>
    <w:rsid w:val="003B1FE6"/>
    <w:rsid w:val="003B21A6"/>
    <w:rsid w:val="003B2BE9"/>
    <w:rsid w:val="003B2EF6"/>
    <w:rsid w:val="003B3106"/>
    <w:rsid w:val="003B319C"/>
    <w:rsid w:val="003B364A"/>
    <w:rsid w:val="003B3974"/>
    <w:rsid w:val="003B39E0"/>
    <w:rsid w:val="003B3DAB"/>
    <w:rsid w:val="003B3F5E"/>
    <w:rsid w:val="003B3FD7"/>
    <w:rsid w:val="003B404D"/>
    <w:rsid w:val="003B4B34"/>
    <w:rsid w:val="003B4CDA"/>
    <w:rsid w:val="003B4F2D"/>
    <w:rsid w:val="003B5332"/>
    <w:rsid w:val="003B5AE6"/>
    <w:rsid w:val="003B5B4A"/>
    <w:rsid w:val="003B5BD9"/>
    <w:rsid w:val="003B5DA5"/>
    <w:rsid w:val="003B6422"/>
    <w:rsid w:val="003B64A0"/>
    <w:rsid w:val="003B64A3"/>
    <w:rsid w:val="003B65ED"/>
    <w:rsid w:val="003B6873"/>
    <w:rsid w:val="003B68D0"/>
    <w:rsid w:val="003B6B38"/>
    <w:rsid w:val="003B6DB8"/>
    <w:rsid w:val="003B72B9"/>
    <w:rsid w:val="003B7449"/>
    <w:rsid w:val="003B7E79"/>
    <w:rsid w:val="003C0510"/>
    <w:rsid w:val="003C0887"/>
    <w:rsid w:val="003C08AF"/>
    <w:rsid w:val="003C0FDB"/>
    <w:rsid w:val="003C1077"/>
    <w:rsid w:val="003C1BF6"/>
    <w:rsid w:val="003C1C5D"/>
    <w:rsid w:val="003C1FAA"/>
    <w:rsid w:val="003C28FA"/>
    <w:rsid w:val="003C2D0B"/>
    <w:rsid w:val="003C2DFC"/>
    <w:rsid w:val="003C2EDD"/>
    <w:rsid w:val="003C3220"/>
    <w:rsid w:val="003C32E9"/>
    <w:rsid w:val="003C360F"/>
    <w:rsid w:val="003C3791"/>
    <w:rsid w:val="003C38D1"/>
    <w:rsid w:val="003C3A47"/>
    <w:rsid w:val="003C3A79"/>
    <w:rsid w:val="003C48BC"/>
    <w:rsid w:val="003C48CE"/>
    <w:rsid w:val="003C48F2"/>
    <w:rsid w:val="003C4C71"/>
    <w:rsid w:val="003C4D80"/>
    <w:rsid w:val="003C4E42"/>
    <w:rsid w:val="003C4F3A"/>
    <w:rsid w:val="003C5177"/>
    <w:rsid w:val="003C51BE"/>
    <w:rsid w:val="003C52B0"/>
    <w:rsid w:val="003C5582"/>
    <w:rsid w:val="003C5911"/>
    <w:rsid w:val="003C5CDB"/>
    <w:rsid w:val="003C6167"/>
    <w:rsid w:val="003C6465"/>
    <w:rsid w:val="003C65E4"/>
    <w:rsid w:val="003C6700"/>
    <w:rsid w:val="003C6944"/>
    <w:rsid w:val="003C6A13"/>
    <w:rsid w:val="003C6AE1"/>
    <w:rsid w:val="003C6B70"/>
    <w:rsid w:val="003C6C86"/>
    <w:rsid w:val="003C6E22"/>
    <w:rsid w:val="003C723C"/>
    <w:rsid w:val="003C75CC"/>
    <w:rsid w:val="003C7712"/>
    <w:rsid w:val="003C7862"/>
    <w:rsid w:val="003C7865"/>
    <w:rsid w:val="003C7AFE"/>
    <w:rsid w:val="003C7ECD"/>
    <w:rsid w:val="003D007D"/>
    <w:rsid w:val="003D01A1"/>
    <w:rsid w:val="003D02EC"/>
    <w:rsid w:val="003D04D6"/>
    <w:rsid w:val="003D04F6"/>
    <w:rsid w:val="003D0735"/>
    <w:rsid w:val="003D0DCF"/>
    <w:rsid w:val="003D1006"/>
    <w:rsid w:val="003D1230"/>
    <w:rsid w:val="003D12A5"/>
    <w:rsid w:val="003D18CC"/>
    <w:rsid w:val="003D1ACD"/>
    <w:rsid w:val="003D1E46"/>
    <w:rsid w:val="003D1EBD"/>
    <w:rsid w:val="003D20EC"/>
    <w:rsid w:val="003D24B5"/>
    <w:rsid w:val="003D261F"/>
    <w:rsid w:val="003D263A"/>
    <w:rsid w:val="003D285C"/>
    <w:rsid w:val="003D2BCC"/>
    <w:rsid w:val="003D2D09"/>
    <w:rsid w:val="003D2F48"/>
    <w:rsid w:val="003D2F93"/>
    <w:rsid w:val="003D2FAC"/>
    <w:rsid w:val="003D30DF"/>
    <w:rsid w:val="003D326A"/>
    <w:rsid w:val="003D3282"/>
    <w:rsid w:val="003D34E8"/>
    <w:rsid w:val="003D3583"/>
    <w:rsid w:val="003D366C"/>
    <w:rsid w:val="003D36D1"/>
    <w:rsid w:val="003D391E"/>
    <w:rsid w:val="003D3B6F"/>
    <w:rsid w:val="003D40E8"/>
    <w:rsid w:val="003D4268"/>
    <w:rsid w:val="003D455E"/>
    <w:rsid w:val="003D45B8"/>
    <w:rsid w:val="003D4CA1"/>
    <w:rsid w:val="003D4DCD"/>
    <w:rsid w:val="003D50E7"/>
    <w:rsid w:val="003D52E2"/>
    <w:rsid w:val="003D5785"/>
    <w:rsid w:val="003D5A2D"/>
    <w:rsid w:val="003D5A9D"/>
    <w:rsid w:val="003D5AD7"/>
    <w:rsid w:val="003D5BF9"/>
    <w:rsid w:val="003D62C0"/>
    <w:rsid w:val="003D6590"/>
    <w:rsid w:val="003D65F6"/>
    <w:rsid w:val="003D6906"/>
    <w:rsid w:val="003D6911"/>
    <w:rsid w:val="003D693F"/>
    <w:rsid w:val="003D6DB7"/>
    <w:rsid w:val="003D7458"/>
    <w:rsid w:val="003D7E4B"/>
    <w:rsid w:val="003E0035"/>
    <w:rsid w:val="003E05DD"/>
    <w:rsid w:val="003E0983"/>
    <w:rsid w:val="003E09FA"/>
    <w:rsid w:val="003E0C14"/>
    <w:rsid w:val="003E0D6F"/>
    <w:rsid w:val="003E0E65"/>
    <w:rsid w:val="003E0FBF"/>
    <w:rsid w:val="003E1591"/>
    <w:rsid w:val="003E1ACF"/>
    <w:rsid w:val="003E1DFB"/>
    <w:rsid w:val="003E216C"/>
    <w:rsid w:val="003E21B5"/>
    <w:rsid w:val="003E236E"/>
    <w:rsid w:val="003E259D"/>
    <w:rsid w:val="003E26BA"/>
    <w:rsid w:val="003E2906"/>
    <w:rsid w:val="003E2969"/>
    <w:rsid w:val="003E2C1A"/>
    <w:rsid w:val="003E2CB1"/>
    <w:rsid w:val="003E32EA"/>
    <w:rsid w:val="003E330F"/>
    <w:rsid w:val="003E333A"/>
    <w:rsid w:val="003E3478"/>
    <w:rsid w:val="003E3D14"/>
    <w:rsid w:val="003E3F67"/>
    <w:rsid w:val="003E3F85"/>
    <w:rsid w:val="003E4B3F"/>
    <w:rsid w:val="003E4CAC"/>
    <w:rsid w:val="003E4E74"/>
    <w:rsid w:val="003E4F5A"/>
    <w:rsid w:val="003E52F2"/>
    <w:rsid w:val="003E5F7D"/>
    <w:rsid w:val="003E6454"/>
    <w:rsid w:val="003E6520"/>
    <w:rsid w:val="003E659E"/>
    <w:rsid w:val="003E67E7"/>
    <w:rsid w:val="003E6B25"/>
    <w:rsid w:val="003E6B3C"/>
    <w:rsid w:val="003E6B78"/>
    <w:rsid w:val="003E6B95"/>
    <w:rsid w:val="003E70FF"/>
    <w:rsid w:val="003E71C3"/>
    <w:rsid w:val="003E77D9"/>
    <w:rsid w:val="003E7F1B"/>
    <w:rsid w:val="003F0A8A"/>
    <w:rsid w:val="003F0B41"/>
    <w:rsid w:val="003F1109"/>
    <w:rsid w:val="003F1150"/>
    <w:rsid w:val="003F1358"/>
    <w:rsid w:val="003F1798"/>
    <w:rsid w:val="003F188E"/>
    <w:rsid w:val="003F1E1E"/>
    <w:rsid w:val="003F1E39"/>
    <w:rsid w:val="003F229D"/>
    <w:rsid w:val="003F239F"/>
    <w:rsid w:val="003F25DF"/>
    <w:rsid w:val="003F25F0"/>
    <w:rsid w:val="003F2ADC"/>
    <w:rsid w:val="003F2D5B"/>
    <w:rsid w:val="003F33C4"/>
    <w:rsid w:val="003F3864"/>
    <w:rsid w:val="003F3B18"/>
    <w:rsid w:val="003F404C"/>
    <w:rsid w:val="003F41A7"/>
    <w:rsid w:val="003F451C"/>
    <w:rsid w:val="003F45C5"/>
    <w:rsid w:val="003F483B"/>
    <w:rsid w:val="003F4911"/>
    <w:rsid w:val="003F49AD"/>
    <w:rsid w:val="003F4FA5"/>
    <w:rsid w:val="003F529E"/>
    <w:rsid w:val="003F53D5"/>
    <w:rsid w:val="003F540D"/>
    <w:rsid w:val="003F541E"/>
    <w:rsid w:val="003F58C8"/>
    <w:rsid w:val="003F58DC"/>
    <w:rsid w:val="003F5AD2"/>
    <w:rsid w:val="003F5CA4"/>
    <w:rsid w:val="003F60FE"/>
    <w:rsid w:val="003F6A7B"/>
    <w:rsid w:val="003F6D50"/>
    <w:rsid w:val="003F7006"/>
    <w:rsid w:val="003F7028"/>
    <w:rsid w:val="003F7124"/>
    <w:rsid w:val="003F743B"/>
    <w:rsid w:val="003F7507"/>
    <w:rsid w:val="003F7698"/>
    <w:rsid w:val="003F7C72"/>
    <w:rsid w:val="003F7D10"/>
    <w:rsid w:val="0040002C"/>
    <w:rsid w:val="004000CE"/>
    <w:rsid w:val="00400244"/>
    <w:rsid w:val="00400479"/>
    <w:rsid w:val="00400909"/>
    <w:rsid w:val="00400B05"/>
    <w:rsid w:val="00400F54"/>
    <w:rsid w:val="00400F93"/>
    <w:rsid w:val="00401000"/>
    <w:rsid w:val="004016C6"/>
    <w:rsid w:val="004016C9"/>
    <w:rsid w:val="0040179A"/>
    <w:rsid w:val="004017A4"/>
    <w:rsid w:val="00401856"/>
    <w:rsid w:val="00401CF0"/>
    <w:rsid w:val="004020EA"/>
    <w:rsid w:val="004024B3"/>
    <w:rsid w:val="00402827"/>
    <w:rsid w:val="004028A2"/>
    <w:rsid w:val="00402928"/>
    <w:rsid w:val="00402A3A"/>
    <w:rsid w:val="00402FEB"/>
    <w:rsid w:val="00403344"/>
    <w:rsid w:val="0040349D"/>
    <w:rsid w:val="004038AA"/>
    <w:rsid w:val="00403A02"/>
    <w:rsid w:val="00403C82"/>
    <w:rsid w:val="00403D99"/>
    <w:rsid w:val="00403EC9"/>
    <w:rsid w:val="00403F0B"/>
    <w:rsid w:val="00404157"/>
    <w:rsid w:val="00404451"/>
    <w:rsid w:val="00404C44"/>
    <w:rsid w:val="00404EE8"/>
    <w:rsid w:val="00404F38"/>
    <w:rsid w:val="0040510D"/>
    <w:rsid w:val="0040512D"/>
    <w:rsid w:val="00405658"/>
    <w:rsid w:val="0040602F"/>
    <w:rsid w:val="004065D5"/>
    <w:rsid w:val="00406AFB"/>
    <w:rsid w:val="0040707B"/>
    <w:rsid w:val="0040727A"/>
    <w:rsid w:val="00407382"/>
    <w:rsid w:val="00407707"/>
    <w:rsid w:val="0040791B"/>
    <w:rsid w:val="0041001A"/>
    <w:rsid w:val="00410121"/>
    <w:rsid w:val="0041019A"/>
    <w:rsid w:val="00410258"/>
    <w:rsid w:val="0041047C"/>
    <w:rsid w:val="0041058E"/>
    <w:rsid w:val="00410AE2"/>
    <w:rsid w:val="00411106"/>
    <w:rsid w:val="00411436"/>
    <w:rsid w:val="004114E6"/>
    <w:rsid w:val="004117FA"/>
    <w:rsid w:val="00411958"/>
    <w:rsid w:val="00411B2A"/>
    <w:rsid w:val="00412973"/>
    <w:rsid w:val="00412998"/>
    <w:rsid w:val="00412AC8"/>
    <w:rsid w:val="00412B3E"/>
    <w:rsid w:val="00412D42"/>
    <w:rsid w:val="00412DA4"/>
    <w:rsid w:val="00412EB6"/>
    <w:rsid w:val="00412F4E"/>
    <w:rsid w:val="0041351F"/>
    <w:rsid w:val="0041359E"/>
    <w:rsid w:val="004136B7"/>
    <w:rsid w:val="004137C8"/>
    <w:rsid w:val="00413BF9"/>
    <w:rsid w:val="00413C25"/>
    <w:rsid w:val="00413C90"/>
    <w:rsid w:val="00414C2B"/>
    <w:rsid w:val="00414F3E"/>
    <w:rsid w:val="00415083"/>
    <w:rsid w:val="004154C7"/>
    <w:rsid w:val="00415531"/>
    <w:rsid w:val="00415594"/>
    <w:rsid w:val="00416165"/>
    <w:rsid w:val="00416330"/>
    <w:rsid w:val="00416663"/>
    <w:rsid w:val="004167F8"/>
    <w:rsid w:val="00416BE0"/>
    <w:rsid w:val="00416EDD"/>
    <w:rsid w:val="004170BF"/>
    <w:rsid w:val="0041723D"/>
    <w:rsid w:val="004173C9"/>
    <w:rsid w:val="004176C7"/>
    <w:rsid w:val="00417877"/>
    <w:rsid w:val="00417C0E"/>
    <w:rsid w:val="00417D7C"/>
    <w:rsid w:val="00417D9F"/>
    <w:rsid w:val="004200F9"/>
    <w:rsid w:val="00420229"/>
    <w:rsid w:val="00420C42"/>
    <w:rsid w:val="00420DBA"/>
    <w:rsid w:val="00421311"/>
    <w:rsid w:val="0042176D"/>
    <w:rsid w:val="00421A65"/>
    <w:rsid w:val="00421B58"/>
    <w:rsid w:val="00421E2E"/>
    <w:rsid w:val="00421E4A"/>
    <w:rsid w:val="004221D8"/>
    <w:rsid w:val="00422E13"/>
    <w:rsid w:val="00423045"/>
    <w:rsid w:val="004230E0"/>
    <w:rsid w:val="004232BF"/>
    <w:rsid w:val="0042350F"/>
    <w:rsid w:val="0042353A"/>
    <w:rsid w:val="00423599"/>
    <w:rsid w:val="0042384C"/>
    <w:rsid w:val="00423893"/>
    <w:rsid w:val="00423BC9"/>
    <w:rsid w:val="00423BE2"/>
    <w:rsid w:val="00423F5B"/>
    <w:rsid w:val="004242E3"/>
    <w:rsid w:val="00424ED9"/>
    <w:rsid w:val="00424F63"/>
    <w:rsid w:val="004253DE"/>
    <w:rsid w:val="004255B4"/>
    <w:rsid w:val="004256CA"/>
    <w:rsid w:val="00425BE7"/>
    <w:rsid w:val="004263A2"/>
    <w:rsid w:val="004265B2"/>
    <w:rsid w:val="00426766"/>
    <w:rsid w:val="004267D0"/>
    <w:rsid w:val="00426E36"/>
    <w:rsid w:val="004270E9"/>
    <w:rsid w:val="0042710E"/>
    <w:rsid w:val="004276E8"/>
    <w:rsid w:val="00427863"/>
    <w:rsid w:val="004279BF"/>
    <w:rsid w:val="004279CA"/>
    <w:rsid w:val="00427A82"/>
    <w:rsid w:val="00427B3D"/>
    <w:rsid w:val="00427B9F"/>
    <w:rsid w:val="00427D54"/>
    <w:rsid w:val="00427DE9"/>
    <w:rsid w:val="00427EA2"/>
    <w:rsid w:val="00427F1C"/>
    <w:rsid w:val="00427FF4"/>
    <w:rsid w:val="00430115"/>
    <w:rsid w:val="004303AF"/>
    <w:rsid w:val="004307B0"/>
    <w:rsid w:val="00430829"/>
    <w:rsid w:val="00430A4B"/>
    <w:rsid w:val="00430C97"/>
    <w:rsid w:val="00431075"/>
    <w:rsid w:val="0043162C"/>
    <w:rsid w:val="004316BD"/>
    <w:rsid w:val="00431940"/>
    <w:rsid w:val="00431B48"/>
    <w:rsid w:val="00431C46"/>
    <w:rsid w:val="00431CBB"/>
    <w:rsid w:val="00431DEA"/>
    <w:rsid w:val="004327D0"/>
    <w:rsid w:val="004327E6"/>
    <w:rsid w:val="004329DC"/>
    <w:rsid w:val="00432AC6"/>
    <w:rsid w:val="00432EA5"/>
    <w:rsid w:val="00432F6E"/>
    <w:rsid w:val="0043302C"/>
    <w:rsid w:val="00433063"/>
    <w:rsid w:val="0043351B"/>
    <w:rsid w:val="004337C2"/>
    <w:rsid w:val="00433D2D"/>
    <w:rsid w:val="004340B4"/>
    <w:rsid w:val="004341C6"/>
    <w:rsid w:val="00434304"/>
    <w:rsid w:val="00434741"/>
    <w:rsid w:val="00434779"/>
    <w:rsid w:val="004347B5"/>
    <w:rsid w:val="00434A74"/>
    <w:rsid w:val="00434BBB"/>
    <w:rsid w:val="00434C06"/>
    <w:rsid w:val="00434C5E"/>
    <w:rsid w:val="00434D09"/>
    <w:rsid w:val="00435765"/>
    <w:rsid w:val="00435913"/>
    <w:rsid w:val="00435E7B"/>
    <w:rsid w:val="00435F23"/>
    <w:rsid w:val="004360B6"/>
    <w:rsid w:val="004361DF"/>
    <w:rsid w:val="004362D3"/>
    <w:rsid w:val="004362E5"/>
    <w:rsid w:val="00436356"/>
    <w:rsid w:val="00436505"/>
    <w:rsid w:val="00436700"/>
    <w:rsid w:val="00436DE1"/>
    <w:rsid w:val="00437032"/>
    <w:rsid w:val="00437330"/>
    <w:rsid w:val="004374B0"/>
    <w:rsid w:val="004376C1"/>
    <w:rsid w:val="004377CF"/>
    <w:rsid w:val="00437CA6"/>
    <w:rsid w:val="00440586"/>
    <w:rsid w:val="00440722"/>
    <w:rsid w:val="0044098F"/>
    <w:rsid w:val="00441383"/>
    <w:rsid w:val="004413D2"/>
    <w:rsid w:val="00441DD4"/>
    <w:rsid w:val="004420BA"/>
    <w:rsid w:val="0044258C"/>
    <w:rsid w:val="004425D9"/>
    <w:rsid w:val="00443139"/>
    <w:rsid w:val="00443244"/>
    <w:rsid w:val="0044370C"/>
    <w:rsid w:val="004438DC"/>
    <w:rsid w:val="00443ACA"/>
    <w:rsid w:val="004442DD"/>
    <w:rsid w:val="0044463A"/>
    <w:rsid w:val="00444930"/>
    <w:rsid w:val="00444A3C"/>
    <w:rsid w:val="00444AA4"/>
    <w:rsid w:val="00444AF6"/>
    <w:rsid w:val="00444F2A"/>
    <w:rsid w:val="0044519D"/>
    <w:rsid w:val="00445544"/>
    <w:rsid w:val="00445693"/>
    <w:rsid w:val="004457D1"/>
    <w:rsid w:val="004457F2"/>
    <w:rsid w:val="00445C0B"/>
    <w:rsid w:val="00445D84"/>
    <w:rsid w:val="00446195"/>
    <w:rsid w:val="00446BE0"/>
    <w:rsid w:val="004474A8"/>
    <w:rsid w:val="004477A1"/>
    <w:rsid w:val="004477DA"/>
    <w:rsid w:val="00447CD0"/>
    <w:rsid w:val="00447FC2"/>
    <w:rsid w:val="004502F4"/>
    <w:rsid w:val="004506F4"/>
    <w:rsid w:val="004507D2"/>
    <w:rsid w:val="004509D1"/>
    <w:rsid w:val="00450A42"/>
    <w:rsid w:val="00450A66"/>
    <w:rsid w:val="00450E98"/>
    <w:rsid w:val="00451104"/>
    <w:rsid w:val="004513A5"/>
    <w:rsid w:val="0045173F"/>
    <w:rsid w:val="00451742"/>
    <w:rsid w:val="004518AE"/>
    <w:rsid w:val="00451C95"/>
    <w:rsid w:val="00451CA3"/>
    <w:rsid w:val="00451D50"/>
    <w:rsid w:val="004527D2"/>
    <w:rsid w:val="00452905"/>
    <w:rsid w:val="00452A4E"/>
    <w:rsid w:val="00452A6A"/>
    <w:rsid w:val="00452BDB"/>
    <w:rsid w:val="00452DC1"/>
    <w:rsid w:val="00452EC4"/>
    <w:rsid w:val="00453340"/>
    <w:rsid w:val="00453775"/>
    <w:rsid w:val="00453890"/>
    <w:rsid w:val="00453C58"/>
    <w:rsid w:val="00453C99"/>
    <w:rsid w:val="00453E99"/>
    <w:rsid w:val="00453FF3"/>
    <w:rsid w:val="004540CA"/>
    <w:rsid w:val="00454196"/>
    <w:rsid w:val="00454201"/>
    <w:rsid w:val="00454380"/>
    <w:rsid w:val="0045470C"/>
    <w:rsid w:val="004547C3"/>
    <w:rsid w:val="0045487E"/>
    <w:rsid w:val="0045488B"/>
    <w:rsid w:val="004549BC"/>
    <w:rsid w:val="00454DD1"/>
    <w:rsid w:val="00455054"/>
    <w:rsid w:val="004552C8"/>
    <w:rsid w:val="0045536C"/>
    <w:rsid w:val="0045569A"/>
    <w:rsid w:val="00455A07"/>
    <w:rsid w:val="00455AEB"/>
    <w:rsid w:val="0045603C"/>
    <w:rsid w:val="00456053"/>
    <w:rsid w:val="00456068"/>
    <w:rsid w:val="004566CC"/>
    <w:rsid w:val="00456896"/>
    <w:rsid w:val="00456A51"/>
    <w:rsid w:val="00456ADA"/>
    <w:rsid w:val="00456B0D"/>
    <w:rsid w:val="00456D21"/>
    <w:rsid w:val="00456DF4"/>
    <w:rsid w:val="00456E90"/>
    <w:rsid w:val="00457135"/>
    <w:rsid w:val="0045770D"/>
    <w:rsid w:val="004577F7"/>
    <w:rsid w:val="0045790F"/>
    <w:rsid w:val="004579B1"/>
    <w:rsid w:val="00457B53"/>
    <w:rsid w:val="00457D63"/>
    <w:rsid w:val="00457E21"/>
    <w:rsid w:val="00460077"/>
    <w:rsid w:val="0046007E"/>
    <w:rsid w:val="0046012E"/>
    <w:rsid w:val="0046024B"/>
    <w:rsid w:val="00460635"/>
    <w:rsid w:val="00460790"/>
    <w:rsid w:val="00460A0B"/>
    <w:rsid w:val="00460E36"/>
    <w:rsid w:val="00460F61"/>
    <w:rsid w:val="004610FF"/>
    <w:rsid w:val="00461155"/>
    <w:rsid w:val="004615D7"/>
    <w:rsid w:val="00461A1D"/>
    <w:rsid w:val="00461CE0"/>
    <w:rsid w:val="0046218C"/>
    <w:rsid w:val="004623D4"/>
    <w:rsid w:val="00463069"/>
    <w:rsid w:val="004632C5"/>
    <w:rsid w:val="004637B9"/>
    <w:rsid w:val="00463944"/>
    <w:rsid w:val="00463B54"/>
    <w:rsid w:val="00463DE4"/>
    <w:rsid w:val="00463DF8"/>
    <w:rsid w:val="00464573"/>
    <w:rsid w:val="0046502D"/>
    <w:rsid w:val="0046512A"/>
    <w:rsid w:val="00465234"/>
    <w:rsid w:val="00465992"/>
    <w:rsid w:val="00465B24"/>
    <w:rsid w:val="0046614B"/>
    <w:rsid w:val="0046618C"/>
    <w:rsid w:val="0046630B"/>
    <w:rsid w:val="004666A7"/>
    <w:rsid w:val="00466858"/>
    <w:rsid w:val="00466C9C"/>
    <w:rsid w:val="00466D0F"/>
    <w:rsid w:val="004670E7"/>
    <w:rsid w:val="00467326"/>
    <w:rsid w:val="00467544"/>
    <w:rsid w:val="004676A4"/>
    <w:rsid w:val="004676BA"/>
    <w:rsid w:val="0046784C"/>
    <w:rsid w:val="00467BE4"/>
    <w:rsid w:val="00467E2B"/>
    <w:rsid w:val="00467E45"/>
    <w:rsid w:val="00467ECB"/>
    <w:rsid w:val="00467FB5"/>
    <w:rsid w:val="004705B1"/>
    <w:rsid w:val="00470806"/>
    <w:rsid w:val="00470DD8"/>
    <w:rsid w:val="004710C3"/>
    <w:rsid w:val="00471459"/>
    <w:rsid w:val="0047190B"/>
    <w:rsid w:val="00471AE1"/>
    <w:rsid w:val="00471CDF"/>
    <w:rsid w:val="00471DD6"/>
    <w:rsid w:val="00472132"/>
    <w:rsid w:val="00472274"/>
    <w:rsid w:val="004722D4"/>
    <w:rsid w:val="00472446"/>
    <w:rsid w:val="004724C6"/>
    <w:rsid w:val="004728CC"/>
    <w:rsid w:val="00472AD0"/>
    <w:rsid w:val="00472D9C"/>
    <w:rsid w:val="00473110"/>
    <w:rsid w:val="004731FA"/>
    <w:rsid w:val="0047324C"/>
    <w:rsid w:val="004732D1"/>
    <w:rsid w:val="00473A06"/>
    <w:rsid w:val="00473B60"/>
    <w:rsid w:val="00473CAB"/>
    <w:rsid w:val="00473FC8"/>
    <w:rsid w:val="0047427E"/>
    <w:rsid w:val="00474535"/>
    <w:rsid w:val="00474982"/>
    <w:rsid w:val="00474BB4"/>
    <w:rsid w:val="00474BDF"/>
    <w:rsid w:val="00474CE6"/>
    <w:rsid w:val="00474FBA"/>
    <w:rsid w:val="004753ED"/>
    <w:rsid w:val="004755A7"/>
    <w:rsid w:val="004756A0"/>
    <w:rsid w:val="00475904"/>
    <w:rsid w:val="00475AFF"/>
    <w:rsid w:val="00475B4B"/>
    <w:rsid w:val="00475B81"/>
    <w:rsid w:val="00475D30"/>
    <w:rsid w:val="00475DA4"/>
    <w:rsid w:val="00476349"/>
    <w:rsid w:val="004765F4"/>
    <w:rsid w:val="00476624"/>
    <w:rsid w:val="00476B4D"/>
    <w:rsid w:val="00476CBC"/>
    <w:rsid w:val="00476E6C"/>
    <w:rsid w:val="00477282"/>
    <w:rsid w:val="004775DB"/>
    <w:rsid w:val="00477947"/>
    <w:rsid w:val="0048021D"/>
    <w:rsid w:val="0048067D"/>
    <w:rsid w:val="00480F3C"/>
    <w:rsid w:val="00480FA1"/>
    <w:rsid w:val="00481179"/>
    <w:rsid w:val="00481209"/>
    <w:rsid w:val="0048183A"/>
    <w:rsid w:val="00481AF8"/>
    <w:rsid w:val="00481B64"/>
    <w:rsid w:val="00481DD2"/>
    <w:rsid w:val="00481F5F"/>
    <w:rsid w:val="00481FD7"/>
    <w:rsid w:val="004821FD"/>
    <w:rsid w:val="00482D99"/>
    <w:rsid w:val="00482DE5"/>
    <w:rsid w:val="0048317F"/>
    <w:rsid w:val="00483266"/>
    <w:rsid w:val="00483377"/>
    <w:rsid w:val="004834B8"/>
    <w:rsid w:val="0048352E"/>
    <w:rsid w:val="004836A9"/>
    <w:rsid w:val="004836DB"/>
    <w:rsid w:val="0048382A"/>
    <w:rsid w:val="00483952"/>
    <w:rsid w:val="00483B23"/>
    <w:rsid w:val="004840D7"/>
    <w:rsid w:val="00484272"/>
    <w:rsid w:val="00484470"/>
    <w:rsid w:val="00484496"/>
    <w:rsid w:val="004844BF"/>
    <w:rsid w:val="004846F4"/>
    <w:rsid w:val="00484B7C"/>
    <w:rsid w:val="00484BB2"/>
    <w:rsid w:val="00484F13"/>
    <w:rsid w:val="00484F39"/>
    <w:rsid w:val="00485676"/>
    <w:rsid w:val="004859AB"/>
    <w:rsid w:val="00485B06"/>
    <w:rsid w:val="00485C26"/>
    <w:rsid w:val="00485EC0"/>
    <w:rsid w:val="00486851"/>
    <w:rsid w:val="0048685A"/>
    <w:rsid w:val="00486A51"/>
    <w:rsid w:val="00486E27"/>
    <w:rsid w:val="004871DA"/>
    <w:rsid w:val="0048745D"/>
    <w:rsid w:val="0048757C"/>
    <w:rsid w:val="004875E1"/>
    <w:rsid w:val="0048764B"/>
    <w:rsid w:val="00487B37"/>
    <w:rsid w:val="00487B76"/>
    <w:rsid w:val="00487C31"/>
    <w:rsid w:val="00487ED9"/>
    <w:rsid w:val="004903C3"/>
    <w:rsid w:val="00490636"/>
    <w:rsid w:val="004908B8"/>
    <w:rsid w:val="00490E0A"/>
    <w:rsid w:val="00490FF0"/>
    <w:rsid w:val="004910FE"/>
    <w:rsid w:val="00491198"/>
    <w:rsid w:val="004912B6"/>
    <w:rsid w:val="0049133B"/>
    <w:rsid w:val="0049137C"/>
    <w:rsid w:val="00491442"/>
    <w:rsid w:val="00491457"/>
    <w:rsid w:val="00491485"/>
    <w:rsid w:val="004914EB"/>
    <w:rsid w:val="00491796"/>
    <w:rsid w:val="004917E0"/>
    <w:rsid w:val="00491AF6"/>
    <w:rsid w:val="00491BF6"/>
    <w:rsid w:val="00491FED"/>
    <w:rsid w:val="00492757"/>
    <w:rsid w:val="00492863"/>
    <w:rsid w:val="0049287F"/>
    <w:rsid w:val="00492BFA"/>
    <w:rsid w:val="00492EE0"/>
    <w:rsid w:val="00492F82"/>
    <w:rsid w:val="004932D3"/>
    <w:rsid w:val="004936A4"/>
    <w:rsid w:val="00493CE6"/>
    <w:rsid w:val="00493EC4"/>
    <w:rsid w:val="00493FCF"/>
    <w:rsid w:val="00494161"/>
    <w:rsid w:val="004943C2"/>
    <w:rsid w:val="004948B3"/>
    <w:rsid w:val="004948E1"/>
    <w:rsid w:val="00494918"/>
    <w:rsid w:val="00494B3A"/>
    <w:rsid w:val="00494C65"/>
    <w:rsid w:val="00494E02"/>
    <w:rsid w:val="00494F0C"/>
    <w:rsid w:val="00495083"/>
    <w:rsid w:val="00495557"/>
    <w:rsid w:val="004958BA"/>
    <w:rsid w:val="0049618D"/>
    <w:rsid w:val="0049625E"/>
    <w:rsid w:val="004964EC"/>
    <w:rsid w:val="004965EF"/>
    <w:rsid w:val="0049694B"/>
    <w:rsid w:val="00496AF6"/>
    <w:rsid w:val="00496B76"/>
    <w:rsid w:val="0049719D"/>
    <w:rsid w:val="00497A8F"/>
    <w:rsid w:val="00497B00"/>
    <w:rsid w:val="00497BF4"/>
    <w:rsid w:val="00497FCD"/>
    <w:rsid w:val="004A03AD"/>
    <w:rsid w:val="004A0654"/>
    <w:rsid w:val="004A095C"/>
    <w:rsid w:val="004A0BE6"/>
    <w:rsid w:val="004A0D1E"/>
    <w:rsid w:val="004A0E66"/>
    <w:rsid w:val="004A0EEC"/>
    <w:rsid w:val="004A1179"/>
    <w:rsid w:val="004A12ED"/>
    <w:rsid w:val="004A130F"/>
    <w:rsid w:val="004A17EF"/>
    <w:rsid w:val="004A19EB"/>
    <w:rsid w:val="004A1BDA"/>
    <w:rsid w:val="004A2262"/>
    <w:rsid w:val="004A22DA"/>
    <w:rsid w:val="004A2533"/>
    <w:rsid w:val="004A2700"/>
    <w:rsid w:val="004A2B65"/>
    <w:rsid w:val="004A33D2"/>
    <w:rsid w:val="004A36C8"/>
    <w:rsid w:val="004A3721"/>
    <w:rsid w:val="004A3742"/>
    <w:rsid w:val="004A37B8"/>
    <w:rsid w:val="004A3CC2"/>
    <w:rsid w:val="004A3D50"/>
    <w:rsid w:val="004A3ED3"/>
    <w:rsid w:val="004A3F37"/>
    <w:rsid w:val="004A3FB1"/>
    <w:rsid w:val="004A437F"/>
    <w:rsid w:val="004A47BC"/>
    <w:rsid w:val="004A48C5"/>
    <w:rsid w:val="004A4AC6"/>
    <w:rsid w:val="004A4B27"/>
    <w:rsid w:val="004A4DF1"/>
    <w:rsid w:val="004A4E2E"/>
    <w:rsid w:val="004A6264"/>
    <w:rsid w:val="004A656D"/>
    <w:rsid w:val="004A6B4B"/>
    <w:rsid w:val="004A6C26"/>
    <w:rsid w:val="004A72E7"/>
    <w:rsid w:val="004A73CE"/>
    <w:rsid w:val="004A781B"/>
    <w:rsid w:val="004A7BBA"/>
    <w:rsid w:val="004A7FAB"/>
    <w:rsid w:val="004B0017"/>
    <w:rsid w:val="004B01FB"/>
    <w:rsid w:val="004B0EFA"/>
    <w:rsid w:val="004B1104"/>
    <w:rsid w:val="004B1199"/>
    <w:rsid w:val="004B16C4"/>
    <w:rsid w:val="004B1867"/>
    <w:rsid w:val="004B234C"/>
    <w:rsid w:val="004B254E"/>
    <w:rsid w:val="004B2788"/>
    <w:rsid w:val="004B2A64"/>
    <w:rsid w:val="004B2D6E"/>
    <w:rsid w:val="004B2F46"/>
    <w:rsid w:val="004B3438"/>
    <w:rsid w:val="004B3514"/>
    <w:rsid w:val="004B3884"/>
    <w:rsid w:val="004B4154"/>
    <w:rsid w:val="004B41BA"/>
    <w:rsid w:val="004B41DA"/>
    <w:rsid w:val="004B4342"/>
    <w:rsid w:val="004B44CE"/>
    <w:rsid w:val="004B470D"/>
    <w:rsid w:val="004B4764"/>
    <w:rsid w:val="004B4846"/>
    <w:rsid w:val="004B4E77"/>
    <w:rsid w:val="004B4FFF"/>
    <w:rsid w:val="004B5325"/>
    <w:rsid w:val="004B5394"/>
    <w:rsid w:val="004B53B3"/>
    <w:rsid w:val="004B5BDD"/>
    <w:rsid w:val="004B5EA1"/>
    <w:rsid w:val="004B5F79"/>
    <w:rsid w:val="004B6A05"/>
    <w:rsid w:val="004B6CB1"/>
    <w:rsid w:val="004B6E9E"/>
    <w:rsid w:val="004B6F83"/>
    <w:rsid w:val="004B7211"/>
    <w:rsid w:val="004B797A"/>
    <w:rsid w:val="004B7BA1"/>
    <w:rsid w:val="004B7C29"/>
    <w:rsid w:val="004B7CF3"/>
    <w:rsid w:val="004B7DEF"/>
    <w:rsid w:val="004C0023"/>
    <w:rsid w:val="004C00A4"/>
    <w:rsid w:val="004C02A4"/>
    <w:rsid w:val="004C069A"/>
    <w:rsid w:val="004C06E5"/>
    <w:rsid w:val="004C085A"/>
    <w:rsid w:val="004C1255"/>
    <w:rsid w:val="004C1430"/>
    <w:rsid w:val="004C19E7"/>
    <w:rsid w:val="004C1B7D"/>
    <w:rsid w:val="004C1C2C"/>
    <w:rsid w:val="004C1DE3"/>
    <w:rsid w:val="004C1E3C"/>
    <w:rsid w:val="004C24DF"/>
    <w:rsid w:val="004C25F0"/>
    <w:rsid w:val="004C26DD"/>
    <w:rsid w:val="004C282D"/>
    <w:rsid w:val="004C2B5D"/>
    <w:rsid w:val="004C2D68"/>
    <w:rsid w:val="004C2E93"/>
    <w:rsid w:val="004C2F56"/>
    <w:rsid w:val="004C339D"/>
    <w:rsid w:val="004C33CB"/>
    <w:rsid w:val="004C33E8"/>
    <w:rsid w:val="004C3480"/>
    <w:rsid w:val="004C39EF"/>
    <w:rsid w:val="004C3EE0"/>
    <w:rsid w:val="004C3FFB"/>
    <w:rsid w:val="004C4068"/>
    <w:rsid w:val="004C4307"/>
    <w:rsid w:val="004C4309"/>
    <w:rsid w:val="004C484A"/>
    <w:rsid w:val="004C49E3"/>
    <w:rsid w:val="004C4E8A"/>
    <w:rsid w:val="004C4F1B"/>
    <w:rsid w:val="004C5143"/>
    <w:rsid w:val="004C514A"/>
    <w:rsid w:val="004C517F"/>
    <w:rsid w:val="004C5DF5"/>
    <w:rsid w:val="004C6148"/>
    <w:rsid w:val="004C6361"/>
    <w:rsid w:val="004C645A"/>
    <w:rsid w:val="004C6572"/>
    <w:rsid w:val="004C6AA2"/>
    <w:rsid w:val="004C6CE6"/>
    <w:rsid w:val="004C6D4F"/>
    <w:rsid w:val="004C6EF3"/>
    <w:rsid w:val="004C6F35"/>
    <w:rsid w:val="004C7224"/>
    <w:rsid w:val="004C7541"/>
    <w:rsid w:val="004D09DA"/>
    <w:rsid w:val="004D13D6"/>
    <w:rsid w:val="004D1E71"/>
    <w:rsid w:val="004D2034"/>
    <w:rsid w:val="004D27BC"/>
    <w:rsid w:val="004D2848"/>
    <w:rsid w:val="004D289A"/>
    <w:rsid w:val="004D2CDF"/>
    <w:rsid w:val="004D2FB1"/>
    <w:rsid w:val="004D3182"/>
    <w:rsid w:val="004D32EE"/>
    <w:rsid w:val="004D33CE"/>
    <w:rsid w:val="004D364F"/>
    <w:rsid w:val="004D3BC8"/>
    <w:rsid w:val="004D3DFA"/>
    <w:rsid w:val="004D446C"/>
    <w:rsid w:val="004D4AAE"/>
    <w:rsid w:val="004D50AD"/>
    <w:rsid w:val="004D63B1"/>
    <w:rsid w:val="004D77B7"/>
    <w:rsid w:val="004D7C86"/>
    <w:rsid w:val="004E011E"/>
    <w:rsid w:val="004E0168"/>
    <w:rsid w:val="004E0197"/>
    <w:rsid w:val="004E0452"/>
    <w:rsid w:val="004E0625"/>
    <w:rsid w:val="004E0931"/>
    <w:rsid w:val="004E0BDB"/>
    <w:rsid w:val="004E1050"/>
    <w:rsid w:val="004E1122"/>
    <w:rsid w:val="004E1409"/>
    <w:rsid w:val="004E1658"/>
    <w:rsid w:val="004E16CD"/>
    <w:rsid w:val="004E1721"/>
    <w:rsid w:val="004E1741"/>
    <w:rsid w:val="004E177E"/>
    <w:rsid w:val="004E184D"/>
    <w:rsid w:val="004E1A87"/>
    <w:rsid w:val="004E1B5B"/>
    <w:rsid w:val="004E1BB0"/>
    <w:rsid w:val="004E1E37"/>
    <w:rsid w:val="004E1F94"/>
    <w:rsid w:val="004E26DF"/>
    <w:rsid w:val="004E27C4"/>
    <w:rsid w:val="004E2A72"/>
    <w:rsid w:val="004E2ABD"/>
    <w:rsid w:val="004E2BEA"/>
    <w:rsid w:val="004E2E4B"/>
    <w:rsid w:val="004E3030"/>
    <w:rsid w:val="004E3311"/>
    <w:rsid w:val="004E36A5"/>
    <w:rsid w:val="004E38EC"/>
    <w:rsid w:val="004E3933"/>
    <w:rsid w:val="004E3F78"/>
    <w:rsid w:val="004E419F"/>
    <w:rsid w:val="004E4301"/>
    <w:rsid w:val="004E4469"/>
    <w:rsid w:val="004E4549"/>
    <w:rsid w:val="004E47DE"/>
    <w:rsid w:val="004E47DF"/>
    <w:rsid w:val="004E4A64"/>
    <w:rsid w:val="004E4C83"/>
    <w:rsid w:val="004E4D53"/>
    <w:rsid w:val="004E4D84"/>
    <w:rsid w:val="004E4EBC"/>
    <w:rsid w:val="004E5104"/>
    <w:rsid w:val="004E51DC"/>
    <w:rsid w:val="004E52B4"/>
    <w:rsid w:val="004E57BE"/>
    <w:rsid w:val="004E5B06"/>
    <w:rsid w:val="004E5CD0"/>
    <w:rsid w:val="004E5D07"/>
    <w:rsid w:val="004E5E8E"/>
    <w:rsid w:val="004E5FA8"/>
    <w:rsid w:val="004E6139"/>
    <w:rsid w:val="004E684C"/>
    <w:rsid w:val="004E6BDB"/>
    <w:rsid w:val="004E6E50"/>
    <w:rsid w:val="004E6F78"/>
    <w:rsid w:val="004E6FF1"/>
    <w:rsid w:val="004E72A1"/>
    <w:rsid w:val="004E76DB"/>
    <w:rsid w:val="004E781B"/>
    <w:rsid w:val="004F130D"/>
    <w:rsid w:val="004F146F"/>
    <w:rsid w:val="004F15B3"/>
    <w:rsid w:val="004F181C"/>
    <w:rsid w:val="004F1822"/>
    <w:rsid w:val="004F1D5F"/>
    <w:rsid w:val="004F1F90"/>
    <w:rsid w:val="004F1FE3"/>
    <w:rsid w:val="004F2222"/>
    <w:rsid w:val="004F2401"/>
    <w:rsid w:val="004F244C"/>
    <w:rsid w:val="004F271E"/>
    <w:rsid w:val="004F2981"/>
    <w:rsid w:val="004F2A44"/>
    <w:rsid w:val="004F2BB3"/>
    <w:rsid w:val="004F2DAD"/>
    <w:rsid w:val="004F3396"/>
    <w:rsid w:val="004F34F7"/>
    <w:rsid w:val="004F3E30"/>
    <w:rsid w:val="004F4201"/>
    <w:rsid w:val="004F4301"/>
    <w:rsid w:val="004F453C"/>
    <w:rsid w:val="004F4A2D"/>
    <w:rsid w:val="004F4A6F"/>
    <w:rsid w:val="004F4C16"/>
    <w:rsid w:val="004F4D43"/>
    <w:rsid w:val="004F4E0E"/>
    <w:rsid w:val="004F4FCF"/>
    <w:rsid w:val="004F55D4"/>
    <w:rsid w:val="004F55D6"/>
    <w:rsid w:val="004F565A"/>
    <w:rsid w:val="004F571B"/>
    <w:rsid w:val="004F5E27"/>
    <w:rsid w:val="004F64EB"/>
    <w:rsid w:val="004F669F"/>
    <w:rsid w:val="004F68B0"/>
    <w:rsid w:val="004F6A4C"/>
    <w:rsid w:val="004F7A1B"/>
    <w:rsid w:val="004F7A74"/>
    <w:rsid w:val="004F7F79"/>
    <w:rsid w:val="00500195"/>
    <w:rsid w:val="00500250"/>
    <w:rsid w:val="00500264"/>
    <w:rsid w:val="005002DB"/>
    <w:rsid w:val="0050067B"/>
    <w:rsid w:val="00500824"/>
    <w:rsid w:val="00500A50"/>
    <w:rsid w:val="00500C38"/>
    <w:rsid w:val="00500DAB"/>
    <w:rsid w:val="00500DF6"/>
    <w:rsid w:val="0050112A"/>
    <w:rsid w:val="00501144"/>
    <w:rsid w:val="005011CD"/>
    <w:rsid w:val="005013EF"/>
    <w:rsid w:val="005016CC"/>
    <w:rsid w:val="005017D7"/>
    <w:rsid w:val="0050192F"/>
    <w:rsid w:val="005019E0"/>
    <w:rsid w:val="00501EF4"/>
    <w:rsid w:val="00501F65"/>
    <w:rsid w:val="0050211F"/>
    <w:rsid w:val="005022E7"/>
    <w:rsid w:val="005025A2"/>
    <w:rsid w:val="00502A93"/>
    <w:rsid w:val="00502B00"/>
    <w:rsid w:val="00502B6C"/>
    <w:rsid w:val="00502F35"/>
    <w:rsid w:val="005030B5"/>
    <w:rsid w:val="005033C7"/>
    <w:rsid w:val="00503658"/>
    <w:rsid w:val="00503ADF"/>
    <w:rsid w:val="00503BAB"/>
    <w:rsid w:val="005042F4"/>
    <w:rsid w:val="005044C7"/>
    <w:rsid w:val="00504578"/>
    <w:rsid w:val="00504923"/>
    <w:rsid w:val="005054B6"/>
    <w:rsid w:val="0050575B"/>
    <w:rsid w:val="0050581A"/>
    <w:rsid w:val="00505A7F"/>
    <w:rsid w:val="00506026"/>
    <w:rsid w:val="00506083"/>
    <w:rsid w:val="005068D6"/>
    <w:rsid w:val="0050697B"/>
    <w:rsid w:val="00506B86"/>
    <w:rsid w:val="00506C39"/>
    <w:rsid w:val="00506E8C"/>
    <w:rsid w:val="00506EEC"/>
    <w:rsid w:val="00506FD4"/>
    <w:rsid w:val="005070DF"/>
    <w:rsid w:val="005071E9"/>
    <w:rsid w:val="0050765C"/>
    <w:rsid w:val="005077B7"/>
    <w:rsid w:val="00507AD0"/>
    <w:rsid w:val="005100C0"/>
    <w:rsid w:val="005107FB"/>
    <w:rsid w:val="005107FF"/>
    <w:rsid w:val="00510920"/>
    <w:rsid w:val="00510CBC"/>
    <w:rsid w:val="00510E22"/>
    <w:rsid w:val="0051102D"/>
    <w:rsid w:val="005110D9"/>
    <w:rsid w:val="005112A5"/>
    <w:rsid w:val="005114E8"/>
    <w:rsid w:val="0051158C"/>
    <w:rsid w:val="005115A3"/>
    <w:rsid w:val="00511F48"/>
    <w:rsid w:val="00512448"/>
    <w:rsid w:val="0051253A"/>
    <w:rsid w:val="0051266C"/>
    <w:rsid w:val="005128F4"/>
    <w:rsid w:val="00512E8B"/>
    <w:rsid w:val="00513126"/>
    <w:rsid w:val="00513671"/>
    <w:rsid w:val="00513B72"/>
    <w:rsid w:val="00513D05"/>
    <w:rsid w:val="00513E20"/>
    <w:rsid w:val="00514000"/>
    <w:rsid w:val="00514AB9"/>
    <w:rsid w:val="00515277"/>
    <w:rsid w:val="005158C2"/>
    <w:rsid w:val="00515A7B"/>
    <w:rsid w:val="00515E80"/>
    <w:rsid w:val="005164D3"/>
    <w:rsid w:val="00516570"/>
    <w:rsid w:val="00516688"/>
    <w:rsid w:val="005167B8"/>
    <w:rsid w:val="00516820"/>
    <w:rsid w:val="005169DE"/>
    <w:rsid w:val="00516C16"/>
    <w:rsid w:val="0051730B"/>
    <w:rsid w:val="0051754D"/>
    <w:rsid w:val="005176CD"/>
    <w:rsid w:val="005176F0"/>
    <w:rsid w:val="0051785D"/>
    <w:rsid w:val="00517913"/>
    <w:rsid w:val="0051791E"/>
    <w:rsid w:val="0052005F"/>
    <w:rsid w:val="00520200"/>
    <w:rsid w:val="005203B7"/>
    <w:rsid w:val="0052046E"/>
    <w:rsid w:val="00520734"/>
    <w:rsid w:val="00520C2E"/>
    <w:rsid w:val="00520E2D"/>
    <w:rsid w:val="00520F04"/>
    <w:rsid w:val="00520FB3"/>
    <w:rsid w:val="00521118"/>
    <w:rsid w:val="005213D3"/>
    <w:rsid w:val="00521518"/>
    <w:rsid w:val="00521717"/>
    <w:rsid w:val="00521BAE"/>
    <w:rsid w:val="00521BEC"/>
    <w:rsid w:val="0052205E"/>
    <w:rsid w:val="005224B2"/>
    <w:rsid w:val="00522628"/>
    <w:rsid w:val="00522B7D"/>
    <w:rsid w:val="00523B23"/>
    <w:rsid w:val="00523CEF"/>
    <w:rsid w:val="00523DFA"/>
    <w:rsid w:val="005242A3"/>
    <w:rsid w:val="005242E0"/>
    <w:rsid w:val="00524992"/>
    <w:rsid w:val="00524DCF"/>
    <w:rsid w:val="005254BC"/>
    <w:rsid w:val="005256FC"/>
    <w:rsid w:val="005259AE"/>
    <w:rsid w:val="005259FA"/>
    <w:rsid w:val="00525D50"/>
    <w:rsid w:val="0052615B"/>
    <w:rsid w:val="00526C27"/>
    <w:rsid w:val="00526DFF"/>
    <w:rsid w:val="00526EA3"/>
    <w:rsid w:val="0052701B"/>
    <w:rsid w:val="00527473"/>
    <w:rsid w:val="00527B58"/>
    <w:rsid w:val="00527BAE"/>
    <w:rsid w:val="00527EF9"/>
    <w:rsid w:val="00530023"/>
    <w:rsid w:val="0053040A"/>
    <w:rsid w:val="00530515"/>
    <w:rsid w:val="005305FF"/>
    <w:rsid w:val="00530AFF"/>
    <w:rsid w:val="00530C9B"/>
    <w:rsid w:val="00530F4A"/>
    <w:rsid w:val="005310CF"/>
    <w:rsid w:val="00531122"/>
    <w:rsid w:val="00531433"/>
    <w:rsid w:val="0053146A"/>
    <w:rsid w:val="00531841"/>
    <w:rsid w:val="0053202E"/>
    <w:rsid w:val="00532334"/>
    <w:rsid w:val="005324AF"/>
    <w:rsid w:val="00532503"/>
    <w:rsid w:val="005326F3"/>
    <w:rsid w:val="00532B87"/>
    <w:rsid w:val="00532F27"/>
    <w:rsid w:val="005333F5"/>
    <w:rsid w:val="005335BF"/>
    <w:rsid w:val="00533C90"/>
    <w:rsid w:val="00533CF6"/>
    <w:rsid w:val="0053402C"/>
    <w:rsid w:val="00534090"/>
    <w:rsid w:val="00534440"/>
    <w:rsid w:val="00534515"/>
    <w:rsid w:val="005345A0"/>
    <w:rsid w:val="0053464D"/>
    <w:rsid w:val="00534717"/>
    <w:rsid w:val="00534780"/>
    <w:rsid w:val="005349D0"/>
    <w:rsid w:val="00534ABA"/>
    <w:rsid w:val="0053522F"/>
    <w:rsid w:val="00535503"/>
    <w:rsid w:val="00535575"/>
    <w:rsid w:val="00535C32"/>
    <w:rsid w:val="00535DDA"/>
    <w:rsid w:val="00535E5D"/>
    <w:rsid w:val="00535FFF"/>
    <w:rsid w:val="0053616F"/>
    <w:rsid w:val="00536478"/>
    <w:rsid w:val="00536557"/>
    <w:rsid w:val="005366B6"/>
    <w:rsid w:val="0053680A"/>
    <w:rsid w:val="0053688A"/>
    <w:rsid w:val="005368AD"/>
    <w:rsid w:val="00537052"/>
    <w:rsid w:val="005370BC"/>
    <w:rsid w:val="0053715B"/>
    <w:rsid w:val="005373CC"/>
    <w:rsid w:val="00537B35"/>
    <w:rsid w:val="00537DA7"/>
    <w:rsid w:val="00537DE7"/>
    <w:rsid w:val="00537EC4"/>
    <w:rsid w:val="00537F27"/>
    <w:rsid w:val="00537FE4"/>
    <w:rsid w:val="0054027D"/>
    <w:rsid w:val="0054067E"/>
    <w:rsid w:val="0054078E"/>
    <w:rsid w:val="0054085B"/>
    <w:rsid w:val="00541222"/>
    <w:rsid w:val="00541279"/>
    <w:rsid w:val="00541675"/>
    <w:rsid w:val="00541863"/>
    <w:rsid w:val="005418C9"/>
    <w:rsid w:val="00541A8D"/>
    <w:rsid w:val="00541B13"/>
    <w:rsid w:val="0054265A"/>
    <w:rsid w:val="00542C9A"/>
    <w:rsid w:val="00543476"/>
    <w:rsid w:val="00543558"/>
    <w:rsid w:val="005435AE"/>
    <w:rsid w:val="005436A3"/>
    <w:rsid w:val="005438D4"/>
    <w:rsid w:val="00543F19"/>
    <w:rsid w:val="00544011"/>
    <w:rsid w:val="00544DA0"/>
    <w:rsid w:val="005454BD"/>
    <w:rsid w:val="00545735"/>
    <w:rsid w:val="005457E4"/>
    <w:rsid w:val="00545B91"/>
    <w:rsid w:val="005462D7"/>
    <w:rsid w:val="005463D6"/>
    <w:rsid w:val="0054682D"/>
    <w:rsid w:val="00546A2B"/>
    <w:rsid w:val="00546C49"/>
    <w:rsid w:val="00546C53"/>
    <w:rsid w:val="005471AD"/>
    <w:rsid w:val="00547D1C"/>
    <w:rsid w:val="00547DC8"/>
    <w:rsid w:val="00547F98"/>
    <w:rsid w:val="00547FE0"/>
    <w:rsid w:val="0055010B"/>
    <w:rsid w:val="005501BC"/>
    <w:rsid w:val="005506B3"/>
    <w:rsid w:val="0055095F"/>
    <w:rsid w:val="00550D59"/>
    <w:rsid w:val="0055110D"/>
    <w:rsid w:val="00551869"/>
    <w:rsid w:val="0055188E"/>
    <w:rsid w:val="00551F81"/>
    <w:rsid w:val="0055210F"/>
    <w:rsid w:val="005524F4"/>
    <w:rsid w:val="00552CD7"/>
    <w:rsid w:val="00552FF7"/>
    <w:rsid w:val="0055326E"/>
    <w:rsid w:val="00553379"/>
    <w:rsid w:val="005533BE"/>
    <w:rsid w:val="005533E0"/>
    <w:rsid w:val="00553415"/>
    <w:rsid w:val="005535A3"/>
    <w:rsid w:val="00553784"/>
    <w:rsid w:val="00553D62"/>
    <w:rsid w:val="00553EC5"/>
    <w:rsid w:val="00554147"/>
    <w:rsid w:val="00554B30"/>
    <w:rsid w:val="00554F86"/>
    <w:rsid w:val="00554FFB"/>
    <w:rsid w:val="00555224"/>
    <w:rsid w:val="00555344"/>
    <w:rsid w:val="00556573"/>
    <w:rsid w:val="005568DE"/>
    <w:rsid w:val="005568EE"/>
    <w:rsid w:val="00556A5E"/>
    <w:rsid w:val="00556D72"/>
    <w:rsid w:val="0055710F"/>
    <w:rsid w:val="0055758C"/>
    <w:rsid w:val="00557B4C"/>
    <w:rsid w:val="00557C50"/>
    <w:rsid w:val="005605BB"/>
    <w:rsid w:val="005606B6"/>
    <w:rsid w:val="005608D6"/>
    <w:rsid w:val="00560A3B"/>
    <w:rsid w:val="00560C02"/>
    <w:rsid w:val="00560D52"/>
    <w:rsid w:val="00560E84"/>
    <w:rsid w:val="00560F19"/>
    <w:rsid w:val="00561253"/>
    <w:rsid w:val="00561786"/>
    <w:rsid w:val="00561794"/>
    <w:rsid w:val="0056180D"/>
    <w:rsid w:val="005619B7"/>
    <w:rsid w:val="00561E6B"/>
    <w:rsid w:val="005621D2"/>
    <w:rsid w:val="005621E0"/>
    <w:rsid w:val="005626A4"/>
    <w:rsid w:val="00562904"/>
    <w:rsid w:val="00562914"/>
    <w:rsid w:val="00562A73"/>
    <w:rsid w:val="00562D90"/>
    <w:rsid w:val="005631BB"/>
    <w:rsid w:val="00563317"/>
    <w:rsid w:val="0056337C"/>
    <w:rsid w:val="00563A23"/>
    <w:rsid w:val="00563A5A"/>
    <w:rsid w:val="00563C61"/>
    <w:rsid w:val="00563ECB"/>
    <w:rsid w:val="00563F47"/>
    <w:rsid w:val="00563FC0"/>
    <w:rsid w:val="005640BB"/>
    <w:rsid w:val="005642B2"/>
    <w:rsid w:val="005646D6"/>
    <w:rsid w:val="00564C23"/>
    <w:rsid w:val="00564FD2"/>
    <w:rsid w:val="00565106"/>
    <w:rsid w:val="00565333"/>
    <w:rsid w:val="00565406"/>
    <w:rsid w:val="00565570"/>
    <w:rsid w:val="00565605"/>
    <w:rsid w:val="005657DD"/>
    <w:rsid w:val="00565A62"/>
    <w:rsid w:val="00565B29"/>
    <w:rsid w:val="00565E3A"/>
    <w:rsid w:val="00566438"/>
    <w:rsid w:val="005664CC"/>
    <w:rsid w:val="0056664B"/>
    <w:rsid w:val="00566792"/>
    <w:rsid w:val="00566CB8"/>
    <w:rsid w:val="00567588"/>
    <w:rsid w:val="00567992"/>
    <w:rsid w:val="00567C3C"/>
    <w:rsid w:val="00567FBE"/>
    <w:rsid w:val="0057008A"/>
    <w:rsid w:val="005702F8"/>
    <w:rsid w:val="005703BB"/>
    <w:rsid w:val="00570D53"/>
    <w:rsid w:val="0057104C"/>
    <w:rsid w:val="00571231"/>
    <w:rsid w:val="0057123D"/>
    <w:rsid w:val="00571315"/>
    <w:rsid w:val="0057140E"/>
    <w:rsid w:val="0057175A"/>
    <w:rsid w:val="00571767"/>
    <w:rsid w:val="00571E44"/>
    <w:rsid w:val="0057203B"/>
    <w:rsid w:val="00572367"/>
    <w:rsid w:val="00572779"/>
    <w:rsid w:val="00572B30"/>
    <w:rsid w:val="00572E9F"/>
    <w:rsid w:val="00572FC6"/>
    <w:rsid w:val="0057300B"/>
    <w:rsid w:val="00573026"/>
    <w:rsid w:val="00573134"/>
    <w:rsid w:val="005733CA"/>
    <w:rsid w:val="00573985"/>
    <w:rsid w:val="00573AF3"/>
    <w:rsid w:val="00573CCD"/>
    <w:rsid w:val="00573E61"/>
    <w:rsid w:val="005740B8"/>
    <w:rsid w:val="0057411B"/>
    <w:rsid w:val="00574171"/>
    <w:rsid w:val="00574499"/>
    <w:rsid w:val="00574525"/>
    <w:rsid w:val="005746F7"/>
    <w:rsid w:val="00574778"/>
    <w:rsid w:val="0057498F"/>
    <w:rsid w:val="00574DE9"/>
    <w:rsid w:val="00575663"/>
    <w:rsid w:val="00575B23"/>
    <w:rsid w:val="00575CB7"/>
    <w:rsid w:val="00575DF4"/>
    <w:rsid w:val="0057613D"/>
    <w:rsid w:val="0057650F"/>
    <w:rsid w:val="00576D54"/>
    <w:rsid w:val="00576F1A"/>
    <w:rsid w:val="0057765D"/>
    <w:rsid w:val="005777FC"/>
    <w:rsid w:val="00577845"/>
    <w:rsid w:val="0057796B"/>
    <w:rsid w:val="00577C04"/>
    <w:rsid w:val="0058083D"/>
    <w:rsid w:val="005808EB"/>
    <w:rsid w:val="00580AF1"/>
    <w:rsid w:val="00580D37"/>
    <w:rsid w:val="00580EC8"/>
    <w:rsid w:val="005810F1"/>
    <w:rsid w:val="00581381"/>
    <w:rsid w:val="005813FF"/>
    <w:rsid w:val="005817ED"/>
    <w:rsid w:val="0058193E"/>
    <w:rsid w:val="00581B5F"/>
    <w:rsid w:val="00581C9E"/>
    <w:rsid w:val="00581FA0"/>
    <w:rsid w:val="00582368"/>
    <w:rsid w:val="00582ABA"/>
    <w:rsid w:val="00582B90"/>
    <w:rsid w:val="00582E20"/>
    <w:rsid w:val="005830D5"/>
    <w:rsid w:val="00583134"/>
    <w:rsid w:val="005831A7"/>
    <w:rsid w:val="00583321"/>
    <w:rsid w:val="0058341E"/>
    <w:rsid w:val="00583511"/>
    <w:rsid w:val="005838F8"/>
    <w:rsid w:val="00583B60"/>
    <w:rsid w:val="00583B9E"/>
    <w:rsid w:val="00584452"/>
    <w:rsid w:val="00584496"/>
    <w:rsid w:val="00584734"/>
    <w:rsid w:val="0058481D"/>
    <w:rsid w:val="005848DF"/>
    <w:rsid w:val="00584A1A"/>
    <w:rsid w:val="00584B82"/>
    <w:rsid w:val="00584F3A"/>
    <w:rsid w:val="0058519A"/>
    <w:rsid w:val="005852FF"/>
    <w:rsid w:val="005853AB"/>
    <w:rsid w:val="00585748"/>
    <w:rsid w:val="005859C5"/>
    <w:rsid w:val="00585C79"/>
    <w:rsid w:val="00585CE6"/>
    <w:rsid w:val="00585DD7"/>
    <w:rsid w:val="00585FB0"/>
    <w:rsid w:val="00585FD0"/>
    <w:rsid w:val="00586144"/>
    <w:rsid w:val="005863AB"/>
    <w:rsid w:val="005866AD"/>
    <w:rsid w:val="005866B3"/>
    <w:rsid w:val="0058689B"/>
    <w:rsid w:val="00586915"/>
    <w:rsid w:val="00586CD5"/>
    <w:rsid w:val="00586D2A"/>
    <w:rsid w:val="00587009"/>
    <w:rsid w:val="00587143"/>
    <w:rsid w:val="005872B7"/>
    <w:rsid w:val="0058769F"/>
    <w:rsid w:val="00587785"/>
    <w:rsid w:val="0058788D"/>
    <w:rsid w:val="005878AD"/>
    <w:rsid w:val="00587913"/>
    <w:rsid w:val="00587994"/>
    <w:rsid w:val="00587CCE"/>
    <w:rsid w:val="00587D2C"/>
    <w:rsid w:val="00587E29"/>
    <w:rsid w:val="00587FE6"/>
    <w:rsid w:val="005901D5"/>
    <w:rsid w:val="0059040D"/>
    <w:rsid w:val="00590668"/>
    <w:rsid w:val="0059096C"/>
    <w:rsid w:val="00591223"/>
    <w:rsid w:val="00591382"/>
    <w:rsid w:val="00591698"/>
    <w:rsid w:val="00591D83"/>
    <w:rsid w:val="005920CC"/>
    <w:rsid w:val="005928F7"/>
    <w:rsid w:val="0059293F"/>
    <w:rsid w:val="00593171"/>
    <w:rsid w:val="00593291"/>
    <w:rsid w:val="00593B08"/>
    <w:rsid w:val="00593B87"/>
    <w:rsid w:val="00593C1C"/>
    <w:rsid w:val="00593E94"/>
    <w:rsid w:val="00594143"/>
    <w:rsid w:val="005941EF"/>
    <w:rsid w:val="00594543"/>
    <w:rsid w:val="00594612"/>
    <w:rsid w:val="00594B32"/>
    <w:rsid w:val="005955C9"/>
    <w:rsid w:val="00595873"/>
    <w:rsid w:val="005958C8"/>
    <w:rsid w:val="00595C1D"/>
    <w:rsid w:val="00595CDD"/>
    <w:rsid w:val="005964BB"/>
    <w:rsid w:val="005966E1"/>
    <w:rsid w:val="005967E0"/>
    <w:rsid w:val="00596A2D"/>
    <w:rsid w:val="00596A70"/>
    <w:rsid w:val="00596BD3"/>
    <w:rsid w:val="00596BE7"/>
    <w:rsid w:val="00596C3E"/>
    <w:rsid w:val="005974F3"/>
    <w:rsid w:val="00597567"/>
    <w:rsid w:val="005977DD"/>
    <w:rsid w:val="0059781C"/>
    <w:rsid w:val="005A04BD"/>
    <w:rsid w:val="005A0815"/>
    <w:rsid w:val="005A0A3F"/>
    <w:rsid w:val="005A0BA2"/>
    <w:rsid w:val="005A1024"/>
    <w:rsid w:val="005A10EA"/>
    <w:rsid w:val="005A114F"/>
    <w:rsid w:val="005A12D4"/>
    <w:rsid w:val="005A1914"/>
    <w:rsid w:val="005A1A3E"/>
    <w:rsid w:val="005A1F49"/>
    <w:rsid w:val="005A2364"/>
    <w:rsid w:val="005A2480"/>
    <w:rsid w:val="005A2589"/>
    <w:rsid w:val="005A25B3"/>
    <w:rsid w:val="005A25CD"/>
    <w:rsid w:val="005A2658"/>
    <w:rsid w:val="005A2B2C"/>
    <w:rsid w:val="005A2D6B"/>
    <w:rsid w:val="005A3200"/>
    <w:rsid w:val="005A3252"/>
    <w:rsid w:val="005A33F7"/>
    <w:rsid w:val="005A359E"/>
    <w:rsid w:val="005A40CF"/>
    <w:rsid w:val="005A456E"/>
    <w:rsid w:val="005A4A9C"/>
    <w:rsid w:val="005A4BAE"/>
    <w:rsid w:val="005A4F39"/>
    <w:rsid w:val="005A509F"/>
    <w:rsid w:val="005A556F"/>
    <w:rsid w:val="005A55C9"/>
    <w:rsid w:val="005A566B"/>
    <w:rsid w:val="005A56B4"/>
    <w:rsid w:val="005A574D"/>
    <w:rsid w:val="005A5797"/>
    <w:rsid w:val="005A5B5C"/>
    <w:rsid w:val="005A5FB2"/>
    <w:rsid w:val="005A642C"/>
    <w:rsid w:val="005A6BE2"/>
    <w:rsid w:val="005A6DCC"/>
    <w:rsid w:val="005A6E93"/>
    <w:rsid w:val="005A707A"/>
    <w:rsid w:val="005A7340"/>
    <w:rsid w:val="005A791C"/>
    <w:rsid w:val="005A79E3"/>
    <w:rsid w:val="005A7D17"/>
    <w:rsid w:val="005A7F93"/>
    <w:rsid w:val="005B0026"/>
    <w:rsid w:val="005B023E"/>
    <w:rsid w:val="005B047F"/>
    <w:rsid w:val="005B075F"/>
    <w:rsid w:val="005B07EA"/>
    <w:rsid w:val="005B08F9"/>
    <w:rsid w:val="005B0982"/>
    <w:rsid w:val="005B0B20"/>
    <w:rsid w:val="005B0BD6"/>
    <w:rsid w:val="005B0C21"/>
    <w:rsid w:val="005B0EFB"/>
    <w:rsid w:val="005B1060"/>
    <w:rsid w:val="005B12B9"/>
    <w:rsid w:val="005B145D"/>
    <w:rsid w:val="005B151D"/>
    <w:rsid w:val="005B15DA"/>
    <w:rsid w:val="005B17C1"/>
    <w:rsid w:val="005B1AF9"/>
    <w:rsid w:val="005B1B86"/>
    <w:rsid w:val="005B2CEA"/>
    <w:rsid w:val="005B2FAA"/>
    <w:rsid w:val="005B2FDC"/>
    <w:rsid w:val="005B3317"/>
    <w:rsid w:val="005B3737"/>
    <w:rsid w:val="005B398E"/>
    <w:rsid w:val="005B3A42"/>
    <w:rsid w:val="005B3BE1"/>
    <w:rsid w:val="005B4372"/>
    <w:rsid w:val="005B43E2"/>
    <w:rsid w:val="005B4F03"/>
    <w:rsid w:val="005B58BB"/>
    <w:rsid w:val="005B599B"/>
    <w:rsid w:val="005B5CFF"/>
    <w:rsid w:val="005B5D40"/>
    <w:rsid w:val="005B5EFB"/>
    <w:rsid w:val="005B5EFC"/>
    <w:rsid w:val="005B5FC0"/>
    <w:rsid w:val="005B6105"/>
    <w:rsid w:val="005B6408"/>
    <w:rsid w:val="005B6412"/>
    <w:rsid w:val="005B652A"/>
    <w:rsid w:val="005B6698"/>
    <w:rsid w:val="005B68A7"/>
    <w:rsid w:val="005B6A9E"/>
    <w:rsid w:val="005B6AC3"/>
    <w:rsid w:val="005B6ED3"/>
    <w:rsid w:val="005B6F44"/>
    <w:rsid w:val="005B6F82"/>
    <w:rsid w:val="005B7034"/>
    <w:rsid w:val="005B71BF"/>
    <w:rsid w:val="005B7C1A"/>
    <w:rsid w:val="005B7D88"/>
    <w:rsid w:val="005C02E7"/>
    <w:rsid w:val="005C055E"/>
    <w:rsid w:val="005C05EF"/>
    <w:rsid w:val="005C0B16"/>
    <w:rsid w:val="005C0DB1"/>
    <w:rsid w:val="005C0FA1"/>
    <w:rsid w:val="005C1615"/>
    <w:rsid w:val="005C172E"/>
    <w:rsid w:val="005C19EB"/>
    <w:rsid w:val="005C1D98"/>
    <w:rsid w:val="005C1DA5"/>
    <w:rsid w:val="005C2070"/>
    <w:rsid w:val="005C231A"/>
    <w:rsid w:val="005C2557"/>
    <w:rsid w:val="005C2559"/>
    <w:rsid w:val="005C261E"/>
    <w:rsid w:val="005C2873"/>
    <w:rsid w:val="005C28C5"/>
    <w:rsid w:val="005C28F7"/>
    <w:rsid w:val="005C29D5"/>
    <w:rsid w:val="005C2BC9"/>
    <w:rsid w:val="005C2D94"/>
    <w:rsid w:val="005C301C"/>
    <w:rsid w:val="005C33CC"/>
    <w:rsid w:val="005C34FC"/>
    <w:rsid w:val="005C35C7"/>
    <w:rsid w:val="005C391E"/>
    <w:rsid w:val="005C39FE"/>
    <w:rsid w:val="005C3B5C"/>
    <w:rsid w:val="005C3C7F"/>
    <w:rsid w:val="005C3FE4"/>
    <w:rsid w:val="005C4035"/>
    <w:rsid w:val="005C43ED"/>
    <w:rsid w:val="005C4438"/>
    <w:rsid w:val="005C4574"/>
    <w:rsid w:val="005C488C"/>
    <w:rsid w:val="005C48CB"/>
    <w:rsid w:val="005C4EDA"/>
    <w:rsid w:val="005C4FB4"/>
    <w:rsid w:val="005C5072"/>
    <w:rsid w:val="005C5143"/>
    <w:rsid w:val="005C5639"/>
    <w:rsid w:val="005C5742"/>
    <w:rsid w:val="005C5BC4"/>
    <w:rsid w:val="005C5BCF"/>
    <w:rsid w:val="005C5BE0"/>
    <w:rsid w:val="005C5DD9"/>
    <w:rsid w:val="005C6170"/>
    <w:rsid w:val="005C6CA5"/>
    <w:rsid w:val="005C703A"/>
    <w:rsid w:val="005C71D3"/>
    <w:rsid w:val="005C73F2"/>
    <w:rsid w:val="005C760E"/>
    <w:rsid w:val="005C7615"/>
    <w:rsid w:val="005C796C"/>
    <w:rsid w:val="005C7E72"/>
    <w:rsid w:val="005C7E9E"/>
    <w:rsid w:val="005D0EF2"/>
    <w:rsid w:val="005D1039"/>
    <w:rsid w:val="005D10B5"/>
    <w:rsid w:val="005D1261"/>
    <w:rsid w:val="005D1295"/>
    <w:rsid w:val="005D17D2"/>
    <w:rsid w:val="005D18C9"/>
    <w:rsid w:val="005D191A"/>
    <w:rsid w:val="005D1B72"/>
    <w:rsid w:val="005D2118"/>
    <w:rsid w:val="005D211A"/>
    <w:rsid w:val="005D2471"/>
    <w:rsid w:val="005D25A3"/>
    <w:rsid w:val="005D2779"/>
    <w:rsid w:val="005D3242"/>
    <w:rsid w:val="005D346A"/>
    <w:rsid w:val="005D3A8E"/>
    <w:rsid w:val="005D3F6E"/>
    <w:rsid w:val="005D4175"/>
    <w:rsid w:val="005D42AD"/>
    <w:rsid w:val="005D4936"/>
    <w:rsid w:val="005D49E3"/>
    <w:rsid w:val="005D4C77"/>
    <w:rsid w:val="005D5E45"/>
    <w:rsid w:val="005D5EEF"/>
    <w:rsid w:val="005D5F55"/>
    <w:rsid w:val="005D5FDD"/>
    <w:rsid w:val="005D610C"/>
    <w:rsid w:val="005D6300"/>
    <w:rsid w:val="005D660E"/>
    <w:rsid w:val="005D710D"/>
    <w:rsid w:val="005D7148"/>
    <w:rsid w:val="005D71D9"/>
    <w:rsid w:val="005D735C"/>
    <w:rsid w:val="005D74E7"/>
    <w:rsid w:val="005D7AB4"/>
    <w:rsid w:val="005D7C64"/>
    <w:rsid w:val="005D7F7B"/>
    <w:rsid w:val="005E03A3"/>
    <w:rsid w:val="005E043A"/>
    <w:rsid w:val="005E0637"/>
    <w:rsid w:val="005E1180"/>
    <w:rsid w:val="005E118B"/>
    <w:rsid w:val="005E1C0A"/>
    <w:rsid w:val="005E1D91"/>
    <w:rsid w:val="005E1E87"/>
    <w:rsid w:val="005E1EC5"/>
    <w:rsid w:val="005E207F"/>
    <w:rsid w:val="005E23EF"/>
    <w:rsid w:val="005E2855"/>
    <w:rsid w:val="005E2BD7"/>
    <w:rsid w:val="005E307C"/>
    <w:rsid w:val="005E3BCB"/>
    <w:rsid w:val="005E3BCD"/>
    <w:rsid w:val="005E4A87"/>
    <w:rsid w:val="005E4DA5"/>
    <w:rsid w:val="005E4FEE"/>
    <w:rsid w:val="005E503E"/>
    <w:rsid w:val="005E5157"/>
    <w:rsid w:val="005E576E"/>
    <w:rsid w:val="005E59C7"/>
    <w:rsid w:val="005E5E7B"/>
    <w:rsid w:val="005E6095"/>
    <w:rsid w:val="005E62F1"/>
    <w:rsid w:val="005E630D"/>
    <w:rsid w:val="005E672E"/>
    <w:rsid w:val="005E6A3F"/>
    <w:rsid w:val="005E6D81"/>
    <w:rsid w:val="005E6DB8"/>
    <w:rsid w:val="005E7117"/>
    <w:rsid w:val="005E7228"/>
    <w:rsid w:val="005E7284"/>
    <w:rsid w:val="005E75FC"/>
    <w:rsid w:val="005E7BAC"/>
    <w:rsid w:val="005E7D3F"/>
    <w:rsid w:val="005E7D42"/>
    <w:rsid w:val="005F0023"/>
    <w:rsid w:val="005F0606"/>
    <w:rsid w:val="005F0D94"/>
    <w:rsid w:val="005F0E5C"/>
    <w:rsid w:val="005F134E"/>
    <w:rsid w:val="005F1365"/>
    <w:rsid w:val="005F1499"/>
    <w:rsid w:val="005F17D2"/>
    <w:rsid w:val="005F1ACF"/>
    <w:rsid w:val="005F1D99"/>
    <w:rsid w:val="005F2146"/>
    <w:rsid w:val="005F222B"/>
    <w:rsid w:val="005F25CA"/>
    <w:rsid w:val="005F2691"/>
    <w:rsid w:val="005F2766"/>
    <w:rsid w:val="005F28E6"/>
    <w:rsid w:val="005F2B37"/>
    <w:rsid w:val="005F2C1F"/>
    <w:rsid w:val="005F2E44"/>
    <w:rsid w:val="005F2E62"/>
    <w:rsid w:val="005F33CF"/>
    <w:rsid w:val="005F355A"/>
    <w:rsid w:val="005F3690"/>
    <w:rsid w:val="005F3986"/>
    <w:rsid w:val="005F39F4"/>
    <w:rsid w:val="005F4381"/>
    <w:rsid w:val="005F488A"/>
    <w:rsid w:val="005F48B5"/>
    <w:rsid w:val="005F4B2D"/>
    <w:rsid w:val="005F4C57"/>
    <w:rsid w:val="005F4D83"/>
    <w:rsid w:val="005F51F0"/>
    <w:rsid w:val="005F5B97"/>
    <w:rsid w:val="005F66A4"/>
    <w:rsid w:val="005F6774"/>
    <w:rsid w:val="005F6D36"/>
    <w:rsid w:val="005F755A"/>
    <w:rsid w:val="005F762C"/>
    <w:rsid w:val="005F78A8"/>
    <w:rsid w:val="005F79AA"/>
    <w:rsid w:val="0060044B"/>
    <w:rsid w:val="006006D0"/>
    <w:rsid w:val="00600FA0"/>
    <w:rsid w:val="006013D7"/>
    <w:rsid w:val="006014DB"/>
    <w:rsid w:val="00601587"/>
    <w:rsid w:val="006015B9"/>
    <w:rsid w:val="006017A7"/>
    <w:rsid w:val="00601B04"/>
    <w:rsid w:val="00601D2E"/>
    <w:rsid w:val="00602079"/>
    <w:rsid w:val="006022F3"/>
    <w:rsid w:val="00602579"/>
    <w:rsid w:val="00602BA4"/>
    <w:rsid w:val="00602D2C"/>
    <w:rsid w:val="00602DA2"/>
    <w:rsid w:val="00602FF4"/>
    <w:rsid w:val="00603228"/>
    <w:rsid w:val="00603400"/>
    <w:rsid w:val="0060361C"/>
    <w:rsid w:val="0060449F"/>
    <w:rsid w:val="0060453B"/>
    <w:rsid w:val="006049D8"/>
    <w:rsid w:val="00604ACD"/>
    <w:rsid w:val="00604C15"/>
    <w:rsid w:val="00604C67"/>
    <w:rsid w:val="00604DC2"/>
    <w:rsid w:val="00604F1C"/>
    <w:rsid w:val="00604FEA"/>
    <w:rsid w:val="006055BA"/>
    <w:rsid w:val="00605665"/>
    <w:rsid w:val="00605712"/>
    <w:rsid w:val="0060585B"/>
    <w:rsid w:val="00605A56"/>
    <w:rsid w:val="006060C4"/>
    <w:rsid w:val="006067AA"/>
    <w:rsid w:val="00606A28"/>
    <w:rsid w:val="0060711C"/>
    <w:rsid w:val="00607529"/>
    <w:rsid w:val="00607778"/>
    <w:rsid w:val="0060791A"/>
    <w:rsid w:val="006079C2"/>
    <w:rsid w:val="00607C05"/>
    <w:rsid w:val="00607C35"/>
    <w:rsid w:val="006104F4"/>
    <w:rsid w:val="00610541"/>
    <w:rsid w:val="006106AE"/>
    <w:rsid w:val="00610866"/>
    <w:rsid w:val="006108EC"/>
    <w:rsid w:val="00610E61"/>
    <w:rsid w:val="006116F3"/>
    <w:rsid w:val="00611777"/>
    <w:rsid w:val="0061189F"/>
    <w:rsid w:val="006119C5"/>
    <w:rsid w:val="0061219B"/>
    <w:rsid w:val="00612894"/>
    <w:rsid w:val="00612B23"/>
    <w:rsid w:val="00612C42"/>
    <w:rsid w:val="00612C65"/>
    <w:rsid w:val="00612D05"/>
    <w:rsid w:val="00613993"/>
    <w:rsid w:val="00613DCD"/>
    <w:rsid w:val="00613E37"/>
    <w:rsid w:val="00613F90"/>
    <w:rsid w:val="00613FB6"/>
    <w:rsid w:val="006140C6"/>
    <w:rsid w:val="00614134"/>
    <w:rsid w:val="00614241"/>
    <w:rsid w:val="0061428D"/>
    <w:rsid w:val="00614ED1"/>
    <w:rsid w:val="00614F0C"/>
    <w:rsid w:val="00614FEC"/>
    <w:rsid w:val="00615252"/>
    <w:rsid w:val="00615411"/>
    <w:rsid w:val="0061564F"/>
    <w:rsid w:val="00615898"/>
    <w:rsid w:val="0061599E"/>
    <w:rsid w:val="00615AC7"/>
    <w:rsid w:val="00615EBA"/>
    <w:rsid w:val="006160D7"/>
    <w:rsid w:val="006162E6"/>
    <w:rsid w:val="00616839"/>
    <w:rsid w:val="006168FE"/>
    <w:rsid w:val="0061690A"/>
    <w:rsid w:val="0061701C"/>
    <w:rsid w:val="006170F3"/>
    <w:rsid w:val="006170F8"/>
    <w:rsid w:val="006171A1"/>
    <w:rsid w:val="006171A5"/>
    <w:rsid w:val="00617268"/>
    <w:rsid w:val="006173FB"/>
    <w:rsid w:val="0061744A"/>
    <w:rsid w:val="0061778F"/>
    <w:rsid w:val="00617AFD"/>
    <w:rsid w:val="0062020B"/>
    <w:rsid w:val="00620309"/>
    <w:rsid w:val="006208FC"/>
    <w:rsid w:val="00620F92"/>
    <w:rsid w:val="0062104A"/>
    <w:rsid w:val="006210F3"/>
    <w:rsid w:val="0062159D"/>
    <w:rsid w:val="00621680"/>
    <w:rsid w:val="00621EC5"/>
    <w:rsid w:val="00621F35"/>
    <w:rsid w:val="00622191"/>
    <w:rsid w:val="006221CF"/>
    <w:rsid w:val="006223E0"/>
    <w:rsid w:val="006224D0"/>
    <w:rsid w:val="006226A3"/>
    <w:rsid w:val="00622A0F"/>
    <w:rsid w:val="00622B1B"/>
    <w:rsid w:val="00622BCE"/>
    <w:rsid w:val="00622E29"/>
    <w:rsid w:val="00623643"/>
    <w:rsid w:val="0062381D"/>
    <w:rsid w:val="00623AE9"/>
    <w:rsid w:val="00623E82"/>
    <w:rsid w:val="00624018"/>
    <w:rsid w:val="00624057"/>
    <w:rsid w:val="006240C4"/>
    <w:rsid w:val="006247AB"/>
    <w:rsid w:val="00624B3C"/>
    <w:rsid w:val="00624C08"/>
    <w:rsid w:val="00624E90"/>
    <w:rsid w:val="0062508C"/>
    <w:rsid w:val="006252C2"/>
    <w:rsid w:val="00625304"/>
    <w:rsid w:val="00625487"/>
    <w:rsid w:val="0062581B"/>
    <w:rsid w:val="00625D30"/>
    <w:rsid w:val="00625E3F"/>
    <w:rsid w:val="00625E99"/>
    <w:rsid w:val="0062617A"/>
    <w:rsid w:val="006261EF"/>
    <w:rsid w:val="006261F4"/>
    <w:rsid w:val="00626A49"/>
    <w:rsid w:val="00630E05"/>
    <w:rsid w:val="00630EE2"/>
    <w:rsid w:val="00631626"/>
    <w:rsid w:val="0063164E"/>
    <w:rsid w:val="0063191D"/>
    <w:rsid w:val="00631EAF"/>
    <w:rsid w:val="006329FB"/>
    <w:rsid w:val="00632C02"/>
    <w:rsid w:val="00632D5D"/>
    <w:rsid w:val="00633488"/>
    <w:rsid w:val="00633581"/>
    <w:rsid w:val="006339AF"/>
    <w:rsid w:val="00633C47"/>
    <w:rsid w:val="00634547"/>
    <w:rsid w:val="006346E8"/>
    <w:rsid w:val="006348A1"/>
    <w:rsid w:val="006348F7"/>
    <w:rsid w:val="00634D01"/>
    <w:rsid w:val="00634F1A"/>
    <w:rsid w:val="0063512D"/>
    <w:rsid w:val="006352D9"/>
    <w:rsid w:val="00635352"/>
    <w:rsid w:val="006358FB"/>
    <w:rsid w:val="00635AE2"/>
    <w:rsid w:val="00635E1E"/>
    <w:rsid w:val="0063677C"/>
    <w:rsid w:val="00636972"/>
    <w:rsid w:val="00636B69"/>
    <w:rsid w:val="00636BC2"/>
    <w:rsid w:val="00637386"/>
    <w:rsid w:val="0063759E"/>
    <w:rsid w:val="00637923"/>
    <w:rsid w:val="00637AB5"/>
    <w:rsid w:val="00637B72"/>
    <w:rsid w:val="00637F8A"/>
    <w:rsid w:val="006404B1"/>
    <w:rsid w:val="006404D1"/>
    <w:rsid w:val="00640A01"/>
    <w:rsid w:val="00640BC2"/>
    <w:rsid w:val="00640F43"/>
    <w:rsid w:val="00641174"/>
    <w:rsid w:val="006412CA"/>
    <w:rsid w:val="00641476"/>
    <w:rsid w:val="006417E2"/>
    <w:rsid w:val="00641D57"/>
    <w:rsid w:val="00641E4C"/>
    <w:rsid w:val="00641FA6"/>
    <w:rsid w:val="006420DA"/>
    <w:rsid w:val="0064216B"/>
    <w:rsid w:val="00642A08"/>
    <w:rsid w:val="00642A0A"/>
    <w:rsid w:val="00642C7F"/>
    <w:rsid w:val="00642F06"/>
    <w:rsid w:val="00642F70"/>
    <w:rsid w:val="00642F7A"/>
    <w:rsid w:val="00642FD7"/>
    <w:rsid w:val="006434E0"/>
    <w:rsid w:val="00643838"/>
    <w:rsid w:val="00643AC1"/>
    <w:rsid w:val="00643D62"/>
    <w:rsid w:val="00643E07"/>
    <w:rsid w:val="006440C1"/>
    <w:rsid w:val="00644A5E"/>
    <w:rsid w:val="00644A6C"/>
    <w:rsid w:val="00644B9E"/>
    <w:rsid w:val="00644D69"/>
    <w:rsid w:val="0064551F"/>
    <w:rsid w:val="006457A8"/>
    <w:rsid w:val="00645AD7"/>
    <w:rsid w:val="00645CD7"/>
    <w:rsid w:val="00645D73"/>
    <w:rsid w:val="00645E61"/>
    <w:rsid w:val="00645EA0"/>
    <w:rsid w:val="00645F32"/>
    <w:rsid w:val="00645F76"/>
    <w:rsid w:val="0064639E"/>
    <w:rsid w:val="0064697F"/>
    <w:rsid w:val="00646992"/>
    <w:rsid w:val="00646AB0"/>
    <w:rsid w:val="00646E12"/>
    <w:rsid w:val="00646EB0"/>
    <w:rsid w:val="00646EE7"/>
    <w:rsid w:val="0064714D"/>
    <w:rsid w:val="0064727D"/>
    <w:rsid w:val="006473CE"/>
    <w:rsid w:val="006477FD"/>
    <w:rsid w:val="00647B32"/>
    <w:rsid w:val="00647C27"/>
    <w:rsid w:val="00647DA7"/>
    <w:rsid w:val="006500D6"/>
    <w:rsid w:val="00650D5B"/>
    <w:rsid w:val="00650EB5"/>
    <w:rsid w:val="00650F02"/>
    <w:rsid w:val="00650F3A"/>
    <w:rsid w:val="0065113A"/>
    <w:rsid w:val="006517A2"/>
    <w:rsid w:val="006519E6"/>
    <w:rsid w:val="00651CC4"/>
    <w:rsid w:val="00651CDE"/>
    <w:rsid w:val="00652326"/>
    <w:rsid w:val="006524F6"/>
    <w:rsid w:val="00652621"/>
    <w:rsid w:val="00652907"/>
    <w:rsid w:val="006529B9"/>
    <w:rsid w:val="00652E06"/>
    <w:rsid w:val="00652E21"/>
    <w:rsid w:val="0065346A"/>
    <w:rsid w:val="00653987"/>
    <w:rsid w:val="00653D60"/>
    <w:rsid w:val="00653DD0"/>
    <w:rsid w:val="00653E18"/>
    <w:rsid w:val="00653FC4"/>
    <w:rsid w:val="00654178"/>
    <w:rsid w:val="006541A7"/>
    <w:rsid w:val="006541B1"/>
    <w:rsid w:val="006543E9"/>
    <w:rsid w:val="0065457A"/>
    <w:rsid w:val="00654818"/>
    <w:rsid w:val="00654A61"/>
    <w:rsid w:val="00654F91"/>
    <w:rsid w:val="00655160"/>
    <w:rsid w:val="006551D6"/>
    <w:rsid w:val="006551EA"/>
    <w:rsid w:val="00655361"/>
    <w:rsid w:val="006559FC"/>
    <w:rsid w:val="0065621A"/>
    <w:rsid w:val="00656253"/>
    <w:rsid w:val="00656799"/>
    <w:rsid w:val="00656B77"/>
    <w:rsid w:val="00656E72"/>
    <w:rsid w:val="0065703A"/>
    <w:rsid w:val="006578A1"/>
    <w:rsid w:val="00657B63"/>
    <w:rsid w:val="00657D30"/>
    <w:rsid w:val="00657E7D"/>
    <w:rsid w:val="00660452"/>
    <w:rsid w:val="0066073C"/>
    <w:rsid w:val="00660CA7"/>
    <w:rsid w:val="0066137B"/>
    <w:rsid w:val="00661629"/>
    <w:rsid w:val="0066174E"/>
    <w:rsid w:val="00661BBB"/>
    <w:rsid w:val="00661E57"/>
    <w:rsid w:val="00661FBE"/>
    <w:rsid w:val="006620C0"/>
    <w:rsid w:val="00662420"/>
    <w:rsid w:val="006626A4"/>
    <w:rsid w:val="0066281C"/>
    <w:rsid w:val="006629E4"/>
    <w:rsid w:val="00662EC5"/>
    <w:rsid w:val="0066352E"/>
    <w:rsid w:val="00663783"/>
    <w:rsid w:val="00663AE6"/>
    <w:rsid w:val="00663E47"/>
    <w:rsid w:val="00663E79"/>
    <w:rsid w:val="0066403B"/>
    <w:rsid w:val="006642CD"/>
    <w:rsid w:val="006644A7"/>
    <w:rsid w:val="00664559"/>
    <w:rsid w:val="00664748"/>
    <w:rsid w:val="00664A9E"/>
    <w:rsid w:val="00664AA7"/>
    <w:rsid w:val="00664B75"/>
    <w:rsid w:val="00664B7C"/>
    <w:rsid w:val="00664BDE"/>
    <w:rsid w:val="00664C4A"/>
    <w:rsid w:val="00664CCE"/>
    <w:rsid w:val="00665111"/>
    <w:rsid w:val="006651EA"/>
    <w:rsid w:val="0066565B"/>
    <w:rsid w:val="006657C3"/>
    <w:rsid w:val="00665989"/>
    <w:rsid w:val="00665C44"/>
    <w:rsid w:val="00665F3B"/>
    <w:rsid w:val="00665FF4"/>
    <w:rsid w:val="00666284"/>
    <w:rsid w:val="00666741"/>
    <w:rsid w:val="006667F3"/>
    <w:rsid w:val="00666E05"/>
    <w:rsid w:val="00666E23"/>
    <w:rsid w:val="006675B7"/>
    <w:rsid w:val="006679ED"/>
    <w:rsid w:val="00667AEA"/>
    <w:rsid w:val="00667E4C"/>
    <w:rsid w:val="00670305"/>
    <w:rsid w:val="006704FA"/>
    <w:rsid w:val="00670680"/>
    <w:rsid w:val="00670687"/>
    <w:rsid w:val="00670D9B"/>
    <w:rsid w:val="00670DC5"/>
    <w:rsid w:val="00671652"/>
    <w:rsid w:val="00671803"/>
    <w:rsid w:val="0067188D"/>
    <w:rsid w:val="00671A8F"/>
    <w:rsid w:val="00671DAA"/>
    <w:rsid w:val="00671FAA"/>
    <w:rsid w:val="00672084"/>
    <w:rsid w:val="006729A5"/>
    <w:rsid w:val="00672B9F"/>
    <w:rsid w:val="00672EDC"/>
    <w:rsid w:val="00673242"/>
    <w:rsid w:val="006734D0"/>
    <w:rsid w:val="00673537"/>
    <w:rsid w:val="006735C1"/>
    <w:rsid w:val="006739FA"/>
    <w:rsid w:val="0067439A"/>
    <w:rsid w:val="00674582"/>
    <w:rsid w:val="00674940"/>
    <w:rsid w:val="006749A9"/>
    <w:rsid w:val="00674A33"/>
    <w:rsid w:val="00674D4A"/>
    <w:rsid w:val="00674E3F"/>
    <w:rsid w:val="00674EFA"/>
    <w:rsid w:val="00674F22"/>
    <w:rsid w:val="00674F2D"/>
    <w:rsid w:val="0067516C"/>
    <w:rsid w:val="00675312"/>
    <w:rsid w:val="00675578"/>
    <w:rsid w:val="00675A75"/>
    <w:rsid w:val="00675DA5"/>
    <w:rsid w:val="00676296"/>
    <w:rsid w:val="006767A8"/>
    <w:rsid w:val="006767BF"/>
    <w:rsid w:val="00676808"/>
    <w:rsid w:val="006769EE"/>
    <w:rsid w:val="00676AF6"/>
    <w:rsid w:val="00676CD2"/>
    <w:rsid w:val="00677752"/>
    <w:rsid w:val="00677778"/>
    <w:rsid w:val="006777E7"/>
    <w:rsid w:val="00677A7C"/>
    <w:rsid w:val="00677B6A"/>
    <w:rsid w:val="006803E6"/>
    <w:rsid w:val="00680482"/>
    <w:rsid w:val="006808DC"/>
    <w:rsid w:val="0068094B"/>
    <w:rsid w:val="00680CF2"/>
    <w:rsid w:val="00680EB7"/>
    <w:rsid w:val="006811FE"/>
    <w:rsid w:val="0068147B"/>
    <w:rsid w:val="00681600"/>
    <w:rsid w:val="00681648"/>
    <w:rsid w:val="006816B6"/>
    <w:rsid w:val="00681BAC"/>
    <w:rsid w:val="00681CD8"/>
    <w:rsid w:val="006820EB"/>
    <w:rsid w:val="00682128"/>
    <w:rsid w:val="006821BD"/>
    <w:rsid w:val="0068220C"/>
    <w:rsid w:val="0068246F"/>
    <w:rsid w:val="0068258B"/>
    <w:rsid w:val="006828F9"/>
    <w:rsid w:val="00682AB1"/>
    <w:rsid w:val="00682E9F"/>
    <w:rsid w:val="00682FE2"/>
    <w:rsid w:val="00683252"/>
    <w:rsid w:val="0068343A"/>
    <w:rsid w:val="006834D4"/>
    <w:rsid w:val="00684079"/>
    <w:rsid w:val="0068413D"/>
    <w:rsid w:val="00684199"/>
    <w:rsid w:val="00684450"/>
    <w:rsid w:val="00684453"/>
    <w:rsid w:val="006844BA"/>
    <w:rsid w:val="006844CC"/>
    <w:rsid w:val="006845A2"/>
    <w:rsid w:val="00684729"/>
    <w:rsid w:val="00684879"/>
    <w:rsid w:val="00684B2C"/>
    <w:rsid w:val="00684BF8"/>
    <w:rsid w:val="00684CBE"/>
    <w:rsid w:val="00684D9B"/>
    <w:rsid w:val="006858AA"/>
    <w:rsid w:val="00685BCF"/>
    <w:rsid w:val="00685CC0"/>
    <w:rsid w:val="00685F9C"/>
    <w:rsid w:val="00685FF9"/>
    <w:rsid w:val="006860B9"/>
    <w:rsid w:val="00686515"/>
    <w:rsid w:val="0068653F"/>
    <w:rsid w:val="0068659D"/>
    <w:rsid w:val="006866AB"/>
    <w:rsid w:val="00686815"/>
    <w:rsid w:val="00686EAD"/>
    <w:rsid w:val="006870EA"/>
    <w:rsid w:val="0068711C"/>
    <w:rsid w:val="00687180"/>
    <w:rsid w:val="0068719D"/>
    <w:rsid w:val="006871D0"/>
    <w:rsid w:val="006871F0"/>
    <w:rsid w:val="0068751F"/>
    <w:rsid w:val="00687837"/>
    <w:rsid w:val="00687F98"/>
    <w:rsid w:val="006900D1"/>
    <w:rsid w:val="006900DE"/>
    <w:rsid w:val="00690239"/>
    <w:rsid w:val="00690297"/>
    <w:rsid w:val="006903DB"/>
    <w:rsid w:val="00690453"/>
    <w:rsid w:val="00690DD4"/>
    <w:rsid w:val="0069115A"/>
    <w:rsid w:val="006912F1"/>
    <w:rsid w:val="00691387"/>
    <w:rsid w:val="006916EC"/>
    <w:rsid w:val="00691F18"/>
    <w:rsid w:val="006922F4"/>
    <w:rsid w:val="006927F2"/>
    <w:rsid w:val="00692930"/>
    <w:rsid w:val="00692956"/>
    <w:rsid w:val="006931E1"/>
    <w:rsid w:val="00693A85"/>
    <w:rsid w:val="00693E3A"/>
    <w:rsid w:val="00694310"/>
    <w:rsid w:val="006945B2"/>
    <w:rsid w:val="00694700"/>
    <w:rsid w:val="00694803"/>
    <w:rsid w:val="006949EE"/>
    <w:rsid w:val="00694A7E"/>
    <w:rsid w:val="00694ABA"/>
    <w:rsid w:val="00694CE8"/>
    <w:rsid w:val="00694E98"/>
    <w:rsid w:val="0069513D"/>
    <w:rsid w:val="00695332"/>
    <w:rsid w:val="0069569E"/>
    <w:rsid w:val="006956C6"/>
    <w:rsid w:val="006957D2"/>
    <w:rsid w:val="00695C33"/>
    <w:rsid w:val="00696EE3"/>
    <w:rsid w:val="0069715D"/>
    <w:rsid w:val="0069737B"/>
    <w:rsid w:val="00697392"/>
    <w:rsid w:val="006973E5"/>
    <w:rsid w:val="00697664"/>
    <w:rsid w:val="0069766B"/>
    <w:rsid w:val="00697681"/>
    <w:rsid w:val="0069770C"/>
    <w:rsid w:val="006977D4"/>
    <w:rsid w:val="00697C68"/>
    <w:rsid w:val="006A08F2"/>
    <w:rsid w:val="006A0DDC"/>
    <w:rsid w:val="006A151A"/>
    <w:rsid w:val="006A1610"/>
    <w:rsid w:val="006A169B"/>
    <w:rsid w:val="006A19EE"/>
    <w:rsid w:val="006A1AA6"/>
    <w:rsid w:val="006A1C1F"/>
    <w:rsid w:val="006A1E62"/>
    <w:rsid w:val="006A1F58"/>
    <w:rsid w:val="006A1FFE"/>
    <w:rsid w:val="006A27AA"/>
    <w:rsid w:val="006A2A12"/>
    <w:rsid w:val="006A2E9C"/>
    <w:rsid w:val="006A31CE"/>
    <w:rsid w:val="006A3278"/>
    <w:rsid w:val="006A3468"/>
    <w:rsid w:val="006A35A6"/>
    <w:rsid w:val="006A35E0"/>
    <w:rsid w:val="006A377F"/>
    <w:rsid w:val="006A384A"/>
    <w:rsid w:val="006A3875"/>
    <w:rsid w:val="006A3957"/>
    <w:rsid w:val="006A3D40"/>
    <w:rsid w:val="006A3EC7"/>
    <w:rsid w:val="006A3FAF"/>
    <w:rsid w:val="006A4C94"/>
    <w:rsid w:val="006A5526"/>
    <w:rsid w:val="006A5587"/>
    <w:rsid w:val="006A561D"/>
    <w:rsid w:val="006A5A0C"/>
    <w:rsid w:val="006A5BA0"/>
    <w:rsid w:val="006A5BB1"/>
    <w:rsid w:val="006A5E20"/>
    <w:rsid w:val="006A5F88"/>
    <w:rsid w:val="006A669D"/>
    <w:rsid w:val="006A6811"/>
    <w:rsid w:val="006A6EAB"/>
    <w:rsid w:val="006A729E"/>
    <w:rsid w:val="006A7D95"/>
    <w:rsid w:val="006A7DB2"/>
    <w:rsid w:val="006B09AD"/>
    <w:rsid w:val="006B0BF0"/>
    <w:rsid w:val="006B1080"/>
    <w:rsid w:val="006B120D"/>
    <w:rsid w:val="006B13C1"/>
    <w:rsid w:val="006B1688"/>
    <w:rsid w:val="006B172C"/>
    <w:rsid w:val="006B2CC7"/>
    <w:rsid w:val="006B2F12"/>
    <w:rsid w:val="006B3297"/>
    <w:rsid w:val="006B338B"/>
    <w:rsid w:val="006B36A5"/>
    <w:rsid w:val="006B3961"/>
    <w:rsid w:val="006B3970"/>
    <w:rsid w:val="006B3A70"/>
    <w:rsid w:val="006B3AD0"/>
    <w:rsid w:val="006B3AF9"/>
    <w:rsid w:val="006B3DCF"/>
    <w:rsid w:val="006B44C5"/>
    <w:rsid w:val="006B46D8"/>
    <w:rsid w:val="006B4BF0"/>
    <w:rsid w:val="006B4C76"/>
    <w:rsid w:val="006B555F"/>
    <w:rsid w:val="006B5A60"/>
    <w:rsid w:val="006B5BF5"/>
    <w:rsid w:val="006B5FD4"/>
    <w:rsid w:val="006B6242"/>
    <w:rsid w:val="006B6252"/>
    <w:rsid w:val="006B62B8"/>
    <w:rsid w:val="006B6A2E"/>
    <w:rsid w:val="006B6C7C"/>
    <w:rsid w:val="006B6EA4"/>
    <w:rsid w:val="006B741B"/>
    <w:rsid w:val="006B745B"/>
    <w:rsid w:val="006B77BB"/>
    <w:rsid w:val="006B7F8F"/>
    <w:rsid w:val="006B7FC5"/>
    <w:rsid w:val="006C00C4"/>
    <w:rsid w:val="006C01F6"/>
    <w:rsid w:val="006C0543"/>
    <w:rsid w:val="006C055E"/>
    <w:rsid w:val="006C0D13"/>
    <w:rsid w:val="006C13E1"/>
    <w:rsid w:val="006C1795"/>
    <w:rsid w:val="006C17B0"/>
    <w:rsid w:val="006C17C2"/>
    <w:rsid w:val="006C187F"/>
    <w:rsid w:val="006C19BC"/>
    <w:rsid w:val="006C19D5"/>
    <w:rsid w:val="006C1B44"/>
    <w:rsid w:val="006C1F77"/>
    <w:rsid w:val="006C20E9"/>
    <w:rsid w:val="006C2188"/>
    <w:rsid w:val="006C2211"/>
    <w:rsid w:val="006C246F"/>
    <w:rsid w:val="006C2665"/>
    <w:rsid w:val="006C26D6"/>
    <w:rsid w:val="006C3031"/>
    <w:rsid w:val="006C3607"/>
    <w:rsid w:val="006C3990"/>
    <w:rsid w:val="006C3D6D"/>
    <w:rsid w:val="006C3ED2"/>
    <w:rsid w:val="006C4076"/>
    <w:rsid w:val="006C4233"/>
    <w:rsid w:val="006C42E7"/>
    <w:rsid w:val="006C4422"/>
    <w:rsid w:val="006C4F20"/>
    <w:rsid w:val="006C5179"/>
    <w:rsid w:val="006C5434"/>
    <w:rsid w:val="006C56E2"/>
    <w:rsid w:val="006C573D"/>
    <w:rsid w:val="006C5CCA"/>
    <w:rsid w:val="006C60B4"/>
    <w:rsid w:val="006C6159"/>
    <w:rsid w:val="006C625F"/>
    <w:rsid w:val="006C6AE1"/>
    <w:rsid w:val="006C739D"/>
    <w:rsid w:val="006C73A6"/>
    <w:rsid w:val="006C760B"/>
    <w:rsid w:val="006C78A6"/>
    <w:rsid w:val="006C79CF"/>
    <w:rsid w:val="006C7AB4"/>
    <w:rsid w:val="006C7C8A"/>
    <w:rsid w:val="006C7DD8"/>
    <w:rsid w:val="006D0008"/>
    <w:rsid w:val="006D006B"/>
    <w:rsid w:val="006D0346"/>
    <w:rsid w:val="006D0559"/>
    <w:rsid w:val="006D0749"/>
    <w:rsid w:val="006D07EF"/>
    <w:rsid w:val="006D0EB8"/>
    <w:rsid w:val="006D0F57"/>
    <w:rsid w:val="006D105C"/>
    <w:rsid w:val="006D118B"/>
    <w:rsid w:val="006D1315"/>
    <w:rsid w:val="006D155D"/>
    <w:rsid w:val="006D15FA"/>
    <w:rsid w:val="006D1A82"/>
    <w:rsid w:val="006D1C95"/>
    <w:rsid w:val="006D1E77"/>
    <w:rsid w:val="006D2255"/>
    <w:rsid w:val="006D27FA"/>
    <w:rsid w:val="006D2AB3"/>
    <w:rsid w:val="006D30E7"/>
    <w:rsid w:val="006D3375"/>
    <w:rsid w:val="006D3414"/>
    <w:rsid w:val="006D35A1"/>
    <w:rsid w:val="006D3745"/>
    <w:rsid w:val="006D3871"/>
    <w:rsid w:val="006D3B07"/>
    <w:rsid w:val="006D3FF8"/>
    <w:rsid w:val="006D4060"/>
    <w:rsid w:val="006D41D5"/>
    <w:rsid w:val="006D46AB"/>
    <w:rsid w:val="006D48E7"/>
    <w:rsid w:val="006D4947"/>
    <w:rsid w:val="006D4C6F"/>
    <w:rsid w:val="006D5142"/>
    <w:rsid w:val="006D54C5"/>
    <w:rsid w:val="006D55D0"/>
    <w:rsid w:val="006D598D"/>
    <w:rsid w:val="006D5B22"/>
    <w:rsid w:val="006D5C94"/>
    <w:rsid w:val="006D5DA8"/>
    <w:rsid w:val="006D5F16"/>
    <w:rsid w:val="006D5F1C"/>
    <w:rsid w:val="006D6054"/>
    <w:rsid w:val="006D63AD"/>
    <w:rsid w:val="006D6764"/>
    <w:rsid w:val="006D67D9"/>
    <w:rsid w:val="006D6C93"/>
    <w:rsid w:val="006D6EB2"/>
    <w:rsid w:val="006D723E"/>
    <w:rsid w:val="006D7573"/>
    <w:rsid w:val="006D79C1"/>
    <w:rsid w:val="006D7F93"/>
    <w:rsid w:val="006E0340"/>
    <w:rsid w:val="006E04BB"/>
    <w:rsid w:val="006E04DF"/>
    <w:rsid w:val="006E06F9"/>
    <w:rsid w:val="006E07A9"/>
    <w:rsid w:val="006E0D91"/>
    <w:rsid w:val="006E0FB6"/>
    <w:rsid w:val="006E12EC"/>
    <w:rsid w:val="006E1706"/>
    <w:rsid w:val="006E18FB"/>
    <w:rsid w:val="006E1BC7"/>
    <w:rsid w:val="006E20A8"/>
    <w:rsid w:val="006E2303"/>
    <w:rsid w:val="006E23AD"/>
    <w:rsid w:val="006E280D"/>
    <w:rsid w:val="006E28C2"/>
    <w:rsid w:val="006E2C27"/>
    <w:rsid w:val="006E2E11"/>
    <w:rsid w:val="006E2EC8"/>
    <w:rsid w:val="006E3319"/>
    <w:rsid w:val="006E3428"/>
    <w:rsid w:val="006E361C"/>
    <w:rsid w:val="006E38A9"/>
    <w:rsid w:val="006E3A91"/>
    <w:rsid w:val="006E3CB2"/>
    <w:rsid w:val="006E3DA8"/>
    <w:rsid w:val="006E3F8B"/>
    <w:rsid w:val="006E44BA"/>
    <w:rsid w:val="006E5015"/>
    <w:rsid w:val="006E5DAA"/>
    <w:rsid w:val="006E5EDC"/>
    <w:rsid w:val="006E64F1"/>
    <w:rsid w:val="006E6573"/>
    <w:rsid w:val="006E664F"/>
    <w:rsid w:val="006E6A93"/>
    <w:rsid w:val="006E7006"/>
    <w:rsid w:val="006E730E"/>
    <w:rsid w:val="006E7EC1"/>
    <w:rsid w:val="006F00E7"/>
    <w:rsid w:val="006F014C"/>
    <w:rsid w:val="006F065F"/>
    <w:rsid w:val="006F091E"/>
    <w:rsid w:val="006F0C0E"/>
    <w:rsid w:val="006F0C96"/>
    <w:rsid w:val="006F0F6E"/>
    <w:rsid w:val="006F1172"/>
    <w:rsid w:val="006F14A4"/>
    <w:rsid w:val="006F1677"/>
    <w:rsid w:val="006F1B22"/>
    <w:rsid w:val="006F1BA4"/>
    <w:rsid w:val="006F1C69"/>
    <w:rsid w:val="006F223F"/>
    <w:rsid w:val="006F2259"/>
    <w:rsid w:val="006F23E1"/>
    <w:rsid w:val="006F268D"/>
    <w:rsid w:val="006F281F"/>
    <w:rsid w:val="006F2880"/>
    <w:rsid w:val="006F2A49"/>
    <w:rsid w:val="006F2D5A"/>
    <w:rsid w:val="006F2F35"/>
    <w:rsid w:val="006F2F8F"/>
    <w:rsid w:val="006F2FDA"/>
    <w:rsid w:val="006F2FE5"/>
    <w:rsid w:val="006F30B5"/>
    <w:rsid w:val="006F3193"/>
    <w:rsid w:val="006F3460"/>
    <w:rsid w:val="006F34FE"/>
    <w:rsid w:val="006F3615"/>
    <w:rsid w:val="006F3CF8"/>
    <w:rsid w:val="006F3F0E"/>
    <w:rsid w:val="006F3F88"/>
    <w:rsid w:val="006F3FA3"/>
    <w:rsid w:val="006F4787"/>
    <w:rsid w:val="006F48BA"/>
    <w:rsid w:val="006F4AF9"/>
    <w:rsid w:val="006F4C86"/>
    <w:rsid w:val="006F4D00"/>
    <w:rsid w:val="006F5275"/>
    <w:rsid w:val="006F54EB"/>
    <w:rsid w:val="006F5573"/>
    <w:rsid w:val="006F572C"/>
    <w:rsid w:val="006F57CA"/>
    <w:rsid w:val="006F5CC1"/>
    <w:rsid w:val="006F630C"/>
    <w:rsid w:val="006F640B"/>
    <w:rsid w:val="006F6722"/>
    <w:rsid w:val="006F67A5"/>
    <w:rsid w:val="006F6C70"/>
    <w:rsid w:val="006F70A3"/>
    <w:rsid w:val="006F74C1"/>
    <w:rsid w:val="006F762D"/>
    <w:rsid w:val="006F7A2E"/>
    <w:rsid w:val="00700492"/>
    <w:rsid w:val="00700658"/>
    <w:rsid w:val="007009AC"/>
    <w:rsid w:val="0070167E"/>
    <w:rsid w:val="00701AAA"/>
    <w:rsid w:val="00701AEA"/>
    <w:rsid w:val="00701CEB"/>
    <w:rsid w:val="00701E1B"/>
    <w:rsid w:val="007020F3"/>
    <w:rsid w:val="0070219B"/>
    <w:rsid w:val="007025A8"/>
    <w:rsid w:val="00702ED0"/>
    <w:rsid w:val="00703622"/>
    <w:rsid w:val="0070364C"/>
    <w:rsid w:val="00703749"/>
    <w:rsid w:val="00703C09"/>
    <w:rsid w:val="00703F74"/>
    <w:rsid w:val="0070427B"/>
    <w:rsid w:val="0070434A"/>
    <w:rsid w:val="00704616"/>
    <w:rsid w:val="007048C4"/>
    <w:rsid w:val="00704AB4"/>
    <w:rsid w:val="00704CC4"/>
    <w:rsid w:val="00704F09"/>
    <w:rsid w:val="007051C2"/>
    <w:rsid w:val="00705345"/>
    <w:rsid w:val="0070590D"/>
    <w:rsid w:val="00705C01"/>
    <w:rsid w:val="0070638D"/>
    <w:rsid w:val="007066A0"/>
    <w:rsid w:val="00706816"/>
    <w:rsid w:val="00706B1A"/>
    <w:rsid w:val="00706DBF"/>
    <w:rsid w:val="00706E62"/>
    <w:rsid w:val="007070BB"/>
    <w:rsid w:val="0070719D"/>
    <w:rsid w:val="007074C8"/>
    <w:rsid w:val="0070776A"/>
    <w:rsid w:val="0070781B"/>
    <w:rsid w:val="00707938"/>
    <w:rsid w:val="00707A59"/>
    <w:rsid w:val="00707DF7"/>
    <w:rsid w:val="00707FA9"/>
    <w:rsid w:val="00707FD2"/>
    <w:rsid w:val="0071038C"/>
    <w:rsid w:val="0071046B"/>
    <w:rsid w:val="00710A67"/>
    <w:rsid w:val="00710AC6"/>
    <w:rsid w:val="00710C1D"/>
    <w:rsid w:val="00710D20"/>
    <w:rsid w:val="007110A3"/>
    <w:rsid w:val="00711108"/>
    <w:rsid w:val="00711213"/>
    <w:rsid w:val="007112A1"/>
    <w:rsid w:val="00711898"/>
    <w:rsid w:val="007118E9"/>
    <w:rsid w:val="00711996"/>
    <w:rsid w:val="00711B3B"/>
    <w:rsid w:val="00711BA3"/>
    <w:rsid w:val="00711C9D"/>
    <w:rsid w:val="00711DA6"/>
    <w:rsid w:val="007128F6"/>
    <w:rsid w:val="00712A5D"/>
    <w:rsid w:val="00712B71"/>
    <w:rsid w:val="00712B8F"/>
    <w:rsid w:val="00712E55"/>
    <w:rsid w:val="00712F7A"/>
    <w:rsid w:val="00713023"/>
    <w:rsid w:val="0071322C"/>
    <w:rsid w:val="0071340B"/>
    <w:rsid w:val="00713779"/>
    <w:rsid w:val="00713916"/>
    <w:rsid w:val="00713989"/>
    <w:rsid w:val="00713DCF"/>
    <w:rsid w:val="00713EDA"/>
    <w:rsid w:val="00714004"/>
    <w:rsid w:val="00714129"/>
    <w:rsid w:val="007141C8"/>
    <w:rsid w:val="0071458E"/>
    <w:rsid w:val="007145C9"/>
    <w:rsid w:val="00714631"/>
    <w:rsid w:val="00714662"/>
    <w:rsid w:val="00714802"/>
    <w:rsid w:val="00714861"/>
    <w:rsid w:val="00714865"/>
    <w:rsid w:val="00714901"/>
    <w:rsid w:val="00714952"/>
    <w:rsid w:val="00714B6E"/>
    <w:rsid w:val="00714CD3"/>
    <w:rsid w:val="00714EFC"/>
    <w:rsid w:val="0071512F"/>
    <w:rsid w:val="00715593"/>
    <w:rsid w:val="0071562A"/>
    <w:rsid w:val="007156D0"/>
    <w:rsid w:val="007156E5"/>
    <w:rsid w:val="00715A59"/>
    <w:rsid w:val="00715B4B"/>
    <w:rsid w:val="00715BEA"/>
    <w:rsid w:val="00715C81"/>
    <w:rsid w:val="00715CA3"/>
    <w:rsid w:val="00716393"/>
    <w:rsid w:val="00716630"/>
    <w:rsid w:val="007169AC"/>
    <w:rsid w:val="007169DD"/>
    <w:rsid w:val="0071708E"/>
    <w:rsid w:val="00717188"/>
    <w:rsid w:val="00717479"/>
    <w:rsid w:val="00717679"/>
    <w:rsid w:val="00717A09"/>
    <w:rsid w:val="00717B67"/>
    <w:rsid w:val="00717BB4"/>
    <w:rsid w:val="00720028"/>
    <w:rsid w:val="007201D8"/>
    <w:rsid w:val="007206A2"/>
    <w:rsid w:val="007208C2"/>
    <w:rsid w:val="00720B38"/>
    <w:rsid w:val="00720CA7"/>
    <w:rsid w:val="00720CE2"/>
    <w:rsid w:val="00720F1A"/>
    <w:rsid w:val="00721435"/>
    <w:rsid w:val="0072147B"/>
    <w:rsid w:val="007215FD"/>
    <w:rsid w:val="0072178E"/>
    <w:rsid w:val="0072181E"/>
    <w:rsid w:val="00721A46"/>
    <w:rsid w:val="00722249"/>
    <w:rsid w:val="00722267"/>
    <w:rsid w:val="0072230D"/>
    <w:rsid w:val="0072285E"/>
    <w:rsid w:val="00722C62"/>
    <w:rsid w:val="00722EFF"/>
    <w:rsid w:val="00723085"/>
    <w:rsid w:val="007230A5"/>
    <w:rsid w:val="0072318B"/>
    <w:rsid w:val="0072319F"/>
    <w:rsid w:val="0072321F"/>
    <w:rsid w:val="00723295"/>
    <w:rsid w:val="0072342A"/>
    <w:rsid w:val="007238E2"/>
    <w:rsid w:val="007239B4"/>
    <w:rsid w:val="00724034"/>
    <w:rsid w:val="007243A8"/>
    <w:rsid w:val="00724446"/>
    <w:rsid w:val="00724584"/>
    <w:rsid w:val="0072467B"/>
    <w:rsid w:val="0072480E"/>
    <w:rsid w:val="00724AA1"/>
    <w:rsid w:val="00724D39"/>
    <w:rsid w:val="00724D9D"/>
    <w:rsid w:val="0072526B"/>
    <w:rsid w:val="00725A19"/>
    <w:rsid w:val="00725B21"/>
    <w:rsid w:val="00725E1D"/>
    <w:rsid w:val="00726356"/>
    <w:rsid w:val="0072641B"/>
    <w:rsid w:val="0072648F"/>
    <w:rsid w:val="007267E1"/>
    <w:rsid w:val="007268C7"/>
    <w:rsid w:val="00726A30"/>
    <w:rsid w:val="00726AAB"/>
    <w:rsid w:val="00726FD6"/>
    <w:rsid w:val="00726FEB"/>
    <w:rsid w:val="00727077"/>
    <w:rsid w:val="00727E41"/>
    <w:rsid w:val="00727EDF"/>
    <w:rsid w:val="00730060"/>
    <w:rsid w:val="00730539"/>
    <w:rsid w:val="0073096A"/>
    <w:rsid w:val="00730C4C"/>
    <w:rsid w:val="00730CF0"/>
    <w:rsid w:val="00730EA6"/>
    <w:rsid w:val="00731030"/>
    <w:rsid w:val="00731612"/>
    <w:rsid w:val="00731629"/>
    <w:rsid w:val="00731BA8"/>
    <w:rsid w:val="00731C15"/>
    <w:rsid w:val="00731C71"/>
    <w:rsid w:val="00732045"/>
    <w:rsid w:val="007322A0"/>
    <w:rsid w:val="007322FA"/>
    <w:rsid w:val="0073234F"/>
    <w:rsid w:val="0073276F"/>
    <w:rsid w:val="00732960"/>
    <w:rsid w:val="00732C1A"/>
    <w:rsid w:val="00732FD0"/>
    <w:rsid w:val="0073320D"/>
    <w:rsid w:val="00733836"/>
    <w:rsid w:val="00733CDC"/>
    <w:rsid w:val="00733E2B"/>
    <w:rsid w:val="0073409C"/>
    <w:rsid w:val="007343DE"/>
    <w:rsid w:val="0073482E"/>
    <w:rsid w:val="00734A08"/>
    <w:rsid w:val="00734B9A"/>
    <w:rsid w:val="00734E6E"/>
    <w:rsid w:val="00734F01"/>
    <w:rsid w:val="007354CC"/>
    <w:rsid w:val="007354E9"/>
    <w:rsid w:val="00735695"/>
    <w:rsid w:val="007357D3"/>
    <w:rsid w:val="007358CE"/>
    <w:rsid w:val="00735A6F"/>
    <w:rsid w:val="00735B4E"/>
    <w:rsid w:val="00735DE0"/>
    <w:rsid w:val="00735E83"/>
    <w:rsid w:val="007360CB"/>
    <w:rsid w:val="00736304"/>
    <w:rsid w:val="0073687E"/>
    <w:rsid w:val="007369B9"/>
    <w:rsid w:val="00736A3D"/>
    <w:rsid w:val="00736A75"/>
    <w:rsid w:val="00736CF9"/>
    <w:rsid w:val="007372C5"/>
    <w:rsid w:val="00737566"/>
    <w:rsid w:val="00737F3F"/>
    <w:rsid w:val="00740C65"/>
    <w:rsid w:val="00740C8F"/>
    <w:rsid w:val="00740F5A"/>
    <w:rsid w:val="00740FC0"/>
    <w:rsid w:val="0074130D"/>
    <w:rsid w:val="007417DF"/>
    <w:rsid w:val="007419B2"/>
    <w:rsid w:val="00741A1F"/>
    <w:rsid w:val="00741BA2"/>
    <w:rsid w:val="00741CF4"/>
    <w:rsid w:val="00741DCC"/>
    <w:rsid w:val="00741DE2"/>
    <w:rsid w:val="0074212B"/>
    <w:rsid w:val="007421A1"/>
    <w:rsid w:val="007421DA"/>
    <w:rsid w:val="00742666"/>
    <w:rsid w:val="007427FE"/>
    <w:rsid w:val="00742A0E"/>
    <w:rsid w:val="00742A23"/>
    <w:rsid w:val="00742C51"/>
    <w:rsid w:val="00742E50"/>
    <w:rsid w:val="00743445"/>
    <w:rsid w:val="00743758"/>
    <w:rsid w:val="007437FB"/>
    <w:rsid w:val="00743A6C"/>
    <w:rsid w:val="00743DF1"/>
    <w:rsid w:val="0074424D"/>
    <w:rsid w:val="007443EE"/>
    <w:rsid w:val="007444FA"/>
    <w:rsid w:val="00744789"/>
    <w:rsid w:val="00744904"/>
    <w:rsid w:val="00744B19"/>
    <w:rsid w:val="00744B48"/>
    <w:rsid w:val="00744B72"/>
    <w:rsid w:val="00744C4B"/>
    <w:rsid w:val="00745319"/>
    <w:rsid w:val="00745481"/>
    <w:rsid w:val="00745808"/>
    <w:rsid w:val="00745E01"/>
    <w:rsid w:val="007462AC"/>
    <w:rsid w:val="007463CD"/>
    <w:rsid w:val="0074666B"/>
    <w:rsid w:val="007468D6"/>
    <w:rsid w:val="00746BFF"/>
    <w:rsid w:val="00746D53"/>
    <w:rsid w:val="00746DF5"/>
    <w:rsid w:val="00746FED"/>
    <w:rsid w:val="0074739B"/>
    <w:rsid w:val="007473E1"/>
    <w:rsid w:val="0074746E"/>
    <w:rsid w:val="007475F5"/>
    <w:rsid w:val="00747897"/>
    <w:rsid w:val="00747E47"/>
    <w:rsid w:val="00750192"/>
    <w:rsid w:val="007504E1"/>
    <w:rsid w:val="00750504"/>
    <w:rsid w:val="00750544"/>
    <w:rsid w:val="00750804"/>
    <w:rsid w:val="007509AB"/>
    <w:rsid w:val="00750AF5"/>
    <w:rsid w:val="0075113C"/>
    <w:rsid w:val="0075125D"/>
    <w:rsid w:val="0075151C"/>
    <w:rsid w:val="00751689"/>
    <w:rsid w:val="007516D5"/>
    <w:rsid w:val="0075199B"/>
    <w:rsid w:val="00751ACE"/>
    <w:rsid w:val="00751D73"/>
    <w:rsid w:val="00752357"/>
    <w:rsid w:val="007524AA"/>
    <w:rsid w:val="00753427"/>
    <w:rsid w:val="00753744"/>
    <w:rsid w:val="00753A11"/>
    <w:rsid w:val="00753A93"/>
    <w:rsid w:val="00754167"/>
    <w:rsid w:val="0075456F"/>
    <w:rsid w:val="007547F7"/>
    <w:rsid w:val="00754944"/>
    <w:rsid w:val="007554B9"/>
    <w:rsid w:val="00755663"/>
    <w:rsid w:val="00755B5A"/>
    <w:rsid w:val="00756236"/>
    <w:rsid w:val="00756386"/>
    <w:rsid w:val="00756603"/>
    <w:rsid w:val="00756610"/>
    <w:rsid w:val="00756687"/>
    <w:rsid w:val="007568FF"/>
    <w:rsid w:val="00756D88"/>
    <w:rsid w:val="00757173"/>
    <w:rsid w:val="007574E6"/>
    <w:rsid w:val="007575C0"/>
    <w:rsid w:val="00757D2F"/>
    <w:rsid w:val="00757EEE"/>
    <w:rsid w:val="0076000E"/>
    <w:rsid w:val="0076031B"/>
    <w:rsid w:val="007603EA"/>
    <w:rsid w:val="00760505"/>
    <w:rsid w:val="00760C00"/>
    <w:rsid w:val="00760C62"/>
    <w:rsid w:val="007610E9"/>
    <w:rsid w:val="00761175"/>
    <w:rsid w:val="00761538"/>
    <w:rsid w:val="00761728"/>
    <w:rsid w:val="0076172B"/>
    <w:rsid w:val="00761C6C"/>
    <w:rsid w:val="00762746"/>
    <w:rsid w:val="00762B72"/>
    <w:rsid w:val="00762E9C"/>
    <w:rsid w:val="00762FDF"/>
    <w:rsid w:val="00763807"/>
    <w:rsid w:val="00763B6B"/>
    <w:rsid w:val="00763CCB"/>
    <w:rsid w:val="00764032"/>
    <w:rsid w:val="007642AF"/>
    <w:rsid w:val="007642B4"/>
    <w:rsid w:val="007648D9"/>
    <w:rsid w:val="007648F2"/>
    <w:rsid w:val="0076490C"/>
    <w:rsid w:val="00764997"/>
    <w:rsid w:val="00764A9F"/>
    <w:rsid w:val="00764C45"/>
    <w:rsid w:val="00764C7F"/>
    <w:rsid w:val="00764FAC"/>
    <w:rsid w:val="00765569"/>
    <w:rsid w:val="00765EE9"/>
    <w:rsid w:val="00766277"/>
    <w:rsid w:val="0076636B"/>
    <w:rsid w:val="0076656A"/>
    <w:rsid w:val="00766701"/>
    <w:rsid w:val="00766886"/>
    <w:rsid w:val="00766911"/>
    <w:rsid w:val="0076696A"/>
    <w:rsid w:val="00766BE2"/>
    <w:rsid w:val="00767092"/>
    <w:rsid w:val="00767793"/>
    <w:rsid w:val="0076798A"/>
    <w:rsid w:val="007679D4"/>
    <w:rsid w:val="007679D8"/>
    <w:rsid w:val="00767EC3"/>
    <w:rsid w:val="007700C9"/>
    <w:rsid w:val="00770435"/>
    <w:rsid w:val="0077047C"/>
    <w:rsid w:val="00770537"/>
    <w:rsid w:val="00770803"/>
    <w:rsid w:val="00770863"/>
    <w:rsid w:val="00770EE9"/>
    <w:rsid w:val="00771061"/>
    <w:rsid w:val="00771319"/>
    <w:rsid w:val="007713E8"/>
    <w:rsid w:val="00771794"/>
    <w:rsid w:val="00771AAD"/>
    <w:rsid w:val="00771CCF"/>
    <w:rsid w:val="00771DA3"/>
    <w:rsid w:val="00771F7D"/>
    <w:rsid w:val="007727C1"/>
    <w:rsid w:val="00772C3E"/>
    <w:rsid w:val="00772E30"/>
    <w:rsid w:val="0077328F"/>
    <w:rsid w:val="0077353F"/>
    <w:rsid w:val="007736E8"/>
    <w:rsid w:val="0077389A"/>
    <w:rsid w:val="007739D2"/>
    <w:rsid w:val="00773D75"/>
    <w:rsid w:val="00773F96"/>
    <w:rsid w:val="00774400"/>
    <w:rsid w:val="0077481B"/>
    <w:rsid w:val="00774AAD"/>
    <w:rsid w:val="00774ACE"/>
    <w:rsid w:val="00774DC4"/>
    <w:rsid w:val="00774E56"/>
    <w:rsid w:val="00775823"/>
    <w:rsid w:val="007759B3"/>
    <w:rsid w:val="00775BF3"/>
    <w:rsid w:val="00775C79"/>
    <w:rsid w:val="00775CC3"/>
    <w:rsid w:val="00775D29"/>
    <w:rsid w:val="00775F57"/>
    <w:rsid w:val="00775FC0"/>
    <w:rsid w:val="0077652F"/>
    <w:rsid w:val="00776584"/>
    <w:rsid w:val="007767D9"/>
    <w:rsid w:val="007769EF"/>
    <w:rsid w:val="00776ACB"/>
    <w:rsid w:val="00776CA1"/>
    <w:rsid w:val="00776CF5"/>
    <w:rsid w:val="00776D4F"/>
    <w:rsid w:val="00776DC9"/>
    <w:rsid w:val="00776DDC"/>
    <w:rsid w:val="00776E3E"/>
    <w:rsid w:val="007770F9"/>
    <w:rsid w:val="00777179"/>
    <w:rsid w:val="0077771A"/>
    <w:rsid w:val="00777945"/>
    <w:rsid w:val="00777D40"/>
    <w:rsid w:val="00777E3B"/>
    <w:rsid w:val="0078004D"/>
    <w:rsid w:val="0078049B"/>
    <w:rsid w:val="00780AE1"/>
    <w:rsid w:val="00780B8D"/>
    <w:rsid w:val="00780B8E"/>
    <w:rsid w:val="00780E92"/>
    <w:rsid w:val="007811E8"/>
    <w:rsid w:val="00781473"/>
    <w:rsid w:val="00781649"/>
    <w:rsid w:val="00781BA2"/>
    <w:rsid w:val="00781DEE"/>
    <w:rsid w:val="007823D6"/>
    <w:rsid w:val="0078251F"/>
    <w:rsid w:val="00782546"/>
    <w:rsid w:val="0078254E"/>
    <w:rsid w:val="00782628"/>
    <w:rsid w:val="007826AB"/>
    <w:rsid w:val="0078275D"/>
    <w:rsid w:val="0078285A"/>
    <w:rsid w:val="00782B56"/>
    <w:rsid w:val="00782CCB"/>
    <w:rsid w:val="0078331F"/>
    <w:rsid w:val="00783391"/>
    <w:rsid w:val="007839E4"/>
    <w:rsid w:val="00783CBF"/>
    <w:rsid w:val="007840E2"/>
    <w:rsid w:val="00784320"/>
    <w:rsid w:val="0078474D"/>
    <w:rsid w:val="00784913"/>
    <w:rsid w:val="00784972"/>
    <w:rsid w:val="00784B8A"/>
    <w:rsid w:val="00784C6D"/>
    <w:rsid w:val="00784F4A"/>
    <w:rsid w:val="007854C1"/>
    <w:rsid w:val="00785658"/>
    <w:rsid w:val="0078569F"/>
    <w:rsid w:val="00785803"/>
    <w:rsid w:val="00785CB2"/>
    <w:rsid w:val="00785EB4"/>
    <w:rsid w:val="0078609A"/>
    <w:rsid w:val="007860D3"/>
    <w:rsid w:val="007860F0"/>
    <w:rsid w:val="00786458"/>
    <w:rsid w:val="00786594"/>
    <w:rsid w:val="007866FC"/>
    <w:rsid w:val="00786703"/>
    <w:rsid w:val="00786804"/>
    <w:rsid w:val="007869E3"/>
    <w:rsid w:val="00786A91"/>
    <w:rsid w:val="00786AE5"/>
    <w:rsid w:val="00786D9F"/>
    <w:rsid w:val="00786EBC"/>
    <w:rsid w:val="00786F85"/>
    <w:rsid w:val="0078724A"/>
    <w:rsid w:val="0078731A"/>
    <w:rsid w:val="00787487"/>
    <w:rsid w:val="007877BA"/>
    <w:rsid w:val="00787A68"/>
    <w:rsid w:val="00787AFF"/>
    <w:rsid w:val="0079038B"/>
    <w:rsid w:val="007906F1"/>
    <w:rsid w:val="00790EDA"/>
    <w:rsid w:val="00791349"/>
    <w:rsid w:val="007916E4"/>
    <w:rsid w:val="0079199F"/>
    <w:rsid w:val="00791A6E"/>
    <w:rsid w:val="00791D85"/>
    <w:rsid w:val="00791DAF"/>
    <w:rsid w:val="00791DDB"/>
    <w:rsid w:val="007924CA"/>
    <w:rsid w:val="00792A7B"/>
    <w:rsid w:val="00792A7F"/>
    <w:rsid w:val="00792C2F"/>
    <w:rsid w:val="00793200"/>
    <w:rsid w:val="00793254"/>
    <w:rsid w:val="00793474"/>
    <w:rsid w:val="007934FC"/>
    <w:rsid w:val="00793749"/>
    <w:rsid w:val="00793D95"/>
    <w:rsid w:val="0079444D"/>
    <w:rsid w:val="00794856"/>
    <w:rsid w:val="00794AF4"/>
    <w:rsid w:val="00794CBF"/>
    <w:rsid w:val="00794F24"/>
    <w:rsid w:val="007950A6"/>
    <w:rsid w:val="00795365"/>
    <w:rsid w:val="0079566B"/>
    <w:rsid w:val="0079567E"/>
    <w:rsid w:val="00795765"/>
    <w:rsid w:val="007958E5"/>
    <w:rsid w:val="007959C4"/>
    <w:rsid w:val="00795D28"/>
    <w:rsid w:val="007961D5"/>
    <w:rsid w:val="00796A3A"/>
    <w:rsid w:val="00796A6F"/>
    <w:rsid w:val="00796AEC"/>
    <w:rsid w:val="00796C5D"/>
    <w:rsid w:val="0079767D"/>
    <w:rsid w:val="00797842"/>
    <w:rsid w:val="00797900"/>
    <w:rsid w:val="00797943"/>
    <w:rsid w:val="00797B06"/>
    <w:rsid w:val="00797B41"/>
    <w:rsid w:val="00797B9C"/>
    <w:rsid w:val="007A0483"/>
    <w:rsid w:val="007A0CA3"/>
    <w:rsid w:val="007A1065"/>
    <w:rsid w:val="007A1112"/>
    <w:rsid w:val="007A140A"/>
    <w:rsid w:val="007A1D86"/>
    <w:rsid w:val="007A25DD"/>
    <w:rsid w:val="007A27A4"/>
    <w:rsid w:val="007A2A97"/>
    <w:rsid w:val="007A2CDC"/>
    <w:rsid w:val="007A30C5"/>
    <w:rsid w:val="007A31DB"/>
    <w:rsid w:val="007A345B"/>
    <w:rsid w:val="007A371B"/>
    <w:rsid w:val="007A3832"/>
    <w:rsid w:val="007A3834"/>
    <w:rsid w:val="007A3A0F"/>
    <w:rsid w:val="007A3E60"/>
    <w:rsid w:val="007A3F33"/>
    <w:rsid w:val="007A3F5E"/>
    <w:rsid w:val="007A4010"/>
    <w:rsid w:val="007A407D"/>
    <w:rsid w:val="007A42C3"/>
    <w:rsid w:val="007A464F"/>
    <w:rsid w:val="007A4CA7"/>
    <w:rsid w:val="007A5610"/>
    <w:rsid w:val="007A56D6"/>
    <w:rsid w:val="007A5879"/>
    <w:rsid w:val="007A595C"/>
    <w:rsid w:val="007A5B4B"/>
    <w:rsid w:val="007A5E6D"/>
    <w:rsid w:val="007A6138"/>
    <w:rsid w:val="007A6196"/>
    <w:rsid w:val="007A639B"/>
    <w:rsid w:val="007A63D5"/>
    <w:rsid w:val="007A6594"/>
    <w:rsid w:val="007A689A"/>
    <w:rsid w:val="007A68EA"/>
    <w:rsid w:val="007A690B"/>
    <w:rsid w:val="007A6B42"/>
    <w:rsid w:val="007A6B7D"/>
    <w:rsid w:val="007A6C27"/>
    <w:rsid w:val="007A6C56"/>
    <w:rsid w:val="007A6F9C"/>
    <w:rsid w:val="007A7629"/>
    <w:rsid w:val="007B0BAB"/>
    <w:rsid w:val="007B0BC7"/>
    <w:rsid w:val="007B0D3F"/>
    <w:rsid w:val="007B0E46"/>
    <w:rsid w:val="007B0E73"/>
    <w:rsid w:val="007B0E8D"/>
    <w:rsid w:val="007B0FFB"/>
    <w:rsid w:val="007B1027"/>
    <w:rsid w:val="007B1691"/>
    <w:rsid w:val="007B174F"/>
    <w:rsid w:val="007B1863"/>
    <w:rsid w:val="007B1A5D"/>
    <w:rsid w:val="007B1FC4"/>
    <w:rsid w:val="007B22E0"/>
    <w:rsid w:val="007B235F"/>
    <w:rsid w:val="007B28CA"/>
    <w:rsid w:val="007B2BEF"/>
    <w:rsid w:val="007B3547"/>
    <w:rsid w:val="007B358C"/>
    <w:rsid w:val="007B358D"/>
    <w:rsid w:val="007B3614"/>
    <w:rsid w:val="007B3B7C"/>
    <w:rsid w:val="007B3DE7"/>
    <w:rsid w:val="007B3F59"/>
    <w:rsid w:val="007B41BE"/>
    <w:rsid w:val="007B41E5"/>
    <w:rsid w:val="007B42C6"/>
    <w:rsid w:val="007B46EE"/>
    <w:rsid w:val="007B5401"/>
    <w:rsid w:val="007B579F"/>
    <w:rsid w:val="007B5AEE"/>
    <w:rsid w:val="007B5BF4"/>
    <w:rsid w:val="007B5DDA"/>
    <w:rsid w:val="007B5E68"/>
    <w:rsid w:val="007B5FB4"/>
    <w:rsid w:val="007B6073"/>
    <w:rsid w:val="007B6286"/>
    <w:rsid w:val="007B6B2B"/>
    <w:rsid w:val="007B6D35"/>
    <w:rsid w:val="007B7180"/>
    <w:rsid w:val="007B788B"/>
    <w:rsid w:val="007B7949"/>
    <w:rsid w:val="007B7A53"/>
    <w:rsid w:val="007B7AF1"/>
    <w:rsid w:val="007B7D30"/>
    <w:rsid w:val="007C080D"/>
    <w:rsid w:val="007C089F"/>
    <w:rsid w:val="007C0C69"/>
    <w:rsid w:val="007C0FA9"/>
    <w:rsid w:val="007C1266"/>
    <w:rsid w:val="007C184E"/>
    <w:rsid w:val="007C19FC"/>
    <w:rsid w:val="007C1FA2"/>
    <w:rsid w:val="007C2413"/>
    <w:rsid w:val="007C25A6"/>
    <w:rsid w:val="007C25AE"/>
    <w:rsid w:val="007C3152"/>
    <w:rsid w:val="007C333B"/>
    <w:rsid w:val="007C34FD"/>
    <w:rsid w:val="007C3914"/>
    <w:rsid w:val="007C3CC8"/>
    <w:rsid w:val="007C3CEA"/>
    <w:rsid w:val="007C3D92"/>
    <w:rsid w:val="007C3E98"/>
    <w:rsid w:val="007C4071"/>
    <w:rsid w:val="007C4078"/>
    <w:rsid w:val="007C40C5"/>
    <w:rsid w:val="007C4675"/>
    <w:rsid w:val="007C517F"/>
    <w:rsid w:val="007C5A8F"/>
    <w:rsid w:val="007C5B38"/>
    <w:rsid w:val="007C5EEA"/>
    <w:rsid w:val="007C6019"/>
    <w:rsid w:val="007C61DC"/>
    <w:rsid w:val="007C6373"/>
    <w:rsid w:val="007C63F4"/>
    <w:rsid w:val="007C7666"/>
    <w:rsid w:val="007C76E8"/>
    <w:rsid w:val="007C78FE"/>
    <w:rsid w:val="007C7CE7"/>
    <w:rsid w:val="007D01E6"/>
    <w:rsid w:val="007D035E"/>
    <w:rsid w:val="007D0396"/>
    <w:rsid w:val="007D0420"/>
    <w:rsid w:val="007D0644"/>
    <w:rsid w:val="007D076D"/>
    <w:rsid w:val="007D09DA"/>
    <w:rsid w:val="007D0B9E"/>
    <w:rsid w:val="007D0BBF"/>
    <w:rsid w:val="007D0E74"/>
    <w:rsid w:val="007D1110"/>
    <w:rsid w:val="007D1196"/>
    <w:rsid w:val="007D11F8"/>
    <w:rsid w:val="007D14E3"/>
    <w:rsid w:val="007D166F"/>
    <w:rsid w:val="007D1801"/>
    <w:rsid w:val="007D1A42"/>
    <w:rsid w:val="007D1C22"/>
    <w:rsid w:val="007D1FE0"/>
    <w:rsid w:val="007D20BB"/>
    <w:rsid w:val="007D261E"/>
    <w:rsid w:val="007D2A9B"/>
    <w:rsid w:val="007D2F61"/>
    <w:rsid w:val="007D3004"/>
    <w:rsid w:val="007D31FB"/>
    <w:rsid w:val="007D351A"/>
    <w:rsid w:val="007D375F"/>
    <w:rsid w:val="007D3A62"/>
    <w:rsid w:val="007D3C2B"/>
    <w:rsid w:val="007D3D0E"/>
    <w:rsid w:val="007D3D33"/>
    <w:rsid w:val="007D3F81"/>
    <w:rsid w:val="007D40D3"/>
    <w:rsid w:val="007D411E"/>
    <w:rsid w:val="007D41C2"/>
    <w:rsid w:val="007D4578"/>
    <w:rsid w:val="007D4F02"/>
    <w:rsid w:val="007D5A7C"/>
    <w:rsid w:val="007D5AA6"/>
    <w:rsid w:val="007D5F75"/>
    <w:rsid w:val="007D674C"/>
    <w:rsid w:val="007D6B7B"/>
    <w:rsid w:val="007D6CF1"/>
    <w:rsid w:val="007D7038"/>
    <w:rsid w:val="007D7131"/>
    <w:rsid w:val="007D7550"/>
    <w:rsid w:val="007D7707"/>
    <w:rsid w:val="007D78D3"/>
    <w:rsid w:val="007D7BEC"/>
    <w:rsid w:val="007D7CE3"/>
    <w:rsid w:val="007D7D3A"/>
    <w:rsid w:val="007D7ECD"/>
    <w:rsid w:val="007E051A"/>
    <w:rsid w:val="007E073C"/>
    <w:rsid w:val="007E0798"/>
    <w:rsid w:val="007E0BBD"/>
    <w:rsid w:val="007E0E8E"/>
    <w:rsid w:val="007E1B72"/>
    <w:rsid w:val="007E1F38"/>
    <w:rsid w:val="007E205D"/>
    <w:rsid w:val="007E222A"/>
    <w:rsid w:val="007E22D1"/>
    <w:rsid w:val="007E23E3"/>
    <w:rsid w:val="007E2CB0"/>
    <w:rsid w:val="007E2D9E"/>
    <w:rsid w:val="007E324F"/>
    <w:rsid w:val="007E36EE"/>
    <w:rsid w:val="007E3AEA"/>
    <w:rsid w:val="007E3E0A"/>
    <w:rsid w:val="007E3EE3"/>
    <w:rsid w:val="007E43D2"/>
    <w:rsid w:val="007E4F6B"/>
    <w:rsid w:val="007E5315"/>
    <w:rsid w:val="007E5753"/>
    <w:rsid w:val="007E57DE"/>
    <w:rsid w:val="007E5902"/>
    <w:rsid w:val="007E6250"/>
    <w:rsid w:val="007E649A"/>
    <w:rsid w:val="007E6719"/>
    <w:rsid w:val="007E68D7"/>
    <w:rsid w:val="007E68ED"/>
    <w:rsid w:val="007E69ED"/>
    <w:rsid w:val="007E6E15"/>
    <w:rsid w:val="007E6E96"/>
    <w:rsid w:val="007E6E99"/>
    <w:rsid w:val="007E7AE7"/>
    <w:rsid w:val="007E7B2D"/>
    <w:rsid w:val="007E7E29"/>
    <w:rsid w:val="007F0221"/>
    <w:rsid w:val="007F034B"/>
    <w:rsid w:val="007F071C"/>
    <w:rsid w:val="007F079D"/>
    <w:rsid w:val="007F07B9"/>
    <w:rsid w:val="007F08B3"/>
    <w:rsid w:val="007F0928"/>
    <w:rsid w:val="007F0C8C"/>
    <w:rsid w:val="007F0CD9"/>
    <w:rsid w:val="007F14CE"/>
    <w:rsid w:val="007F15CE"/>
    <w:rsid w:val="007F1983"/>
    <w:rsid w:val="007F1E88"/>
    <w:rsid w:val="007F23AE"/>
    <w:rsid w:val="007F2553"/>
    <w:rsid w:val="007F2783"/>
    <w:rsid w:val="007F2926"/>
    <w:rsid w:val="007F2C70"/>
    <w:rsid w:val="007F2CD7"/>
    <w:rsid w:val="007F3568"/>
    <w:rsid w:val="007F3779"/>
    <w:rsid w:val="007F3894"/>
    <w:rsid w:val="007F3BE3"/>
    <w:rsid w:val="007F3DC7"/>
    <w:rsid w:val="007F3FE3"/>
    <w:rsid w:val="007F422D"/>
    <w:rsid w:val="007F429B"/>
    <w:rsid w:val="007F44EC"/>
    <w:rsid w:val="007F4501"/>
    <w:rsid w:val="007F49CA"/>
    <w:rsid w:val="007F4DBA"/>
    <w:rsid w:val="007F519C"/>
    <w:rsid w:val="007F534D"/>
    <w:rsid w:val="007F54A2"/>
    <w:rsid w:val="007F54FE"/>
    <w:rsid w:val="007F5535"/>
    <w:rsid w:val="007F5711"/>
    <w:rsid w:val="007F5747"/>
    <w:rsid w:val="007F58CC"/>
    <w:rsid w:val="007F59BC"/>
    <w:rsid w:val="007F5D32"/>
    <w:rsid w:val="007F5F04"/>
    <w:rsid w:val="007F61AF"/>
    <w:rsid w:val="007F62A6"/>
    <w:rsid w:val="007F6767"/>
    <w:rsid w:val="007F6ABD"/>
    <w:rsid w:val="007F6C66"/>
    <w:rsid w:val="007F72DC"/>
    <w:rsid w:val="007F72E5"/>
    <w:rsid w:val="007F792A"/>
    <w:rsid w:val="007F795F"/>
    <w:rsid w:val="008005D1"/>
    <w:rsid w:val="0080069C"/>
    <w:rsid w:val="008006FD"/>
    <w:rsid w:val="00800758"/>
    <w:rsid w:val="00800762"/>
    <w:rsid w:val="00800B89"/>
    <w:rsid w:val="00800FA0"/>
    <w:rsid w:val="008012B1"/>
    <w:rsid w:val="008013FD"/>
    <w:rsid w:val="0080148D"/>
    <w:rsid w:val="0080156B"/>
    <w:rsid w:val="00801867"/>
    <w:rsid w:val="00801A3A"/>
    <w:rsid w:val="00801FB2"/>
    <w:rsid w:val="008029B7"/>
    <w:rsid w:val="00802AB2"/>
    <w:rsid w:val="00803141"/>
    <w:rsid w:val="008033F3"/>
    <w:rsid w:val="0080358D"/>
    <w:rsid w:val="008036E1"/>
    <w:rsid w:val="0080394A"/>
    <w:rsid w:val="00803C2A"/>
    <w:rsid w:val="00803F57"/>
    <w:rsid w:val="00804114"/>
    <w:rsid w:val="00804285"/>
    <w:rsid w:val="00804634"/>
    <w:rsid w:val="0080476E"/>
    <w:rsid w:val="008047E8"/>
    <w:rsid w:val="0080531E"/>
    <w:rsid w:val="008053FE"/>
    <w:rsid w:val="00805BC5"/>
    <w:rsid w:val="00805C3D"/>
    <w:rsid w:val="00805FFB"/>
    <w:rsid w:val="00806035"/>
    <w:rsid w:val="00806138"/>
    <w:rsid w:val="00806405"/>
    <w:rsid w:val="00806AF5"/>
    <w:rsid w:val="00806E96"/>
    <w:rsid w:val="00806F05"/>
    <w:rsid w:val="00806F1D"/>
    <w:rsid w:val="0080704F"/>
    <w:rsid w:val="008070AD"/>
    <w:rsid w:val="008070EA"/>
    <w:rsid w:val="008070F6"/>
    <w:rsid w:val="00807286"/>
    <w:rsid w:val="00807511"/>
    <w:rsid w:val="008077ED"/>
    <w:rsid w:val="00807B6F"/>
    <w:rsid w:val="00807E93"/>
    <w:rsid w:val="00810172"/>
    <w:rsid w:val="00810683"/>
    <w:rsid w:val="00810762"/>
    <w:rsid w:val="00810858"/>
    <w:rsid w:val="00810EE6"/>
    <w:rsid w:val="00810EFF"/>
    <w:rsid w:val="00810FCD"/>
    <w:rsid w:val="00811314"/>
    <w:rsid w:val="008115A0"/>
    <w:rsid w:val="00811829"/>
    <w:rsid w:val="00811A2A"/>
    <w:rsid w:val="00811A39"/>
    <w:rsid w:val="00811B8B"/>
    <w:rsid w:val="00812535"/>
    <w:rsid w:val="0081291B"/>
    <w:rsid w:val="00812B51"/>
    <w:rsid w:val="00812D02"/>
    <w:rsid w:val="00813551"/>
    <w:rsid w:val="00813622"/>
    <w:rsid w:val="00813BE7"/>
    <w:rsid w:val="00813D24"/>
    <w:rsid w:val="00813D46"/>
    <w:rsid w:val="00813DCF"/>
    <w:rsid w:val="00813FAB"/>
    <w:rsid w:val="0081498C"/>
    <w:rsid w:val="00814AE1"/>
    <w:rsid w:val="00814B97"/>
    <w:rsid w:val="0081505D"/>
    <w:rsid w:val="00815208"/>
    <w:rsid w:val="00815226"/>
    <w:rsid w:val="00815936"/>
    <w:rsid w:val="00815D09"/>
    <w:rsid w:val="00815D31"/>
    <w:rsid w:val="0081601F"/>
    <w:rsid w:val="00816064"/>
    <w:rsid w:val="008160BE"/>
    <w:rsid w:val="008161EB"/>
    <w:rsid w:val="00816239"/>
    <w:rsid w:val="008166DA"/>
    <w:rsid w:val="00816731"/>
    <w:rsid w:val="00816B8A"/>
    <w:rsid w:val="00816C16"/>
    <w:rsid w:val="00816CF9"/>
    <w:rsid w:val="0081712A"/>
    <w:rsid w:val="00817357"/>
    <w:rsid w:val="008174B2"/>
    <w:rsid w:val="0081756B"/>
    <w:rsid w:val="008175D9"/>
    <w:rsid w:val="00817AD0"/>
    <w:rsid w:val="00817AD1"/>
    <w:rsid w:val="00817CFF"/>
    <w:rsid w:val="00817E0E"/>
    <w:rsid w:val="00817FDC"/>
    <w:rsid w:val="0082000D"/>
    <w:rsid w:val="00820120"/>
    <w:rsid w:val="0082037E"/>
    <w:rsid w:val="00820AC8"/>
    <w:rsid w:val="00820B5A"/>
    <w:rsid w:val="00820BFC"/>
    <w:rsid w:val="00820C9C"/>
    <w:rsid w:val="00820DD4"/>
    <w:rsid w:val="00820F55"/>
    <w:rsid w:val="00821521"/>
    <w:rsid w:val="00821572"/>
    <w:rsid w:val="00821C0E"/>
    <w:rsid w:val="00821CE3"/>
    <w:rsid w:val="00821FA5"/>
    <w:rsid w:val="00822310"/>
    <w:rsid w:val="008224D1"/>
    <w:rsid w:val="00822684"/>
    <w:rsid w:val="00822C1B"/>
    <w:rsid w:val="008232E5"/>
    <w:rsid w:val="00823794"/>
    <w:rsid w:val="008237F4"/>
    <w:rsid w:val="00823F67"/>
    <w:rsid w:val="0082401E"/>
    <w:rsid w:val="00824022"/>
    <w:rsid w:val="0082470E"/>
    <w:rsid w:val="0082483A"/>
    <w:rsid w:val="00824A11"/>
    <w:rsid w:val="00824A81"/>
    <w:rsid w:val="008251E6"/>
    <w:rsid w:val="00825434"/>
    <w:rsid w:val="008257B8"/>
    <w:rsid w:val="00825E21"/>
    <w:rsid w:val="008260BB"/>
    <w:rsid w:val="008260ED"/>
    <w:rsid w:val="00826321"/>
    <w:rsid w:val="008263AD"/>
    <w:rsid w:val="0082656B"/>
    <w:rsid w:val="00826590"/>
    <w:rsid w:val="00826618"/>
    <w:rsid w:val="00826647"/>
    <w:rsid w:val="0082699D"/>
    <w:rsid w:val="00826E6B"/>
    <w:rsid w:val="00826F0B"/>
    <w:rsid w:val="0082744B"/>
    <w:rsid w:val="008275FD"/>
    <w:rsid w:val="00827813"/>
    <w:rsid w:val="00827902"/>
    <w:rsid w:val="00827E8A"/>
    <w:rsid w:val="008303EF"/>
    <w:rsid w:val="00830BA1"/>
    <w:rsid w:val="00830E56"/>
    <w:rsid w:val="00830EB2"/>
    <w:rsid w:val="008310FA"/>
    <w:rsid w:val="00831480"/>
    <w:rsid w:val="00831652"/>
    <w:rsid w:val="0083195D"/>
    <w:rsid w:val="00831DC7"/>
    <w:rsid w:val="0083202E"/>
    <w:rsid w:val="00832846"/>
    <w:rsid w:val="00832AF1"/>
    <w:rsid w:val="00832BDA"/>
    <w:rsid w:val="00832D6C"/>
    <w:rsid w:val="0083304F"/>
    <w:rsid w:val="00833248"/>
    <w:rsid w:val="008332B4"/>
    <w:rsid w:val="008334C9"/>
    <w:rsid w:val="0083350E"/>
    <w:rsid w:val="0083358B"/>
    <w:rsid w:val="00833628"/>
    <w:rsid w:val="0083392A"/>
    <w:rsid w:val="00834122"/>
    <w:rsid w:val="00834134"/>
    <w:rsid w:val="00834167"/>
    <w:rsid w:val="008346BF"/>
    <w:rsid w:val="00834BEC"/>
    <w:rsid w:val="00834C73"/>
    <w:rsid w:val="00835258"/>
    <w:rsid w:val="008352C5"/>
    <w:rsid w:val="0083554F"/>
    <w:rsid w:val="008358A6"/>
    <w:rsid w:val="008359BD"/>
    <w:rsid w:val="008359FB"/>
    <w:rsid w:val="00835C56"/>
    <w:rsid w:val="00835C9A"/>
    <w:rsid w:val="00835CE2"/>
    <w:rsid w:val="0083609D"/>
    <w:rsid w:val="008360FC"/>
    <w:rsid w:val="008364A7"/>
    <w:rsid w:val="008365DB"/>
    <w:rsid w:val="00836E81"/>
    <w:rsid w:val="00837399"/>
    <w:rsid w:val="00837432"/>
    <w:rsid w:val="008377A7"/>
    <w:rsid w:val="008377C1"/>
    <w:rsid w:val="0083786D"/>
    <w:rsid w:val="008378F6"/>
    <w:rsid w:val="00837C90"/>
    <w:rsid w:val="00837EB1"/>
    <w:rsid w:val="00837F97"/>
    <w:rsid w:val="0084042B"/>
    <w:rsid w:val="0084045E"/>
    <w:rsid w:val="00840788"/>
    <w:rsid w:val="008407AA"/>
    <w:rsid w:val="00840956"/>
    <w:rsid w:val="008409BB"/>
    <w:rsid w:val="008409D1"/>
    <w:rsid w:val="008409F1"/>
    <w:rsid w:val="00840CAB"/>
    <w:rsid w:val="00841034"/>
    <w:rsid w:val="00841271"/>
    <w:rsid w:val="00841350"/>
    <w:rsid w:val="00841365"/>
    <w:rsid w:val="0084184A"/>
    <w:rsid w:val="008419C6"/>
    <w:rsid w:val="00841C29"/>
    <w:rsid w:val="008421BA"/>
    <w:rsid w:val="008423F2"/>
    <w:rsid w:val="0084256D"/>
    <w:rsid w:val="00842953"/>
    <w:rsid w:val="00842A30"/>
    <w:rsid w:val="00842C9C"/>
    <w:rsid w:val="00842F71"/>
    <w:rsid w:val="00843179"/>
    <w:rsid w:val="00843706"/>
    <w:rsid w:val="0084386A"/>
    <w:rsid w:val="00843E0E"/>
    <w:rsid w:val="008441F8"/>
    <w:rsid w:val="008442EA"/>
    <w:rsid w:val="0084446C"/>
    <w:rsid w:val="00844589"/>
    <w:rsid w:val="00844794"/>
    <w:rsid w:val="008447E4"/>
    <w:rsid w:val="008448C9"/>
    <w:rsid w:val="00844A74"/>
    <w:rsid w:val="00844FE7"/>
    <w:rsid w:val="00845103"/>
    <w:rsid w:val="00845325"/>
    <w:rsid w:val="00845459"/>
    <w:rsid w:val="0084548F"/>
    <w:rsid w:val="00845534"/>
    <w:rsid w:val="00845661"/>
    <w:rsid w:val="00845969"/>
    <w:rsid w:val="00845A2B"/>
    <w:rsid w:val="00845C5C"/>
    <w:rsid w:val="00845F37"/>
    <w:rsid w:val="00845FF5"/>
    <w:rsid w:val="00846001"/>
    <w:rsid w:val="0084615D"/>
    <w:rsid w:val="0084642A"/>
    <w:rsid w:val="008464A2"/>
    <w:rsid w:val="008465C4"/>
    <w:rsid w:val="00846628"/>
    <w:rsid w:val="008466CC"/>
    <w:rsid w:val="00846710"/>
    <w:rsid w:val="00846755"/>
    <w:rsid w:val="00846A8A"/>
    <w:rsid w:val="00847016"/>
    <w:rsid w:val="008478ED"/>
    <w:rsid w:val="00847D59"/>
    <w:rsid w:val="00850842"/>
    <w:rsid w:val="0085087F"/>
    <w:rsid w:val="00850A69"/>
    <w:rsid w:val="00850B79"/>
    <w:rsid w:val="00851023"/>
    <w:rsid w:val="00851544"/>
    <w:rsid w:val="0085162A"/>
    <w:rsid w:val="00851655"/>
    <w:rsid w:val="00851728"/>
    <w:rsid w:val="00851C14"/>
    <w:rsid w:val="00851DFF"/>
    <w:rsid w:val="00851FED"/>
    <w:rsid w:val="00852085"/>
    <w:rsid w:val="008520EF"/>
    <w:rsid w:val="008525EF"/>
    <w:rsid w:val="00852690"/>
    <w:rsid w:val="00852EFA"/>
    <w:rsid w:val="00853084"/>
    <w:rsid w:val="00853142"/>
    <w:rsid w:val="00853194"/>
    <w:rsid w:val="00853493"/>
    <w:rsid w:val="008539E3"/>
    <w:rsid w:val="00853AD5"/>
    <w:rsid w:val="00853E85"/>
    <w:rsid w:val="008540A6"/>
    <w:rsid w:val="008541B8"/>
    <w:rsid w:val="00854420"/>
    <w:rsid w:val="00854481"/>
    <w:rsid w:val="00854817"/>
    <w:rsid w:val="008548AF"/>
    <w:rsid w:val="00854A37"/>
    <w:rsid w:val="00854C1A"/>
    <w:rsid w:val="00854E8A"/>
    <w:rsid w:val="00855570"/>
    <w:rsid w:val="008555EF"/>
    <w:rsid w:val="008569D1"/>
    <w:rsid w:val="00856ACE"/>
    <w:rsid w:val="00856D00"/>
    <w:rsid w:val="00856DD2"/>
    <w:rsid w:val="0085725D"/>
    <w:rsid w:val="00857591"/>
    <w:rsid w:val="008576EA"/>
    <w:rsid w:val="0085786E"/>
    <w:rsid w:val="00857CA5"/>
    <w:rsid w:val="00857E88"/>
    <w:rsid w:val="00860371"/>
    <w:rsid w:val="0086049D"/>
    <w:rsid w:val="00860547"/>
    <w:rsid w:val="008605E7"/>
    <w:rsid w:val="0086066C"/>
    <w:rsid w:val="008609DF"/>
    <w:rsid w:val="008612DB"/>
    <w:rsid w:val="00861766"/>
    <w:rsid w:val="0086187D"/>
    <w:rsid w:val="00861B57"/>
    <w:rsid w:val="00861C8A"/>
    <w:rsid w:val="008623A3"/>
    <w:rsid w:val="00862651"/>
    <w:rsid w:val="008627A8"/>
    <w:rsid w:val="008628F7"/>
    <w:rsid w:val="008629CA"/>
    <w:rsid w:val="00862AC4"/>
    <w:rsid w:val="0086300D"/>
    <w:rsid w:val="00863324"/>
    <w:rsid w:val="008633AC"/>
    <w:rsid w:val="008634C4"/>
    <w:rsid w:val="008634E3"/>
    <w:rsid w:val="0086356F"/>
    <w:rsid w:val="0086368B"/>
    <w:rsid w:val="00863868"/>
    <w:rsid w:val="008638B0"/>
    <w:rsid w:val="00863F52"/>
    <w:rsid w:val="00863FCF"/>
    <w:rsid w:val="00864116"/>
    <w:rsid w:val="00864627"/>
    <w:rsid w:val="00864635"/>
    <w:rsid w:val="00864678"/>
    <w:rsid w:val="00864BE5"/>
    <w:rsid w:val="00864C1A"/>
    <w:rsid w:val="00864D9A"/>
    <w:rsid w:val="00865217"/>
    <w:rsid w:val="0086532B"/>
    <w:rsid w:val="00865549"/>
    <w:rsid w:val="008658AA"/>
    <w:rsid w:val="00865CBD"/>
    <w:rsid w:val="00865D6C"/>
    <w:rsid w:val="00865D78"/>
    <w:rsid w:val="00865E14"/>
    <w:rsid w:val="00866012"/>
    <w:rsid w:val="00866628"/>
    <w:rsid w:val="00866921"/>
    <w:rsid w:val="00866A4A"/>
    <w:rsid w:val="00866D6E"/>
    <w:rsid w:val="00866E37"/>
    <w:rsid w:val="00866F9E"/>
    <w:rsid w:val="008672E2"/>
    <w:rsid w:val="0086734B"/>
    <w:rsid w:val="00867626"/>
    <w:rsid w:val="0086793D"/>
    <w:rsid w:val="00867B1C"/>
    <w:rsid w:val="008705BC"/>
    <w:rsid w:val="0087081E"/>
    <w:rsid w:val="00870C20"/>
    <w:rsid w:val="00870D46"/>
    <w:rsid w:val="00871387"/>
    <w:rsid w:val="008713D6"/>
    <w:rsid w:val="00871643"/>
    <w:rsid w:val="00871852"/>
    <w:rsid w:val="00871C50"/>
    <w:rsid w:val="00871D31"/>
    <w:rsid w:val="00872529"/>
    <w:rsid w:val="008725FF"/>
    <w:rsid w:val="00872793"/>
    <w:rsid w:val="0087281D"/>
    <w:rsid w:val="00872B1C"/>
    <w:rsid w:val="00872B65"/>
    <w:rsid w:val="00872C19"/>
    <w:rsid w:val="00872DE3"/>
    <w:rsid w:val="008732D8"/>
    <w:rsid w:val="00873377"/>
    <w:rsid w:val="00873577"/>
    <w:rsid w:val="008738F1"/>
    <w:rsid w:val="00873D7E"/>
    <w:rsid w:val="0087409F"/>
    <w:rsid w:val="008740DF"/>
    <w:rsid w:val="008742D7"/>
    <w:rsid w:val="008745C5"/>
    <w:rsid w:val="0087495B"/>
    <w:rsid w:val="00874D58"/>
    <w:rsid w:val="00874DAB"/>
    <w:rsid w:val="008750D2"/>
    <w:rsid w:val="0087557E"/>
    <w:rsid w:val="0087589C"/>
    <w:rsid w:val="00875AB5"/>
    <w:rsid w:val="00875BEB"/>
    <w:rsid w:val="00875C32"/>
    <w:rsid w:val="00875C91"/>
    <w:rsid w:val="00875F85"/>
    <w:rsid w:val="008765FE"/>
    <w:rsid w:val="00876753"/>
    <w:rsid w:val="008767CA"/>
    <w:rsid w:val="00876A5D"/>
    <w:rsid w:val="00876A9D"/>
    <w:rsid w:val="00876C6B"/>
    <w:rsid w:val="00876DC9"/>
    <w:rsid w:val="00877125"/>
    <w:rsid w:val="0087718B"/>
    <w:rsid w:val="008777C2"/>
    <w:rsid w:val="0087794E"/>
    <w:rsid w:val="00877F27"/>
    <w:rsid w:val="00880085"/>
    <w:rsid w:val="008801F4"/>
    <w:rsid w:val="0088048A"/>
    <w:rsid w:val="00880575"/>
    <w:rsid w:val="0088063B"/>
    <w:rsid w:val="00880D81"/>
    <w:rsid w:val="00880EA8"/>
    <w:rsid w:val="0088121B"/>
    <w:rsid w:val="00881511"/>
    <w:rsid w:val="00881669"/>
    <w:rsid w:val="008819BE"/>
    <w:rsid w:val="00881B06"/>
    <w:rsid w:val="008822D2"/>
    <w:rsid w:val="00882448"/>
    <w:rsid w:val="0088283A"/>
    <w:rsid w:val="00882D24"/>
    <w:rsid w:val="00882F1D"/>
    <w:rsid w:val="008833C1"/>
    <w:rsid w:val="00883829"/>
    <w:rsid w:val="00883A4D"/>
    <w:rsid w:val="00883B21"/>
    <w:rsid w:val="00883C0A"/>
    <w:rsid w:val="00883F8F"/>
    <w:rsid w:val="00884035"/>
    <w:rsid w:val="0088408C"/>
    <w:rsid w:val="008840A0"/>
    <w:rsid w:val="00884235"/>
    <w:rsid w:val="008847DE"/>
    <w:rsid w:val="00884E2C"/>
    <w:rsid w:val="00885285"/>
    <w:rsid w:val="00885426"/>
    <w:rsid w:val="00885985"/>
    <w:rsid w:val="008859A6"/>
    <w:rsid w:val="00885AF6"/>
    <w:rsid w:val="00885CB9"/>
    <w:rsid w:val="00885E5C"/>
    <w:rsid w:val="00886699"/>
    <w:rsid w:val="00886727"/>
    <w:rsid w:val="00886BD8"/>
    <w:rsid w:val="00886C6B"/>
    <w:rsid w:val="00886DE5"/>
    <w:rsid w:val="00886E89"/>
    <w:rsid w:val="00886FB2"/>
    <w:rsid w:val="00887082"/>
    <w:rsid w:val="0088709A"/>
    <w:rsid w:val="00887390"/>
    <w:rsid w:val="008873A1"/>
    <w:rsid w:val="008875D0"/>
    <w:rsid w:val="008875FF"/>
    <w:rsid w:val="008877FC"/>
    <w:rsid w:val="00887D48"/>
    <w:rsid w:val="008902EE"/>
    <w:rsid w:val="008902F2"/>
    <w:rsid w:val="008906D8"/>
    <w:rsid w:val="00890EC7"/>
    <w:rsid w:val="00891161"/>
    <w:rsid w:val="008915A9"/>
    <w:rsid w:val="008915E6"/>
    <w:rsid w:val="0089199F"/>
    <w:rsid w:val="00891C32"/>
    <w:rsid w:val="00891D7F"/>
    <w:rsid w:val="00891E93"/>
    <w:rsid w:val="00892218"/>
    <w:rsid w:val="00892265"/>
    <w:rsid w:val="00892326"/>
    <w:rsid w:val="0089233E"/>
    <w:rsid w:val="008923B4"/>
    <w:rsid w:val="0089259A"/>
    <w:rsid w:val="008925C6"/>
    <w:rsid w:val="0089274F"/>
    <w:rsid w:val="0089286F"/>
    <w:rsid w:val="00892D72"/>
    <w:rsid w:val="00893026"/>
    <w:rsid w:val="00893143"/>
    <w:rsid w:val="0089330E"/>
    <w:rsid w:val="00893316"/>
    <w:rsid w:val="008935D4"/>
    <w:rsid w:val="008936B1"/>
    <w:rsid w:val="00893987"/>
    <w:rsid w:val="00893A8E"/>
    <w:rsid w:val="00893B5E"/>
    <w:rsid w:val="00893E25"/>
    <w:rsid w:val="00893E27"/>
    <w:rsid w:val="00893E2A"/>
    <w:rsid w:val="00893F4E"/>
    <w:rsid w:val="008945F7"/>
    <w:rsid w:val="0089463D"/>
    <w:rsid w:val="00894805"/>
    <w:rsid w:val="00894B75"/>
    <w:rsid w:val="00894C62"/>
    <w:rsid w:val="00894CF3"/>
    <w:rsid w:val="00894EDA"/>
    <w:rsid w:val="0089554F"/>
    <w:rsid w:val="008955B8"/>
    <w:rsid w:val="008955E6"/>
    <w:rsid w:val="008958C0"/>
    <w:rsid w:val="00895B5F"/>
    <w:rsid w:val="00895CCA"/>
    <w:rsid w:val="00895E39"/>
    <w:rsid w:val="008961E0"/>
    <w:rsid w:val="0089637C"/>
    <w:rsid w:val="00896712"/>
    <w:rsid w:val="00896870"/>
    <w:rsid w:val="008969BD"/>
    <w:rsid w:val="00896B09"/>
    <w:rsid w:val="00896F94"/>
    <w:rsid w:val="00897283"/>
    <w:rsid w:val="00897522"/>
    <w:rsid w:val="008979CE"/>
    <w:rsid w:val="00897AA7"/>
    <w:rsid w:val="008A01F0"/>
    <w:rsid w:val="008A0701"/>
    <w:rsid w:val="008A0AC4"/>
    <w:rsid w:val="008A1210"/>
    <w:rsid w:val="008A124C"/>
    <w:rsid w:val="008A12B6"/>
    <w:rsid w:val="008A13BD"/>
    <w:rsid w:val="008A13CF"/>
    <w:rsid w:val="008A1596"/>
    <w:rsid w:val="008A1643"/>
    <w:rsid w:val="008A17AF"/>
    <w:rsid w:val="008A1CC1"/>
    <w:rsid w:val="008A1EDF"/>
    <w:rsid w:val="008A2524"/>
    <w:rsid w:val="008A2695"/>
    <w:rsid w:val="008A2ABD"/>
    <w:rsid w:val="008A2DC9"/>
    <w:rsid w:val="008A2EBF"/>
    <w:rsid w:val="008A2FF1"/>
    <w:rsid w:val="008A32D4"/>
    <w:rsid w:val="008A3368"/>
    <w:rsid w:val="008A367F"/>
    <w:rsid w:val="008A37AF"/>
    <w:rsid w:val="008A3D62"/>
    <w:rsid w:val="008A3F22"/>
    <w:rsid w:val="008A448D"/>
    <w:rsid w:val="008A488D"/>
    <w:rsid w:val="008A4A3B"/>
    <w:rsid w:val="008A4A55"/>
    <w:rsid w:val="008A4AB7"/>
    <w:rsid w:val="008A4AF7"/>
    <w:rsid w:val="008A4D54"/>
    <w:rsid w:val="008A506F"/>
    <w:rsid w:val="008A526B"/>
    <w:rsid w:val="008A528A"/>
    <w:rsid w:val="008A5298"/>
    <w:rsid w:val="008A535A"/>
    <w:rsid w:val="008A53EF"/>
    <w:rsid w:val="008A544D"/>
    <w:rsid w:val="008A54D5"/>
    <w:rsid w:val="008A571C"/>
    <w:rsid w:val="008A5BFA"/>
    <w:rsid w:val="008A5C42"/>
    <w:rsid w:val="008A5F97"/>
    <w:rsid w:val="008A6420"/>
    <w:rsid w:val="008A6AC6"/>
    <w:rsid w:val="008A720F"/>
    <w:rsid w:val="008A72C2"/>
    <w:rsid w:val="008A7498"/>
    <w:rsid w:val="008A76D3"/>
    <w:rsid w:val="008A79DB"/>
    <w:rsid w:val="008A7C72"/>
    <w:rsid w:val="008B03FD"/>
    <w:rsid w:val="008B04F2"/>
    <w:rsid w:val="008B055B"/>
    <w:rsid w:val="008B08F8"/>
    <w:rsid w:val="008B0A46"/>
    <w:rsid w:val="008B0D0E"/>
    <w:rsid w:val="008B0FB5"/>
    <w:rsid w:val="008B12BB"/>
    <w:rsid w:val="008B1411"/>
    <w:rsid w:val="008B1488"/>
    <w:rsid w:val="008B17A2"/>
    <w:rsid w:val="008B1BC5"/>
    <w:rsid w:val="008B1CEC"/>
    <w:rsid w:val="008B1D87"/>
    <w:rsid w:val="008B205C"/>
    <w:rsid w:val="008B20E6"/>
    <w:rsid w:val="008B25F2"/>
    <w:rsid w:val="008B2643"/>
    <w:rsid w:val="008B2B99"/>
    <w:rsid w:val="008B2BB0"/>
    <w:rsid w:val="008B2F30"/>
    <w:rsid w:val="008B2FAE"/>
    <w:rsid w:val="008B3317"/>
    <w:rsid w:val="008B3425"/>
    <w:rsid w:val="008B3561"/>
    <w:rsid w:val="008B414B"/>
    <w:rsid w:val="008B45FE"/>
    <w:rsid w:val="008B47C6"/>
    <w:rsid w:val="008B4C7A"/>
    <w:rsid w:val="008B4E0E"/>
    <w:rsid w:val="008B4EFE"/>
    <w:rsid w:val="008B4FB9"/>
    <w:rsid w:val="008B5408"/>
    <w:rsid w:val="008B5707"/>
    <w:rsid w:val="008B5715"/>
    <w:rsid w:val="008B5A2D"/>
    <w:rsid w:val="008B5BC2"/>
    <w:rsid w:val="008B5E54"/>
    <w:rsid w:val="008B60BB"/>
    <w:rsid w:val="008B6494"/>
    <w:rsid w:val="008B65CA"/>
    <w:rsid w:val="008B6732"/>
    <w:rsid w:val="008B68EC"/>
    <w:rsid w:val="008B69E3"/>
    <w:rsid w:val="008B70D9"/>
    <w:rsid w:val="008B711E"/>
    <w:rsid w:val="008B7404"/>
    <w:rsid w:val="008B7538"/>
    <w:rsid w:val="008B7C14"/>
    <w:rsid w:val="008B7DBE"/>
    <w:rsid w:val="008C0267"/>
    <w:rsid w:val="008C02CA"/>
    <w:rsid w:val="008C0402"/>
    <w:rsid w:val="008C042F"/>
    <w:rsid w:val="008C057B"/>
    <w:rsid w:val="008C0917"/>
    <w:rsid w:val="008C0CAC"/>
    <w:rsid w:val="008C0DF6"/>
    <w:rsid w:val="008C1257"/>
    <w:rsid w:val="008C13B4"/>
    <w:rsid w:val="008C13BD"/>
    <w:rsid w:val="008C14B8"/>
    <w:rsid w:val="008C1557"/>
    <w:rsid w:val="008C15E7"/>
    <w:rsid w:val="008C1683"/>
    <w:rsid w:val="008C183A"/>
    <w:rsid w:val="008C1B12"/>
    <w:rsid w:val="008C1B8C"/>
    <w:rsid w:val="008C1BA2"/>
    <w:rsid w:val="008C1E7F"/>
    <w:rsid w:val="008C2306"/>
    <w:rsid w:val="008C26D1"/>
    <w:rsid w:val="008C2B7F"/>
    <w:rsid w:val="008C2BFF"/>
    <w:rsid w:val="008C30F5"/>
    <w:rsid w:val="008C3632"/>
    <w:rsid w:val="008C36AC"/>
    <w:rsid w:val="008C37E5"/>
    <w:rsid w:val="008C3B0C"/>
    <w:rsid w:val="008C3BCC"/>
    <w:rsid w:val="008C3F65"/>
    <w:rsid w:val="008C40DA"/>
    <w:rsid w:val="008C45A0"/>
    <w:rsid w:val="008C4757"/>
    <w:rsid w:val="008C4911"/>
    <w:rsid w:val="008C4953"/>
    <w:rsid w:val="008C49AD"/>
    <w:rsid w:val="008C4A10"/>
    <w:rsid w:val="008C4E44"/>
    <w:rsid w:val="008C4E68"/>
    <w:rsid w:val="008C5A10"/>
    <w:rsid w:val="008C5A2C"/>
    <w:rsid w:val="008C5B50"/>
    <w:rsid w:val="008C5FC3"/>
    <w:rsid w:val="008C6255"/>
    <w:rsid w:val="008C63EA"/>
    <w:rsid w:val="008C684B"/>
    <w:rsid w:val="008C6912"/>
    <w:rsid w:val="008C6ABD"/>
    <w:rsid w:val="008C6B00"/>
    <w:rsid w:val="008C6F18"/>
    <w:rsid w:val="008C6F5F"/>
    <w:rsid w:val="008C7175"/>
    <w:rsid w:val="008C72B5"/>
    <w:rsid w:val="008C7685"/>
    <w:rsid w:val="008C785E"/>
    <w:rsid w:val="008D007A"/>
    <w:rsid w:val="008D07DE"/>
    <w:rsid w:val="008D0831"/>
    <w:rsid w:val="008D0E40"/>
    <w:rsid w:val="008D12A7"/>
    <w:rsid w:val="008D1971"/>
    <w:rsid w:val="008D19C5"/>
    <w:rsid w:val="008D1A37"/>
    <w:rsid w:val="008D1B98"/>
    <w:rsid w:val="008D1D3E"/>
    <w:rsid w:val="008D1E7F"/>
    <w:rsid w:val="008D2367"/>
    <w:rsid w:val="008D246B"/>
    <w:rsid w:val="008D2520"/>
    <w:rsid w:val="008D2B6B"/>
    <w:rsid w:val="008D2F0D"/>
    <w:rsid w:val="008D342C"/>
    <w:rsid w:val="008D35D0"/>
    <w:rsid w:val="008D36EF"/>
    <w:rsid w:val="008D3752"/>
    <w:rsid w:val="008D38CB"/>
    <w:rsid w:val="008D3E3A"/>
    <w:rsid w:val="008D427A"/>
    <w:rsid w:val="008D47E6"/>
    <w:rsid w:val="008D4DD5"/>
    <w:rsid w:val="008D5043"/>
    <w:rsid w:val="008D54F2"/>
    <w:rsid w:val="008D55B8"/>
    <w:rsid w:val="008D5641"/>
    <w:rsid w:val="008D5657"/>
    <w:rsid w:val="008D56BD"/>
    <w:rsid w:val="008D5952"/>
    <w:rsid w:val="008D5C42"/>
    <w:rsid w:val="008D5F37"/>
    <w:rsid w:val="008D6327"/>
    <w:rsid w:val="008D6593"/>
    <w:rsid w:val="008D6752"/>
    <w:rsid w:val="008D6904"/>
    <w:rsid w:val="008D69E7"/>
    <w:rsid w:val="008D6C9D"/>
    <w:rsid w:val="008D6EEA"/>
    <w:rsid w:val="008D6FC1"/>
    <w:rsid w:val="008D7ADC"/>
    <w:rsid w:val="008D7FA8"/>
    <w:rsid w:val="008E0010"/>
    <w:rsid w:val="008E001D"/>
    <w:rsid w:val="008E0140"/>
    <w:rsid w:val="008E052C"/>
    <w:rsid w:val="008E0573"/>
    <w:rsid w:val="008E0688"/>
    <w:rsid w:val="008E0B23"/>
    <w:rsid w:val="008E0BEF"/>
    <w:rsid w:val="008E103C"/>
    <w:rsid w:val="008E1164"/>
    <w:rsid w:val="008E1193"/>
    <w:rsid w:val="008E1A35"/>
    <w:rsid w:val="008E1A4A"/>
    <w:rsid w:val="008E1D62"/>
    <w:rsid w:val="008E20EF"/>
    <w:rsid w:val="008E2299"/>
    <w:rsid w:val="008E23AF"/>
    <w:rsid w:val="008E266D"/>
    <w:rsid w:val="008E27B4"/>
    <w:rsid w:val="008E27EF"/>
    <w:rsid w:val="008E2E53"/>
    <w:rsid w:val="008E2F0C"/>
    <w:rsid w:val="008E2FB7"/>
    <w:rsid w:val="008E3270"/>
    <w:rsid w:val="008E33E8"/>
    <w:rsid w:val="008E3525"/>
    <w:rsid w:val="008E35D7"/>
    <w:rsid w:val="008E3E23"/>
    <w:rsid w:val="008E3F2E"/>
    <w:rsid w:val="008E46C4"/>
    <w:rsid w:val="008E4D53"/>
    <w:rsid w:val="008E535A"/>
    <w:rsid w:val="008E547B"/>
    <w:rsid w:val="008E54C8"/>
    <w:rsid w:val="008E54F5"/>
    <w:rsid w:val="008E5989"/>
    <w:rsid w:val="008E5B30"/>
    <w:rsid w:val="008E5DF8"/>
    <w:rsid w:val="008E6066"/>
    <w:rsid w:val="008E6652"/>
    <w:rsid w:val="008E6812"/>
    <w:rsid w:val="008E7248"/>
    <w:rsid w:val="008E75CC"/>
    <w:rsid w:val="008E7B4B"/>
    <w:rsid w:val="008E7D7D"/>
    <w:rsid w:val="008F0250"/>
    <w:rsid w:val="008F0282"/>
    <w:rsid w:val="008F043B"/>
    <w:rsid w:val="008F06AD"/>
    <w:rsid w:val="008F0808"/>
    <w:rsid w:val="008F0882"/>
    <w:rsid w:val="008F0BFE"/>
    <w:rsid w:val="008F11F4"/>
    <w:rsid w:val="008F1432"/>
    <w:rsid w:val="008F1438"/>
    <w:rsid w:val="008F18BE"/>
    <w:rsid w:val="008F1952"/>
    <w:rsid w:val="008F200B"/>
    <w:rsid w:val="008F2100"/>
    <w:rsid w:val="008F2170"/>
    <w:rsid w:val="008F254D"/>
    <w:rsid w:val="008F2583"/>
    <w:rsid w:val="008F2CEE"/>
    <w:rsid w:val="008F310B"/>
    <w:rsid w:val="008F322B"/>
    <w:rsid w:val="008F34CB"/>
    <w:rsid w:val="008F3519"/>
    <w:rsid w:val="008F3A06"/>
    <w:rsid w:val="008F3AD3"/>
    <w:rsid w:val="008F3BED"/>
    <w:rsid w:val="008F3CA7"/>
    <w:rsid w:val="008F4110"/>
    <w:rsid w:val="008F443F"/>
    <w:rsid w:val="008F47A1"/>
    <w:rsid w:val="008F47C3"/>
    <w:rsid w:val="008F4EDE"/>
    <w:rsid w:val="008F5839"/>
    <w:rsid w:val="008F58F3"/>
    <w:rsid w:val="008F5983"/>
    <w:rsid w:val="008F5997"/>
    <w:rsid w:val="008F5DE5"/>
    <w:rsid w:val="008F5E42"/>
    <w:rsid w:val="008F5F25"/>
    <w:rsid w:val="008F63B1"/>
    <w:rsid w:val="008F6973"/>
    <w:rsid w:val="008F6E6A"/>
    <w:rsid w:val="008F71CB"/>
    <w:rsid w:val="008F7496"/>
    <w:rsid w:val="008F74AB"/>
    <w:rsid w:val="008F75F6"/>
    <w:rsid w:val="008F7779"/>
    <w:rsid w:val="008F78C0"/>
    <w:rsid w:val="008F7AA7"/>
    <w:rsid w:val="008F7B01"/>
    <w:rsid w:val="008F7B7B"/>
    <w:rsid w:val="008F7F94"/>
    <w:rsid w:val="009003AA"/>
    <w:rsid w:val="00900947"/>
    <w:rsid w:val="00900EB8"/>
    <w:rsid w:val="00900FBA"/>
    <w:rsid w:val="0090172B"/>
    <w:rsid w:val="00901884"/>
    <w:rsid w:val="00901CE0"/>
    <w:rsid w:val="00901D02"/>
    <w:rsid w:val="0090240E"/>
    <w:rsid w:val="009024B8"/>
    <w:rsid w:val="009026A2"/>
    <w:rsid w:val="00902713"/>
    <w:rsid w:val="00902988"/>
    <w:rsid w:val="00902A83"/>
    <w:rsid w:val="00902B34"/>
    <w:rsid w:val="00902E5B"/>
    <w:rsid w:val="0090307A"/>
    <w:rsid w:val="00903266"/>
    <w:rsid w:val="00903B7F"/>
    <w:rsid w:val="00903FD9"/>
    <w:rsid w:val="009043AE"/>
    <w:rsid w:val="009043FE"/>
    <w:rsid w:val="00904B8E"/>
    <w:rsid w:val="00904CF5"/>
    <w:rsid w:val="00905259"/>
    <w:rsid w:val="0090556C"/>
    <w:rsid w:val="009055E6"/>
    <w:rsid w:val="00905633"/>
    <w:rsid w:val="00905EA1"/>
    <w:rsid w:val="00905EAE"/>
    <w:rsid w:val="009060C4"/>
    <w:rsid w:val="00906153"/>
    <w:rsid w:val="00906635"/>
    <w:rsid w:val="0090697A"/>
    <w:rsid w:val="00906C91"/>
    <w:rsid w:val="00906C95"/>
    <w:rsid w:val="009070DD"/>
    <w:rsid w:val="00907656"/>
    <w:rsid w:val="009078CC"/>
    <w:rsid w:val="00907D8A"/>
    <w:rsid w:val="00907E47"/>
    <w:rsid w:val="00910961"/>
    <w:rsid w:val="00910EF2"/>
    <w:rsid w:val="00911169"/>
    <w:rsid w:val="0091145F"/>
    <w:rsid w:val="009115EF"/>
    <w:rsid w:val="009116DD"/>
    <w:rsid w:val="00911D62"/>
    <w:rsid w:val="00911E6F"/>
    <w:rsid w:val="00911F65"/>
    <w:rsid w:val="00912276"/>
    <w:rsid w:val="00912A02"/>
    <w:rsid w:val="00912D1C"/>
    <w:rsid w:val="00912F26"/>
    <w:rsid w:val="00913019"/>
    <w:rsid w:val="0091327F"/>
    <w:rsid w:val="009135DA"/>
    <w:rsid w:val="00913677"/>
    <w:rsid w:val="00913ACC"/>
    <w:rsid w:val="00913DD8"/>
    <w:rsid w:val="00913EDA"/>
    <w:rsid w:val="00913F1E"/>
    <w:rsid w:val="00913F3D"/>
    <w:rsid w:val="00913FB2"/>
    <w:rsid w:val="009140C4"/>
    <w:rsid w:val="0091411B"/>
    <w:rsid w:val="009144A9"/>
    <w:rsid w:val="00914512"/>
    <w:rsid w:val="0091468B"/>
    <w:rsid w:val="0091474F"/>
    <w:rsid w:val="00914BF4"/>
    <w:rsid w:val="00914EA7"/>
    <w:rsid w:val="0091508C"/>
    <w:rsid w:val="00915241"/>
    <w:rsid w:val="0091526F"/>
    <w:rsid w:val="009153D2"/>
    <w:rsid w:val="009156C6"/>
    <w:rsid w:val="00915D10"/>
    <w:rsid w:val="00915D7A"/>
    <w:rsid w:val="00915DE3"/>
    <w:rsid w:val="00916286"/>
    <w:rsid w:val="00916595"/>
    <w:rsid w:val="009168F2"/>
    <w:rsid w:val="0091690E"/>
    <w:rsid w:val="00916AAD"/>
    <w:rsid w:val="00916C47"/>
    <w:rsid w:val="00916E08"/>
    <w:rsid w:val="009171AD"/>
    <w:rsid w:val="00917569"/>
    <w:rsid w:val="00917877"/>
    <w:rsid w:val="009179FB"/>
    <w:rsid w:val="00920174"/>
    <w:rsid w:val="009202AD"/>
    <w:rsid w:val="00920C1A"/>
    <w:rsid w:val="00920C9C"/>
    <w:rsid w:val="00920E55"/>
    <w:rsid w:val="009210C7"/>
    <w:rsid w:val="009211CB"/>
    <w:rsid w:val="009215F4"/>
    <w:rsid w:val="0092161A"/>
    <w:rsid w:val="009218C4"/>
    <w:rsid w:val="009219D2"/>
    <w:rsid w:val="00921A4E"/>
    <w:rsid w:val="00921E37"/>
    <w:rsid w:val="00921E48"/>
    <w:rsid w:val="009220E6"/>
    <w:rsid w:val="009221E4"/>
    <w:rsid w:val="00922234"/>
    <w:rsid w:val="00922359"/>
    <w:rsid w:val="00922511"/>
    <w:rsid w:val="00922903"/>
    <w:rsid w:val="00922A7E"/>
    <w:rsid w:val="00922AB4"/>
    <w:rsid w:val="00922B2E"/>
    <w:rsid w:val="00922E0C"/>
    <w:rsid w:val="00922F07"/>
    <w:rsid w:val="0092324A"/>
    <w:rsid w:val="00923463"/>
    <w:rsid w:val="00923A88"/>
    <w:rsid w:val="00923B37"/>
    <w:rsid w:val="00923E87"/>
    <w:rsid w:val="00923EBC"/>
    <w:rsid w:val="00924044"/>
    <w:rsid w:val="00924D77"/>
    <w:rsid w:val="00925238"/>
    <w:rsid w:val="00925ACF"/>
    <w:rsid w:val="00925E32"/>
    <w:rsid w:val="0092615D"/>
    <w:rsid w:val="00926546"/>
    <w:rsid w:val="009265A1"/>
    <w:rsid w:val="009269BD"/>
    <w:rsid w:val="00926B7F"/>
    <w:rsid w:val="00926BF0"/>
    <w:rsid w:val="00926D84"/>
    <w:rsid w:val="00926FF9"/>
    <w:rsid w:val="0092728D"/>
    <w:rsid w:val="00927700"/>
    <w:rsid w:val="00927774"/>
    <w:rsid w:val="00927887"/>
    <w:rsid w:val="00927928"/>
    <w:rsid w:val="00927959"/>
    <w:rsid w:val="00927D26"/>
    <w:rsid w:val="00930280"/>
    <w:rsid w:val="0093036E"/>
    <w:rsid w:val="0093053F"/>
    <w:rsid w:val="00930665"/>
    <w:rsid w:val="009306F1"/>
    <w:rsid w:val="00930BEB"/>
    <w:rsid w:val="00931224"/>
    <w:rsid w:val="009313C1"/>
    <w:rsid w:val="00931421"/>
    <w:rsid w:val="009315B3"/>
    <w:rsid w:val="0093167C"/>
    <w:rsid w:val="00931842"/>
    <w:rsid w:val="009319EB"/>
    <w:rsid w:val="00931B2E"/>
    <w:rsid w:val="00931EE0"/>
    <w:rsid w:val="00932637"/>
    <w:rsid w:val="0093264C"/>
    <w:rsid w:val="009329FB"/>
    <w:rsid w:val="00932CE9"/>
    <w:rsid w:val="00932CF4"/>
    <w:rsid w:val="009333D3"/>
    <w:rsid w:val="00933526"/>
    <w:rsid w:val="009339B6"/>
    <w:rsid w:val="00933B4C"/>
    <w:rsid w:val="00933B8A"/>
    <w:rsid w:val="00933BF0"/>
    <w:rsid w:val="00933DC4"/>
    <w:rsid w:val="00933EC4"/>
    <w:rsid w:val="0093431B"/>
    <w:rsid w:val="009343A9"/>
    <w:rsid w:val="00934450"/>
    <w:rsid w:val="00934526"/>
    <w:rsid w:val="009346D6"/>
    <w:rsid w:val="00934743"/>
    <w:rsid w:val="0093487E"/>
    <w:rsid w:val="00934ED1"/>
    <w:rsid w:val="00934ED2"/>
    <w:rsid w:val="00934FFE"/>
    <w:rsid w:val="00935108"/>
    <w:rsid w:val="0093574E"/>
    <w:rsid w:val="00936405"/>
    <w:rsid w:val="0093689A"/>
    <w:rsid w:val="00936B61"/>
    <w:rsid w:val="00936B64"/>
    <w:rsid w:val="00936D11"/>
    <w:rsid w:val="00936E90"/>
    <w:rsid w:val="00936FC9"/>
    <w:rsid w:val="0093717D"/>
    <w:rsid w:val="0093740B"/>
    <w:rsid w:val="009379C4"/>
    <w:rsid w:val="00937B13"/>
    <w:rsid w:val="00937C58"/>
    <w:rsid w:val="00937F9B"/>
    <w:rsid w:val="009401C2"/>
    <w:rsid w:val="009401F0"/>
    <w:rsid w:val="0094041A"/>
    <w:rsid w:val="00940441"/>
    <w:rsid w:val="00940628"/>
    <w:rsid w:val="00940D32"/>
    <w:rsid w:val="00940FD3"/>
    <w:rsid w:val="00940FDD"/>
    <w:rsid w:val="009410F6"/>
    <w:rsid w:val="009412EF"/>
    <w:rsid w:val="009413E2"/>
    <w:rsid w:val="0094190D"/>
    <w:rsid w:val="009421CD"/>
    <w:rsid w:val="009422DE"/>
    <w:rsid w:val="00942354"/>
    <w:rsid w:val="00942681"/>
    <w:rsid w:val="00942953"/>
    <w:rsid w:val="00942D9A"/>
    <w:rsid w:val="0094364C"/>
    <w:rsid w:val="0094373E"/>
    <w:rsid w:val="00943A7E"/>
    <w:rsid w:val="00943E42"/>
    <w:rsid w:val="00943E5D"/>
    <w:rsid w:val="00943E71"/>
    <w:rsid w:val="00944728"/>
    <w:rsid w:val="00944AE9"/>
    <w:rsid w:val="00944C7F"/>
    <w:rsid w:val="00944C86"/>
    <w:rsid w:val="009453E8"/>
    <w:rsid w:val="00945664"/>
    <w:rsid w:val="00945A89"/>
    <w:rsid w:val="00945AD1"/>
    <w:rsid w:val="00946067"/>
    <w:rsid w:val="00946614"/>
    <w:rsid w:val="00946ECB"/>
    <w:rsid w:val="009471D9"/>
    <w:rsid w:val="00947268"/>
    <w:rsid w:val="009473EB"/>
    <w:rsid w:val="0094750E"/>
    <w:rsid w:val="0094788C"/>
    <w:rsid w:val="00947A40"/>
    <w:rsid w:val="00947C94"/>
    <w:rsid w:val="00950336"/>
    <w:rsid w:val="009503E2"/>
    <w:rsid w:val="00950586"/>
    <w:rsid w:val="009507C8"/>
    <w:rsid w:val="00950963"/>
    <w:rsid w:val="00950E5E"/>
    <w:rsid w:val="00950F2B"/>
    <w:rsid w:val="0095115E"/>
    <w:rsid w:val="0095118A"/>
    <w:rsid w:val="009516F5"/>
    <w:rsid w:val="00951B5E"/>
    <w:rsid w:val="00951C57"/>
    <w:rsid w:val="00951FFC"/>
    <w:rsid w:val="0095205F"/>
    <w:rsid w:val="00952074"/>
    <w:rsid w:val="009523D1"/>
    <w:rsid w:val="00952468"/>
    <w:rsid w:val="00952871"/>
    <w:rsid w:val="00952983"/>
    <w:rsid w:val="009529F4"/>
    <w:rsid w:val="009530C6"/>
    <w:rsid w:val="00953223"/>
    <w:rsid w:val="009534F7"/>
    <w:rsid w:val="00953643"/>
    <w:rsid w:val="009537FF"/>
    <w:rsid w:val="00953C3F"/>
    <w:rsid w:val="00954749"/>
    <w:rsid w:val="00954767"/>
    <w:rsid w:val="009547EB"/>
    <w:rsid w:val="0095487A"/>
    <w:rsid w:val="009548FB"/>
    <w:rsid w:val="00954C6B"/>
    <w:rsid w:val="00954DD3"/>
    <w:rsid w:val="00954FE5"/>
    <w:rsid w:val="0095538B"/>
    <w:rsid w:val="009553B6"/>
    <w:rsid w:val="009558B3"/>
    <w:rsid w:val="009559E3"/>
    <w:rsid w:val="00955CD7"/>
    <w:rsid w:val="00956035"/>
    <w:rsid w:val="009560FF"/>
    <w:rsid w:val="009563A8"/>
    <w:rsid w:val="009567C4"/>
    <w:rsid w:val="0095689F"/>
    <w:rsid w:val="00956C1A"/>
    <w:rsid w:val="00956EE2"/>
    <w:rsid w:val="00957154"/>
    <w:rsid w:val="00957196"/>
    <w:rsid w:val="00957376"/>
    <w:rsid w:val="009575B9"/>
    <w:rsid w:val="00957774"/>
    <w:rsid w:val="0095791E"/>
    <w:rsid w:val="00957956"/>
    <w:rsid w:val="00957AF7"/>
    <w:rsid w:val="00957E0E"/>
    <w:rsid w:val="00957F3D"/>
    <w:rsid w:val="009602B9"/>
    <w:rsid w:val="009604D6"/>
    <w:rsid w:val="00960756"/>
    <w:rsid w:val="00960974"/>
    <w:rsid w:val="009609D2"/>
    <w:rsid w:val="00960ACA"/>
    <w:rsid w:val="00960C4F"/>
    <w:rsid w:val="00960F02"/>
    <w:rsid w:val="009611EF"/>
    <w:rsid w:val="009617BA"/>
    <w:rsid w:val="0096186D"/>
    <w:rsid w:val="0096217C"/>
    <w:rsid w:val="0096234F"/>
    <w:rsid w:val="00962441"/>
    <w:rsid w:val="00962607"/>
    <w:rsid w:val="00963277"/>
    <w:rsid w:val="00963CAC"/>
    <w:rsid w:val="00963E17"/>
    <w:rsid w:val="00963E9B"/>
    <w:rsid w:val="00963F3E"/>
    <w:rsid w:val="00964238"/>
    <w:rsid w:val="00964B53"/>
    <w:rsid w:val="00964B9E"/>
    <w:rsid w:val="00964C26"/>
    <w:rsid w:val="00964C3F"/>
    <w:rsid w:val="00964C6C"/>
    <w:rsid w:val="00964EFE"/>
    <w:rsid w:val="00965176"/>
    <w:rsid w:val="00965240"/>
    <w:rsid w:val="009653F1"/>
    <w:rsid w:val="0096579D"/>
    <w:rsid w:val="00965847"/>
    <w:rsid w:val="00965A3E"/>
    <w:rsid w:val="00965AE7"/>
    <w:rsid w:val="00965C48"/>
    <w:rsid w:val="00965EA5"/>
    <w:rsid w:val="00966010"/>
    <w:rsid w:val="009662AD"/>
    <w:rsid w:val="00966346"/>
    <w:rsid w:val="009668AE"/>
    <w:rsid w:val="00966A13"/>
    <w:rsid w:val="00966D9D"/>
    <w:rsid w:val="00966E4A"/>
    <w:rsid w:val="00967041"/>
    <w:rsid w:val="00967279"/>
    <w:rsid w:val="009672E4"/>
    <w:rsid w:val="00967CE3"/>
    <w:rsid w:val="00967CFA"/>
    <w:rsid w:val="0097016E"/>
    <w:rsid w:val="0097037C"/>
    <w:rsid w:val="00970918"/>
    <w:rsid w:val="0097099E"/>
    <w:rsid w:val="00970CA1"/>
    <w:rsid w:val="00970F75"/>
    <w:rsid w:val="00970FB7"/>
    <w:rsid w:val="009711BD"/>
    <w:rsid w:val="0097139A"/>
    <w:rsid w:val="00971761"/>
    <w:rsid w:val="00971B81"/>
    <w:rsid w:val="00971C0E"/>
    <w:rsid w:val="00971D6C"/>
    <w:rsid w:val="0097216F"/>
    <w:rsid w:val="00972C16"/>
    <w:rsid w:val="00972C3B"/>
    <w:rsid w:val="00973057"/>
    <w:rsid w:val="0097309F"/>
    <w:rsid w:val="00973749"/>
    <w:rsid w:val="00973964"/>
    <w:rsid w:val="00973AA1"/>
    <w:rsid w:val="009742AA"/>
    <w:rsid w:val="00974571"/>
    <w:rsid w:val="00974D50"/>
    <w:rsid w:val="00974D8B"/>
    <w:rsid w:val="00974DF2"/>
    <w:rsid w:val="009751AF"/>
    <w:rsid w:val="00975326"/>
    <w:rsid w:val="00975448"/>
    <w:rsid w:val="009757F9"/>
    <w:rsid w:val="00975DEA"/>
    <w:rsid w:val="0097642D"/>
    <w:rsid w:val="009765C6"/>
    <w:rsid w:val="00976C96"/>
    <w:rsid w:val="00976E42"/>
    <w:rsid w:val="0097700E"/>
    <w:rsid w:val="00977209"/>
    <w:rsid w:val="00977A68"/>
    <w:rsid w:val="00977CDF"/>
    <w:rsid w:val="00980260"/>
    <w:rsid w:val="0098043F"/>
    <w:rsid w:val="009804B8"/>
    <w:rsid w:val="00980C3C"/>
    <w:rsid w:val="00980CBE"/>
    <w:rsid w:val="00981038"/>
    <w:rsid w:val="0098106E"/>
    <w:rsid w:val="009810F7"/>
    <w:rsid w:val="00981488"/>
    <w:rsid w:val="00981511"/>
    <w:rsid w:val="00981D1C"/>
    <w:rsid w:val="00981E1C"/>
    <w:rsid w:val="00982118"/>
    <w:rsid w:val="00982268"/>
    <w:rsid w:val="009824E7"/>
    <w:rsid w:val="00982581"/>
    <w:rsid w:val="009825D7"/>
    <w:rsid w:val="009826FB"/>
    <w:rsid w:val="00982752"/>
    <w:rsid w:val="00982780"/>
    <w:rsid w:val="00982A41"/>
    <w:rsid w:val="00982B68"/>
    <w:rsid w:val="00982C62"/>
    <w:rsid w:val="00982C91"/>
    <w:rsid w:val="00982F76"/>
    <w:rsid w:val="00982FA3"/>
    <w:rsid w:val="00982FE2"/>
    <w:rsid w:val="0098319D"/>
    <w:rsid w:val="0098327D"/>
    <w:rsid w:val="00983811"/>
    <w:rsid w:val="00983F17"/>
    <w:rsid w:val="00983FFD"/>
    <w:rsid w:val="009840FD"/>
    <w:rsid w:val="009844D9"/>
    <w:rsid w:val="00984701"/>
    <w:rsid w:val="00984806"/>
    <w:rsid w:val="00984847"/>
    <w:rsid w:val="00984BEC"/>
    <w:rsid w:val="00984FA9"/>
    <w:rsid w:val="00985161"/>
    <w:rsid w:val="00985439"/>
    <w:rsid w:val="00985935"/>
    <w:rsid w:val="00985DB7"/>
    <w:rsid w:val="00985E19"/>
    <w:rsid w:val="00985E71"/>
    <w:rsid w:val="00985EB8"/>
    <w:rsid w:val="00985FB3"/>
    <w:rsid w:val="00985FFA"/>
    <w:rsid w:val="009862F2"/>
    <w:rsid w:val="00986436"/>
    <w:rsid w:val="00986566"/>
    <w:rsid w:val="009867D4"/>
    <w:rsid w:val="00986800"/>
    <w:rsid w:val="00986CC1"/>
    <w:rsid w:val="00986CE6"/>
    <w:rsid w:val="00986F4E"/>
    <w:rsid w:val="00986F5A"/>
    <w:rsid w:val="00987191"/>
    <w:rsid w:val="009872B6"/>
    <w:rsid w:val="00987437"/>
    <w:rsid w:val="00987A5A"/>
    <w:rsid w:val="00987CB4"/>
    <w:rsid w:val="00990125"/>
    <w:rsid w:val="009901AD"/>
    <w:rsid w:val="0099065B"/>
    <w:rsid w:val="0099097E"/>
    <w:rsid w:val="00990A65"/>
    <w:rsid w:val="0099152C"/>
    <w:rsid w:val="0099175A"/>
    <w:rsid w:val="00991843"/>
    <w:rsid w:val="00991930"/>
    <w:rsid w:val="009920AA"/>
    <w:rsid w:val="009921FC"/>
    <w:rsid w:val="009922A3"/>
    <w:rsid w:val="0099272B"/>
    <w:rsid w:val="00992914"/>
    <w:rsid w:val="00992A0E"/>
    <w:rsid w:val="00993211"/>
    <w:rsid w:val="00993371"/>
    <w:rsid w:val="009934F1"/>
    <w:rsid w:val="0099399E"/>
    <w:rsid w:val="00993AD3"/>
    <w:rsid w:val="00993F31"/>
    <w:rsid w:val="009940EC"/>
    <w:rsid w:val="0099413C"/>
    <w:rsid w:val="00994230"/>
    <w:rsid w:val="00994294"/>
    <w:rsid w:val="0099479E"/>
    <w:rsid w:val="00994B62"/>
    <w:rsid w:val="00994D82"/>
    <w:rsid w:val="00994DAE"/>
    <w:rsid w:val="00994E09"/>
    <w:rsid w:val="009951D8"/>
    <w:rsid w:val="00995355"/>
    <w:rsid w:val="009955CD"/>
    <w:rsid w:val="009956C8"/>
    <w:rsid w:val="0099574D"/>
    <w:rsid w:val="009957D1"/>
    <w:rsid w:val="0099586F"/>
    <w:rsid w:val="00995B6D"/>
    <w:rsid w:val="00995C40"/>
    <w:rsid w:val="00995CC3"/>
    <w:rsid w:val="00995F32"/>
    <w:rsid w:val="00995F43"/>
    <w:rsid w:val="00996061"/>
    <w:rsid w:val="009962CB"/>
    <w:rsid w:val="00996BD1"/>
    <w:rsid w:val="00996CB5"/>
    <w:rsid w:val="00996E05"/>
    <w:rsid w:val="0099719E"/>
    <w:rsid w:val="00997496"/>
    <w:rsid w:val="00997524"/>
    <w:rsid w:val="009975CB"/>
    <w:rsid w:val="00997672"/>
    <w:rsid w:val="00997881"/>
    <w:rsid w:val="009978B1"/>
    <w:rsid w:val="0099799B"/>
    <w:rsid w:val="009979FE"/>
    <w:rsid w:val="00997B4F"/>
    <w:rsid w:val="00997D31"/>
    <w:rsid w:val="00997DC3"/>
    <w:rsid w:val="009A0169"/>
    <w:rsid w:val="009A0BFD"/>
    <w:rsid w:val="009A0E97"/>
    <w:rsid w:val="009A0FFE"/>
    <w:rsid w:val="009A11F5"/>
    <w:rsid w:val="009A121A"/>
    <w:rsid w:val="009A16AC"/>
    <w:rsid w:val="009A1967"/>
    <w:rsid w:val="009A1B56"/>
    <w:rsid w:val="009A1C12"/>
    <w:rsid w:val="009A22ED"/>
    <w:rsid w:val="009A24E8"/>
    <w:rsid w:val="009A2648"/>
    <w:rsid w:val="009A2681"/>
    <w:rsid w:val="009A277F"/>
    <w:rsid w:val="009A2A8A"/>
    <w:rsid w:val="009A2DF2"/>
    <w:rsid w:val="009A2F35"/>
    <w:rsid w:val="009A3119"/>
    <w:rsid w:val="009A3C93"/>
    <w:rsid w:val="009A3FD0"/>
    <w:rsid w:val="009A4487"/>
    <w:rsid w:val="009A453B"/>
    <w:rsid w:val="009A4563"/>
    <w:rsid w:val="009A4648"/>
    <w:rsid w:val="009A4971"/>
    <w:rsid w:val="009A50FA"/>
    <w:rsid w:val="009A51C7"/>
    <w:rsid w:val="009A52CE"/>
    <w:rsid w:val="009A567E"/>
    <w:rsid w:val="009A567F"/>
    <w:rsid w:val="009A5782"/>
    <w:rsid w:val="009A592A"/>
    <w:rsid w:val="009A59EC"/>
    <w:rsid w:val="009A5C56"/>
    <w:rsid w:val="009A5CA8"/>
    <w:rsid w:val="009A5CAC"/>
    <w:rsid w:val="009A61A3"/>
    <w:rsid w:val="009A6718"/>
    <w:rsid w:val="009A6A22"/>
    <w:rsid w:val="009A6ED0"/>
    <w:rsid w:val="009A706A"/>
    <w:rsid w:val="009A71AB"/>
    <w:rsid w:val="009A73F0"/>
    <w:rsid w:val="009A75EC"/>
    <w:rsid w:val="009A7745"/>
    <w:rsid w:val="009A7928"/>
    <w:rsid w:val="009A7C3D"/>
    <w:rsid w:val="009B0156"/>
    <w:rsid w:val="009B0295"/>
    <w:rsid w:val="009B04FA"/>
    <w:rsid w:val="009B05BA"/>
    <w:rsid w:val="009B0B0C"/>
    <w:rsid w:val="009B0D5E"/>
    <w:rsid w:val="009B0E5B"/>
    <w:rsid w:val="009B0E86"/>
    <w:rsid w:val="009B0F06"/>
    <w:rsid w:val="009B0F1B"/>
    <w:rsid w:val="009B1462"/>
    <w:rsid w:val="009B1764"/>
    <w:rsid w:val="009B1877"/>
    <w:rsid w:val="009B1B0E"/>
    <w:rsid w:val="009B1B68"/>
    <w:rsid w:val="009B2596"/>
    <w:rsid w:val="009B2921"/>
    <w:rsid w:val="009B29FD"/>
    <w:rsid w:val="009B2B08"/>
    <w:rsid w:val="009B3CFB"/>
    <w:rsid w:val="009B3EA2"/>
    <w:rsid w:val="009B42B6"/>
    <w:rsid w:val="009B42CC"/>
    <w:rsid w:val="009B43D6"/>
    <w:rsid w:val="009B4BDB"/>
    <w:rsid w:val="009B4C02"/>
    <w:rsid w:val="009B5081"/>
    <w:rsid w:val="009B52C2"/>
    <w:rsid w:val="009B57BC"/>
    <w:rsid w:val="009B5A5E"/>
    <w:rsid w:val="009B5B7A"/>
    <w:rsid w:val="009B5BFF"/>
    <w:rsid w:val="009B67D5"/>
    <w:rsid w:val="009B6985"/>
    <w:rsid w:val="009B69B3"/>
    <w:rsid w:val="009B7011"/>
    <w:rsid w:val="009B71A1"/>
    <w:rsid w:val="009B71A4"/>
    <w:rsid w:val="009B71E4"/>
    <w:rsid w:val="009B7384"/>
    <w:rsid w:val="009B7623"/>
    <w:rsid w:val="009B79DF"/>
    <w:rsid w:val="009C035E"/>
    <w:rsid w:val="009C04EE"/>
    <w:rsid w:val="009C092F"/>
    <w:rsid w:val="009C0AD3"/>
    <w:rsid w:val="009C0CD4"/>
    <w:rsid w:val="009C1140"/>
    <w:rsid w:val="009C15E7"/>
    <w:rsid w:val="009C17C8"/>
    <w:rsid w:val="009C1E6B"/>
    <w:rsid w:val="009C1F3C"/>
    <w:rsid w:val="009C2557"/>
    <w:rsid w:val="009C27EC"/>
    <w:rsid w:val="009C2B50"/>
    <w:rsid w:val="009C2CE6"/>
    <w:rsid w:val="009C385B"/>
    <w:rsid w:val="009C3ABB"/>
    <w:rsid w:val="009C3CCA"/>
    <w:rsid w:val="009C3E3C"/>
    <w:rsid w:val="009C40CC"/>
    <w:rsid w:val="009C4353"/>
    <w:rsid w:val="009C46C9"/>
    <w:rsid w:val="009C4783"/>
    <w:rsid w:val="009C49AF"/>
    <w:rsid w:val="009C49C2"/>
    <w:rsid w:val="009C4E2D"/>
    <w:rsid w:val="009C54C3"/>
    <w:rsid w:val="009C5681"/>
    <w:rsid w:val="009C62C0"/>
    <w:rsid w:val="009C638A"/>
    <w:rsid w:val="009C6A88"/>
    <w:rsid w:val="009C6E02"/>
    <w:rsid w:val="009C6FB5"/>
    <w:rsid w:val="009C7312"/>
    <w:rsid w:val="009C765D"/>
    <w:rsid w:val="009C79C9"/>
    <w:rsid w:val="009C7ADA"/>
    <w:rsid w:val="009C7F4C"/>
    <w:rsid w:val="009D000A"/>
    <w:rsid w:val="009D027B"/>
    <w:rsid w:val="009D0AFE"/>
    <w:rsid w:val="009D0BD0"/>
    <w:rsid w:val="009D0EDA"/>
    <w:rsid w:val="009D0F7C"/>
    <w:rsid w:val="009D172E"/>
    <w:rsid w:val="009D1A6F"/>
    <w:rsid w:val="009D1A86"/>
    <w:rsid w:val="009D1C4F"/>
    <w:rsid w:val="009D1E12"/>
    <w:rsid w:val="009D24E2"/>
    <w:rsid w:val="009D250F"/>
    <w:rsid w:val="009D2772"/>
    <w:rsid w:val="009D2B54"/>
    <w:rsid w:val="009D2B57"/>
    <w:rsid w:val="009D2DA9"/>
    <w:rsid w:val="009D2E93"/>
    <w:rsid w:val="009D2EA9"/>
    <w:rsid w:val="009D3038"/>
    <w:rsid w:val="009D34C0"/>
    <w:rsid w:val="009D35FB"/>
    <w:rsid w:val="009D3919"/>
    <w:rsid w:val="009D3988"/>
    <w:rsid w:val="009D3E27"/>
    <w:rsid w:val="009D3E74"/>
    <w:rsid w:val="009D3EBF"/>
    <w:rsid w:val="009D3F50"/>
    <w:rsid w:val="009D44EB"/>
    <w:rsid w:val="009D48B2"/>
    <w:rsid w:val="009D49FA"/>
    <w:rsid w:val="009D4BBE"/>
    <w:rsid w:val="009D4E16"/>
    <w:rsid w:val="009D4E38"/>
    <w:rsid w:val="009D519D"/>
    <w:rsid w:val="009D5817"/>
    <w:rsid w:val="009D5893"/>
    <w:rsid w:val="009D5F4B"/>
    <w:rsid w:val="009D64C3"/>
    <w:rsid w:val="009D6620"/>
    <w:rsid w:val="009D67CA"/>
    <w:rsid w:val="009D6C54"/>
    <w:rsid w:val="009D6DF2"/>
    <w:rsid w:val="009D72B0"/>
    <w:rsid w:val="009D73AD"/>
    <w:rsid w:val="009D77CE"/>
    <w:rsid w:val="009D7C91"/>
    <w:rsid w:val="009D7CA5"/>
    <w:rsid w:val="009D7DE3"/>
    <w:rsid w:val="009E004A"/>
    <w:rsid w:val="009E03AD"/>
    <w:rsid w:val="009E05D1"/>
    <w:rsid w:val="009E0628"/>
    <w:rsid w:val="009E066B"/>
    <w:rsid w:val="009E0AD5"/>
    <w:rsid w:val="009E0BA7"/>
    <w:rsid w:val="009E1515"/>
    <w:rsid w:val="009E16A4"/>
    <w:rsid w:val="009E1967"/>
    <w:rsid w:val="009E1CFF"/>
    <w:rsid w:val="009E1DC2"/>
    <w:rsid w:val="009E1E05"/>
    <w:rsid w:val="009E1FEE"/>
    <w:rsid w:val="009E21BD"/>
    <w:rsid w:val="009E21D0"/>
    <w:rsid w:val="009E22E0"/>
    <w:rsid w:val="009E2393"/>
    <w:rsid w:val="009E23EA"/>
    <w:rsid w:val="009E24B3"/>
    <w:rsid w:val="009E27D6"/>
    <w:rsid w:val="009E27E9"/>
    <w:rsid w:val="009E2A11"/>
    <w:rsid w:val="009E2D24"/>
    <w:rsid w:val="009E2E4C"/>
    <w:rsid w:val="009E2EA0"/>
    <w:rsid w:val="009E2F83"/>
    <w:rsid w:val="009E305F"/>
    <w:rsid w:val="009E3595"/>
    <w:rsid w:val="009E36FF"/>
    <w:rsid w:val="009E37D3"/>
    <w:rsid w:val="009E3B27"/>
    <w:rsid w:val="009E3EA5"/>
    <w:rsid w:val="009E4119"/>
    <w:rsid w:val="009E4496"/>
    <w:rsid w:val="009E4731"/>
    <w:rsid w:val="009E5028"/>
    <w:rsid w:val="009E50FB"/>
    <w:rsid w:val="009E5280"/>
    <w:rsid w:val="009E5386"/>
    <w:rsid w:val="009E5436"/>
    <w:rsid w:val="009E55C2"/>
    <w:rsid w:val="009E55DC"/>
    <w:rsid w:val="009E5D9E"/>
    <w:rsid w:val="009E5DD1"/>
    <w:rsid w:val="009E60AD"/>
    <w:rsid w:val="009E61B9"/>
    <w:rsid w:val="009E68C8"/>
    <w:rsid w:val="009E6AB5"/>
    <w:rsid w:val="009E6C1A"/>
    <w:rsid w:val="009E6DAB"/>
    <w:rsid w:val="009E6E17"/>
    <w:rsid w:val="009E6ED4"/>
    <w:rsid w:val="009E6F4B"/>
    <w:rsid w:val="009E703C"/>
    <w:rsid w:val="009E7781"/>
    <w:rsid w:val="009E7BE4"/>
    <w:rsid w:val="009E7DFD"/>
    <w:rsid w:val="009E7E4C"/>
    <w:rsid w:val="009F0209"/>
    <w:rsid w:val="009F034D"/>
    <w:rsid w:val="009F084C"/>
    <w:rsid w:val="009F08F5"/>
    <w:rsid w:val="009F0956"/>
    <w:rsid w:val="009F0EE5"/>
    <w:rsid w:val="009F1264"/>
    <w:rsid w:val="009F14D0"/>
    <w:rsid w:val="009F14FD"/>
    <w:rsid w:val="009F1680"/>
    <w:rsid w:val="009F1727"/>
    <w:rsid w:val="009F1823"/>
    <w:rsid w:val="009F184C"/>
    <w:rsid w:val="009F1D7F"/>
    <w:rsid w:val="009F1D82"/>
    <w:rsid w:val="009F21B8"/>
    <w:rsid w:val="009F2337"/>
    <w:rsid w:val="009F2432"/>
    <w:rsid w:val="009F245B"/>
    <w:rsid w:val="009F25E6"/>
    <w:rsid w:val="009F2789"/>
    <w:rsid w:val="009F291B"/>
    <w:rsid w:val="009F2BE8"/>
    <w:rsid w:val="009F2E5F"/>
    <w:rsid w:val="009F2F09"/>
    <w:rsid w:val="009F3512"/>
    <w:rsid w:val="009F36CC"/>
    <w:rsid w:val="009F3907"/>
    <w:rsid w:val="009F39A7"/>
    <w:rsid w:val="009F40B7"/>
    <w:rsid w:val="009F4188"/>
    <w:rsid w:val="009F4302"/>
    <w:rsid w:val="009F4328"/>
    <w:rsid w:val="009F4393"/>
    <w:rsid w:val="009F49AB"/>
    <w:rsid w:val="009F4BE9"/>
    <w:rsid w:val="009F5026"/>
    <w:rsid w:val="009F51E8"/>
    <w:rsid w:val="009F55C6"/>
    <w:rsid w:val="009F5BE8"/>
    <w:rsid w:val="009F5CEE"/>
    <w:rsid w:val="009F5D12"/>
    <w:rsid w:val="009F5E45"/>
    <w:rsid w:val="009F62D3"/>
    <w:rsid w:val="009F66DD"/>
    <w:rsid w:val="009F740A"/>
    <w:rsid w:val="009F76E9"/>
    <w:rsid w:val="009F7F96"/>
    <w:rsid w:val="00A00112"/>
    <w:rsid w:val="00A001DB"/>
    <w:rsid w:val="00A008B5"/>
    <w:rsid w:val="00A00C08"/>
    <w:rsid w:val="00A00C86"/>
    <w:rsid w:val="00A00FD3"/>
    <w:rsid w:val="00A011D1"/>
    <w:rsid w:val="00A01551"/>
    <w:rsid w:val="00A015F6"/>
    <w:rsid w:val="00A0179F"/>
    <w:rsid w:val="00A017B4"/>
    <w:rsid w:val="00A01C53"/>
    <w:rsid w:val="00A01D38"/>
    <w:rsid w:val="00A02119"/>
    <w:rsid w:val="00A02414"/>
    <w:rsid w:val="00A025B9"/>
    <w:rsid w:val="00A026F4"/>
    <w:rsid w:val="00A02ADA"/>
    <w:rsid w:val="00A0355C"/>
    <w:rsid w:val="00A037C6"/>
    <w:rsid w:val="00A03A13"/>
    <w:rsid w:val="00A03AAE"/>
    <w:rsid w:val="00A03F03"/>
    <w:rsid w:val="00A040CD"/>
    <w:rsid w:val="00A040D3"/>
    <w:rsid w:val="00A04307"/>
    <w:rsid w:val="00A04429"/>
    <w:rsid w:val="00A0454B"/>
    <w:rsid w:val="00A04AB0"/>
    <w:rsid w:val="00A04D65"/>
    <w:rsid w:val="00A04D8E"/>
    <w:rsid w:val="00A0590E"/>
    <w:rsid w:val="00A059F8"/>
    <w:rsid w:val="00A05F81"/>
    <w:rsid w:val="00A062B4"/>
    <w:rsid w:val="00A06446"/>
    <w:rsid w:val="00A06697"/>
    <w:rsid w:val="00A066CD"/>
    <w:rsid w:val="00A067AA"/>
    <w:rsid w:val="00A06B20"/>
    <w:rsid w:val="00A06B6C"/>
    <w:rsid w:val="00A06C40"/>
    <w:rsid w:val="00A07361"/>
    <w:rsid w:val="00A074AC"/>
    <w:rsid w:val="00A076CB"/>
    <w:rsid w:val="00A078A0"/>
    <w:rsid w:val="00A07C64"/>
    <w:rsid w:val="00A07EEC"/>
    <w:rsid w:val="00A103BE"/>
    <w:rsid w:val="00A103EC"/>
    <w:rsid w:val="00A10586"/>
    <w:rsid w:val="00A10A48"/>
    <w:rsid w:val="00A10B6C"/>
    <w:rsid w:val="00A10CFF"/>
    <w:rsid w:val="00A1104C"/>
    <w:rsid w:val="00A110DA"/>
    <w:rsid w:val="00A1132B"/>
    <w:rsid w:val="00A1133C"/>
    <w:rsid w:val="00A115A0"/>
    <w:rsid w:val="00A11702"/>
    <w:rsid w:val="00A11930"/>
    <w:rsid w:val="00A11B54"/>
    <w:rsid w:val="00A11CDC"/>
    <w:rsid w:val="00A11EB7"/>
    <w:rsid w:val="00A120AF"/>
    <w:rsid w:val="00A1238C"/>
    <w:rsid w:val="00A123AA"/>
    <w:rsid w:val="00A1263D"/>
    <w:rsid w:val="00A12765"/>
    <w:rsid w:val="00A127E5"/>
    <w:rsid w:val="00A12AF2"/>
    <w:rsid w:val="00A12B08"/>
    <w:rsid w:val="00A12D8A"/>
    <w:rsid w:val="00A12E6C"/>
    <w:rsid w:val="00A12F1B"/>
    <w:rsid w:val="00A12F7A"/>
    <w:rsid w:val="00A136D0"/>
    <w:rsid w:val="00A138C3"/>
    <w:rsid w:val="00A13A59"/>
    <w:rsid w:val="00A13D1A"/>
    <w:rsid w:val="00A1409E"/>
    <w:rsid w:val="00A142D8"/>
    <w:rsid w:val="00A1442B"/>
    <w:rsid w:val="00A1495E"/>
    <w:rsid w:val="00A14DC2"/>
    <w:rsid w:val="00A14DD6"/>
    <w:rsid w:val="00A1500E"/>
    <w:rsid w:val="00A1569B"/>
    <w:rsid w:val="00A159E1"/>
    <w:rsid w:val="00A15B34"/>
    <w:rsid w:val="00A15D5E"/>
    <w:rsid w:val="00A161F8"/>
    <w:rsid w:val="00A16935"/>
    <w:rsid w:val="00A169FA"/>
    <w:rsid w:val="00A1766A"/>
    <w:rsid w:val="00A179EE"/>
    <w:rsid w:val="00A17BE2"/>
    <w:rsid w:val="00A17D43"/>
    <w:rsid w:val="00A17E0E"/>
    <w:rsid w:val="00A20083"/>
    <w:rsid w:val="00A200DD"/>
    <w:rsid w:val="00A200EA"/>
    <w:rsid w:val="00A200F4"/>
    <w:rsid w:val="00A20123"/>
    <w:rsid w:val="00A20188"/>
    <w:rsid w:val="00A2062B"/>
    <w:rsid w:val="00A206C9"/>
    <w:rsid w:val="00A20718"/>
    <w:rsid w:val="00A2094D"/>
    <w:rsid w:val="00A20A0D"/>
    <w:rsid w:val="00A20C27"/>
    <w:rsid w:val="00A20E7D"/>
    <w:rsid w:val="00A20F03"/>
    <w:rsid w:val="00A21499"/>
    <w:rsid w:val="00A215E7"/>
    <w:rsid w:val="00A216BC"/>
    <w:rsid w:val="00A21703"/>
    <w:rsid w:val="00A2172F"/>
    <w:rsid w:val="00A21A93"/>
    <w:rsid w:val="00A223B1"/>
    <w:rsid w:val="00A2262E"/>
    <w:rsid w:val="00A226B3"/>
    <w:rsid w:val="00A227AF"/>
    <w:rsid w:val="00A23931"/>
    <w:rsid w:val="00A23FD6"/>
    <w:rsid w:val="00A2406C"/>
    <w:rsid w:val="00A240C7"/>
    <w:rsid w:val="00A242AC"/>
    <w:rsid w:val="00A245DD"/>
    <w:rsid w:val="00A24837"/>
    <w:rsid w:val="00A250CD"/>
    <w:rsid w:val="00A25317"/>
    <w:rsid w:val="00A2547E"/>
    <w:rsid w:val="00A25706"/>
    <w:rsid w:val="00A25755"/>
    <w:rsid w:val="00A25CB4"/>
    <w:rsid w:val="00A25D84"/>
    <w:rsid w:val="00A25FE5"/>
    <w:rsid w:val="00A26029"/>
    <w:rsid w:val="00A262E4"/>
    <w:rsid w:val="00A268EA"/>
    <w:rsid w:val="00A26FAC"/>
    <w:rsid w:val="00A27D04"/>
    <w:rsid w:val="00A303A0"/>
    <w:rsid w:val="00A308AD"/>
    <w:rsid w:val="00A30906"/>
    <w:rsid w:val="00A30CB0"/>
    <w:rsid w:val="00A30F64"/>
    <w:rsid w:val="00A3105A"/>
    <w:rsid w:val="00A318DE"/>
    <w:rsid w:val="00A31C47"/>
    <w:rsid w:val="00A31CE0"/>
    <w:rsid w:val="00A31F46"/>
    <w:rsid w:val="00A31FA9"/>
    <w:rsid w:val="00A32798"/>
    <w:rsid w:val="00A32A8B"/>
    <w:rsid w:val="00A32EFC"/>
    <w:rsid w:val="00A32F82"/>
    <w:rsid w:val="00A330EC"/>
    <w:rsid w:val="00A33148"/>
    <w:rsid w:val="00A33200"/>
    <w:rsid w:val="00A3334D"/>
    <w:rsid w:val="00A333BF"/>
    <w:rsid w:val="00A33825"/>
    <w:rsid w:val="00A3398F"/>
    <w:rsid w:val="00A33B1E"/>
    <w:rsid w:val="00A33D1A"/>
    <w:rsid w:val="00A34003"/>
    <w:rsid w:val="00A3443B"/>
    <w:rsid w:val="00A34613"/>
    <w:rsid w:val="00A34A3C"/>
    <w:rsid w:val="00A34BA2"/>
    <w:rsid w:val="00A34CDE"/>
    <w:rsid w:val="00A35523"/>
    <w:rsid w:val="00A35583"/>
    <w:rsid w:val="00A356C3"/>
    <w:rsid w:val="00A35D4C"/>
    <w:rsid w:val="00A35F5F"/>
    <w:rsid w:val="00A362D4"/>
    <w:rsid w:val="00A363EF"/>
    <w:rsid w:val="00A36596"/>
    <w:rsid w:val="00A36A8B"/>
    <w:rsid w:val="00A36CC2"/>
    <w:rsid w:val="00A36DFE"/>
    <w:rsid w:val="00A370FD"/>
    <w:rsid w:val="00A3733A"/>
    <w:rsid w:val="00A3737B"/>
    <w:rsid w:val="00A374FB"/>
    <w:rsid w:val="00A37567"/>
    <w:rsid w:val="00A3770E"/>
    <w:rsid w:val="00A37962"/>
    <w:rsid w:val="00A3798C"/>
    <w:rsid w:val="00A37A9D"/>
    <w:rsid w:val="00A37DD9"/>
    <w:rsid w:val="00A37FA4"/>
    <w:rsid w:val="00A40327"/>
    <w:rsid w:val="00A407ED"/>
    <w:rsid w:val="00A408D4"/>
    <w:rsid w:val="00A40B3C"/>
    <w:rsid w:val="00A40E03"/>
    <w:rsid w:val="00A40ED7"/>
    <w:rsid w:val="00A40F83"/>
    <w:rsid w:val="00A412BA"/>
    <w:rsid w:val="00A41416"/>
    <w:rsid w:val="00A41620"/>
    <w:rsid w:val="00A41670"/>
    <w:rsid w:val="00A416F9"/>
    <w:rsid w:val="00A41723"/>
    <w:rsid w:val="00A41AC1"/>
    <w:rsid w:val="00A41CE0"/>
    <w:rsid w:val="00A41DFF"/>
    <w:rsid w:val="00A4200D"/>
    <w:rsid w:val="00A420DC"/>
    <w:rsid w:val="00A42152"/>
    <w:rsid w:val="00A423BA"/>
    <w:rsid w:val="00A424BF"/>
    <w:rsid w:val="00A4258E"/>
    <w:rsid w:val="00A42CBE"/>
    <w:rsid w:val="00A432D1"/>
    <w:rsid w:val="00A436DD"/>
    <w:rsid w:val="00A43716"/>
    <w:rsid w:val="00A43FBC"/>
    <w:rsid w:val="00A440B9"/>
    <w:rsid w:val="00A442C5"/>
    <w:rsid w:val="00A44650"/>
    <w:rsid w:val="00A44712"/>
    <w:rsid w:val="00A44845"/>
    <w:rsid w:val="00A4485E"/>
    <w:rsid w:val="00A44AF5"/>
    <w:rsid w:val="00A44B8B"/>
    <w:rsid w:val="00A44D44"/>
    <w:rsid w:val="00A44D73"/>
    <w:rsid w:val="00A44DDF"/>
    <w:rsid w:val="00A45050"/>
    <w:rsid w:val="00A452CB"/>
    <w:rsid w:val="00A456E3"/>
    <w:rsid w:val="00A45B33"/>
    <w:rsid w:val="00A45EC4"/>
    <w:rsid w:val="00A46454"/>
    <w:rsid w:val="00A46D31"/>
    <w:rsid w:val="00A47212"/>
    <w:rsid w:val="00A474EA"/>
    <w:rsid w:val="00A47D1D"/>
    <w:rsid w:val="00A500DB"/>
    <w:rsid w:val="00A501B2"/>
    <w:rsid w:val="00A501C7"/>
    <w:rsid w:val="00A5034A"/>
    <w:rsid w:val="00A50682"/>
    <w:rsid w:val="00A50C0C"/>
    <w:rsid w:val="00A50D3C"/>
    <w:rsid w:val="00A50E37"/>
    <w:rsid w:val="00A50FFA"/>
    <w:rsid w:val="00A5128B"/>
    <w:rsid w:val="00A51467"/>
    <w:rsid w:val="00A51630"/>
    <w:rsid w:val="00A5223C"/>
    <w:rsid w:val="00A52271"/>
    <w:rsid w:val="00A5231A"/>
    <w:rsid w:val="00A5297A"/>
    <w:rsid w:val="00A52B63"/>
    <w:rsid w:val="00A53143"/>
    <w:rsid w:val="00A53164"/>
    <w:rsid w:val="00A53425"/>
    <w:rsid w:val="00A5369E"/>
    <w:rsid w:val="00A539D1"/>
    <w:rsid w:val="00A54175"/>
    <w:rsid w:val="00A5464C"/>
    <w:rsid w:val="00A54A60"/>
    <w:rsid w:val="00A54B8F"/>
    <w:rsid w:val="00A54DAE"/>
    <w:rsid w:val="00A55047"/>
    <w:rsid w:val="00A55112"/>
    <w:rsid w:val="00A5553B"/>
    <w:rsid w:val="00A557C4"/>
    <w:rsid w:val="00A55E30"/>
    <w:rsid w:val="00A56382"/>
    <w:rsid w:val="00A5655B"/>
    <w:rsid w:val="00A565F8"/>
    <w:rsid w:val="00A566D7"/>
    <w:rsid w:val="00A566ED"/>
    <w:rsid w:val="00A56923"/>
    <w:rsid w:val="00A56A9B"/>
    <w:rsid w:val="00A56D3B"/>
    <w:rsid w:val="00A56E46"/>
    <w:rsid w:val="00A56F22"/>
    <w:rsid w:val="00A56FFE"/>
    <w:rsid w:val="00A573EE"/>
    <w:rsid w:val="00A57450"/>
    <w:rsid w:val="00A57479"/>
    <w:rsid w:val="00A575C1"/>
    <w:rsid w:val="00A5785C"/>
    <w:rsid w:val="00A57C08"/>
    <w:rsid w:val="00A600C0"/>
    <w:rsid w:val="00A600D9"/>
    <w:rsid w:val="00A602F8"/>
    <w:rsid w:val="00A603A4"/>
    <w:rsid w:val="00A6047F"/>
    <w:rsid w:val="00A604CD"/>
    <w:rsid w:val="00A6096E"/>
    <w:rsid w:val="00A609B5"/>
    <w:rsid w:val="00A60A0E"/>
    <w:rsid w:val="00A60C5A"/>
    <w:rsid w:val="00A60DC9"/>
    <w:rsid w:val="00A615B1"/>
    <w:rsid w:val="00A6169E"/>
    <w:rsid w:val="00A61795"/>
    <w:rsid w:val="00A61A38"/>
    <w:rsid w:val="00A61C43"/>
    <w:rsid w:val="00A61F12"/>
    <w:rsid w:val="00A62378"/>
    <w:rsid w:val="00A6237B"/>
    <w:rsid w:val="00A62B0B"/>
    <w:rsid w:val="00A630DB"/>
    <w:rsid w:val="00A633E8"/>
    <w:rsid w:val="00A63656"/>
    <w:rsid w:val="00A637A0"/>
    <w:rsid w:val="00A63AB9"/>
    <w:rsid w:val="00A63ECD"/>
    <w:rsid w:val="00A64093"/>
    <w:rsid w:val="00A640EB"/>
    <w:rsid w:val="00A6447F"/>
    <w:rsid w:val="00A64815"/>
    <w:rsid w:val="00A64A55"/>
    <w:rsid w:val="00A64F0C"/>
    <w:rsid w:val="00A65043"/>
    <w:rsid w:val="00A6548C"/>
    <w:rsid w:val="00A659D9"/>
    <w:rsid w:val="00A6635C"/>
    <w:rsid w:val="00A66DF9"/>
    <w:rsid w:val="00A6782C"/>
    <w:rsid w:val="00A6783E"/>
    <w:rsid w:val="00A67B3F"/>
    <w:rsid w:val="00A67CD5"/>
    <w:rsid w:val="00A67E27"/>
    <w:rsid w:val="00A702A1"/>
    <w:rsid w:val="00A7049A"/>
    <w:rsid w:val="00A704E4"/>
    <w:rsid w:val="00A706EC"/>
    <w:rsid w:val="00A70C65"/>
    <w:rsid w:val="00A70D03"/>
    <w:rsid w:val="00A70EEF"/>
    <w:rsid w:val="00A70FE9"/>
    <w:rsid w:val="00A71168"/>
    <w:rsid w:val="00A71280"/>
    <w:rsid w:val="00A7136A"/>
    <w:rsid w:val="00A715DA"/>
    <w:rsid w:val="00A7161C"/>
    <w:rsid w:val="00A7169B"/>
    <w:rsid w:val="00A71ADE"/>
    <w:rsid w:val="00A71C44"/>
    <w:rsid w:val="00A71EF0"/>
    <w:rsid w:val="00A72296"/>
    <w:rsid w:val="00A726E9"/>
    <w:rsid w:val="00A72906"/>
    <w:rsid w:val="00A7298D"/>
    <w:rsid w:val="00A72A4A"/>
    <w:rsid w:val="00A72B94"/>
    <w:rsid w:val="00A73131"/>
    <w:rsid w:val="00A7322F"/>
    <w:rsid w:val="00A73261"/>
    <w:rsid w:val="00A73265"/>
    <w:rsid w:val="00A7351F"/>
    <w:rsid w:val="00A7369A"/>
    <w:rsid w:val="00A7388E"/>
    <w:rsid w:val="00A73FFF"/>
    <w:rsid w:val="00A741C5"/>
    <w:rsid w:val="00A74202"/>
    <w:rsid w:val="00A7427F"/>
    <w:rsid w:val="00A743DC"/>
    <w:rsid w:val="00A74544"/>
    <w:rsid w:val="00A74548"/>
    <w:rsid w:val="00A74DF2"/>
    <w:rsid w:val="00A74E42"/>
    <w:rsid w:val="00A74E4D"/>
    <w:rsid w:val="00A74ED6"/>
    <w:rsid w:val="00A75020"/>
    <w:rsid w:val="00A753B3"/>
    <w:rsid w:val="00A75633"/>
    <w:rsid w:val="00A7592E"/>
    <w:rsid w:val="00A759B1"/>
    <w:rsid w:val="00A75BEA"/>
    <w:rsid w:val="00A75E7B"/>
    <w:rsid w:val="00A76168"/>
    <w:rsid w:val="00A76633"/>
    <w:rsid w:val="00A76C1F"/>
    <w:rsid w:val="00A76FAC"/>
    <w:rsid w:val="00A770D4"/>
    <w:rsid w:val="00A7757A"/>
    <w:rsid w:val="00A77A3D"/>
    <w:rsid w:val="00A77A41"/>
    <w:rsid w:val="00A77D30"/>
    <w:rsid w:val="00A80013"/>
    <w:rsid w:val="00A80231"/>
    <w:rsid w:val="00A803FC"/>
    <w:rsid w:val="00A80614"/>
    <w:rsid w:val="00A8063A"/>
    <w:rsid w:val="00A8071A"/>
    <w:rsid w:val="00A8086D"/>
    <w:rsid w:val="00A80DD9"/>
    <w:rsid w:val="00A80FCA"/>
    <w:rsid w:val="00A811E3"/>
    <w:rsid w:val="00A816CC"/>
    <w:rsid w:val="00A81CBC"/>
    <w:rsid w:val="00A81F0C"/>
    <w:rsid w:val="00A82506"/>
    <w:rsid w:val="00A828F9"/>
    <w:rsid w:val="00A82E8D"/>
    <w:rsid w:val="00A831C8"/>
    <w:rsid w:val="00A83596"/>
    <w:rsid w:val="00A836E5"/>
    <w:rsid w:val="00A837CE"/>
    <w:rsid w:val="00A83D7E"/>
    <w:rsid w:val="00A83DB5"/>
    <w:rsid w:val="00A83EC1"/>
    <w:rsid w:val="00A83FBA"/>
    <w:rsid w:val="00A84083"/>
    <w:rsid w:val="00A84084"/>
    <w:rsid w:val="00A84287"/>
    <w:rsid w:val="00A8456C"/>
    <w:rsid w:val="00A84636"/>
    <w:rsid w:val="00A84649"/>
    <w:rsid w:val="00A8477F"/>
    <w:rsid w:val="00A84864"/>
    <w:rsid w:val="00A84D68"/>
    <w:rsid w:val="00A84FE1"/>
    <w:rsid w:val="00A85080"/>
    <w:rsid w:val="00A85183"/>
    <w:rsid w:val="00A85337"/>
    <w:rsid w:val="00A85524"/>
    <w:rsid w:val="00A85768"/>
    <w:rsid w:val="00A85AFA"/>
    <w:rsid w:val="00A85C9E"/>
    <w:rsid w:val="00A85F1C"/>
    <w:rsid w:val="00A8626D"/>
    <w:rsid w:val="00A86406"/>
    <w:rsid w:val="00A86532"/>
    <w:rsid w:val="00A86630"/>
    <w:rsid w:val="00A867F1"/>
    <w:rsid w:val="00A86853"/>
    <w:rsid w:val="00A86B75"/>
    <w:rsid w:val="00A86CDD"/>
    <w:rsid w:val="00A86E75"/>
    <w:rsid w:val="00A86F33"/>
    <w:rsid w:val="00A8741B"/>
    <w:rsid w:val="00A8742B"/>
    <w:rsid w:val="00A874B9"/>
    <w:rsid w:val="00A874C0"/>
    <w:rsid w:val="00A87937"/>
    <w:rsid w:val="00A87AF0"/>
    <w:rsid w:val="00A87E1A"/>
    <w:rsid w:val="00A87F9C"/>
    <w:rsid w:val="00A9003C"/>
    <w:rsid w:val="00A900C0"/>
    <w:rsid w:val="00A905D0"/>
    <w:rsid w:val="00A90659"/>
    <w:rsid w:val="00A9065F"/>
    <w:rsid w:val="00A9081E"/>
    <w:rsid w:val="00A90B0E"/>
    <w:rsid w:val="00A90E7C"/>
    <w:rsid w:val="00A91024"/>
    <w:rsid w:val="00A9107B"/>
    <w:rsid w:val="00A911C7"/>
    <w:rsid w:val="00A914FD"/>
    <w:rsid w:val="00A91AA1"/>
    <w:rsid w:val="00A91ABD"/>
    <w:rsid w:val="00A91C8C"/>
    <w:rsid w:val="00A91F0D"/>
    <w:rsid w:val="00A9235A"/>
    <w:rsid w:val="00A925F8"/>
    <w:rsid w:val="00A9279E"/>
    <w:rsid w:val="00A929CA"/>
    <w:rsid w:val="00A92B38"/>
    <w:rsid w:val="00A92FF7"/>
    <w:rsid w:val="00A93069"/>
    <w:rsid w:val="00A93481"/>
    <w:rsid w:val="00A93814"/>
    <w:rsid w:val="00A939AF"/>
    <w:rsid w:val="00A94054"/>
    <w:rsid w:val="00A940FA"/>
    <w:rsid w:val="00A94374"/>
    <w:rsid w:val="00A945FE"/>
    <w:rsid w:val="00A94606"/>
    <w:rsid w:val="00A9468F"/>
    <w:rsid w:val="00A9498D"/>
    <w:rsid w:val="00A95335"/>
    <w:rsid w:val="00A95669"/>
    <w:rsid w:val="00A9566B"/>
    <w:rsid w:val="00A9657F"/>
    <w:rsid w:val="00A96E96"/>
    <w:rsid w:val="00A97033"/>
    <w:rsid w:val="00A970B2"/>
    <w:rsid w:val="00A97212"/>
    <w:rsid w:val="00A973A3"/>
    <w:rsid w:val="00A9797D"/>
    <w:rsid w:val="00A979D7"/>
    <w:rsid w:val="00A97D58"/>
    <w:rsid w:val="00A97EEA"/>
    <w:rsid w:val="00A97F1E"/>
    <w:rsid w:val="00AA015F"/>
    <w:rsid w:val="00AA0B23"/>
    <w:rsid w:val="00AA0C3A"/>
    <w:rsid w:val="00AA1207"/>
    <w:rsid w:val="00AA1220"/>
    <w:rsid w:val="00AA1723"/>
    <w:rsid w:val="00AA1766"/>
    <w:rsid w:val="00AA190D"/>
    <w:rsid w:val="00AA19C8"/>
    <w:rsid w:val="00AA1D4F"/>
    <w:rsid w:val="00AA1FDD"/>
    <w:rsid w:val="00AA22C3"/>
    <w:rsid w:val="00AA230D"/>
    <w:rsid w:val="00AA2316"/>
    <w:rsid w:val="00AA2B68"/>
    <w:rsid w:val="00AA2BBE"/>
    <w:rsid w:val="00AA2EF3"/>
    <w:rsid w:val="00AA2FDA"/>
    <w:rsid w:val="00AA3298"/>
    <w:rsid w:val="00AA3523"/>
    <w:rsid w:val="00AA4327"/>
    <w:rsid w:val="00AA4660"/>
    <w:rsid w:val="00AA47CE"/>
    <w:rsid w:val="00AA4941"/>
    <w:rsid w:val="00AA49E9"/>
    <w:rsid w:val="00AA511F"/>
    <w:rsid w:val="00AA52A1"/>
    <w:rsid w:val="00AA5475"/>
    <w:rsid w:val="00AA5876"/>
    <w:rsid w:val="00AA602C"/>
    <w:rsid w:val="00AA605D"/>
    <w:rsid w:val="00AA64F4"/>
    <w:rsid w:val="00AA68D4"/>
    <w:rsid w:val="00AA6A8A"/>
    <w:rsid w:val="00AA6B4F"/>
    <w:rsid w:val="00AA6BD0"/>
    <w:rsid w:val="00AA6DD8"/>
    <w:rsid w:val="00AA6FA3"/>
    <w:rsid w:val="00AA7050"/>
    <w:rsid w:val="00AA70BB"/>
    <w:rsid w:val="00AA757C"/>
    <w:rsid w:val="00AA760E"/>
    <w:rsid w:val="00AA78C9"/>
    <w:rsid w:val="00AA7BDD"/>
    <w:rsid w:val="00AA7F10"/>
    <w:rsid w:val="00AB02F3"/>
    <w:rsid w:val="00AB0382"/>
    <w:rsid w:val="00AB0391"/>
    <w:rsid w:val="00AB07A8"/>
    <w:rsid w:val="00AB1755"/>
    <w:rsid w:val="00AB18E1"/>
    <w:rsid w:val="00AB19FB"/>
    <w:rsid w:val="00AB1AFC"/>
    <w:rsid w:val="00AB1D22"/>
    <w:rsid w:val="00AB1E4D"/>
    <w:rsid w:val="00AB1F61"/>
    <w:rsid w:val="00AB20E3"/>
    <w:rsid w:val="00AB2151"/>
    <w:rsid w:val="00AB24DB"/>
    <w:rsid w:val="00AB27D6"/>
    <w:rsid w:val="00AB2A86"/>
    <w:rsid w:val="00AB2AEC"/>
    <w:rsid w:val="00AB2C59"/>
    <w:rsid w:val="00AB2C8A"/>
    <w:rsid w:val="00AB2C99"/>
    <w:rsid w:val="00AB2CDF"/>
    <w:rsid w:val="00AB2F2C"/>
    <w:rsid w:val="00AB3084"/>
    <w:rsid w:val="00AB316B"/>
    <w:rsid w:val="00AB335F"/>
    <w:rsid w:val="00AB34B3"/>
    <w:rsid w:val="00AB42B6"/>
    <w:rsid w:val="00AB4D67"/>
    <w:rsid w:val="00AB50A2"/>
    <w:rsid w:val="00AB51CD"/>
    <w:rsid w:val="00AB545D"/>
    <w:rsid w:val="00AB54D7"/>
    <w:rsid w:val="00AB5718"/>
    <w:rsid w:val="00AB5729"/>
    <w:rsid w:val="00AB57D3"/>
    <w:rsid w:val="00AB5F36"/>
    <w:rsid w:val="00AB6377"/>
    <w:rsid w:val="00AB6505"/>
    <w:rsid w:val="00AB66F9"/>
    <w:rsid w:val="00AB677D"/>
    <w:rsid w:val="00AB6886"/>
    <w:rsid w:val="00AB6AE4"/>
    <w:rsid w:val="00AB6E00"/>
    <w:rsid w:val="00AB6EF1"/>
    <w:rsid w:val="00AB6F37"/>
    <w:rsid w:val="00AB708E"/>
    <w:rsid w:val="00AB769E"/>
    <w:rsid w:val="00AB7782"/>
    <w:rsid w:val="00AB778C"/>
    <w:rsid w:val="00AB78AA"/>
    <w:rsid w:val="00AB794F"/>
    <w:rsid w:val="00AB7BCF"/>
    <w:rsid w:val="00AB7D55"/>
    <w:rsid w:val="00AC0019"/>
    <w:rsid w:val="00AC03F3"/>
    <w:rsid w:val="00AC0681"/>
    <w:rsid w:val="00AC06DC"/>
    <w:rsid w:val="00AC08B1"/>
    <w:rsid w:val="00AC092E"/>
    <w:rsid w:val="00AC0B2E"/>
    <w:rsid w:val="00AC0BDB"/>
    <w:rsid w:val="00AC154B"/>
    <w:rsid w:val="00AC1631"/>
    <w:rsid w:val="00AC163F"/>
    <w:rsid w:val="00AC19C2"/>
    <w:rsid w:val="00AC1B72"/>
    <w:rsid w:val="00AC1B8F"/>
    <w:rsid w:val="00AC1E31"/>
    <w:rsid w:val="00AC1EEB"/>
    <w:rsid w:val="00AC227C"/>
    <w:rsid w:val="00AC26FE"/>
    <w:rsid w:val="00AC2704"/>
    <w:rsid w:val="00AC350D"/>
    <w:rsid w:val="00AC3568"/>
    <w:rsid w:val="00AC357E"/>
    <w:rsid w:val="00AC3884"/>
    <w:rsid w:val="00AC3CF2"/>
    <w:rsid w:val="00AC3E86"/>
    <w:rsid w:val="00AC41D4"/>
    <w:rsid w:val="00AC45F8"/>
    <w:rsid w:val="00AC47EC"/>
    <w:rsid w:val="00AC4914"/>
    <w:rsid w:val="00AC4995"/>
    <w:rsid w:val="00AC4E5D"/>
    <w:rsid w:val="00AC5228"/>
    <w:rsid w:val="00AC526C"/>
    <w:rsid w:val="00AC5859"/>
    <w:rsid w:val="00AC5926"/>
    <w:rsid w:val="00AC5938"/>
    <w:rsid w:val="00AC5DC1"/>
    <w:rsid w:val="00AC620B"/>
    <w:rsid w:val="00AC650D"/>
    <w:rsid w:val="00AC6998"/>
    <w:rsid w:val="00AC6C53"/>
    <w:rsid w:val="00AC6D2F"/>
    <w:rsid w:val="00AC6D48"/>
    <w:rsid w:val="00AC6E85"/>
    <w:rsid w:val="00AC7154"/>
    <w:rsid w:val="00AC7284"/>
    <w:rsid w:val="00AC79CF"/>
    <w:rsid w:val="00AC7CE6"/>
    <w:rsid w:val="00AC7D3D"/>
    <w:rsid w:val="00AC7E9D"/>
    <w:rsid w:val="00AD0828"/>
    <w:rsid w:val="00AD08DD"/>
    <w:rsid w:val="00AD0B13"/>
    <w:rsid w:val="00AD0D6C"/>
    <w:rsid w:val="00AD0DCA"/>
    <w:rsid w:val="00AD0E69"/>
    <w:rsid w:val="00AD0FF0"/>
    <w:rsid w:val="00AD103D"/>
    <w:rsid w:val="00AD1301"/>
    <w:rsid w:val="00AD1543"/>
    <w:rsid w:val="00AD159C"/>
    <w:rsid w:val="00AD17FA"/>
    <w:rsid w:val="00AD19EC"/>
    <w:rsid w:val="00AD1FA0"/>
    <w:rsid w:val="00AD1FE9"/>
    <w:rsid w:val="00AD233C"/>
    <w:rsid w:val="00AD2717"/>
    <w:rsid w:val="00AD27FC"/>
    <w:rsid w:val="00AD2AD7"/>
    <w:rsid w:val="00AD2BA3"/>
    <w:rsid w:val="00AD2BCF"/>
    <w:rsid w:val="00AD2C77"/>
    <w:rsid w:val="00AD2CD0"/>
    <w:rsid w:val="00AD2F60"/>
    <w:rsid w:val="00AD3058"/>
    <w:rsid w:val="00AD3674"/>
    <w:rsid w:val="00AD370B"/>
    <w:rsid w:val="00AD3D6D"/>
    <w:rsid w:val="00AD3DC4"/>
    <w:rsid w:val="00AD3E1D"/>
    <w:rsid w:val="00AD3EDC"/>
    <w:rsid w:val="00AD43E7"/>
    <w:rsid w:val="00AD480E"/>
    <w:rsid w:val="00AD4AC9"/>
    <w:rsid w:val="00AD4B9F"/>
    <w:rsid w:val="00AD4C2D"/>
    <w:rsid w:val="00AD4D64"/>
    <w:rsid w:val="00AD4FF4"/>
    <w:rsid w:val="00AD52F9"/>
    <w:rsid w:val="00AD531D"/>
    <w:rsid w:val="00AD5341"/>
    <w:rsid w:val="00AD556B"/>
    <w:rsid w:val="00AD5AF8"/>
    <w:rsid w:val="00AD600C"/>
    <w:rsid w:val="00AD63D6"/>
    <w:rsid w:val="00AD6A49"/>
    <w:rsid w:val="00AD6B9E"/>
    <w:rsid w:val="00AD6CD5"/>
    <w:rsid w:val="00AD6E6A"/>
    <w:rsid w:val="00AD6EF8"/>
    <w:rsid w:val="00AD733B"/>
    <w:rsid w:val="00AD74F9"/>
    <w:rsid w:val="00AD7909"/>
    <w:rsid w:val="00AD7928"/>
    <w:rsid w:val="00AD7CA7"/>
    <w:rsid w:val="00AD7E60"/>
    <w:rsid w:val="00AE003C"/>
    <w:rsid w:val="00AE0040"/>
    <w:rsid w:val="00AE0A05"/>
    <w:rsid w:val="00AE0B52"/>
    <w:rsid w:val="00AE0B7D"/>
    <w:rsid w:val="00AE0B85"/>
    <w:rsid w:val="00AE0D2D"/>
    <w:rsid w:val="00AE10D5"/>
    <w:rsid w:val="00AE112C"/>
    <w:rsid w:val="00AE1355"/>
    <w:rsid w:val="00AE136C"/>
    <w:rsid w:val="00AE153A"/>
    <w:rsid w:val="00AE15B6"/>
    <w:rsid w:val="00AE16D9"/>
    <w:rsid w:val="00AE184D"/>
    <w:rsid w:val="00AE1C03"/>
    <w:rsid w:val="00AE23E3"/>
    <w:rsid w:val="00AE24FB"/>
    <w:rsid w:val="00AE298A"/>
    <w:rsid w:val="00AE2C8A"/>
    <w:rsid w:val="00AE2CB1"/>
    <w:rsid w:val="00AE2F40"/>
    <w:rsid w:val="00AE2F65"/>
    <w:rsid w:val="00AE317E"/>
    <w:rsid w:val="00AE3194"/>
    <w:rsid w:val="00AE35A5"/>
    <w:rsid w:val="00AE377F"/>
    <w:rsid w:val="00AE39FA"/>
    <w:rsid w:val="00AE3C8A"/>
    <w:rsid w:val="00AE3D80"/>
    <w:rsid w:val="00AE40E3"/>
    <w:rsid w:val="00AE41BA"/>
    <w:rsid w:val="00AE45D4"/>
    <w:rsid w:val="00AE46C7"/>
    <w:rsid w:val="00AE4E2A"/>
    <w:rsid w:val="00AE5A19"/>
    <w:rsid w:val="00AE5AFE"/>
    <w:rsid w:val="00AE5B1A"/>
    <w:rsid w:val="00AE5CF9"/>
    <w:rsid w:val="00AE5DB6"/>
    <w:rsid w:val="00AE5DCB"/>
    <w:rsid w:val="00AE692F"/>
    <w:rsid w:val="00AE6C3C"/>
    <w:rsid w:val="00AE702E"/>
    <w:rsid w:val="00AE7339"/>
    <w:rsid w:val="00AE73E0"/>
    <w:rsid w:val="00AE7877"/>
    <w:rsid w:val="00AE7BEF"/>
    <w:rsid w:val="00AE7C1A"/>
    <w:rsid w:val="00AF03C0"/>
    <w:rsid w:val="00AF1138"/>
    <w:rsid w:val="00AF1281"/>
    <w:rsid w:val="00AF13A3"/>
    <w:rsid w:val="00AF166F"/>
    <w:rsid w:val="00AF17EA"/>
    <w:rsid w:val="00AF1AC0"/>
    <w:rsid w:val="00AF1C03"/>
    <w:rsid w:val="00AF1DFF"/>
    <w:rsid w:val="00AF1FB6"/>
    <w:rsid w:val="00AF2029"/>
    <w:rsid w:val="00AF21FD"/>
    <w:rsid w:val="00AF256D"/>
    <w:rsid w:val="00AF25D8"/>
    <w:rsid w:val="00AF2916"/>
    <w:rsid w:val="00AF2D33"/>
    <w:rsid w:val="00AF2FBA"/>
    <w:rsid w:val="00AF3296"/>
    <w:rsid w:val="00AF38FC"/>
    <w:rsid w:val="00AF3934"/>
    <w:rsid w:val="00AF39AF"/>
    <w:rsid w:val="00AF39BE"/>
    <w:rsid w:val="00AF39D0"/>
    <w:rsid w:val="00AF3E3B"/>
    <w:rsid w:val="00AF3E5A"/>
    <w:rsid w:val="00AF411F"/>
    <w:rsid w:val="00AF46FE"/>
    <w:rsid w:val="00AF4804"/>
    <w:rsid w:val="00AF486F"/>
    <w:rsid w:val="00AF4B0E"/>
    <w:rsid w:val="00AF4C86"/>
    <w:rsid w:val="00AF5484"/>
    <w:rsid w:val="00AF548B"/>
    <w:rsid w:val="00AF553E"/>
    <w:rsid w:val="00AF55E0"/>
    <w:rsid w:val="00AF5636"/>
    <w:rsid w:val="00AF5666"/>
    <w:rsid w:val="00AF5870"/>
    <w:rsid w:val="00AF5A8A"/>
    <w:rsid w:val="00AF6116"/>
    <w:rsid w:val="00AF61C1"/>
    <w:rsid w:val="00AF6619"/>
    <w:rsid w:val="00AF6CFD"/>
    <w:rsid w:val="00AF6D86"/>
    <w:rsid w:val="00AF7149"/>
    <w:rsid w:val="00AF7C7E"/>
    <w:rsid w:val="00AF7DC1"/>
    <w:rsid w:val="00AF7F17"/>
    <w:rsid w:val="00B000AE"/>
    <w:rsid w:val="00B0040B"/>
    <w:rsid w:val="00B00596"/>
    <w:rsid w:val="00B00800"/>
    <w:rsid w:val="00B00830"/>
    <w:rsid w:val="00B00AB5"/>
    <w:rsid w:val="00B00B27"/>
    <w:rsid w:val="00B00CC0"/>
    <w:rsid w:val="00B00DFC"/>
    <w:rsid w:val="00B00E83"/>
    <w:rsid w:val="00B00F5C"/>
    <w:rsid w:val="00B011BF"/>
    <w:rsid w:val="00B0187D"/>
    <w:rsid w:val="00B019C1"/>
    <w:rsid w:val="00B01B70"/>
    <w:rsid w:val="00B0227A"/>
    <w:rsid w:val="00B0236E"/>
    <w:rsid w:val="00B02506"/>
    <w:rsid w:val="00B0280F"/>
    <w:rsid w:val="00B0292E"/>
    <w:rsid w:val="00B02AC7"/>
    <w:rsid w:val="00B02ACE"/>
    <w:rsid w:val="00B02B14"/>
    <w:rsid w:val="00B0330A"/>
    <w:rsid w:val="00B03589"/>
    <w:rsid w:val="00B0379B"/>
    <w:rsid w:val="00B03913"/>
    <w:rsid w:val="00B0477F"/>
    <w:rsid w:val="00B048AD"/>
    <w:rsid w:val="00B04916"/>
    <w:rsid w:val="00B04B50"/>
    <w:rsid w:val="00B04CEA"/>
    <w:rsid w:val="00B04D11"/>
    <w:rsid w:val="00B04D8F"/>
    <w:rsid w:val="00B04D96"/>
    <w:rsid w:val="00B04EA2"/>
    <w:rsid w:val="00B051D5"/>
    <w:rsid w:val="00B052BD"/>
    <w:rsid w:val="00B05607"/>
    <w:rsid w:val="00B05A08"/>
    <w:rsid w:val="00B05C46"/>
    <w:rsid w:val="00B05D02"/>
    <w:rsid w:val="00B05F14"/>
    <w:rsid w:val="00B05F29"/>
    <w:rsid w:val="00B06083"/>
    <w:rsid w:val="00B06737"/>
    <w:rsid w:val="00B06E54"/>
    <w:rsid w:val="00B070F8"/>
    <w:rsid w:val="00B0784C"/>
    <w:rsid w:val="00B07CE9"/>
    <w:rsid w:val="00B101D5"/>
    <w:rsid w:val="00B101E2"/>
    <w:rsid w:val="00B105DE"/>
    <w:rsid w:val="00B10633"/>
    <w:rsid w:val="00B10878"/>
    <w:rsid w:val="00B108EB"/>
    <w:rsid w:val="00B10B08"/>
    <w:rsid w:val="00B11238"/>
    <w:rsid w:val="00B11A37"/>
    <w:rsid w:val="00B11A78"/>
    <w:rsid w:val="00B11CFB"/>
    <w:rsid w:val="00B11DE9"/>
    <w:rsid w:val="00B12111"/>
    <w:rsid w:val="00B12222"/>
    <w:rsid w:val="00B1222E"/>
    <w:rsid w:val="00B12C9F"/>
    <w:rsid w:val="00B133BB"/>
    <w:rsid w:val="00B13402"/>
    <w:rsid w:val="00B13852"/>
    <w:rsid w:val="00B138B2"/>
    <w:rsid w:val="00B13B50"/>
    <w:rsid w:val="00B13CF2"/>
    <w:rsid w:val="00B13E18"/>
    <w:rsid w:val="00B13E7D"/>
    <w:rsid w:val="00B14109"/>
    <w:rsid w:val="00B14410"/>
    <w:rsid w:val="00B1486D"/>
    <w:rsid w:val="00B14C80"/>
    <w:rsid w:val="00B150D6"/>
    <w:rsid w:val="00B1512F"/>
    <w:rsid w:val="00B15373"/>
    <w:rsid w:val="00B15639"/>
    <w:rsid w:val="00B15B5E"/>
    <w:rsid w:val="00B15D15"/>
    <w:rsid w:val="00B15E42"/>
    <w:rsid w:val="00B15EEE"/>
    <w:rsid w:val="00B16198"/>
    <w:rsid w:val="00B1666F"/>
    <w:rsid w:val="00B16A2C"/>
    <w:rsid w:val="00B16FB6"/>
    <w:rsid w:val="00B17022"/>
    <w:rsid w:val="00B170E7"/>
    <w:rsid w:val="00B174F0"/>
    <w:rsid w:val="00B17712"/>
    <w:rsid w:val="00B17C4D"/>
    <w:rsid w:val="00B17D7C"/>
    <w:rsid w:val="00B17F6D"/>
    <w:rsid w:val="00B17F92"/>
    <w:rsid w:val="00B202E8"/>
    <w:rsid w:val="00B2045A"/>
    <w:rsid w:val="00B21736"/>
    <w:rsid w:val="00B217B9"/>
    <w:rsid w:val="00B21848"/>
    <w:rsid w:val="00B2187F"/>
    <w:rsid w:val="00B21883"/>
    <w:rsid w:val="00B218B1"/>
    <w:rsid w:val="00B21A33"/>
    <w:rsid w:val="00B21CF6"/>
    <w:rsid w:val="00B221F9"/>
    <w:rsid w:val="00B22272"/>
    <w:rsid w:val="00B22394"/>
    <w:rsid w:val="00B224AA"/>
    <w:rsid w:val="00B22799"/>
    <w:rsid w:val="00B2285F"/>
    <w:rsid w:val="00B228ED"/>
    <w:rsid w:val="00B22998"/>
    <w:rsid w:val="00B229FE"/>
    <w:rsid w:val="00B22CB7"/>
    <w:rsid w:val="00B22E9F"/>
    <w:rsid w:val="00B22F6C"/>
    <w:rsid w:val="00B2302B"/>
    <w:rsid w:val="00B23071"/>
    <w:rsid w:val="00B2326E"/>
    <w:rsid w:val="00B235B2"/>
    <w:rsid w:val="00B238EE"/>
    <w:rsid w:val="00B23D47"/>
    <w:rsid w:val="00B23D64"/>
    <w:rsid w:val="00B23FB6"/>
    <w:rsid w:val="00B24363"/>
    <w:rsid w:val="00B2456E"/>
    <w:rsid w:val="00B24979"/>
    <w:rsid w:val="00B249D1"/>
    <w:rsid w:val="00B24B94"/>
    <w:rsid w:val="00B24D43"/>
    <w:rsid w:val="00B24DD3"/>
    <w:rsid w:val="00B24FD3"/>
    <w:rsid w:val="00B250A5"/>
    <w:rsid w:val="00B252C6"/>
    <w:rsid w:val="00B25456"/>
    <w:rsid w:val="00B25596"/>
    <w:rsid w:val="00B2563A"/>
    <w:rsid w:val="00B25651"/>
    <w:rsid w:val="00B26309"/>
    <w:rsid w:val="00B26410"/>
    <w:rsid w:val="00B26609"/>
    <w:rsid w:val="00B2676A"/>
    <w:rsid w:val="00B26937"/>
    <w:rsid w:val="00B26AA1"/>
    <w:rsid w:val="00B27212"/>
    <w:rsid w:val="00B2749B"/>
    <w:rsid w:val="00B276E3"/>
    <w:rsid w:val="00B27A89"/>
    <w:rsid w:val="00B27CD4"/>
    <w:rsid w:val="00B27FF9"/>
    <w:rsid w:val="00B3005D"/>
    <w:rsid w:val="00B300B0"/>
    <w:rsid w:val="00B30243"/>
    <w:rsid w:val="00B30421"/>
    <w:rsid w:val="00B305A6"/>
    <w:rsid w:val="00B30A6B"/>
    <w:rsid w:val="00B30AB5"/>
    <w:rsid w:val="00B30C8C"/>
    <w:rsid w:val="00B30DC8"/>
    <w:rsid w:val="00B31342"/>
    <w:rsid w:val="00B315BB"/>
    <w:rsid w:val="00B318BC"/>
    <w:rsid w:val="00B31977"/>
    <w:rsid w:val="00B31E36"/>
    <w:rsid w:val="00B31E97"/>
    <w:rsid w:val="00B32199"/>
    <w:rsid w:val="00B3235A"/>
    <w:rsid w:val="00B32452"/>
    <w:rsid w:val="00B32549"/>
    <w:rsid w:val="00B32746"/>
    <w:rsid w:val="00B32A0F"/>
    <w:rsid w:val="00B32CEE"/>
    <w:rsid w:val="00B332AC"/>
    <w:rsid w:val="00B332E7"/>
    <w:rsid w:val="00B333FE"/>
    <w:rsid w:val="00B3382B"/>
    <w:rsid w:val="00B33C49"/>
    <w:rsid w:val="00B33D64"/>
    <w:rsid w:val="00B33D94"/>
    <w:rsid w:val="00B3422F"/>
    <w:rsid w:val="00B346C8"/>
    <w:rsid w:val="00B3491C"/>
    <w:rsid w:val="00B35094"/>
    <w:rsid w:val="00B350F0"/>
    <w:rsid w:val="00B355F3"/>
    <w:rsid w:val="00B35774"/>
    <w:rsid w:val="00B357AC"/>
    <w:rsid w:val="00B35992"/>
    <w:rsid w:val="00B35C3D"/>
    <w:rsid w:val="00B35E4B"/>
    <w:rsid w:val="00B35FCC"/>
    <w:rsid w:val="00B361B5"/>
    <w:rsid w:val="00B36518"/>
    <w:rsid w:val="00B368C4"/>
    <w:rsid w:val="00B3697A"/>
    <w:rsid w:val="00B36B94"/>
    <w:rsid w:val="00B36E31"/>
    <w:rsid w:val="00B37109"/>
    <w:rsid w:val="00B372B5"/>
    <w:rsid w:val="00B37545"/>
    <w:rsid w:val="00B378CC"/>
    <w:rsid w:val="00B37B38"/>
    <w:rsid w:val="00B37BA6"/>
    <w:rsid w:val="00B40066"/>
    <w:rsid w:val="00B40798"/>
    <w:rsid w:val="00B40949"/>
    <w:rsid w:val="00B40DB2"/>
    <w:rsid w:val="00B4135A"/>
    <w:rsid w:val="00B41615"/>
    <w:rsid w:val="00B41656"/>
    <w:rsid w:val="00B41736"/>
    <w:rsid w:val="00B41B90"/>
    <w:rsid w:val="00B41D70"/>
    <w:rsid w:val="00B41FD8"/>
    <w:rsid w:val="00B42007"/>
    <w:rsid w:val="00B420DF"/>
    <w:rsid w:val="00B4278D"/>
    <w:rsid w:val="00B428E2"/>
    <w:rsid w:val="00B42A2C"/>
    <w:rsid w:val="00B42A5C"/>
    <w:rsid w:val="00B42A98"/>
    <w:rsid w:val="00B42C18"/>
    <w:rsid w:val="00B42C64"/>
    <w:rsid w:val="00B42D6D"/>
    <w:rsid w:val="00B4443C"/>
    <w:rsid w:val="00B448EF"/>
    <w:rsid w:val="00B44A24"/>
    <w:rsid w:val="00B4537A"/>
    <w:rsid w:val="00B45455"/>
    <w:rsid w:val="00B4593D"/>
    <w:rsid w:val="00B45B9F"/>
    <w:rsid w:val="00B45C6C"/>
    <w:rsid w:val="00B45C7B"/>
    <w:rsid w:val="00B45CAF"/>
    <w:rsid w:val="00B45E4C"/>
    <w:rsid w:val="00B462A4"/>
    <w:rsid w:val="00B463F8"/>
    <w:rsid w:val="00B46526"/>
    <w:rsid w:val="00B4654F"/>
    <w:rsid w:val="00B467C5"/>
    <w:rsid w:val="00B46A47"/>
    <w:rsid w:val="00B471FA"/>
    <w:rsid w:val="00B471FD"/>
    <w:rsid w:val="00B47493"/>
    <w:rsid w:val="00B474C8"/>
    <w:rsid w:val="00B474DF"/>
    <w:rsid w:val="00B477B2"/>
    <w:rsid w:val="00B47915"/>
    <w:rsid w:val="00B47C61"/>
    <w:rsid w:val="00B47CC5"/>
    <w:rsid w:val="00B47EB3"/>
    <w:rsid w:val="00B47FDB"/>
    <w:rsid w:val="00B50301"/>
    <w:rsid w:val="00B50E18"/>
    <w:rsid w:val="00B513A9"/>
    <w:rsid w:val="00B51568"/>
    <w:rsid w:val="00B51610"/>
    <w:rsid w:val="00B5167B"/>
    <w:rsid w:val="00B516AF"/>
    <w:rsid w:val="00B519A9"/>
    <w:rsid w:val="00B51DB2"/>
    <w:rsid w:val="00B51E67"/>
    <w:rsid w:val="00B520E3"/>
    <w:rsid w:val="00B52336"/>
    <w:rsid w:val="00B524DA"/>
    <w:rsid w:val="00B524E9"/>
    <w:rsid w:val="00B52808"/>
    <w:rsid w:val="00B52BF2"/>
    <w:rsid w:val="00B534F2"/>
    <w:rsid w:val="00B5388C"/>
    <w:rsid w:val="00B5392E"/>
    <w:rsid w:val="00B543DF"/>
    <w:rsid w:val="00B544CA"/>
    <w:rsid w:val="00B545EF"/>
    <w:rsid w:val="00B54C62"/>
    <w:rsid w:val="00B54DB6"/>
    <w:rsid w:val="00B54E4B"/>
    <w:rsid w:val="00B54FBB"/>
    <w:rsid w:val="00B552E3"/>
    <w:rsid w:val="00B55635"/>
    <w:rsid w:val="00B557A6"/>
    <w:rsid w:val="00B55CED"/>
    <w:rsid w:val="00B55D57"/>
    <w:rsid w:val="00B55E89"/>
    <w:rsid w:val="00B55E9D"/>
    <w:rsid w:val="00B55EF4"/>
    <w:rsid w:val="00B55F80"/>
    <w:rsid w:val="00B56480"/>
    <w:rsid w:val="00B565D6"/>
    <w:rsid w:val="00B56A3E"/>
    <w:rsid w:val="00B57286"/>
    <w:rsid w:val="00B572BD"/>
    <w:rsid w:val="00B5733D"/>
    <w:rsid w:val="00B576A4"/>
    <w:rsid w:val="00B5778C"/>
    <w:rsid w:val="00B57998"/>
    <w:rsid w:val="00B579C8"/>
    <w:rsid w:val="00B57AB4"/>
    <w:rsid w:val="00B57CBE"/>
    <w:rsid w:val="00B57CD0"/>
    <w:rsid w:val="00B57DA9"/>
    <w:rsid w:val="00B57EC5"/>
    <w:rsid w:val="00B60177"/>
    <w:rsid w:val="00B60499"/>
    <w:rsid w:val="00B60639"/>
    <w:rsid w:val="00B60BFE"/>
    <w:rsid w:val="00B60FE7"/>
    <w:rsid w:val="00B615F1"/>
    <w:rsid w:val="00B619EB"/>
    <w:rsid w:val="00B61A76"/>
    <w:rsid w:val="00B61F66"/>
    <w:rsid w:val="00B628A1"/>
    <w:rsid w:val="00B628DB"/>
    <w:rsid w:val="00B62B79"/>
    <w:rsid w:val="00B62DEB"/>
    <w:rsid w:val="00B62EB1"/>
    <w:rsid w:val="00B6308E"/>
    <w:rsid w:val="00B63A1B"/>
    <w:rsid w:val="00B63AB3"/>
    <w:rsid w:val="00B63B02"/>
    <w:rsid w:val="00B63D58"/>
    <w:rsid w:val="00B63E46"/>
    <w:rsid w:val="00B640E6"/>
    <w:rsid w:val="00B641BA"/>
    <w:rsid w:val="00B6428B"/>
    <w:rsid w:val="00B64E8A"/>
    <w:rsid w:val="00B6506D"/>
    <w:rsid w:val="00B651BD"/>
    <w:rsid w:val="00B652F0"/>
    <w:rsid w:val="00B65376"/>
    <w:rsid w:val="00B65588"/>
    <w:rsid w:val="00B658D1"/>
    <w:rsid w:val="00B65C25"/>
    <w:rsid w:val="00B65EC8"/>
    <w:rsid w:val="00B66064"/>
    <w:rsid w:val="00B66196"/>
    <w:rsid w:val="00B6671C"/>
    <w:rsid w:val="00B667BE"/>
    <w:rsid w:val="00B667EF"/>
    <w:rsid w:val="00B66995"/>
    <w:rsid w:val="00B66A9B"/>
    <w:rsid w:val="00B66DDB"/>
    <w:rsid w:val="00B670CA"/>
    <w:rsid w:val="00B671A1"/>
    <w:rsid w:val="00B675A6"/>
    <w:rsid w:val="00B6794D"/>
    <w:rsid w:val="00B67B02"/>
    <w:rsid w:val="00B67B55"/>
    <w:rsid w:val="00B67C6C"/>
    <w:rsid w:val="00B67CC5"/>
    <w:rsid w:val="00B706CD"/>
    <w:rsid w:val="00B709A9"/>
    <w:rsid w:val="00B709DF"/>
    <w:rsid w:val="00B70C61"/>
    <w:rsid w:val="00B70E5A"/>
    <w:rsid w:val="00B711F9"/>
    <w:rsid w:val="00B71365"/>
    <w:rsid w:val="00B716BA"/>
    <w:rsid w:val="00B71B16"/>
    <w:rsid w:val="00B71C41"/>
    <w:rsid w:val="00B71C58"/>
    <w:rsid w:val="00B71E50"/>
    <w:rsid w:val="00B7220D"/>
    <w:rsid w:val="00B72606"/>
    <w:rsid w:val="00B72648"/>
    <w:rsid w:val="00B728D1"/>
    <w:rsid w:val="00B72B25"/>
    <w:rsid w:val="00B72E51"/>
    <w:rsid w:val="00B73755"/>
    <w:rsid w:val="00B737B4"/>
    <w:rsid w:val="00B73E91"/>
    <w:rsid w:val="00B74342"/>
    <w:rsid w:val="00B7458D"/>
    <w:rsid w:val="00B74847"/>
    <w:rsid w:val="00B74942"/>
    <w:rsid w:val="00B749B6"/>
    <w:rsid w:val="00B74EAC"/>
    <w:rsid w:val="00B74F61"/>
    <w:rsid w:val="00B7509A"/>
    <w:rsid w:val="00B75B30"/>
    <w:rsid w:val="00B76097"/>
    <w:rsid w:val="00B7613E"/>
    <w:rsid w:val="00B7656B"/>
    <w:rsid w:val="00B766C1"/>
    <w:rsid w:val="00B76966"/>
    <w:rsid w:val="00B76B96"/>
    <w:rsid w:val="00B76D3F"/>
    <w:rsid w:val="00B76EFB"/>
    <w:rsid w:val="00B76F19"/>
    <w:rsid w:val="00B77129"/>
    <w:rsid w:val="00B77216"/>
    <w:rsid w:val="00B77709"/>
    <w:rsid w:val="00B777DA"/>
    <w:rsid w:val="00B77C37"/>
    <w:rsid w:val="00B77D51"/>
    <w:rsid w:val="00B77F80"/>
    <w:rsid w:val="00B8005A"/>
    <w:rsid w:val="00B803E9"/>
    <w:rsid w:val="00B80591"/>
    <w:rsid w:val="00B80673"/>
    <w:rsid w:val="00B807BF"/>
    <w:rsid w:val="00B809B1"/>
    <w:rsid w:val="00B80B0D"/>
    <w:rsid w:val="00B80B72"/>
    <w:rsid w:val="00B80D05"/>
    <w:rsid w:val="00B815E1"/>
    <w:rsid w:val="00B81977"/>
    <w:rsid w:val="00B81DB4"/>
    <w:rsid w:val="00B81F73"/>
    <w:rsid w:val="00B821BB"/>
    <w:rsid w:val="00B82543"/>
    <w:rsid w:val="00B826E6"/>
    <w:rsid w:val="00B82998"/>
    <w:rsid w:val="00B829D9"/>
    <w:rsid w:val="00B82DE4"/>
    <w:rsid w:val="00B8319E"/>
    <w:rsid w:val="00B834B0"/>
    <w:rsid w:val="00B837F6"/>
    <w:rsid w:val="00B83B1E"/>
    <w:rsid w:val="00B83DAE"/>
    <w:rsid w:val="00B847C9"/>
    <w:rsid w:val="00B847F3"/>
    <w:rsid w:val="00B84C07"/>
    <w:rsid w:val="00B84DAE"/>
    <w:rsid w:val="00B84FB4"/>
    <w:rsid w:val="00B8502D"/>
    <w:rsid w:val="00B8524A"/>
    <w:rsid w:val="00B85265"/>
    <w:rsid w:val="00B852FA"/>
    <w:rsid w:val="00B8598E"/>
    <w:rsid w:val="00B860AF"/>
    <w:rsid w:val="00B8624A"/>
    <w:rsid w:val="00B864A1"/>
    <w:rsid w:val="00B86E5C"/>
    <w:rsid w:val="00B86F2A"/>
    <w:rsid w:val="00B87013"/>
    <w:rsid w:val="00B873FC"/>
    <w:rsid w:val="00B8756E"/>
    <w:rsid w:val="00B87579"/>
    <w:rsid w:val="00B87C55"/>
    <w:rsid w:val="00B87CC5"/>
    <w:rsid w:val="00B87DF9"/>
    <w:rsid w:val="00B90350"/>
    <w:rsid w:val="00B908A7"/>
    <w:rsid w:val="00B90FAD"/>
    <w:rsid w:val="00B910C2"/>
    <w:rsid w:val="00B913EB"/>
    <w:rsid w:val="00B914E6"/>
    <w:rsid w:val="00B9163A"/>
    <w:rsid w:val="00B91951"/>
    <w:rsid w:val="00B91A2A"/>
    <w:rsid w:val="00B91A58"/>
    <w:rsid w:val="00B91EAD"/>
    <w:rsid w:val="00B920B9"/>
    <w:rsid w:val="00B92497"/>
    <w:rsid w:val="00B929B9"/>
    <w:rsid w:val="00B92D95"/>
    <w:rsid w:val="00B92F6C"/>
    <w:rsid w:val="00B930D2"/>
    <w:rsid w:val="00B9323D"/>
    <w:rsid w:val="00B933FA"/>
    <w:rsid w:val="00B9373C"/>
    <w:rsid w:val="00B937CD"/>
    <w:rsid w:val="00B938BC"/>
    <w:rsid w:val="00B93997"/>
    <w:rsid w:val="00B93BBA"/>
    <w:rsid w:val="00B93C98"/>
    <w:rsid w:val="00B94016"/>
    <w:rsid w:val="00B94C15"/>
    <w:rsid w:val="00B94D71"/>
    <w:rsid w:val="00B94F11"/>
    <w:rsid w:val="00B94FCA"/>
    <w:rsid w:val="00B9595B"/>
    <w:rsid w:val="00B95A12"/>
    <w:rsid w:val="00B95B96"/>
    <w:rsid w:val="00B960A4"/>
    <w:rsid w:val="00B96785"/>
    <w:rsid w:val="00B96B57"/>
    <w:rsid w:val="00B9750D"/>
    <w:rsid w:val="00B976BB"/>
    <w:rsid w:val="00B97755"/>
    <w:rsid w:val="00B97A95"/>
    <w:rsid w:val="00B97F79"/>
    <w:rsid w:val="00BA01A7"/>
    <w:rsid w:val="00BA0224"/>
    <w:rsid w:val="00BA05C8"/>
    <w:rsid w:val="00BA09AA"/>
    <w:rsid w:val="00BA0A7F"/>
    <w:rsid w:val="00BA0AD5"/>
    <w:rsid w:val="00BA0BAC"/>
    <w:rsid w:val="00BA0CA0"/>
    <w:rsid w:val="00BA0E3C"/>
    <w:rsid w:val="00BA1522"/>
    <w:rsid w:val="00BA1905"/>
    <w:rsid w:val="00BA1917"/>
    <w:rsid w:val="00BA1A80"/>
    <w:rsid w:val="00BA1E04"/>
    <w:rsid w:val="00BA1F74"/>
    <w:rsid w:val="00BA1FE7"/>
    <w:rsid w:val="00BA227D"/>
    <w:rsid w:val="00BA23F7"/>
    <w:rsid w:val="00BA256D"/>
    <w:rsid w:val="00BA2B1D"/>
    <w:rsid w:val="00BA312A"/>
    <w:rsid w:val="00BA3491"/>
    <w:rsid w:val="00BA3977"/>
    <w:rsid w:val="00BA3D14"/>
    <w:rsid w:val="00BA435A"/>
    <w:rsid w:val="00BA54BA"/>
    <w:rsid w:val="00BA55CF"/>
    <w:rsid w:val="00BA5603"/>
    <w:rsid w:val="00BA5666"/>
    <w:rsid w:val="00BA5693"/>
    <w:rsid w:val="00BA56D9"/>
    <w:rsid w:val="00BA59B1"/>
    <w:rsid w:val="00BA5C6E"/>
    <w:rsid w:val="00BA5CD1"/>
    <w:rsid w:val="00BA5F38"/>
    <w:rsid w:val="00BA6194"/>
    <w:rsid w:val="00BA61D1"/>
    <w:rsid w:val="00BA629E"/>
    <w:rsid w:val="00BA62C6"/>
    <w:rsid w:val="00BA64C4"/>
    <w:rsid w:val="00BA66EB"/>
    <w:rsid w:val="00BA6E8D"/>
    <w:rsid w:val="00BA71BD"/>
    <w:rsid w:val="00BA7754"/>
    <w:rsid w:val="00BA7EEE"/>
    <w:rsid w:val="00BB0493"/>
    <w:rsid w:val="00BB0A54"/>
    <w:rsid w:val="00BB0C05"/>
    <w:rsid w:val="00BB0FE6"/>
    <w:rsid w:val="00BB10FE"/>
    <w:rsid w:val="00BB11E8"/>
    <w:rsid w:val="00BB144B"/>
    <w:rsid w:val="00BB2008"/>
    <w:rsid w:val="00BB2295"/>
    <w:rsid w:val="00BB2551"/>
    <w:rsid w:val="00BB29DF"/>
    <w:rsid w:val="00BB2CFC"/>
    <w:rsid w:val="00BB3138"/>
    <w:rsid w:val="00BB3143"/>
    <w:rsid w:val="00BB31A1"/>
    <w:rsid w:val="00BB344F"/>
    <w:rsid w:val="00BB34DC"/>
    <w:rsid w:val="00BB35D0"/>
    <w:rsid w:val="00BB37B7"/>
    <w:rsid w:val="00BB3AC4"/>
    <w:rsid w:val="00BB3C16"/>
    <w:rsid w:val="00BB3CFC"/>
    <w:rsid w:val="00BB3F7E"/>
    <w:rsid w:val="00BB4615"/>
    <w:rsid w:val="00BB4999"/>
    <w:rsid w:val="00BB4BCD"/>
    <w:rsid w:val="00BB4DEF"/>
    <w:rsid w:val="00BB50E8"/>
    <w:rsid w:val="00BB52EB"/>
    <w:rsid w:val="00BB56C7"/>
    <w:rsid w:val="00BB5978"/>
    <w:rsid w:val="00BB59D0"/>
    <w:rsid w:val="00BB5B62"/>
    <w:rsid w:val="00BB5CC4"/>
    <w:rsid w:val="00BB5E37"/>
    <w:rsid w:val="00BB5FAB"/>
    <w:rsid w:val="00BB6269"/>
    <w:rsid w:val="00BB6283"/>
    <w:rsid w:val="00BB6502"/>
    <w:rsid w:val="00BB667D"/>
    <w:rsid w:val="00BB6771"/>
    <w:rsid w:val="00BB69FF"/>
    <w:rsid w:val="00BB6A81"/>
    <w:rsid w:val="00BB6BCD"/>
    <w:rsid w:val="00BB6D79"/>
    <w:rsid w:val="00BB7028"/>
    <w:rsid w:val="00BB70F9"/>
    <w:rsid w:val="00BB7164"/>
    <w:rsid w:val="00BB72D5"/>
    <w:rsid w:val="00BB7541"/>
    <w:rsid w:val="00BB77C9"/>
    <w:rsid w:val="00BB7C9B"/>
    <w:rsid w:val="00BB7DAA"/>
    <w:rsid w:val="00BC0667"/>
    <w:rsid w:val="00BC0985"/>
    <w:rsid w:val="00BC09A4"/>
    <w:rsid w:val="00BC09F4"/>
    <w:rsid w:val="00BC0C17"/>
    <w:rsid w:val="00BC0E92"/>
    <w:rsid w:val="00BC1527"/>
    <w:rsid w:val="00BC1541"/>
    <w:rsid w:val="00BC15B1"/>
    <w:rsid w:val="00BC2306"/>
    <w:rsid w:val="00BC26F2"/>
    <w:rsid w:val="00BC2765"/>
    <w:rsid w:val="00BC2BE2"/>
    <w:rsid w:val="00BC2D6E"/>
    <w:rsid w:val="00BC2F31"/>
    <w:rsid w:val="00BC3170"/>
    <w:rsid w:val="00BC3741"/>
    <w:rsid w:val="00BC3B40"/>
    <w:rsid w:val="00BC3C80"/>
    <w:rsid w:val="00BC3F81"/>
    <w:rsid w:val="00BC4036"/>
    <w:rsid w:val="00BC445B"/>
    <w:rsid w:val="00BC4523"/>
    <w:rsid w:val="00BC45BA"/>
    <w:rsid w:val="00BC47CD"/>
    <w:rsid w:val="00BC4DA5"/>
    <w:rsid w:val="00BC4F0A"/>
    <w:rsid w:val="00BC509F"/>
    <w:rsid w:val="00BC51D2"/>
    <w:rsid w:val="00BC5F17"/>
    <w:rsid w:val="00BC62EF"/>
    <w:rsid w:val="00BC64BE"/>
    <w:rsid w:val="00BC6A9F"/>
    <w:rsid w:val="00BC6AE2"/>
    <w:rsid w:val="00BC6E0D"/>
    <w:rsid w:val="00BC7128"/>
    <w:rsid w:val="00BC7155"/>
    <w:rsid w:val="00BC73E2"/>
    <w:rsid w:val="00BC7550"/>
    <w:rsid w:val="00BC7D16"/>
    <w:rsid w:val="00BC7E9E"/>
    <w:rsid w:val="00BC7EEC"/>
    <w:rsid w:val="00BC7FA8"/>
    <w:rsid w:val="00BD0793"/>
    <w:rsid w:val="00BD08EE"/>
    <w:rsid w:val="00BD0B72"/>
    <w:rsid w:val="00BD0BA7"/>
    <w:rsid w:val="00BD0D56"/>
    <w:rsid w:val="00BD110D"/>
    <w:rsid w:val="00BD1A80"/>
    <w:rsid w:val="00BD1C27"/>
    <w:rsid w:val="00BD21C1"/>
    <w:rsid w:val="00BD2668"/>
    <w:rsid w:val="00BD26D9"/>
    <w:rsid w:val="00BD270F"/>
    <w:rsid w:val="00BD2DFD"/>
    <w:rsid w:val="00BD365E"/>
    <w:rsid w:val="00BD36A3"/>
    <w:rsid w:val="00BD3924"/>
    <w:rsid w:val="00BD3986"/>
    <w:rsid w:val="00BD3A83"/>
    <w:rsid w:val="00BD3E92"/>
    <w:rsid w:val="00BD450F"/>
    <w:rsid w:val="00BD4512"/>
    <w:rsid w:val="00BD46A6"/>
    <w:rsid w:val="00BD4D73"/>
    <w:rsid w:val="00BD512C"/>
    <w:rsid w:val="00BD52AA"/>
    <w:rsid w:val="00BD5E93"/>
    <w:rsid w:val="00BD6020"/>
    <w:rsid w:val="00BD61CE"/>
    <w:rsid w:val="00BD6315"/>
    <w:rsid w:val="00BD6ACF"/>
    <w:rsid w:val="00BD71BF"/>
    <w:rsid w:val="00BD73D9"/>
    <w:rsid w:val="00BD7646"/>
    <w:rsid w:val="00BD7A47"/>
    <w:rsid w:val="00BE01E5"/>
    <w:rsid w:val="00BE08FD"/>
    <w:rsid w:val="00BE0A3A"/>
    <w:rsid w:val="00BE0CAC"/>
    <w:rsid w:val="00BE1061"/>
    <w:rsid w:val="00BE1321"/>
    <w:rsid w:val="00BE1467"/>
    <w:rsid w:val="00BE179F"/>
    <w:rsid w:val="00BE1805"/>
    <w:rsid w:val="00BE18ED"/>
    <w:rsid w:val="00BE1A3A"/>
    <w:rsid w:val="00BE2893"/>
    <w:rsid w:val="00BE2B3C"/>
    <w:rsid w:val="00BE2C02"/>
    <w:rsid w:val="00BE2CE4"/>
    <w:rsid w:val="00BE2EB4"/>
    <w:rsid w:val="00BE2EDE"/>
    <w:rsid w:val="00BE2F5A"/>
    <w:rsid w:val="00BE33F8"/>
    <w:rsid w:val="00BE3493"/>
    <w:rsid w:val="00BE3555"/>
    <w:rsid w:val="00BE37D3"/>
    <w:rsid w:val="00BE382C"/>
    <w:rsid w:val="00BE489C"/>
    <w:rsid w:val="00BE522A"/>
    <w:rsid w:val="00BE527B"/>
    <w:rsid w:val="00BE57B5"/>
    <w:rsid w:val="00BE5BAC"/>
    <w:rsid w:val="00BE601F"/>
    <w:rsid w:val="00BE605B"/>
    <w:rsid w:val="00BE6066"/>
    <w:rsid w:val="00BE609D"/>
    <w:rsid w:val="00BE65F7"/>
    <w:rsid w:val="00BE6843"/>
    <w:rsid w:val="00BE6DD2"/>
    <w:rsid w:val="00BE6F0C"/>
    <w:rsid w:val="00BE7043"/>
    <w:rsid w:val="00BE7195"/>
    <w:rsid w:val="00BE7998"/>
    <w:rsid w:val="00BE7A7C"/>
    <w:rsid w:val="00BE7BFF"/>
    <w:rsid w:val="00BF008C"/>
    <w:rsid w:val="00BF0751"/>
    <w:rsid w:val="00BF0A44"/>
    <w:rsid w:val="00BF0CEC"/>
    <w:rsid w:val="00BF0F4A"/>
    <w:rsid w:val="00BF12F8"/>
    <w:rsid w:val="00BF135A"/>
    <w:rsid w:val="00BF13F0"/>
    <w:rsid w:val="00BF1A44"/>
    <w:rsid w:val="00BF1C20"/>
    <w:rsid w:val="00BF1EDF"/>
    <w:rsid w:val="00BF21A0"/>
    <w:rsid w:val="00BF2237"/>
    <w:rsid w:val="00BF261E"/>
    <w:rsid w:val="00BF26C8"/>
    <w:rsid w:val="00BF2F15"/>
    <w:rsid w:val="00BF31F7"/>
    <w:rsid w:val="00BF328C"/>
    <w:rsid w:val="00BF331E"/>
    <w:rsid w:val="00BF34DF"/>
    <w:rsid w:val="00BF3CD0"/>
    <w:rsid w:val="00BF3E46"/>
    <w:rsid w:val="00BF47C2"/>
    <w:rsid w:val="00BF487A"/>
    <w:rsid w:val="00BF4D3D"/>
    <w:rsid w:val="00BF548D"/>
    <w:rsid w:val="00BF5913"/>
    <w:rsid w:val="00BF5B8C"/>
    <w:rsid w:val="00BF5C89"/>
    <w:rsid w:val="00BF5F81"/>
    <w:rsid w:val="00BF62EE"/>
    <w:rsid w:val="00BF652E"/>
    <w:rsid w:val="00BF666C"/>
    <w:rsid w:val="00BF66B3"/>
    <w:rsid w:val="00BF66B7"/>
    <w:rsid w:val="00BF66C5"/>
    <w:rsid w:val="00BF6899"/>
    <w:rsid w:val="00BF6A68"/>
    <w:rsid w:val="00BF6D0C"/>
    <w:rsid w:val="00BF6FC6"/>
    <w:rsid w:val="00BF7152"/>
    <w:rsid w:val="00BF73F0"/>
    <w:rsid w:val="00BF752E"/>
    <w:rsid w:val="00BF75B1"/>
    <w:rsid w:val="00BF75C9"/>
    <w:rsid w:val="00BF75CE"/>
    <w:rsid w:val="00BF75E4"/>
    <w:rsid w:val="00BF7BD3"/>
    <w:rsid w:val="00BF7D6A"/>
    <w:rsid w:val="00BF7EAF"/>
    <w:rsid w:val="00C002AF"/>
    <w:rsid w:val="00C00352"/>
    <w:rsid w:val="00C00418"/>
    <w:rsid w:val="00C007CE"/>
    <w:rsid w:val="00C009CF"/>
    <w:rsid w:val="00C00A22"/>
    <w:rsid w:val="00C00DC0"/>
    <w:rsid w:val="00C00F17"/>
    <w:rsid w:val="00C00F18"/>
    <w:rsid w:val="00C01A27"/>
    <w:rsid w:val="00C01D39"/>
    <w:rsid w:val="00C0200C"/>
    <w:rsid w:val="00C020A8"/>
    <w:rsid w:val="00C021C5"/>
    <w:rsid w:val="00C02C7D"/>
    <w:rsid w:val="00C02E21"/>
    <w:rsid w:val="00C0302A"/>
    <w:rsid w:val="00C030E1"/>
    <w:rsid w:val="00C03135"/>
    <w:rsid w:val="00C034A4"/>
    <w:rsid w:val="00C03615"/>
    <w:rsid w:val="00C03AC9"/>
    <w:rsid w:val="00C03DD0"/>
    <w:rsid w:val="00C04301"/>
    <w:rsid w:val="00C04445"/>
    <w:rsid w:val="00C04705"/>
    <w:rsid w:val="00C04966"/>
    <w:rsid w:val="00C04A7F"/>
    <w:rsid w:val="00C04E2B"/>
    <w:rsid w:val="00C051AA"/>
    <w:rsid w:val="00C052CD"/>
    <w:rsid w:val="00C05945"/>
    <w:rsid w:val="00C060A0"/>
    <w:rsid w:val="00C0629C"/>
    <w:rsid w:val="00C06BE3"/>
    <w:rsid w:val="00C07187"/>
    <w:rsid w:val="00C074E3"/>
    <w:rsid w:val="00C075C9"/>
    <w:rsid w:val="00C078D1"/>
    <w:rsid w:val="00C07A45"/>
    <w:rsid w:val="00C07CA4"/>
    <w:rsid w:val="00C07EE8"/>
    <w:rsid w:val="00C07F42"/>
    <w:rsid w:val="00C07FAD"/>
    <w:rsid w:val="00C100DB"/>
    <w:rsid w:val="00C106C4"/>
    <w:rsid w:val="00C111EA"/>
    <w:rsid w:val="00C117E9"/>
    <w:rsid w:val="00C1195A"/>
    <w:rsid w:val="00C119AD"/>
    <w:rsid w:val="00C11A01"/>
    <w:rsid w:val="00C11DD8"/>
    <w:rsid w:val="00C1228D"/>
    <w:rsid w:val="00C123A1"/>
    <w:rsid w:val="00C12425"/>
    <w:rsid w:val="00C12764"/>
    <w:rsid w:val="00C127C0"/>
    <w:rsid w:val="00C12D17"/>
    <w:rsid w:val="00C137BC"/>
    <w:rsid w:val="00C13CAB"/>
    <w:rsid w:val="00C13DD7"/>
    <w:rsid w:val="00C13E84"/>
    <w:rsid w:val="00C13F6F"/>
    <w:rsid w:val="00C13FAE"/>
    <w:rsid w:val="00C13FED"/>
    <w:rsid w:val="00C13FF3"/>
    <w:rsid w:val="00C140D9"/>
    <w:rsid w:val="00C148B2"/>
    <w:rsid w:val="00C1491B"/>
    <w:rsid w:val="00C14E7D"/>
    <w:rsid w:val="00C15108"/>
    <w:rsid w:val="00C15722"/>
    <w:rsid w:val="00C15D5D"/>
    <w:rsid w:val="00C15E3E"/>
    <w:rsid w:val="00C15F99"/>
    <w:rsid w:val="00C166A8"/>
    <w:rsid w:val="00C16897"/>
    <w:rsid w:val="00C16C0A"/>
    <w:rsid w:val="00C16CF7"/>
    <w:rsid w:val="00C16F80"/>
    <w:rsid w:val="00C171A3"/>
    <w:rsid w:val="00C171B5"/>
    <w:rsid w:val="00C17414"/>
    <w:rsid w:val="00C1772F"/>
    <w:rsid w:val="00C1778B"/>
    <w:rsid w:val="00C17918"/>
    <w:rsid w:val="00C17E8E"/>
    <w:rsid w:val="00C200C9"/>
    <w:rsid w:val="00C2092A"/>
    <w:rsid w:val="00C20BAF"/>
    <w:rsid w:val="00C20DF9"/>
    <w:rsid w:val="00C21081"/>
    <w:rsid w:val="00C2159C"/>
    <w:rsid w:val="00C216A7"/>
    <w:rsid w:val="00C218FD"/>
    <w:rsid w:val="00C21C8B"/>
    <w:rsid w:val="00C21D8E"/>
    <w:rsid w:val="00C2227B"/>
    <w:rsid w:val="00C22525"/>
    <w:rsid w:val="00C227D8"/>
    <w:rsid w:val="00C22806"/>
    <w:rsid w:val="00C22808"/>
    <w:rsid w:val="00C2282E"/>
    <w:rsid w:val="00C229B0"/>
    <w:rsid w:val="00C22D20"/>
    <w:rsid w:val="00C22D9F"/>
    <w:rsid w:val="00C234FC"/>
    <w:rsid w:val="00C23916"/>
    <w:rsid w:val="00C23A83"/>
    <w:rsid w:val="00C23AE4"/>
    <w:rsid w:val="00C23DBB"/>
    <w:rsid w:val="00C23F8A"/>
    <w:rsid w:val="00C23FE1"/>
    <w:rsid w:val="00C2410D"/>
    <w:rsid w:val="00C241D1"/>
    <w:rsid w:val="00C24BAF"/>
    <w:rsid w:val="00C24FDF"/>
    <w:rsid w:val="00C2540A"/>
    <w:rsid w:val="00C25F8B"/>
    <w:rsid w:val="00C25FB5"/>
    <w:rsid w:val="00C26008"/>
    <w:rsid w:val="00C262AE"/>
    <w:rsid w:val="00C265C0"/>
    <w:rsid w:val="00C26941"/>
    <w:rsid w:val="00C269E0"/>
    <w:rsid w:val="00C26B9E"/>
    <w:rsid w:val="00C26C49"/>
    <w:rsid w:val="00C26EA9"/>
    <w:rsid w:val="00C272EF"/>
    <w:rsid w:val="00C2732B"/>
    <w:rsid w:val="00C273BE"/>
    <w:rsid w:val="00C2753F"/>
    <w:rsid w:val="00C276A8"/>
    <w:rsid w:val="00C276FD"/>
    <w:rsid w:val="00C27975"/>
    <w:rsid w:val="00C27F52"/>
    <w:rsid w:val="00C300BC"/>
    <w:rsid w:val="00C306E9"/>
    <w:rsid w:val="00C3074B"/>
    <w:rsid w:val="00C30A19"/>
    <w:rsid w:val="00C31195"/>
    <w:rsid w:val="00C3145E"/>
    <w:rsid w:val="00C317B3"/>
    <w:rsid w:val="00C318F7"/>
    <w:rsid w:val="00C319D2"/>
    <w:rsid w:val="00C31D76"/>
    <w:rsid w:val="00C31F85"/>
    <w:rsid w:val="00C32255"/>
    <w:rsid w:val="00C323C7"/>
    <w:rsid w:val="00C32534"/>
    <w:rsid w:val="00C325D2"/>
    <w:rsid w:val="00C32605"/>
    <w:rsid w:val="00C326A1"/>
    <w:rsid w:val="00C326EE"/>
    <w:rsid w:val="00C32760"/>
    <w:rsid w:val="00C32951"/>
    <w:rsid w:val="00C32B04"/>
    <w:rsid w:val="00C32C02"/>
    <w:rsid w:val="00C32EE3"/>
    <w:rsid w:val="00C32F30"/>
    <w:rsid w:val="00C33235"/>
    <w:rsid w:val="00C33677"/>
    <w:rsid w:val="00C33C50"/>
    <w:rsid w:val="00C34137"/>
    <w:rsid w:val="00C34147"/>
    <w:rsid w:val="00C343C7"/>
    <w:rsid w:val="00C34490"/>
    <w:rsid w:val="00C3476B"/>
    <w:rsid w:val="00C34995"/>
    <w:rsid w:val="00C350E9"/>
    <w:rsid w:val="00C35240"/>
    <w:rsid w:val="00C35328"/>
    <w:rsid w:val="00C356E2"/>
    <w:rsid w:val="00C35761"/>
    <w:rsid w:val="00C358CA"/>
    <w:rsid w:val="00C35BE3"/>
    <w:rsid w:val="00C35DEA"/>
    <w:rsid w:val="00C35EC0"/>
    <w:rsid w:val="00C3608D"/>
    <w:rsid w:val="00C362D7"/>
    <w:rsid w:val="00C368B3"/>
    <w:rsid w:val="00C36A2C"/>
    <w:rsid w:val="00C36BAD"/>
    <w:rsid w:val="00C36CB6"/>
    <w:rsid w:val="00C36DFB"/>
    <w:rsid w:val="00C36F07"/>
    <w:rsid w:val="00C37006"/>
    <w:rsid w:val="00C37021"/>
    <w:rsid w:val="00C3705F"/>
    <w:rsid w:val="00C37214"/>
    <w:rsid w:val="00C372E8"/>
    <w:rsid w:val="00C400C0"/>
    <w:rsid w:val="00C409DC"/>
    <w:rsid w:val="00C40B1B"/>
    <w:rsid w:val="00C40E88"/>
    <w:rsid w:val="00C410EC"/>
    <w:rsid w:val="00C411C6"/>
    <w:rsid w:val="00C416A3"/>
    <w:rsid w:val="00C41785"/>
    <w:rsid w:val="00C419C4"/>
    <w:rsid w:val="00C41C4A"/>
    <w:rsid w:val="00C41D5B"/>
    <w:rsid w:val="00C41DC8"/>
    <w:rsid w:val="00C41EC5"/>
    <w:rsid w:val="00C41FC1"/>
    <w:rsid w:val="00C429A4"/>
    <w:rsid w:val="00C42AA5"/>
    <w:rsid w:val="00C42F60"/>
    <w:rsid w:val="00C434C2"/>
    <w:rsid w:val="00C43713"/>
    <w:rsid w:val="00C43940"/>
    <w:rsid w:val="00C440E1"/>
    <w:rsid w:val="00C4421F"/>
    <w:rsid w:val="00C44342"/>
    <w:rsid w:val="00C44644"/>
    <w:rsid w:val="00C44694"/>
    <w:rsid w:val="00C44744"/>
    <w:rsid w:val="00C44820"/>
    <w:rsid w:val="00C45175"/>
    <w:rsid w:val="00C457C1"/>
    <w:rsid w:val="00C45954"/>
    <w:rsid w:val="00C45A61"/>
    <w:rsid w:val="00C45D57"/>
    <w:rsid w:val="00C4630B"/>
    <w:rsid w:val="00C46625"/>
    <w:rsid w:val="00C467B6"/>
    <w:rsid w:val="00C46870"/>
    <w:rsid w:val="00C46CEC"/>
    <w:rsid w:val="00C47087"/>
    <w:rsid w:val="00C471EF"/>
    <w:rsid w:val="00C473A1"/>
    <w:rsid w:val="00C47545"/>
    <w:rsid w:val="00C47593"/>
    <w:rsid w:val="00C47748"/>
    <w:rsid w:val="00C47853"/>
    <w:rsid w:val="00C47969"/>
    <w:rsid w:val="00C501D1"/>
    <w:rsid w:val="00C5044B"/>
    <w:rsid w:val="00C506BD"/>
    <w:rsid w:val="00C5072B"/>
    <w:rsid w:val="00C50982"/>
    <w:rsid w:val="00C50A35"/>
    <w:rsid w:val="00C50E55"/>
    <w:rsid w:val="00C50F79"/>
    <w:rsid w:val="00C50FDB"/>
    <w:rsid w:val="00C51426"/>
    <w:rsid w:val="00C51613"/>
    <w:rsid w:val="00C51622"/>
    <w:rsid w:val="00C51A77"/>
    <w:rsid w:val="00C51AF6"/>
    <w:rsid w:val="00C51FB3"/>
    <w:rsid w:val="00C5223C"/>
    <w:rsid w:val="00C522E6"/>
    <w:rsid w:val="00C52307"/>
    <w:rsid w:val="00C5272E"/>
    <w:rsid w:val="00C52747"/>
    <w:rsid w:val="00C52A0C"/>
    <w:rsid w:val="00C52A35"/>
    <w:rsid w:val="00C52D07"/>
    <w:rsid w:val="00C52D12"/>
    <w:rsid w:val="00C5303A"/>
    <w:rsid w:val="00C531FE"/>
    <w:rsid w:val="00C53213"/>
    <w:rsid w:val="00C5332F"/>
    <w:rsid w:val="00C5368A"/>
    <w:rsid w:val="00C53917"/>
    <w:rsid w:val="00C53A10"/>
    <w:rsid w:val="00C53B5C"/>
    <w:rsid w:val="00C53DDA"/>
    <w:rsid w:val="00C53F5F"/>
    <w:rsid w:val="00C5406E"/>
    <w:rsid w:val="00C54191"/>
    <w:rsid w:val="00C541DE"/>
    <w:rsid w:val="00C545FA"/>
    <w:rsid w:val="00C5482D"/>
    <w:rsid w:val="00C54C11"/>
    <w:rsid w:val="00C54C67"/>
    <w:rsid w:val="00C54E65"/>
    <w:rsid w:val="00C54E89"/>
    <w:rsid w:val="00C54FCB"/>
    <w:rsid w:val="00C55277"/>
    <w:rsid w:val="00C55477"/>
    <w:rsid w:val="00C55478"/>
    <w:rsid w:val="00C55631"/>
    <w:rsid w:val="00C55771"/>
    <w:rsid w:val="00C55CB6"/>
    <w:rsid w:val="00C55E9E"/>
    <w:rsid w:val="00C56324"/>
    <w:rsid w:val="00C56403"/>
    <w:rsid w:val="00C5653B"/>
    <w:rsid w:val="00C565A3"/>
    <w:rsid w:val="00C566C4"/>
    <w:rsid w:val="00C568CC"/>
    <w:rsid w:val="00C570D7"/>
    <w:rsid w:val="00C5767C"/>
    <w:rsid w:val="00C57772"/>
    <w:rsid w:val="00C577F7"/>
    <w:rsid w:val="00C57954"/>
    <w:rsid w:val="00C57DE0"/>
    <w:rsid w:val="00C6040F"/>
    <w:rsid w:val="00C60667"/>
    <w:rsid w:val="00C60781"/>
    <w:rsid w:val="00C60D15"/>
    <w:rsid w:val="00C60D83"/>
    <w:rsid w:val="00C60F4C"/>
    <w:rsid w:val="00C610F9"/>
    <w:rsid w:val="00C611D7"/>
    <w:rsid w:val="00C61A6D"/>
    <w:rsid w:val="00C61AB9"/>
    <w:rsid w:val="00C61ED3"/>
    <w:rsid w:val="00C61F84"/>
    <w:rsid w:val="00C62098"/>
    <w:rsid w:val="00C62188"/>
    <w:rsid w:val="00C62495"/>
    <w:rsid w:val="00C625CB"/>
    <w:rsid w:val="00C62B2A"/>
    <w:rsid w:val="00C62BAC"/>
    <w:rsid w:val="00C62D6D"/>
    <w:rsid w:val="00C62EA7"/>
    <w:rsid w:val="00C62FF7"/>
    <w:rsid w:val="00C63135"/>
    <w:rsid w:val="00C63146"/>
    <w:rsid w:val="00C63308"/>
    <w:rsid w:val="00C63531"/>
    <w:rsid w:val="00C637DC"/>
    <w:rsid w:val="00C63A8A"/>
    <w:rsid w:val="00C63AC0"/>
    <w:rsid w:val="00C63EE8"/>
    <w:rsid w:val="00C64094"/>
    <w:rsid w:val="00C641AE"/>
    <w:rsid w:val="00C6425D"/>
    <w:rsid w:val="00C6432E"/>
    <w:rsid w:val="00C64711"/>
    <w:rsid w:val="00C65180"/>
    <w:rsid w:val="00C65718"/>
    <w:rsid w:val="00C659ED"/>
    <w:rsid w:val="00C65B93"/>
    <w:rsid w:val="00C65C81"/>
    <w:rsid w:val="00C66531"/>
    <w:rsid w:val="00C6664B"/>
    <w:rsid w:val="00C666DE"/>
    <w:rsid w:val="00C66772"/>
    <w:rsid w:val="00C66C84"/>
    <w:rsid w:val="00C66D2B"/>
    <w:rsid w:val="00C66DEB"/>
    <w:rsid w:val="00C67580"/>
    <w:rsid w:val="00C67615"/>
    <w:rsid w:val="00C6781C"/>
    <w:rsid w:val="00C678A9"/>
    <w:rsid w:val="00C67A81"/>
    <w:rsid w:val="00C67CD7"/>
    <w:rsid w:val="00C67E01"/>
    <w:rsid w:val="00C67EA1"/>
    <w:rsid w:val="00C70AEA"/>
    <w:rsid w:val="00C70AEE"/>
    <w:rsid w:val="00C70CE4"/>
    <w:rsid w:val="00C711AF"/>
    <w:rsid w:val="00C71791"/>
    <w:rsid w:val="00C71D15"/>
    <w:rsid w:val="00C71D55"/>
    <w:rsid w:val="00C722CA"/>
    <w:rsid w:val="00C7234D"/>
    <w:rsid w:val="00C72371"/>
    <w:rsid w:val="00C723CC"/>
    <w:rsid w:val="00C7244E"/>
    <w:rsid w:val="00C725FF"/>
    <w:rsid w:val="00C726C9"/>
    <w:rsid w:val="00C72759"/>
    <w:rsid w:val="00C72801"/>
    <w:rsid w:val="00C7282F"/>
    <w:rsid w:val="00C729D9"/>
    <w:rsid w:val="00C72ACB"/>
    <w:rsid w:val="00C72C0A"/>
    <w:rsid w:val="00C7315E"/>
    <w:rsid w:val="00C732E2"/>
    <w:rsid w:val="00C73A46"/>
    <w:rsid w:val="00C73D25"/>
    <w:rsid w:val="00C73E67"/>
    <w:rsid w:val="00C73F3C"/>
    <w:rsid w:val="00C73FAD"/>
    <w:rsid w:val="00C74038"/>
    <w:rsid w:val="00C7403D"/>
    <w:rsid w:val="00C740C9"/>
    <w:rsid w:val="00C743A4"/>
    <w:rsid w:val="00C74A34"/>
    <w:rsid w:val="00C74AE1"/>
    <w:rsid w:val="00C74E7B"/>
    <w:rsid w:val="00C75453"/>
    <w:rsid w:val="00C75729"/>
    <w:rsid w:val="00C757B8"/>
    <w:rsid w:val="00C757CE"/>
    <w:rsid w:val="00C757E6"/>
    <w:rsid w:val="00C757F1"/>
    <w:rsid w:val="00C75DFE"/>
    <w:rsid w:val="00C76020"/>
    <w:rsid w:val="00C76197"/>
    <w:rsid w:val="00C76321"/>
    <w:rsid w:val="00C764E4"/>
    <w:rsid w:val="00C76906"/>
    <w:rsid w:val="00C769D8"/>
    <w:rsid w:val="00C76B7C"/>
    <w:rsid w:val="00C76CC7"/>
    <w:rsid w:val="00C76F81"/>
    <w:rsid w:val="00C771FB"/>
    <w:rsid w:val="00C773BF"/>
    <w:rsid w:val="00C776A4"/>
    <w:rsid w:val="00C77800"/>
    <w:rsid w:val="00C800DD"/>
    <w:rsid w:val="00C804C7"/>
    <w:rsid w:val="00C80920"/>
    <w:rsid w:val="00C80B03"/>
    <w:rsid w:val="00C80B1E"/>
    <w:rsid w:val="00C81020"/>
    <w:rsid w:val="00C81161"/>
    <w:rsid w:val="00C818A3"/>
    <w:rsid w:val="00C81A64"/>
    <w:rsid w:val="00C820A7"/>
    <w:rsid w:val="00C82342"/>
    <w:rsid w:val="00C8243F"/>
    <w:rsid w:val="00C8246C"/>
    <w:rsid w:val="00C8289B"/>
    <w:rsid w:val="00C82945"/>
    <w:rsid w:val="00C82D54"/>
    <w:rsid w:val="00C82D9E"/>
    <w:rsid w:val="00C82F3B"/>
    <w:rsid w:val="00C832D1"/>
    <w:rsid w:val="00C837C4"/>
    <w:rsid w:val="00C83829"/>
    <w:rsid w:val="00C83A9D"/>
    <w:rsid w:val="00C83C29"/>
    <w:rsid w:val="00C83EDD"/>
    <w:rsid w:val="00C83F70"/>
    <w:rsid w:val="00C846B0"/>
    <w:rsid w:val="00C84BF1"/>
    <w:rsid w:val="00C84CA2"/>
    <w:rsid w:val="00C84FB2"/>
    <w:rsid w:val="00C84FFD"/>
    <w:rsid w:val="00C853E7"/>
    <w:rsid w:val="00C85A36"/>
    <w:rsid w:val="00C85CD1"/>
    <w:rsid w:val="00C85FC5"/>
    <w:rsid w:val="00C8610C"/>
    <w:rsid w:val="00C8612F"/>
    <w:rsid w:val="00C86162"/>
    <w:rsid w:val="00C8651D"/>
    <w:rsid w:val="00C86A21"/>
    <w:rsid w:val="00C86C56"/>
    <w:rsid w:val="00C86C5E"/>
    <w:rsid w:val="00C871EE"/>
    <w:rsid w:val="00C87232"/>
    <w:rsid w:val="00C8727B"/>
    <w:rsid w:val="00C8773E"/>
    <w:rsid w:val="00C87EDA"/>
    <w:rsid w:val="00C87FA8"/>
    <w:rsid w:val="00C90601"/>
    <w:rsid w:val="00C90810"/>
    <w:rsid w:val="00C90D16"/>
    <w:rsid w:val="00C9116A"/>
    <w:rsid w:val="00C91173"/>
    <w:rsid w:val="00C91233"/>
    <w:rsid w:val="00C91791"/>
    <w:rsid w:val="00C91897"/>
    <w:rsid w:val="00C9197F"/>
    <w:rsid w:val="00C9265D"/>
    <w:rsid w:val="00C92824"/>
    <w:rsid w:val="00C92A51"/>
    <w:rsid w:val="00C92C11"/>
    <w:rsid w:val="00C9323F"/>
    <w:rsid w:val="00C9345D"/>
    <w:rsid w:val="00C9371C"/>
    <w:rsid w:val="00C937BA"/>
    <w:rsid w:val="00C93B0B"/>
    <w:rsid w:val="00C93B16"/>
    <w:rsid w:val="00C93D3D"/>
    <w:rsid w:val="00C93D67"/>
    <w:rsid w:val="00C93E5F"/>
    <w:rsid w:val="00C93F2D"/>
    <w:rsid w:val="00C948E0"/>
    <w:rsid w:val="00C949FC"/>
    <w:rsid w:val="00C94C11"/>
    <w:rsid w:val="00C94D59"/>
    <w:rsid w:val="00C95029"/>
    <w:rsid w:val="00C95264"/>
    <w:rsid w:val="00C954FF"/>
    <w:rsid w:val="00C960CF"/>
    <w:rsid w:val="00C962F7"/>
    <w:rsid w:val="00C96672"/>
    <w:rsid w:val="00C96678"/>
    <w:rsid w:val="00C96772"/>
    <w:rsid w:val="00C96CB8"/>
    <w:rsid w:val="00C96CFA"/>
    <w:rsid w:val="00C96DCE"/>
    <w:rsid w:val="00C96E5A"/>
    <w:rsid w:val="00C96EB5"/>
    <w:rsid w:val="00C97757"/>
    <w:rsid w:val="00C9790E"/>
    <w:rsid w:val="00C97913"/>
    <w:rsid w:val="00C97FE9"/>
    <w:rsid w:val="00CA01AF"/>
    <w:rsid w:val="00CA0257"/>
    <w:rsid w:val="00CA03D8"/>
    <w:rsid w:val="00CA0917"/>
    <w:rsid w:val="00CA102B"/>
    <w:rsid w:val="00CA107A"/>
    <w:rsid w:val="00CA132F"/>
    <w:rsid w:val="00CA153D"/>
    <w:rsid w:val="00CA168D"/>
    <w:rsid w:val="00CA1952"/>
    <w:rsid w:val="00CA19D1"/>
    <w:rsid w:val="00CA1C47"/>
    <w:rsid w:val="00CA2814"/>
    <w:rsid w:val="00CA283D"/>
    <w:rsid w:val="00CA29B7"/>
    <w:rsid w:val="00CA29D1"/>
    <w:rsid w:val="00CA2B9D"/>
    <w:rsid w:val="00CA2DD6"/>
    <w:rsid w:val="00CA2E73"/>
    <w:rsid w:val="00CA3247"/>
    <w:rsid w:val="00CA3752"/>
    <w:rsid w:val="00CA3859"/>
    <w:rsid w:val="00CA3999"/>
    <w:rsid w:val="00CA39C0"/>
    <w:rsid w:val="00CA3CBD"/>
    <w:rsid w:val="00CA3D35"/>
    <w:rsid w:val="00CA3E80"/>
    <w:rsid w:val="00CA43D6"/>
    <w:rsid w:val="00CA451F"/>
    <w:rsid w:val="00CA4C05"/>
    <w:rsid w:val="00CA5520"/>
    <w:rsid w:val="00CA5832"/>
    <w:rsid w:val="00CA5958"/>
    <w:rsid w:val="00CA59BA"/>
    <w:rsid w:val="00CA59CC"/>
    <w:rsid w:val="00CA5AD3"/>
    <w:rsid w:val="00CA5FCE"/>
    <w:rsid w:val="00CA616F"/>
    <w:rsid w:val="00CA61D8"/>
    <w:rsid w:val="00CA62DD"/>
    <w:rsid w:val="00CA6357"/>
    <w:rsid w:val="00CA63F1"/>
    <w:rsid w:val="00CA69BA"/>
    <w:rsid w:val="00CA6E29"/>
    <w:rsid w:val="00CA75BC"/>
    <w:rsid w:val="00CA7DA2"/>
    <w:rsid w:val="00CA7DE6"/>
    <w:rsid w:val="00CA7E5F"/>
    <w:rsid w:val="00CB0028"/>
    <w:rsid w:val="00CB0056"/>
    <w:rsid w:val="00CB0065"/>
    <w:rsid w:val="00CB0339"/>
    <w:rsid w:val="00CB0452"/>
    <w:rsid w:val="00CB0691"/>
    <w:rsid w:val="00CB09E5"/>
    <w:rsid w:val="00CB0A68"/>
    <w:rsid w:val="00CB0F6E"/>
    <w:rsid w:val="00CB110E"/>
    <w:rsid w:val="00CB11F8"/>
    <w:rsid w:val="00CB1A8E"/>
    <w:rsid w:val="00CB1EE3"/>
    <w:rsid w:val="00CB1F3E"/>
    <w:rsid w:val="00CB225B"/>
    <w:rsid w:val="00CB2343"/>
    <w:rsid w:val="00CB237E"/>
    <w:rsid w:val="00CB2B29"/>
    <w:rsid w:val="00CB2EF5"/>
    <w:rsid w:val="00CB33E4"/>
    <w:rsid w:val="00CB3885"/>
    <w:rsid w:val="00CB3CB0"/>
    <w:rsid w:val="00CB3EE0"/>
    <w:rsid w:val="00CB4230"/>
    <w:rsid w:val="00CB431B"/>
    <w:rsid w:val="00CB4452"/>
    <w:rsid w:val="00CB465C"/>
    <w:rsid w:val="00CB476D"/>
    <w:rsid w:val="00CB48B2"/>
    <w:rsid w:val="00CB4A77"/>
    <w:rsid w:val="00CB4B97"/>
    <w:rsid w:val="00CB4E7D"/>
    <w:rsid w:val="00CB4EA5"/>
    <w:rsid w:val="00CB531C"/>
    <w:rsid w:val="00CB5404"/>
    <w:rsid w:val="00CB557F"/>
    <w:rsid w:val="00CB58BD"/>
    <w:rsid w:val="00CB592B"/>
    <w:rsid w:val="00CB59D7"/>
    <w:rsid w:val="00CB5C5F"/>
    <w:rsid w:val="00CB5D29"/>
    <w:rsid w:val="00CB5D33"/>
    <w:rsid w:val="00CB5F8B"/>
    <w:rsid w:val="00CB600E"/>
    <w:rsid w:val="00CB605B"/>
    <w:rsid w:val="00CB65B8"/>
    <w:rsid w:val="00CB6756"/>
    <w:rsid w:val="00CB69B1"/>
    <w:rsid w:val="00CB69E5"/>
    <w:rsid w:val="00CB6AAF"/>
    <w:rsid w:val="00CB6CDF"/>
    <w:rsid w:val="00CB6F37"/>
    <w:rsid w:val="00CB6F3C"/>
    <w:rsid w:val="00CB6F96"/>
    <w:rsid w:val="00CB7264"/>
    <w:rsid w:val="00CB72D4"/>
    <w:rsid w:val="00CB730F"/>
    <w:rsid w:val="00CB761C"/>
    <w:rsid w:val="00CB76B5"/>
    <w:rsid w:val="00CB78D0"/>
    <w:rsid w:val="00CB7925"/>
    <w:rsid w:val="00CB7AD6"/>
    <w:rsid w:val="00CB7E55"/>
    <w:rsid w:val="00CC018F"/>
    <w:rsid w:val="00CC0495"/>
    <w:rsid w:val="00CC04DF"/>
    <w:rsid w:val="00CC099D"/>
    <w:rsid w:val="00CC0A0C"/>
    <w:rsid w:val="00CC0B71"/>
    <w:rsid w:val="00CC0B8C"/>
    <w:rsid w:val="00CC110F"/>
    <w:rsid w:val="00CC11B8"/>
    <w:rsid w:val="00CC140A"/>
    <w:rsid w:val="00CC15B8"/>
    <w:rsid w:val="00CC15CF"/>
    <w:rsid w:val="00CC1AAE"/>
    <w:rsid w:val="00CC1AF9"/>
    <w:rsid w:val="00CC1B10"/>
    <w:rsid w:val="00CC1B49"/>
    <w:rsid w:val="00CC1BB2"/>
    <w:rsid w:val="00CC1EE7"/>
    <w:rsid w:val="00CC20E0"/>
    <w:rsid w:val="00CC236C"/>
    <w:rsid w:val="00CC2389"/>
    <w:rsid w:val="00CC2527"/>
    <w:rsid w:val="00CC2818"/>
    <w:rsid w:val="00CC29CF"/>
    <w:rsid w:val="00CC2D31"/>
    <w:rsid w:val="00CC2F7A"/>
    <w:rsid w:val="00CC3278"/>
    <w:rsid w:val="00CC3596"/>
    <w:rsid w:val="00CC376D"/>
    <w:rsid w:val="00CC3A70"/>
    <w:rsid w:val="00CC3F5A"/>
    <w:rsid w:val="00CC4033"/>
    <w:rsid w:val="00CC40B8"/>
    <w:rsid w:val="00CC4162"/>
    <w:rsid w:val="00CC4C35"/>
    <w:rsid w:val="00CC4CE5"/>
    <w:rsid w:val="00CC5444"/>
    <w:rsid w:val="00CC54F4"/>
    <w:rsid w:val="00CC5631"/>
    <w:rsid w:val="00CC57F5"/>
    <w:rsid w:val="00CC58CF"/>
    <w:rsid w:val="00CC5923"/>
    <w:rsid w:val="00CC6006"/>
    <w:rsid w:val="00CC62A6"/>
    <w:rsid w:val="00CC676C"/>
    <w:rsid w:val="00CC69D9"/>
    <w:rsid w:val="00CC6B7B"/>
    <w:rsid w:val="00CC6F43"/>
    <w:rsid w:val="00CC6F8D"/>
    <w:rsid w:val="00CC717A"/>
    <w:rsid w:val="00CC72A5"/>
    <w:rsid w:val="00CC7695"/>
    <w:rsid w:val="00CC790B"/>
    <w:rsid w:val="00CC7A11"/>
    <w:rsid w:val="00CC7A44"/>
    <w:rsid w:val="00CC7CA3"/>
    <w:rsid w:val="00CC7EC8"/>
    <w:rsid w:val="00CD03A4"/>
    <w:rsid w:val="00CD04A8"/>
    <w:rsid w:val="00CD051B"/>
    <w:rsid w:val="00CD0653"/>
    <w:rsid w:val="00CD1D7F"/>
    <w:rsid w:val="00CD1DB0"/>
    <w:rsid w:val="00CD1DB1"/>
    <w:rsid w:val="00CD22B5"/>
    <w:rsid w:val="00CD22F4"/>
    <w:rsid w:val="00CD24CC"/>
    <w:rsid w:val="00CD25E1"/>
    <w:rsid w:val="00CD2BBA"/>
    <w:rsid w:val="00CD315F"/>
    <w:rsid w:val="00CD3167"/>
    <w:rsid w:val="00CD367C"/>
    <w:rsid w:val="00CD40A2"/>
    <w:rsid w:val="00CD4139"/>
    <w:rsid w:val="00CD454A"/>
    <w:rsid w:val="00CD4721"/>
    <w:rsid w:val="00CD4F54"/>
    <w:rsid w:val="00CD4FFE"/>
    <w:rsid w:val="00CD502B"/>
    <w:rsid w:val="00CD57FA"/>
    <w:rsid w:val="00CD5968"/>
    <w:rsid w:val="00CD5A0E"/>
    <w:rsid w:val="00CD5A6E"/>
    <w:rsid w:val="00CD6697"/>
    <w:rsid w:val="00CD6A59"/>
    <w:rsid w:val="00CD6C8D"/>
    <w:rsid w:val="00CD711F"/>
    <w:rsid w:val="00CD71E3"/>
    <w:rsid w:val="00CD7356"/>
    <w:rsid w:val="00CD74A7"/>
    <w:rsid w:val="00CD774D"/>
    <w:rsid w:val="00CD77A8"/>
    <w:rsid w:val="00CD79B2"/>
    <w:rsid w:val="00CD7A9B"/>
    <w:rsid w:val="00CD7B45"/>
    <w:rsid w:val="00CD7CC4"/>
    <w:rsid w:val="00CD7CDB"/>
    <w:rsid w:val="00CD7E87"/>
    <w:rsid w:val="00CD7F9A"/>
    <w:rsid w:val="00CE014E"/>
    <w:rsid w:val="00CE048B"/>
    <w:rsid w:val="00CE0AA6"/>
    <w:rsid w:val="00CE0E3E"/>
    <w:rsid w:val="00CE1440"/>
    <w:rsid w:val="00CE157C"/>
    <w:rsid w:val="00CE19B4"/>
    <w:rsid w:val="00CE1AA6"/>
    <w:rsid w:val="00CE1AF6"/>
    <w:rsid w:val="00CE1AF7"/>
    <w:rsid w:val="00CE2298"/>
    <w:rsid w:val="00CE2589"/>
    <w:rsid w:val="00CE2715"/>
    <w:rsid w:val="00CE2D5F"/>
    <w:rsid w:val="00CE3064"/>
    <w:rsid w:val="00CE35FA"/>
    <w:rsid w:val="00CE3683"/>
    <w:rsid w:val="00CE38A2"/>
    <w:rsid w:val="00CE39E4"/>
    <w:rsid w:val="00CE3AE0"/>
    <w:rsid w:val="00CE3E54"/>
    <w:rsid w:val="00CE3EEA"/>
    <w:rsid w:val="00CE4177"/>
    <w:rsid w:val="00CE4282"/>
    <w:rsid w:val="00CE4471"/>
    <w:rsid w:val="00CE49B0"/>
    <w:rsid w:val="00CE4A07"/>
    <w:rsid w:val="00CE4CD8"/>
    <w:rsid w:val="00CE4EC1"/>
    <w:rsid w:val="00CE4EF7"/>
    <w:rsid w:val="00CE53F4"/>
    <w:rsid w:val="00CE54E0"/>
    <w:rsid w:val="00CE54E1"/>
    <w:rsid w:val="00CE5532"/>
    <w:rsid w:val="00CE55B6"/>
    <w:rsid w:val="00CE5856"/>
    <w:rsid w:val="00CE5BDE"/>
    <w:rsid w:val="00CE5CB1"/>
    <w:rsid w:val="00CE657F"/>
    <w:rsid w:val="00CE6A30"/>
    <w:rsid w:val="00CE6A6D"/>
    <w:rsid w:val="00CE6CD2"/>
    <w:rsid w:val="00CE6E3A"/>
    <w:rsid w:val="00CE7128"/>
    <w:rsid w:val="00CE774C"/>
    <w:rsid w:val="00CE79C6"/>
    <w:rsid w:val="00CE7E2B"/>
    <w:rsid w:val="00CF012E"/>
    <w:rsid w:val="00CF04D4"/>
    <w:rsid w:val="00CF0B4C"/>
    <w:rsid w:val="00CF0DAE"/>
    <w:rsid w:val="00CF108D"/>
    <w:rsid w:val="00CF14E2"/>
    <w:rsid w:val="00CF164D"/>
    <w:rsid w:val="00CF1680"/>
    <w:rsid w:val="00CF16AB"/>
    <w:rsid w:val="00CF1A0C"/>
    <w:rsid w:val="00CF1BD7"/>
    <w:rsid w:val="00CF1C2A"/>
    <w:rsid w:val="00CF1CDE"/>
    <w:rsid w:val="00CF1D75"/>
    <w:rsid w:val="00CF21A5"/>
    <w:rsid w:val="00CF22FA"/>
    <w:rsid w:val="00CF24AB"/>
    <w:rsid w:val="00CF2518"/>
    <w:rsid w:val="00CF276F"/>
    <w:rsid w:val="00CF2B88"/>
    <w:rsid w:val="00CF2DDE"/>
    <w:rsid w:val="00CF2F07"/>
    <w:rsid w:val="00CF30A5"/>
    <w:rsid w:val="00CF344A"/>
    <w:rsid w:val="00CF39A0"/>
    <w:rsid w:val="00CF3D1C"/>
    <w:rsid w:val="00CF3D45"/>
    <w:rsid w:val="00CF43D1"/>
    <w:rsid w:val="00CF4713"/>
    <w:rsid w:val="00CF4A86"/>
    <w:rsid w:val="00CF4B12"/>
    <w:rsid w:val="00CF4CFD"/>
    <w:rsid w:val="00CF5024"/>
    <w:rsid w:val="00CF57BC"/>
    <w:rsid w:val="00CF58FE"/>
    <w:rsid w:val="00CF5970"/>
    <w:rsid w:val="00CF5A6B"/>
    <w:rsid w:val="00CF5C01"/>
    <w:rsid w:val="00CF5DCD"/>
    <w:rsid w:val="00CF5E56"/>
    <w:rsid w:val="00CF5EBE"/>
    <w:rsid w:val="00CF6260"/>
    <w:rsid w:val="00CF783B"/>
    <w:rsid w:val="00CF7D6A"/>
    <w:rsid w:val="00CF7D97"/>
    <w:rsid w:val="00CF7E2D"/>
    <w:rsid w:val="00CF7EEC"/>
    <w:rsid w:val="00CF7F4F"/>
    <w:rsid w:val="00D001C2"/>
    <w:rsid w:val="00D002CF"/>
    <w:rsid w:val="00D00779"/>
    <w:rsid w:val="00D007B4"/>
    <w:rsid w:val="00D009D8"/>
    <w:rsid w:val="00D00A42"/>
    <w:rsid w:val="00D00ABA"/>
    <w:rsid w:val="00D00B25"/>
    <w:rsid w:val="00D00EC2"/>
    <w:rsid w:val="00D012E1"/>
    <w:rsid w:val="00D01318"/>
    <w:rsid w:val="00D013D7"/>
    <w:rsid w:val="00D01665"/>
    <w:rsid w:val="00D0182E"/>
    <w:rsid w:val="00D01D1E"/>
    <w:rsid w:val="00D01DD6"/>
    <w:rsid w:val="00D01F0B"/>
    <w:rsid w:val="00D02580"/>
    <w:rsid w:val="00D0270A"/>
    <w:rsid w:val="00D0305C"/>
    <w:rsid w:val="00D0310A"/>
    <w:rsid w:val="00D034E3"/>
    <w:rsid w:val="00D036A4"/>
    <w:rsid w:val="00D03885"/>
    <w:rsid w:val="00D03A5A"/>
    <w:rsid w:val="00D03BF7"/>
    <w:rsid w:val="00D03F1E"/>
    <w:rsid w:val="00D04019"/>
    <w:rsid w:val="00D0428E"/>
    <w:rsid w:val="00D04426"/>
    <w:rsid w:val="00D0452F"/>
    <w:rsid w:val="00D0482F"/>
    <w:rsid w:val="00D04A33"/>
    <w:rsid w:val="00D04A4F"/>
    <w:rsid w:val="00D04A5A"/>
    <w:rsid w:val="00D04CC1"/>
    <w:rsid w:val="00D054A2"/>
    <w:rsid w:val="00D05574"/>
    <w:rsid w:val="00D05795"/>
    <w:rsid w:val="00D05892"/>
    <w:rsid w:val="00D05D89"/>
    <w:rsid w:val="00D05FD7"/>
    <w:rsid w:val="00D0674C"/>
    <w:rsid w:val="00D06824"/>
    <w:rsid w:val="00D068C4"/>
    <w:rsid w:val="00D06C03"/>
    <w:rsid w:val="00D06F83"/>
    <w:rsid w:val="00D07157"/>
    <w:rsid w:val="00D07241"/>
    <w:rsid w:val="00D07335"/>
    <w:rsid w:val="00D0758E"/>
    <w:rsid w:val="00D1037A"/>
    <w:rsid w:val="00D1059E"/>
    <w:rsid w:val="00D105AE"/>
    <w:rsid w:val="00D106A9"/>
    <w:rsid w:val="00D10778"/>
    <w:rsid w:val="00D10A90"/>
    <w:rsid w:val="00D10D09"/>
    <w:rsid w:val="00D1163E"/>
    <w:rsid w:val="00D1164F"/>
    <w:rsid w:val="00D11889"/>
    <w:rsid w:val="00D12104"/>
    <w:rsid w:val="00D12362"/>
    <w:rsid w:val="00D1237C"/>
    <w:rsid w:val="00D128E7"/>
    <w:rsid w:val="00D12A4F"/>
    <w:rsid w:val="00D12AFE"/>
    <w:rsid w:val="00D12B99"/>
    <w:rsid w:val="00D12EF6"/>
    <w:rsid w:val="00D1322C"/>
    <w:rsid w:val="00D1338C"/>
    <w:rsid w:val="00D1348D"/>
    <w:rsid w:val="00D1360E"/>
    <w:rsid w:val="00D13D6B"/>
    <w:rsid w:val="00D14AD8"/>
    <w:rsid w:val="00D14BB2"/>
    <w:rsid w:val="00D14C15"/>
    <w:rsid w:val="00D14CD5"/>
    <w:rsid w:val="00D14FF6"/>
    <w:rsid w:val="00D1599F"/>
    <w:rsid w:val="00D15C8C"/>
    <w:rsid w:val="00D15CB3"/>
    <w:rsid w:val="00D15F51"/>
    <w:rsid w:val="00D163A1"/>
    <w:rsid w:val="00D16731"/>
    <w:rsid w:val="00D16CBA"/>
    <w:rsid w:val="00D16ED5"/>
    <w:rsid w:val="00D170A8"/>
    <w:rsid w:val="00D17226"/>
    <w:rsid w:val="00D17BDF"/>
    <w:rsid w:val="00D17C0C"/>
    <w:rsid w:val="00D17E36"/>
    <w:rsid w:val="00D20006"/>
    <w:rsid w:val="00D202B1"/>
    <w:rsid w:val="00D204B1"/>
    <w:rsid w:val="00D20662"/>
    <w:rsid w:val="00D21291"/>
    <w:rsid w:val="00D21515"/>
    <w:rsid w:val="00D216E8"/>
    <w:rsid w:val="00D21B76"/>
    <w:rsid w:val="00D21C8A"/>
    <w:rsid w:val="00D220D6"/>
    <w:rsid w:val="00D22356"/>
    <w:rsid w:val="00D2274E"/>
    <w:rsid w:val="00D2297E"/>
    <w:rsid w:val="00D22DE5"/>
    <w:rsid w:val="00D22EC3"/>
    <w:rsid w:val="00D233BD"/>
    <w:rsid w:val="00D233D7"/>
    <w:rsid w:val="00D236BA"/>
    <w:rsid w:val="00D23904"/>
    <w:rsid w:val="00D2393E"/>
    <w:rsid w:val="00D23A50"/>
    <w:rsid w:val="00D23AB4"/>
    <w:rsid w:val="00D23CBB"/>
    <w:rsid w:val="00D23D18"/>
    <w:rsid w:val="00D23DE9"/>
    <w:rsid w:val="00D24101"/>
    <w:rsid w:val="00D24ABC"/>
    <w:rsid w:val="00D24FE6"/>
    <w:rsid w:val="00D256F0"/>
    <w:rsid w:val="00D25806"/>
    <w:rsid w:val="00D25E0C"/>
    <w:rsid w:val="00D25E9D"/>
    <w:rsid w:val="00D25F1C"/>
    <w:rsid w:val="00D25F7D"/>
    <w:rsid w:val="00D266F7"/>
    <w:rsid w:val="00D26DE6"/>
    <w:rsid w:val="00D26EE7"/>
    <w:rsid w:val="00D271D5"/>
    <w:rsid w:val="00D27331"/>
    <w:rsid w:val="00D279DE"/>
    <w:rsid w:val="00D27B1E"/>
    <w:rsid w:val="00D303BE"/>
    <w:rsid w:val="00D30718"/>
    <w:rsid w:val="00D30906"/>
    <w:rsid w:val="00D31441"/>
    <w:rsid w:val="00D31EEA"/>
    <w:rsid w:val="00D322FB"/>
    <w:rsid w:val="00D32475"/>
    <w:rsid w:val="00D327B4"/>
    <w:rsid w:val="00D32979"/>
    <w:rsid w:val="00D32EF4"/>
    <w:rsid w:val="00D33E3A"/>
    <w:rsid w:val="00D33F81"/>
    <w:rsid w:val="00D3464F"/>
    <w:rsid w:val="00D34850"/>
    <w:rsid w:val="00D34AB9"/>
    <w:rsid w:val="00D34D3E"/>
    <w:rsid w:val="00D35060"/>
    <w:rsid w:val="00D3549B"/>
    <w:rsid w:val="00D35A3D"/>
    <w:rsid w:val="00D362EC"/>
    <w:rsid w:val="00D363FA"/>
    <w:rsid w:val="00D369D4"/>
    <w:rsid w:val="00D36AD7"/>
    <w:rsid w:val="00D373B5"/>
    <w:rsid w:val="00D373E9"/>
    <w:rsid w:val="00D37669"/>
    <w:rsid w:val="00D37715"/>
    <w:rsid w:val="00D37726"/>
    <w:rsid w:val="00D37975"/>
    <w:rsid w:val="00D37A6D"/>
    <w:rsid w:val="00D37BAB"/>
    <w:rsid w:val="00D37C61"/>
    <w:rsid w:val="00D40150"/>
    <w:rsid w:val="00D403FF"/>
    <w:rsid w:val="00D404C4"/>
    <w:rsid w:val="00D4064D"/>
    <w:rsid w:val="00D40792"/>
    <w:rsid w:val="00D40A16"/>
    <w:rsid w:val="00D40B0C"/>
    <w:rsid w:val="00D40B9D"/>
    <w:rsid w:val="00D40C02"/>
    <w:rsid w:val="00D40C7C"/>
    <w:rsid w:val="00D40CE9"/>
    <w:rsid w:val="00D410B4"/>
    <w:rsid w:val="00D410E5"/>
    <w:rsid w:val="00D41F22"/>
    <w:rsid w:val="00D42115"/>
    <w:rsid w:val="00D422C8"/>
    <w:rsid w:val="00D42380"/>
    <w:rsid w:val="00D4243D"/>
    <w:rsid w:val="00D42A60"/>
    <w:rsid w:val="00D42EFD"/>
    <w:rsid w:val="00D43A2F"/>
    <w:rsid w:val="00D43EF3"/>
    <w:rsid w:val="00D441CC"/>
    <w:rsid w:val="00D44366"/>
    <w:rsid w:val="00D443E5"/>
    <w:rsid w:val="00D44673"/>
    <w:rsid w:val="00D44869"/>
    <w:rsid w:val="00D457D1"/>
    <w:rsid w:val="00D4581B"/>
    <w:rsid w:val="00D45830"/>
    <w:rsid w:val="00D458AA"/>
    <w:rsid w:val="00D45DFA"/>
    <w:rsid w:val="00D46338"/>
    <w:rsid w:val="00D46BA2"/>
    <w:rsid w:val="00D46F7E"/>
    <w:rsid w:val="00D47234"/>
    <w:rsid w:val="00D47281"/>
    <w:rsid w:val="00D47581"/>
    <w:rsid w:val="00D50295"/>
    <w:rsid w:val="00D50350"/>
    <w:rsid w:val="00D5069A"/>
    <w:rsid w:val="00D50771"/>
    <w:rsid w:val="00D50921"/>
    <w:rsid w:val="00D509AC"/>
    <w:rsid w:val="00D50C0C"/>
    <w:rsid w:val="00D50E43"/>
    <w:rsid w:val="00D50F95"/>
    <w:rsid w:val="00D510A7"/>
    <w:rsid w:val="00D513EB"/>
    <w:rsid w:val="00D51469"/>
    <w:rsid w:val="00D5158A"/>
    <w:rsid w:val="00D51EE4"/>
    <w:rsid w:val="00D52507"/>
    <w:rsid w:val="00D52588"/>
    <w:rsid w:val="00D52911"/>
    <w:rsid w:val="00D5295C"/>
    <w:rsid w:val="00D52B45"/>
    <w:rsid w:val="00D52B7D"/>
    <w:rsid w:val="00D52CBA"/>
    <w:rsid w:val="00D52E4E"/>
    <w:rsid w:val="00D5307E"/>
    <w:rsid w:val="00D530B3"/>
    <w:rsid w:val="00D530EB"/>
    <w:rsid w:val="00D53393"/>
    <w:rsid w:val="00D533B3"/>
    <w:rsid w:val="00D535B6"/>
    <w:rsid w:val="00D53975"/>
    <w:rsid w:val="00D53AB4"/>
    <w:rsid w:val="00D54478"/>
    <w:rsid w:val="00D54910"/>
    <w:rsid w:val="00D54AF4"/>
    <w:rsid w:val="00D54DFB"/>
    <w:rsid w:val="00D54E2B"/>
    <w:rsid w:val="00D5515A"/>
    <w:rsid w:val="00D55235"/>
    <w:rsid w:val="00D552BA"/>
    <w:rsid w:val="00D5539E"/>
    <w:rsid w:val="00D55448"/>
    <w:rsid w:val="00D55CFE"/>
    <w:rsid w:val="00D55D78"/>
    <w:rsid w:val="00D55D82"/>
    <w:rsid w:val="00D56171"/>
    <w:rsid w:val="00D561DB"/>
    <w:rsid w:val="00D56347"/>
    <w:rsid w:val="00D56744"/>
    <w:rsid w:val="00D5679E"/>
    <w:rsid w:val="00D56916"/>
    <w:rsid w:val="00D569F7"/>
    <w:rsid w:val="00D56C6C"/>
    <w:rsid w:val="00D56C86"/>
    <w:rsid w:val="00D56FFB"/>
    <w:rsid w:val="00D572B2"/>
    <w:rsid w:val="00D573D9"/>
    <w:rsid w:val="00D57622"/>
    <w:rsid w:val="00D57680"/>
    <w:rsid w:val="00D57723"/>
    <w:rsid w:val="00D5796B"/>
    <w:rsid w:val="00D57C92"/>
    <w:rsid w:val="00D57EF5"/>
    <w:rsid w:val="00D57F53"/>
    <w:rsid w:val="00D604FC"/>
    <w:rsid w:val="00D60956"/>
    <w:rsid w:val="00D60BDE"/>
    <w:rsid w:val="00D60CAB"/>
    <w:rsid w:val="00D610FD"/>
    <w:rsid w:val="00D612AF"/>
    <w:rsid w:val="00D6139D"/>
    <w:rsid w:val="00D61460"/>
    <w:rsid w:val="00D619F3"/>
    <w:rsid w:val="00D61A6B"/>
    <w:rsid w:val="00D61AC6"/>
    <w:rsid w:val="00D61D9B"/>
    <w:rsid w:val="00D62131"/>
    <w:rsid w:val="00D62894"/>
    <w:rsid w:val="00D62957"/>
    <w:rsid w:val="00D62A5B"/>
    <w:rsid w:val="00D62B43"/>
    <w:rsid w:val="00D62C33"/>
    <w:rsid w:val="00D62C5B"/>
    <w:rsid w:val="00D62ECD"/>
    <w:rsid w:val="00D63246"/>
    <w:rsid w:val="00D63371"/>
    <w:rsid w:val="00D63403"/>
    <w:rsid w:val="00D63748"/>
    <w:rsid w:val="00D639F0"/>
    <w:rsid w:val="00D63A94"/>
    <w:rsid w:val="00D63C1B"/>
    <w:rsid w:val="00D63D76"/>
    <w:rsid w:val="00D6405D"/>
    <w:rsid w:val="00D6417B"/>
    <w:rsid w:val="00D641F3"/>
    <w:rsid w:val="00D643F7"/>
    <w:rsid w:val="00D643FF"/>
    <w:rsid w:val="00D6446C"/>
    <w:rsid w:val="00D644C8"/>
    <w:rsid w:val="00D6472C"/>
    <w:rsid w:val="00D64BFF"/>
    <w:rsid w:val="00D64CE4"/>
    <w:rsid w:val="00D64D32"/>
    <w:rsid w:val="00D64DE1"/>
    <w:rsid w:val="00D64E3F"/>
    <w:rsid w:val="00D65223"/>
    <w:rsid w:val="00D653D0"/>
    <w:rsid w:val="00D65A9A"/>
    <w:rsid w:val="00D65ADB"/>
    <w:rsid w:val="00D65B84"/>
    <w:rsid w:val="00D65E2F"/>
    <w:rsid w:val="00D6641D"/>
    <w:rsid w:val="00D6692A"/>
    <w:rsid w:val="00D6693D"/>
    <w:rsid w:val="00D66980"/>
    <w:rsid w:val="00D66CAC"/>
    <w:rsid w:val="00D66D67"/>
    <w:rsid w:val="00D66E55"/>
    <w:rsid w:val="00D670FB"/>
    <w:rsid w:val="00D674E9"/>
    <w:rsid w:val="00D678F0"/>
    <w:rsid w:val="00D6799A"/>
    <w:rsid w:val="00D679BC"/>
    <w:rsid w:val="00D7009C"/>
    <w:rsid w:val="00D70C40"/>
    <w:rsid w:val="00D70CE6"/>
    <w:rsid w:val="00D70F17"/>
    <w:rsid w:val="00D712DA"/>
    <w:rsid w:val="00D712E8"/>
    <w:rsid w:val="00D71411"/>
    <w:rsid w:val="00D718E2"/>
    <w:rsid w:val="00D7197C"/>
    <w:rsid w:val="00D719EF"/>
    <w:rsid w:val="00D71B88"/>
    <w:rsid w:val="00D71E47"/>
    <w:rsid w:val="00D72327"/>
    <w:rsid w:val="00D723D2"/>
    <w:rsid w:val="00D72582"/>
    <w:rsid w:val="00D72706"/>
    <w:rsid w:val="00D727E0"/>
    <w:rsid w:val="00D728CF"/>
    <w:rsid w:val="00D72B87"/>
    <w:rsid w:val="00D72BA2"/>
    <w:rsid w:val="00D72C72"/>
    <w:rsid w:val="00D72E36"/>
    <w:rsid w:val="00D72EB0"/>
    <w:rsid w:val="00D733AA"/>
    <w:rsid w:val="00D736EE"/>
    <w:rsid w:val="00D73841"/>
    <w:rsid w:val="00D74160"/>
    <w:rsid w:val="00D74561"/>
    <w:rsid w:val="00D74BBA"/>
    <w:rsid w:val="00D74F06"/>
    <w:rsid w:val="00D74F8A"/>
    <w:rsid w:val="00D752C1"/>
    <w:rsid w:val="00D754D5"/>
    <w:rsid w:val="00D755B3"/>
    <w:rsid w:val="00D75BE4"/>
    <w:rsid w:val="00D75D22"/>
    <w:rsid w:val="00D75DA5"/>
    <w:rsid w:val="00D75F41"/>
    <w:rsid w:val="00D7600C"/>
    <w:rsid w:val="00D7602C"/>
    <w:rsid w:val="00D76239"/>
    <w:rsid w:val="00D76A3F"/>
    <w:rsid w:val="00D76BDD"/>
    <w:rsid w:val="00D76BDF"/>
    <w:rsid w:val="00D76C58"/>
    <w:rsid w:val="00D76CF2"/>
    <w:rsid w:val="00D76E7C"/>
    <w:rsid w:val="00D77327"/>
    <w:rsid w:val="00D77374"/>
    <w:rsid w:val="00D779A2"/>
    <w:rsid w:val="00D77A5E"/>
    <w:rsid w:val="00D77AA6"/>
    <w:rsid w:val="00D800C1"/>
    <w:rsid w:val="00D80285"/>
    <w:rsid w:val="00D802E2"/>
    <w:rsid w:val="00D802FA"/>
    <w:rsid w:val="00D80653"/>
    <w:rsid w:val="00D80A24"/>
    <w:rsid w:val="00D80B40"/>
    <w:rsid w:val="00D81084"/>
    <w:rsid w:val="00D813EC"/>
    <w:rsid w:val="00D81466"/>
    <w:rsid w:val="00D8155B"/>
    <w:rsid w:val="00D816D5"/>
    <w:rsid w:val="00D81AD2"/>
    <w:rsid w:val="00D81E79"/>
    <w:rsid w:val="00D81FEA"/>
    <w:rsid w:val="00D820B7"/>
    <w:rsid w:val="00D8215D"/>
    <w:rsid w:val="00D823C6"/>
    <w:rsid w:val="00D82430"/>
    <w:rsid w:val="00D8246B"/>
    <w:rsid w:val="00D825A5"/>
    <w:rsid w:val="00D825B7"/>
    <w:rsid w:val="00D8290E"/>
    <w:rsid w:val="00D82AD1"/>
    <w:rsid w:val="00D82DC7"/>
    <w:rsid w:val="00D82E6E"/>
    <w:rsid w:val="00D82F2A"/>
    <w:rsid w:val="00D83040"/>
    <w:rsid w:val="00D8323B"/>
    <w:rsid w:val="00D832BE"/>
    <w:rsid w:val="00D83489"/>
    <w:rsid w:val="00D83817"/>
    <w:rsid w:val="00D83D13"/>
    <w:rsid w:val="00D841AC"/>
    <w:rsid w:val="00D844E4"/>
    <w:rsid w:val="00D84AC3"/>
    <w:rsid w:val="00D84E7F"/>
    <w:rsid w:val="00D85483"/>
    <w:rsid w:val="00D856CD"/>
    <w:rsid w:val="00D8589D"/>
    <w:rsid w:val="00D85A81"/>
    <w:rsid w:val="00D85AB8"/>
    <w:rsid w:val="00D85BCE"/>
    <w:rsid w:val="00D860DA"/>
    <w:rsid w:val="00D861C0"/>
    <w:rsid w:val="00D86210"/>
    <w:rsid w:val="00D862F9"/>
    <w:rsid w:val="00D86466"/>
    <w:rsid w:val="00D86997"/>
    <w:rsid w:val="00D86A76"/>
    <w:rsid w:val="00D86C89"/>
    <w:rsid w:val="00D8702B"/>
    <w:rsid w:val="00D870E8"/>
    <w:rsid w:val="00D873B8"/>
    <w:rsid w:val="00D87423"/>
    <w:rsid w:val="00D87452"/>
    <w:rsid w:val="00D8747E"/>
    <w:rsid w:val="00D87485"/>
    <w:rsid w:val="00D879E5"/>
    <w:rsid w:val="00D87C3C"/>
    <w:rsid w:val="00D87EE4"/>
    <w:rsid w:val="00D87F88"/>
    <w:rsid w:val="00D90237"/>
    <w:rsid w:val="00D907CB"/>
    <w:rsid w:val="00D908F2"/>
    <w:rsid w:val="00D9174E"/>
    <w:rsid w:val="00D91ACA"/>
    <w:rsid w:val="00D91BF2"/>
    <w:rsid w:val="00D92606"/>
    <w:rsid w:val="00D92924"/>
    <w:rsid w:val="00D93092"/>
    <w:rsid w:val="00D93100"/>
    <w:rsid w:val="00D93322"/>
    <w:rsid w:val="00D938F2"/>
    <w:rsid w:val="00D93AE8"/>
    <w:rsid w:val="00D93C1C"/>
    <w:rsid w:val="00D94026"/>
    <w:rsid w:val="00D94029"/>
    <w:rsid w:val="00D94120"/>
    <w:rsid w:val="00D94352"/>
    <w:rsid w:val="00D9438C"/>
    <w:rsid w:val="00D94465"/>
    <w:rsid w:val="00D94E71"/>
    <w:rsid w:val="00D950F3"/>
    <w:rsid w:val="00D951DD"/>
    <w:rsid w:val="00D951F2"/>
    <w:rsid w:val="00D952ED"/>
    <w:rsid w:val="00D95680"/>
    <w:rsid w:val="00D956EE"/>
    <w:rsid w:val="00D957FA"/>
    <w:rsid w:val="00D95A52"/>
    <w:rsid w:val="00D95A64"/>
    <w:rsid w:val="00D95BC3"/>
    <w:rsid w:val="00D95D19"/>
    <w:rsid w:val="00D95FCA"/>
    <w:rsid w:val="00D96154"/>
    <w:rsid w:val="00D964F6"/>
    <w:rsid w:val="00D9664C"/>
    <w:rsid w:val="00D96EDE"/>
    <w:rsid w:val="00D972DB"/>
    <w:rsid w:val="00D9736C"/>
    <w:rsid w:val="00D97404"/>
    <w:rsid w:val="00D975A3"/>
    <w:rsid w:val="00D979D0"/>
    <w:rsid w:val="00D97EFB"/>
    <w:rsid w:val="00DA016E"/>
    <w:rsid w:val="00DA07A6"/>
    <w:rsid w:val="00DA08B8"/>
    <w:rsid w:val="00DA08CA"/>
    <w:rsid w:val="00DA0957"/>
    <w:rsid w:val="00DA0CDF"/>
    <w:rsid w:val="00DA0F37"/>
    <w:rsid w:val="00DA101A"/>
    <w:rsid w:val="00DA11EC"/>
    <w:rsid w:val="00DA122C"/>
    <w:rsid w:val="00DA1516"/>
    <w:rsid w:val="00DA1A06"/>
    <w:rsid w:val="00DA232E"/>
    <w:rsid w:val="00DA2348"/>
    <w:rsid w:val="00DA23A9"/>
    <w:rsid w:val="00DA249B"/>
    <w:rsid w:val="00DA24DB"/>
    <w:rsid w:val="00DA290C"/>
    <w:rsid w:val="00DA2D6E"/>
    <w:rsid w:val="00DA2E61"/>
    <w:rsid w:val="00DA2FD5"/>
    <w:rsid w:val="00DA37F6"/>
    <w:rsid w:val="00DA3A3F"/>
    <w:rsid w:val="00DA3BEF"/>
    <w:rsid w:val="00DA3E4D"/>
    <w:rsid w:val="00DA411B"/>
    <w:rsid w:val="00DA4838"/>
    <w:rsid w:val="00DA4989"/>
    <w:rsid w:val="00DA4AC7"/>
    <w:rsid w:val="00DA4ACE"/>
    <w:rsid w:val="00DA4D28"/>
    <w:rsid w:val="00DA4E4D"/>
    <w:rsid w:val="00DA51B5"/>
    <w:rsid w:val="00DA54F7"/>
    <w:rsid w:val="00DA5720"/>
    <w:rsid w:val="00DA5721"/>
    <w:rsid w:val="00DA5AD7"/>
    <w:rsid w:val="00DA5FE6"/>
    <w:rsid w:val="00DA6173"/>
    <w:rsid w:val="00DA67CF"/>
    <w:rsid w:val="00DA68E1"/>
    <w:rsid w:val="00DA6986"/>
    <w:rsid w:val="00DA6AC7"/>
    <w:rsid w:val="00DA6D7D"/>
    <w:rsid w:val="00DA6DD0"/>
    <w:rsid w:val="00DA735A"/>
    <w:rsid w:val="00DA7383"/>
    <w:rsid w:val="00DA73FA"/>
    <w:rsid w:val="00DA7477"/>
    <w:rsid w:val="00DA7573"/>
    <w:rsid w:val="00DA7804"/>
    <w:rsid w:val="00DA7BD4"/>
    <w:rsid w:val="00DA7F4D"/>
    <w:rsid w:val="00DB003E"/>
    <w:rsid w:val="00DB0191"/>
    <w:rsid w:val="00DB0197"/>
    <w:rsid w:val="00DB0359"/>
    <w:rsid w:val="00DB0B05"/>
    <w:rsid w:val="00DB0C0C"/>
    <w:rsid w:val="00DB0C2E"/>
    <w:rsid w:val="00DB0D7C"/>
    <w:rsid w:val="00DB0DA9"/>
    <w:rsid w:val="00DB0E6E"/>
    <w:rsid w:val="00DB0EF6"/>
    <w:rsid w:val="00DB0F8A"/>
    <w:rsid w:val="00DB1034"/>
    <w:rsid w:val="00DB103B"/>
    <w:rsid w:val="00DB16EF"/>
    <w:rsid w:val="00DB1A80"/>
    <w:rsid w:val="00DB1B21"/>
    <w:rsid w:val="00DB1C28"/>
    <w:rsid w:val="00DB22F4"/>
    <w:rsid w:val="00DB2388"/>
    <w:rsid w:val="00DB251A"/>
    <w:rsid w:val="00DB25D5"/>
    <w:rsid w:val="00DB26A8"/>
    <w:rsid w:val="00DB27CF"/>
    <w:rsid w:val="00DB2B7A"/>
    <w:rsid w:val="00DB2D3D"/>
    <w:rsid w:val="00DB2EF9"/>
    <w:rsid w:val="00DB3246"/>
    <w:rsid w:val="00DB324C"/>
    <w:rsid w:val="00DB331A"/>
    <w:rsid w:val="00DB35D2"/>
    <w:rsid w:val="00DB36EA"/>
    <w:rsid w:val="00DB3F2B"/>
    <w:rsid w:val="00DB3FD3"/>
    <w:rsid w:val="00DB45AE"/>
    <w:rsid w:val="00DB46BC"/>
    <w:rsid w:val="00DB4A98"/>
    <w:rsid w:val="00DB4CF4"/>
    <w:rsid w:val="00DB4E0E"/>
    <w:rsid w:val="00DB4FB4"/>
    <w:rsid w:val="00DB50E6"/>
    <w:rsid w:val="00DB5383"/>
    <w:rsid w:val="00DB5D8D"/>
    <w:rsid w:val="00DB5E0E"/>
    <w:rsid w:val="00DB5F2A"/>
    <w:rsid w:val="00DB6222"/>
    <w:rsid w:val="00DB6496"/>
    <w:rsid w:val="00DB6820"/>
    <w:rsid w:val="00DB6A2B"/>
    <w:rsid w:val="00DB6E26"/>
    <w:rsid w:val="00DB6F45"/>
    <w:rsid w:val="00DB702F"/>
    <w:rsid w:val="00DB72B7"/>
    <w:rsid w:val="00DB7546"/>
    <w:rsid w:val="00DB763D"/>
    <w:rsid w:val="00DB782D"/>
    <w:rsid w:val="00DB7BA7"/>
    <w:rsid w:val="00DC028C"/>
    <w:rsid w:val="00DC04B2"/>
    <w:rsid w:val="00DC0624"/>
    <w:rsid w:val="00DC076E"/>
    <w:rsid w:val="00DC0B6A"/>
    <w:rsid w:val="00DC0C6B"/>
    <w:rsid w:val="00DC0FC3"/>
    <w:rsid w:val="00DC10A1"/>
    <w:rsid w:val="00DC1158"/>
    <w:rsid w:val="00DC126C"/>
    <w:rsid w:val="00DC129C"/>
    <w:rsid w:val="00DC129D"/>
    <w:rsid w:val="00DC18AB"/>
    <w:rsid w:val="00DC1A58"/>
    <w:rsid w:val="00DC1AC0"/>
    <w:rsid w:val="00DC1CDD"/>
    <w:rsid w:val="00DC1D52"/>
    <w:rsid w:val="00DC1D8E"/>
    <w:rsid w:val="00DC20C3"/>
    <w:rsid w:val="00DC227A"/>
    <w:rsid w:val="00DC2311"/>
    <w:rsid w:val="00DC2333"/>
    <w:rsid w:val="00DC2360"/>
    <w:rsid w:val="00DC26E4"/>
    <w:rsid w:val="00DC2825"/>
    <w:rsid w:val="00DC2BAE"/>
    <w:rsid w:val="00DC2CEE"/>
    <w:rsid w:val="00DC3257"/>
    <w:rsid w:val="00DC3279"/>
    <w:rsid w:val="00DC39C3"/>
    <w:rsid w:val="00DC3B61"/>
    <w:rsid w:val="00DC3BF1"/>
    <w:rsid w:val="00DC3CFC"/>
    <w:rsid w:val="00DC3D0A"/>
    <w:rsid w:val="00DC45CA"/>
    <w:rsid w:val="00DC4D1D"/>
    <w:rsid w:val="00DC4D87"/>
    <w:rsid w:val="00DC51E5"/>
    <w:rsid w:val="00DC54EB"/>
    <w:rsid w:val="00DC5699"/>
    <w:rsid w:val="00DC580A"/>
    <w:rsid w:val="00DC5B50"/>
    <w:rsid w:val="00DC5BD4"/>
    <w:rsid w:val="00DC5E38"/>
    <w:rsid w:val="00DC6012"/>
    <w:rsid w:val="00DC66BC"/>
    <w:rsid w:val="00DC69FD"/>
    <w:rsid w:val="00DC727F"/>
    <w:rsid w:val="00DC7356"/>
    <w:rsid w:val="00DC764E"/>
    <w:rsid w:val="00DC7D31"/>
    <w:rsid w:val="00DC7E78"/>
    <w:rsid w:val="00DC7F1B"/>
    <w:rsid w:val="00DD01C5"/>
    <w:rsid w:val="00DD02D1"/>
    <w:rsid w:val="00DD0493"/>
    <w:rsid w:val="00DD07C6"/>
    <w:rsid w:val="00DD08A6"/>
    <w:rsid w:val="00DD0924"/>
    <w:rsid w:val="00DD0CBF"/>
    <w:rsid w:val="00DD0D60"/>
    <w:rsid w:val="00DD0DE4"/>
    <w:rsid w:val="00DD1070"/>
    <w:rsid w:val="00DD1071"/>
    <w:rsid w:val="00DD11DE"/>
    <w:rsid w:val="00DD12FD"/>
    <w:rsid w:val="00DD1576"/>
    <w:rsid w:val="00DD19AE"/>
    <w:rsid w:val="00DD1D31"/>
    <w:rsid w:val="00DD1DC7"/>
    <w:rsid w:val="00DD24F7"/>
    <w:rsid w:val="00DD2893"/>
    <w:rsid w:val="00DD2CC3"/>
    <w:rsid w:val="00DD329A"/>
    <w:rsid w:val="00DD364F"/>
    <w:rsid w:val="00DD3AF9"/>
    <w:rsid w:val="00DD441D"/>
    <w:rsid w:val="00DD4717"/>
    <w:rsid w:val="00DD474C"/>
    <w:rsid w:val="00DD4817"/>
    <w:rsid w:val="00DD4978"/>
    <w:rsid w:val="00DD4F74"/>
    <w:rsid w:val="00DD5113"/>
    <w:rsid w:val="00DD5314"/>
    <w:rsid w:val="00DD531F"/>
    <w:rsid w:val="00DD556C"/>
    <w:rsid w:val="00DD5737"/>
    <w:rsid w:val="00DD591C"/>
    <w:rsid w:val="00DD5E81"/>
    <w:rsid w:val="00DD5F0E"/>
    <w:rsid w:val="00DD61BF"/>
    <w:rsid w:val="00DD62A3"/>
    <w:rsid w:val="00DD6AFF"/>
    <w:rsid w:val="00DD6C46"/>
    <w:rsid w:val="00DD6C7A"/>
    <w:rsid w:val="00DD6F44"/>
    <w:rsid w:val="00DD7391"/>
    <w:rsid w:val="00DD7951"/>
    <w:rsid w:val="00DD7CCA"/>
    <w:rsid w:val="00DE02D6"/>
    <w:rsid w:val="00DE0530"/>
    <w:rsid w:val="00DE0889"/>
    <w:rsid w:val="00DE0962"/>
    <w:rsid w:val="00DE0BDE"/>
    <w:rsid w:val="00DE0D8E"/>
    <w:rsid w:val="00DE0F5D"/>
    <w:rsid w:val="00DE0F60"/>
    <w:rsid w:val="00DE10CF"/>
    <w:rsid w:val="00DE1197"/>
    <w:rsid w:val="00DE125F"/>
    <w:rsid w:val="00DE1270"/>
    <w:rsid w:val="00DE1300"/>
    <w:rsid w:val="00DE13BB"/>
    <w:rsid w:val="00DE159C"/>
    <w:rsid w:val="00DE15FA"/>
    <w:rsid w:val="00DE162C"/>
    <w:rsid w:val="00DE17EC"/>
    <w:rsid w:val="00DE19F6"/>
    <w:rsid w:val="00DE1B78"/>
    <w:rsid w:val="00DE1E1E"/>
    <w:rsid w:val="00DE223E"/>
    <w:rsid w:val="00DE2D33"/>
    <w:rsid w:val="00DE34EB"/>
    <w:rsid w:val="00DE3592"/>
    <w:rsid w:val="00DE3E78"/>
    <w:rsid w:val="00DE4159"/>
    <w:rsid w:val="00DE41F8"/>
    <w:rsid w:val="00DE439E"/>
    <w:rsid w:val="00DE4671"/>
    <w:rsid w:val="00DE4B9D"/>
    <w:rsid w:val="00DE4BD4"/>
    <w:rsid w:val="00DE4C08"/>
    <w:rsid w:val="00DE50EA"/>
    <w:rsid w:val="00DE52A6"/>
    <w:rsid w:val="00DE545C"/>
    <w:rsid w:val="00DE580A"/>
    <w:rsid w:val="00DE5C9F"/>
    <w:rsid w:val="00DE61A9"/>
    <w:rsid w:val="00DE6B51"/>
    <w:rsid w:val="00DE6FDB"/>
    <w:rsid w:val="00DE7168"/>
    <w:rsid w:val="00DE7206"/>
    <w:rsid w:val="00DE734E"/>
    <w:rsid w:val="00DE73E6"/>
    <w:rsid w:val="00DE7716"/>
    <w:rsid w:val="00DE7747"/>
    <w:rsid w:val="00DE7887"/>
    <w:rsid w:val="00DE78DC"/>
    <w:rsid w:val="00DE7B50"/>
    <w:rsid w:val="00DE7BF8"/>
    <w:rsid w:val="00DE7FCD"/>
    <w:rsid w:val="00DF00AC"/>
    <w:rsid w:val="00DF04CD"/>
    <w:rsid w:val="00DF0747"/>
    <w:rsid w:val="00DF08B1"/>
    <w:rsid w:val="00DF08BF"/>
    <w:rsid w:val="00DF0A69"/>
    <w:rsid w:val="00DF0DC3"/>
    <w:rsid w:val="00DF14F9"/>
    <w:rsid w:val="00DF169F"/>
    <w:rsid w:val="00DF1A73"/>
    <w:rsid w:val="00DF1AEF"/>
    <w:rsid w:val="00DF1C2D"/>
    <w:rsid w:val="00DF1FAE"/>
    <w:rsid w:val="00DF213D"/>
    <w:rsid w:val="00DF2542"/>
    <w:rsid w:val="00DF2694"/>
    <w:rsid w:val="00DF2AD9"/>
    <w:rsid w:val="00DF2D03"/>
    <w:rsid w:val="00DF2EEC"/>
    <w:rsid w:val="00DF3A02"/>
    <w:rsid w:val="00DF3E21"/>
    <w:rsid w:val="00DF3FA4"/>
    <w:rsid w:val="00DF4492"/>
    <w:rsid w:val="00DF4800"/>
    <w:rsid w:val="00DF49A5"/>
    <w:rsid w:val="00DF4D5E"/>
    <w:rsid w:val="00DF4ED7"/>
    <w:rsid w:val="00DF54D0"/>
    <w:rsid w:val="00DF580C"/>
    <w:rsid w:val="00DF5884"/>
    <w:rsid w:val="00DF5C1A"/>
    <w:rsid w:val="00DF5DD0"/>
    <w:rsid w:val="00DF649D"/>
    <w:rsid w:val="00DF6674"/>
    <w:rsid w:val="00DF6BCB"/>
    <w:rsid w:val="00DF6CAB"/>
    <w:rsid w:val="00DF6CB0"/>
    <w:rsid w:val="00DF6D45"/>
    <w:rsid w:val="00DF6D90"/>
    <w:rsid w:val="00DF7042"/>
    <w:rsid w:val="00DF755D"/>
    <w:rsid w:val="00DF78FD"/>
    <w:rsid w:val="00DF7CE8"/>
    <w:rsid w:val="00DF7DBE"/>
    <w:rsid w:val="00DF7EFE"/>
    <w:rsid w:val="00E00372"/>
    <w:rsid w:val="00E00558"/>
    <w:rsid w:val="00E0064B"/>
    <w:rsid w:val="00E006F5"/>
    <w:rsid w:val="00E007D6"/>
    <w:rsid w:val="00E009B1"/>
    <w:rsid w:val="00E00E15"/>
    <w:rsid w:val="00E00E60"/>
    <w:rsid w:val="00E00F63"/>
    <w:rsid w:val="00E01083"/>
    <w:rsid w:val="00E01210"/>
    <w:rsid w:val="00E0124F"/>
    <w:rsid w:val="00E012CA"/>
    <w:rsid w:val="00E01BAB"/>
    <w:rsid w:val="00E01D50"/>
    <w:rsid w:val="00E01E60"/>
    <w:rsid w:val="00E01ED5"/>
    <w:rsid w:val="00E020D5"/>
    <w:rsid w:val="00E021B6"/>
    <w:rsid w:val="00E0233F"/>
    <w:rsid w:val="00E02433"/>
    <w:rsid w:val="00E02664"/>
    <w:rsid w:val="00E028FC"/>
    <w:rsid w:val="00E02A9A"/>
    <w:rsid w:val="00E02C4D"/>
    <w:rsid w:val="00E02C56"/>
    <w:rsid w:val="00E02CE8"/>
    <w:rsid w:val="00E031A5"/>
    <w:rsid w:val="00E033BD"/>
    <w:rsid w:val="00E0341B"/>
    <w:rsid w:val="00E0348F"/>
    <w:rsid w:val="00E035A6"/>
    <w:rsid w:val="00E03797"/>
    <w:rsid w:val="00E038F5"/>
    <w:rsid w:val="00E03C63"/>
    <w:rsid w:val="00E03D67"/>
    <w:rsid w:val="00E03EBE"/>
    <w:rsid w:val="00E03FDD"/>
    <w:rsid w:val="00E0449C"/>
    <w:rsid w:val="00E04510"/>
    <w:rsid w:val="00E04784"/>
    <w:rsid w:val="00E049BF"/>
    <w:rsid w:val="00E04C1E"/>
    <w:rsid w:val="00E04F65"/>
    <w:rsid w:val="00E05153"/>
    <w:rsid w:val="00E0553C"/>
    <w:rsid w:val="00E05569"/>
    <w:rsid w:val="00E05A6C"/>
    <w:rsid w:val="00E05F59"/>
    <w:rsid w:val="00E05FAF"/>
    <w:rsid w:val="00E05FE2"/>
    <w:rsid w:val="00E06364"/>
    <w:rsid w:val="00E0650C"/>
    <w:rsid w:val="00E0655D"/>
    <w:rsid w:val="00E06577"/>
    <w:rsid w:val="00E06DEC"/>
    <w:rsid w:val="00E070A4"/>
    <w:rsid w:val="00E075CA"/>
    <w:rsid w:val="00E0763C"/>
    <w:rsid w:val="00E07784"/>
    <w:rsid w:val="00E100D5"/>
    <w:rsid w:val="00E1024A"/>
    <w:rsid w:val="00E107F4"/>
    <w:rsid w:val="00E10B17"/>
    <w:rsid w:val="00E10B67"/>
    <w:rsid w:val="00E10D30"/>
    <w:rsid w:val="00E11686"/>
    <w:rsid w:val="00E118CB"/>
    <w:rsid w:val="00E11DC7"/>
    <w:rsid w:val="00E12350"/>
    <w:rsid w:val="00E12742"/>
    <w:rsid w:val="00E12AB9"/>
    <w:rsid w:val="00E12B29"/>
    <w:rsid w:val="00E12B67"/>
    <w:rsid w:val="00E12B7D"/>
    <w:rsid w:val="00E12DE4"/>
    <w:rsid w:val="00E131E5"/>
    <w:rsid w:val="00E132AA"/>
    <w:rsid w:val="00E13549"/>
    <w:rsid w:val="00E141D3"/>
    <w:rsid w:val="00E14527"/>
    <w:rsid w:val="00E14663"/>
    <w:rsid w:val="00E14867"/>
    <w:rsid w:val="00E14941"/>
    <w:rsid w:val="00E1526B"/>
    <w:rsid w:val="00E1534B"/>
    <w:rsid w:val="00E15408"/>
    <w:rsid w:val="00E15441"/>
    <w:rsid w:val="00E15599"/>
    <w:rsid w:val="00E15743"/>
    <w:rsid w:val="00E15B49"/>
    <w:rsid w:val="00E15B89"/>
    <w:rsid w:val="00E15C52"/>
    <w:rsid w:val="00E15D64"/>
    <w:rsid w:val="00E15EDA"/>
    <w:rsid w:val="00E15F0B"/>
    <w:rsid w:val="00E15F86"/>
    <w:rsid w:val="00E160E8"/>
    <w:rsid w:val="00E16199"/>
    <w:rsid w:val="00E162E3"/>
    <w:rsid w:val="00E16311"/>
    <w:rsid w:val="00E1635C"/>
    <w:rsid w:val="00E16FEF"/>
    <w:rsid w:val="00E1702C"/>
    <w:rsid w:val="00E20147"/>
    <w:rsid w:val="00E201AE"/>
    <w:rsid w:val="00E20CC5"/>
    <w:rsid w:val="00E20EA2"/>
    <w:rsid w:val="00E21ACA"/>
    <w:rsid w:val="00E21C1C"/>
    <w:rsid w:val="00E21E36"/>
    <w:rsid w:val="00E220EC"/>
    <w:rsid w:val="00E22527"/>
    <w:rsid w:val="00E22B80"/>
    <w:rsid w:val="00E22C0E"/>
    <w:rsid w:val="00E22CB5"/>
    <w:rsid w:val="00E22CFF"/>
    <w:rsid w:val="00E22E62"/>
    <w:rsid w:val="00E231A7"/>
    <w:rsid w:val="00E231CD"/>
    <w:rsid w:val="00E231E1"/>
    <w:rsid w:val="00E23271"/>
    <w:rsid w:val="00E23661"/>
    <w:rsid w:val="00E23666"/>
    <w:rsid w:val="00E236B8"/>
    <w:rsid w:val="00E23888"/>
    <w:rsid w:val="00E23AAF"/>
    <w:rsid w:val="00E23B69"/>
    <w:rsid w:val="00E23B9C"/>
    <w:rsid w:val="00E23CE3"/>
    <w:rsid w:val="00E23CF7"/>
    <w:rsid w:val="00E23E76"/>
    <w:rsid w:val="00E24083"/>
    <w:rsid w:val="00E249DB"/>
    <w:rsid w:val="00E24D84"/>
    <w:rsid w:val="00E24DC0"/>
    <w:rsid w:val="00E253A3"/>
    <w:rsid w:val="00E25402"/>
    <w:rsid w:val="00E2557E"/>
    <w:rsid w:val="00E257A6"/>
    <w:rsid w:val="00E259B0"/>
    <w:rsid w:val="00E25AF8"/>
    <w:rsid w:val="00E25FBE"/>
    <w:rsid w:val="00E25FF0"/>
    <w:rsid w:val="00E26402"/>
    <w:rsid w:val="00E26A3A"/>
    <w:rsid w:val="00E26AEC"/>
    <w:rsid w:val="00E26B46"/>
    <w:rsid w:val="00E26C7A"/>
    <w:rsid w:val="00E26F10"/>
    <w:rsid w:val="00E271FC"/>
    <w:rsid w:val="00E2757B"/>
    <w:rsid w:val="00E276EE"/>
    <w:rsid w:val="00E2792D"/>
    <w:rsid w:val="00E30549"/>
    <w:rsid w:val="00E307DD"/>
    <w:rsid w:val="00E30828"/>
    <w:rsid w:val="00E30B37"/>
    <w:rsid w:val="00E30C05"/>
    <w:rsid w:val="00E30F3A"/>
    <w:rsid w:val="00E3100A"/>
    <w:rsid w:val="00E3103A"/>
    <w:rsid w:val="00E31067"/>
    <w:rsid w:val="00E3109C"/>
    <w:rsid w:val="00E310F7"/>
    <w:rsid w:val="00E31194"/>
    <w:rsid w:val="00E311D1"/>
    <w:rsid w:val="00E316AC"/>
    <w:rsid w:val="00E31C2D"/>
    <w:rsid w:val="00E31D2B"/>
    <w:rsid w:val="00E32432"/>
    <w:rsid w:val="00E3247E"/>
    <w:rsid w:val="00E3290E"/>
    <w:rsid w:val="00E32A0B"/>
    <w:rsid w:val="00E32BC0"/>
    <w:rsid w:val="00E32EF8"/>
    <w:rsid w:val="00E32F73"/>
    <w:rsid w:val="00E33148"/>
    <w:rsid w:val="00E3365C"/>
    <w:rsid w:val="00E33A73"/>
    <w:rsid w:val="00E33B1E"/>
    <w:rsid w:val="00E33B8C"/>
    <w:rsid w:val="00E33EE8"/>
    <w:rsid w:val="00E34234"/>
    <w:rsid w:val="00E34277"/>
    <w:rsid w:val="00E3478B"/>
    <w:rsid w:val="00E351E1"/>
    <w:rsid w:val="00E3547F"/>
    <w:rsid w:val="00E35848"/>
    <w:rsid w:val="00E35AB7"/>
    <w:rsid w:val="00E3610B"/>
    <w:rsid w:val="00E3621B"/>
    <w:rsid w:val="00E367BD"/>
    <w:rsid w:val="00E3680E"/>
    <w:rsid w:val="00E36BC3"/>
    <w:rsid w:val="00E36F43"/>
    <w:rsid w:val="00E36F5B"/>
    <w:rsid w:val="00E37127"/>
    <w:rsid w:val="00E37237"/>
    <w:rsid w:val="00E376BB"/>
    <w:rsid w:val="00E37BD2"/>
    <w:rsid w:val="00E37E0C"/>
    <w:rsid w:val="00E37F0C"/>
    <w:rsid w:val="00E4003E"/>
    <w:rsid w:val="00E400B1"/>
    <w:rsid w:val="00E405F0"/>
    <w:rsid w:val="00E408BA"/>
    <w:rsid w:val="00E40920"/>
    <w:rsid w:val="00E40ADF"/>
    <w:rsid w:val="00E40B8B"/>
    <w:rsid w:val="00E40CFB"/>
    <w:rsid w:val="00E40E68"/>
    <w:rsid w:val="00E410C4"/>
    <w:rsid w:val="00E41112"/>
    <w:rsid w:val="00E416BE"/>
    <w:rsid w:val="00E418E3"/>
    <w:rsid w:val="00E420FF"/>
    <w:rsid w:val="00E423DE"/>
    <w:rsid w:val="00E428E1"/>
    <w:rsid w:val="00E4295F"/>
    <w:rsid w:val="00E42F07"/>
    <w:rsid w:val="00E43135"/>
    <w:rsid w:val="00E4318A"/>
    <w:rsid w:val="00E4370F"/>
    <w:rsid w:val="00E43BD3"/>
    <w:rsid w:val="00E43C53"/>
    <w:rsid w:val="00E43ED3"/>
    <w:rsid w:val="00E441DD"/>
    <w:rsid w:val="00E4441D"/>
    <w:rsid w:val="00E44919"/>
    <w:rsid w:val="00E449AA"/>
    <w:rsid w:val="00E44A6D"/>
    <w:rsid w:val="00E44CAB"/>
    <w:rsid w:val="00E453AB"/>
    <w:rsid w:val="00E45435"/>
    <w:rsid w:val="00E45AF9"/>
    <w:rsid w:val="00E45D2D"/>
    <w:rsid w:val="00E4619D"/>
    <w:rsid w:val="00E462E6"/>
    <w:rsid w:val="00E463A0"/>
    <w:rsid w:val="00E4731E"/>
    <w:rsid w:val="00E47839"/>
    <w:rsid w:val="00E47C03"/>
    <w:rsid w:val="00E506DE"/>
    <w:rsid w:val="00E50A62"/>
    <w:rsid w:val="00E50EAD"/>
    <w:rsid w:val="00E5140F"/>
    <w:rsid w:val="00E5186D"/>
    <w:rsid w:val="00E51CDE"/>
    <w:rsid w:val="00E51D35"/>
    <w:rsid w:val="00E51D4D"/>
    <w:rsid w:val="00E5210B"/>
    <w:rsid w:val="00E529CC"/>
    <w:rsid w:val="00E52EDB"/>
    <w:rsid w:val="00E52EEE"/>
    <w:rsid w:val="00E53631"/>
    <w:rsid w:val="00E5388F"/>
    <w:rsid w:val="00E53FE6"/>
    <w:rsid w:val="00E54239"/>
    <w:rsid w:val="00E54272"/>
    <w:rsid w:val="00E542BC"/>
    <w:rsid w:val="00E54521"/>
    <w:rsid w:val="00E54617"/>
    <w:rsid w:val="00E5484B"/>
    <w:rsid w:val="00E54BA8"/>
    <w:rsid w:val="00E54FB8"/>
    <w:rsid w:val="00E550FA"/>
    <w:rsid w:val="00E55416"/>
    <w:rsid w:val="00E554FE"/>
    <w:rsid w:val="00E55A4E"/>
    <w:rsid w:val="00E55B1E"/>
    <w:rsid w:val="00E56023"/>
    <w:rsid w:val="00E5625F"/>
    <w:rsid w:val="00E56447"/>
    <w:rsid w:val="00E5647D"/>
    <w:rsid w:val="00E56550"/>
    <w:rsid w:val="00E569C7"/>
    <w:rsid w:val="00E56D6E"/>
    <w:rsid w:val="00E56D76"/>
    <w:rsid w:val="00E56E7E"/>
    <w:rsid w:val="00E56FEF"/>
    <w:rsid w:val="00E577F9"/>
    <w:rsid w:val="00E5794A"/>
    <w:rsid w:val="00E57A7D"/>
    <w:rsid w:val="00E57DEE"/>
    <w:rsid w:val="00E57FB5"/>
    <w:rsid w:val="00E60454"/>
    <w:rsid w:val="00E606EA"/>
    <w:rsid w:val="00E607F3"/>
    <w:rsid w:val="00E60A7D"/>
    <w:rsid w:val="00E60BEF"/>
    <w:rsid w:val="00E60F14"/>
    <w:rsid w:val="00E610B3"/>
    <w:rsid w:val="00E61B23"/>
    <w:rsid w:val="00E61F5D"/>
    <w:rsid w:val="00E625BE"/>
    <w:rsid w:val="00E6284B"/>
    <w:rsid w:val="00E62A44"/>
    <w:rsid w:val="00E62D07"/>
    <w:rsid w:val="00E62DF6"/>
    <w:rsid w:val="00E62E6A"/>
    <w:rsid w:val="00E63A22"/>
    <w:rsid w:val="00E63B8F"/>
    <w:rsid w:val="00E63D4F"/>
    <w:rsid w:val="00E63EA5"/>
    <w:rsid w:val="00E63F49"/>
    <w:rsid w:val="00E640CB"/>
    <w:rsid w:val="00E64137"/>
    <w:rsid w:val="00E646B5"/>
    <w:rsid w:val="00E6489E"/>
    <w:rsid w:val="00E64B61"/>
    <w:rsid w:val="00E65379"/>
    <w:rsid w:val="00E65427"/>
    <w:rsid w:val="00E6543F"/>
    <w:rsid w:val="00E661C0"/>
    <w:rsid w:val="00E663F5"/>
    <w:rsid w:val="00E66995"/>
    <w:rsid w:val="00E66E97"/>
    <w:rsid w:val="00E6706B"/>
    <w:rsid w:val="00E6709E"/>
    <w:rsid w:val="00E673EA"/>
    <w:rsid w:val="00E67C2B"/>
    <w:rsid w:val="00E70638"/>
    <w:rsid w:val="00E706BA"/>
    <w:rsid w:val="00E707DE"/>
    <w:rsid w:val="00E70BD6"/>
    <w:rsid w:val="00E71305"/>
    <w:rsid w:val="00E714A4"/>
    <w:rsid w:val="00E7166E"/>
    <w:rsid w:val="00E71896"/>
    <w:rsid w:val="00E71F65"/>
    <w:rsid w:val="00E72160"/>
    <w:rsid w:val="00E72383"/>
    <w:rsid w:val="00E724D2"/>
    <w:rsid w:val="00E72540"/>
    <w:rsid w:val="00E725C6"/>
    <w:rsid w:val="00E72806"/>
    <w:rsid w:val="00E72ADF"/>
    <w:rsid w:val="00E72D9F"/>
    <w:rsid w:val="00E72E6A"/>
    <w:rsid w:val="00E738CF"/>
    <w:rsid w:val="00E739A1"/>
    <w:rsid w:val="00E739AF"/>
    <w:rsid w:val="00E73C41"/>
    <w:rsid w:val="00E74933"/>
    <w:rsid w:val="00E74A49"/>
    <w:rsid w:val="00E74BEC"/>
    <w:rsid w:val="00E74D11"/>
    <w:rsid w:val="00E74EDC"/>
    <w:rsid w:val="00E74EF6"/>
    <w:rsid w:val="00E75155"/>
    <w:rsid w:val="00E75599"/>
    <w:rsid w:val="00E75737"/>
    <w:rsid w:val="00E7575B"/>
    <w:rsid w:val="00E75875"/>
    <w:rsid w:val="00E75885"/>
    <w:rsid w:val="00E75886"/>
    <w:rsid w:val="00E75A3C"/>
    <w:rsid w:val="00E75A83"/>
    <w:rsid w:val="00E75B08"/>
    <w:rsid w:val="00E75C71"/>
    <w:rsid w:val="00E75D6E"/>
    <w:rsid w:val="00E75F41"/>
    <w:rsid w:val="00E75F7C"/>
    <w:rsid w:val="00E76007"/>
    <w:rsid w:val="00E76181"/>
    <w:rsid w:val="00E7659F"/>
    <w:rsid w:val="00E7690E"/>
    <w:rsid w:val="00E76A2E"/>
    <w:rsid w:val="00E76C9C"/>
    <w:rsid w:val="00E770F2"/>
    <w:rsid w:val="00E776A8"/>
    <w:rsid w:val="00E77D65"/>
    <w:rsid w:val="00E77D68"/>
    <w:rsid w:val="00E77EAC"/>
    <w:rsid w:val="00E80434"/>
    <w:rsid w:val="00E80453"/>
    <w:rsid w:val="00E804AA"/>
    <w:rsid w:val="00E80570"/>
    <w:rsid w:val="00E80FFE"/>
    <w:rsid w:val="00E81069"/>
    <w:rsid w:val="00E8122B"/>
    <w:rsid w:val="00E8175F"/>
    <w:rsid w:val="00E817AD"/>
    <w:rsid w:val="00E817EF"/>
    <w:rsid w:val="00E8184F"/>
    <w:rsid w:val="00E81EB3"/>
    <w:rsid w:val="00E81F0A"/>
    <w:rsid w:val="00E8203D"/>
    <w:rsid w:val="00E821E9"/>
    <w:rsid w:val="00E826E7"/>
    <w:rsid w:val="00E828D5"/>
    <w:rsid w:val="00E82D81"/>
    <w:rsid w:val="00E82E21"/>
    <w:rsid w:val="00E82E2C"/>
    <w:rsid w:val="00E82FEC"/>
    <w:rsid w:val="00E83259"/>
    <w:rsid w:val="00E839BE"/>
    <w:rsid w:val="00E83C67"/>
    <w:rsid w:val="00E83CAC"/>
    <w:rsid w:val="00E84224"/>
    <w:rsid w:val="00E84703"/>
    <w:rsid w:val="00E84AA5"/>
    <w:rsid w:val="00E84C89"/>
    <w:rsid w:val="00E854A0"/>
    <w:rsid w:val="00E85E56"/>
    <w:rsid w:val="00E85FA2"/>
    <w:rsid w:val="00E860DD"/>
    <w:rsid w:val="00E861CE"/>
    <w:rsid w:val="00E866C2"/>
    <w:rsid w:val="00E86B9B"/>
    <w:rsid w:val="00E8713D"/>
    <w:rsid w:val="00E876A9"/>
    <w:rsid w:val="00E878B2"/>
    <w:rsid w:val="00E879E9"/>
    <w:rsid w:val="00E87B17"/>
    <w:rsid w:val="00E9013D"/>
    <w:rsid w:val="00E90282"/>
    <w:rsid w:val="00E90329"/>
    <w:rsid w:val="00E908F8"/>
    <w:rsid w:val="00E90A15"/>
    <w:rsid w:val="00E90B6E"/>
    <w:rsid w:val="00E90BBB"/>
    <w:rsid w:val="00E90D27"/>
    <w:rsid w:val="00E910D5"/>
    <w:rsid w:val="00E91EBE"/>
    <w:rsid w:val="00E91EC2"/>
    <w:rsid w:val="00E922C4"/>
    <w:rsid w:val="00E922FE"/>
    <w:rsid w:val="00E92529"/>
    <w:rsid w:val="00E927F0"/>
    <w:rsid w:val="00E92B0D"/>
    <w:rsid w:val="00E93320"/>
    <w:rsid w:val="00E933A7"/>
    <w:rsid w:val="00E9391C"/>
    <w:rsid w:val="00E942B0"/>
    <w:rsid w:val="00E943AE"/>
    <w:rsid w:val="00E944C6"/>
    <w:rsid w:val="00E947B0"/>
    <w:rsid w:val="00E947FD"/>
    <w:rsid w:val="00E94ABC"/>
    <w:rsid w:val="00E95D82"/>
    <w:rsid w:val="00E95EF8"/>
    <w:rsid w:val="00E95F21"/>
    <w:rsid w:val="00E96273"/>
    <w:rsid w:val="00E96AEA"/>
    <w:rsid w:val="00E96E97"/>
    <w:rsid w:val="00E97947"/>
    <w:rsid w:val="00E97B40"/>
    <w:rsid w:val="00E97D49"/>
    <w:rsid w:val="00E97EC6"/>
    <w:rsid w:val="00EA0251"/>
    <w:rsid w:val="00EA0370"/>
    <w:rsid w:val="00EA0605"/>
    <w:rsid w:val="00EA0FFC"/>
    <w:rsid w:val="00EA1065"/>
    <w:rsid w:val="00EA1434"/>
    <w:rsid w:val="00EA18FB"/>
    <w:rsid w:val="00EA195D"/>
    <w:rsid w:val="00EA1EAF"/>
    <w:rsid w:val="00EA2299"/>
    <w:rsid w:val="00EA27A0"/>
    <w:rsid w:val="00EA2C49"/>
    <w:rsid w:val="00EA3021"/>
    <w:rsid w:val="00EA307F"/>
    <w:rsid w:val="00EA3222"/>
    <w:rsid w:val="00EA346E"/>
    <w:rsid w:val="00EA3692"/>
    <w:rsid w:val="00EA3A9B"/>
    <w:rsid w:val="00EA3C3E"/>
    <w:rsid w:val="00EA4694"/>
    <w:rsid w:val="00EA48D3"/>
    <w:rsid w:val="00EA492B"/>
    <w:rsid w:val="00EA4984"/>
    <w:rsid w:val="00EA5150"/>
    <w:rsid w:val="00EA5285"/>
    <w:rsid w:val="00EA543D"/>
    <w:rsid w:val="00EA546B"/>
    <w:rsid w:val="00EA57C5"/>
    <w:rsid w:val="00EA59E5"/>
    <w:rsid w:val="00EA5A58"/>
    <w:rsid w:val="00EA5BE2"/>
    <w:rsid w:val="00EA5D7E"/>
    <w:rsid w:val="00EA5F31"/>
    <w:rsid w:val="00EA5F92"/>
    <w:rsid w:val="00EA61FF"/>
    <w:rsid w:val="00EA629E"/>
    <w:rsid w:val="00EA64B4"/>
    <w:rsid w:val="00EA65F1"/>
    <w:rsid w:val="00EA6665"/>
    <w:rsid w:val="00EA6935"/>
    <w:rsid w:val="00EA6967"/>
    <w:rsid w:val="00EA6D5D"/>
    <w:rsid w:val="00EA6F44"/>
    <w:rsid w:val="00EA6F84"/>
    <w:rsid w:val="00EA6FFE"/>
    <w:rsid w:val="00EA7613"/>
    <w:rsid w:val="00EA793B"/>
    <w:rsid w:val="00EA7A22"/>
    <w:rsid w:val="00EA7A7E"/>
    <w:rsid w:val="00EA7B65"/>
    <w:rsid w:val="00EA7CE0"/>
    <w:rsid w:val="00EA7D5E"/>
    <w:rsid w:val="00EA7E45"/>
    <w:rsid w:val="00EB02C0"/>
    <w:rsid w:val="00EB048C"/>
    <w:rsid w:val="00EB04B7"/>
    <w:rsid w:val="00EB05DA"/>
    <w:rsid w:val="00EB0DA2"/>
    <w:rsid w:val="00EB13F4"/>
    <w:rsid w:val="00EB14FE"/>
    <w:rsid w:val="00EB1817"/>
    <w:rsid w:val="00EB190F"/>
    <w:rsid w:val="00EB1963"/>
    <w:rsid w:val="00EB1A03"/>
    <w:rsid w:val="00EB1C49"/>
    <w:rsid w:val="00EB1C8E"/>
    <w:rsid w:val="00EB1FF1"/>
    <w:rsid w:val="00EB235B"/>
    <w:rsid w:val="00EB2FA5"/>
    <w:rsid w:val="00EB31A3"/>
    <w:rsid w:val="00EB325B"/>
    <w:rsid w:val="00EB37E5"/>
    <w:rsid w:val="00EB3B87"/>
    <w:rsid w:val="00EB3BE9"/>
    <w:rsid w:val="00EB3BF9"/>
    <w:rsid w:val="00EB3E07"/>
    <w:rsid w:val="00EB3E22"/>
    <w:rsid w:val="00EB40D9"/>
    <w:rsid w:val="00EB432F"/>
    <w:rsid w:val="00EB43A3"/>
    <w:rsid w:val="00EB45B0"/>
    <w:rsid w:val="00EB45EA"/>
    <w:rsid w:val="00EB4976"/>
    <w:rsid w:val="00EB4EFF"/>
    <w:rsid w:val="00EB561E"/>
    <w:rsid w:val="00EB57EB"/>
    <w:rsid w:val="00EB5CAE"/>
    <w:rsid w:val="00EB67F4"/>
    <w:rsid w:val="00EB693B"/>
    <w:rsid w:val="00EB698C"/>
    <w:rsid w:val="00EB6E04"/>
    <w:rsid w:val="00EB6EF4"/>
    <w:rsid w:val="00EB70D1"/>
    <w:rsid w:val="00EB71A5"/>
    <w:rsid w:val="00EB7386"/>
    <w:rsid w:val="00EB776E"/>
    <w:rsid w:val="00EB7BA9"/>
    <w:rsid w:val="00EB7D75"/>
    <w:rsid w:val="00EB7F0A"/>
    <w:rsid w:val="00EC0470"/>
    <w:rsid w:val="00EC09DF"/>
    <w:rsid w:val="00EC0B20"/>
    <w:rsid w:val="00EC0CC1"/>
    <w:rsid w:val="00EC0D5E"/>
    <w:rsid w:val="00EC0EE7"/>
    <w:rsid w:val="00EC1B4B"/>
    <w:rsid w:val="00EC1C3A"/>
    <w:rsid w:val="00EC1F51"/>
    <w:rsid w:val="00EC1FA2"/>
    <w:rsid w:val="00EC24D6"/>
    <w:rsid w:val="00EC24DB"/>
    <w:rsid w:val="00EC2566"/>
    <w:rsid w:val="00EC29C4"/>
    <w:rsid w:val="00EC2B1D"/>
    <w:rsid w:val="00EC2BDA"/>
    <w:rsid w:val="00EC3B78"/>
    <w:rsid w:val="00EC4233"/>
    <w:rsid w:val="00EC4544"/>
    <w:rsid w:val="00EC468D"/>
    <w:rsid w:val="00EC4A85"/>
    <w:rsid w:val="00EC57B2"/>
    <w:rsid w:val="00EC58F3"/>
    <w:rsid w:val="00EC58F4"/>
    <w:rsid w:val="00EC59C9"/>
    <w:rsid w:val="00EC5A51"/>
    <w:rsid w:val="00EC5C26"/>
    <w:rsid w:val="00EC5EA1"/>
    <w:rsid w:val="00EC6335"/>
    <w:rsid w:val="00EC650B"/>
    <w:rsid w:val="00EC6B21"/>
    <w:rsid w:val="00EC6F8C"/>
    <w:rsid w:val="00EC710C"/>
    <w:rsid w:val="00EC7584"/>
    <w:rsid w:val="00EC7808"/>
    <w:rsid w:val="00EC7BAB"/>
    <w:rsid w:val="00EC7BFA"/>
    <w:rsid w:val="00ED00AB"/>
    <w:rsid w:val="00ED042E"/>
    <w:rsid w:val="00ED0615"/>
    <w:rsid w:val="00ED064D"/>
    <w:rsid w:val="00ED0B4F"/>
    <w:rsid w:val="00ED0B7C"/>
    <w:rsid w:val="00ED0C2B"/>
    <w:rsid w:val="00ED0E24"/>
    <w:rsid w:val="00ED1295"/>
    <w:rsid w:val="00ED15F7"/>
    <w:rsid w:val="00ED1D51"/>
    <w:rsid w:val="00ED1F45"/>
    <w:rsid w:val="00ED249B"/>
    <w:rsid w:val="00ED2725"/>
    <w:rsid w:val="00ED2880"/>
    <w:rsid w:val="00ED2DEF"/>
    <w:rsid w:val="00ED2EC2"/>
    <w:rsid w:val="00ED34D1"/>
    <w:rsid w:val="00ED3673"/>
    <w:rsid w:val="00ED367F"/>
    <w:rsid w:val="00ED3748"/>
    <w:rsid w:val="00ED3892"/>
    <w:rsid w:val="00ED3947"/>
    <w:rsid w:val="00ED3BAE"/>
    <w:rsid w:val="00ED3EF0"/>
    <w:rsid w:val="00ED4206"/>
    <w:rsid w:val="00ED42C7"/>
    <w:rsid w:val="00ED4615"/>
    <w:rsid w:val="00ED479F"/>
    <w:rsid w:val="00ED4D44"/>
    <w:rsid w:val="00ED5229"/>
    <w:rsid w:val="00ED58A2"/>
    <w:rsid w:val="00ED58C3"/>
    <w:rsid w:val="00ED59F4"/>
    <w:rsid w:val="00ED5C71"/>
    <w:rsid w:val="00ED5EEE"/>
    <w:rsid w:val="00ED6556"/>
    <w:rsid w:val="00ED667C"/>
    <w:rsid w:val="00ED687C"/>
    <w:rsid w:val="00ED68B3"/>
    <w:rsid w:val="00ED6A11"/>
    <w:rsid w:val="00ED6A4B"/>
    <w:rsid w:val="00ED6FD1"/>
    <w:rsid w:val="00ED74DB"/>
    <w:rsid w:val="00ED7966"/>
    <w:rsid w:val="00EE006E"/>
    <w:rsid w:val="00EE01CC"/>
    <w:rsid w:val="00EE04EE"/>
    <w:rsid w:val="00EE076D"/>
    <w:rsid w:val="00EE0D5E"/>
    <w:rsid w:val="00EE0E84"/>
    <w:rsid w:val="00EE0FB1"/>
    <w:rsid w:val="00EE135A"/>
    <w:rsid w:val="00EE1760"/>
    <w:rsid w:val="00EE186E"/>
    <w:rsid w:val="00EE191A"/>
    <w:rsid w:val="00EE1C0B"/>
    <w:rsid w:val="00EE1E3E"/>
    <w:rsid w:val="00EE232A"/>
    <w:rsid w:val="00EE239D"/>
    <w:rsid w:val="00EE287D"/>
    <w:rsid w:val="00EE2959"/>
    <w:rsid w:val="00EE318C"/>
    <w:rsid w:val="00EE339A"/>
    <w:rsid w:val="00EE34E4"/>
    <w:rsid w:val="00EE36B6"/>
    <w:rsid w:val="00EE370B"/>
    <w:rsid w:val="00EE3968"/>
    <w:rsid w:val="00EE3B32"/>
    <w:rsid w:val="00EE3CFF"/>
    <w:rsid w:val="00EE3F39"/>
    <w:rsid w:val="00EE3F7F"/>
    <w:rsid w:val="00EE414C"/>
    <w:rsid w:val="00EE43A1"/>
    <w:rsid w:val="00EE44FE"/>
    <w:rsid w:val="00EE4D98"/>
    <w:rsid w:val="00EE51EE"/>
    <w:rsid w:val="00EE5406"/>
    <w:rsid w:val="00EE5822"/>
    <w:rsid w:val="00EE5E92"/>
    <w:rsid w:val="00EE5EF8"/>
    <w:rsid w:val="00EE61AD"/>
    <w:rsid w:val="00EE6964"/>
    <w:rsid w:val="00EE6A1D"/>
    <w:rsid w:val="00EE6B1E"/>
    <w:rsid w:val="00EE6D18"/>
    <w:rsid w:val="00EE7383"/>
    <w:rsid w:val="00EE7D67"/>
    <w:rsid w:val="00EE7E7A"/>
    <w:rsid w:val="00EE7EEB"/>
    <w:rsid w:val="00EF0B1A"/>
    <w:rsid w:val="00EF10BB"/>
    <w:rsid w:val="00EF11E6"/>
    <w:rsid w:val="00EF1230"/>
    <w:rsid w:val="00EF12F7"/>
    <w:rsid w:val="00EF184E"/>
    <w:rsid w:val="00EF1DDE"/>
    <w:rsid w:val="00EF2187"/>
    <w:rsid w:val="00EF223B"/>
    <w:rsid w:val="00EF24BB"/>
    <w:rsid w:val="00EF2719"/>
    <w:rsid w:val="00EF29DE"/>
    <w:rsid w:val="00EF2ABF"/>
    <w:rsid w:val="00EF35F5"/>
    <w:rsid w:val="00EF3639"/>
    <w:rsid w:val="00EF3846"/>
    <w:rsid w:val="00EF3978"/>
    <w:rsid w:val="00EF3AAC"/>
    <w:rsid w:val="00EF3B5E"/>
    <w:rsid w:val="00EF4997"/>
    <w:rsid w:val="00EF4A49"/>
    <w:rsid w:val="00EF4D42"/>
    <w:rsid w:val="00EF4FD1"/>
    <w:rsid w:val="00EF52F9"/>
    <w:rsid w:val="00EF5318"/>
    <w:rsid w:val="00EF5690"/>
    <w:rsid w:val="00EF577F"/>
    <w:rsid w:val="00EF6132"/>
    <w:rsid w:val="00EF63B3"/>
    <w:rsid w:val="00EF6797"/>
    <w:rsid w:val="00EF708A"/>
    <w:rsid w:val="00EF7272"/>
    <w:rsid w:val="00EF72C3"/>
    <w:rsid w:val="00EF79CE"/>
    <w:rsid w:val="00EF7B1A"/>
    <w:rsid w:val="00EF7E86"/>
    <w:rsid w:val="00F0005C"/>
    <w:rsid w:val="00F00152"/>
    <w:rsid w:val="00F001DE"/>
    <w:rsid w:val="00F00352"/>
    <w:rsid w:val="00F00539"/>
    <w:rsid w:val="00F00A2D"/>
    <w:rsid w:val="00F00B1B"/>
    <w:rsid w:val="00F00CBF"/>
    <w:rsid w:val="00F00E37"/>
    <w:rsid w:val="00F00ED9"/>
    <w:rsid w:val="00F00FB0"/>
    <w:rsid w:val="00F010C8"/>
    <w:rsid w:val="00F010EE"/>
    <w:rsid w:val="00F01383"/>
    <w:rsid w:val="00F0150D"/>
    <w:rsid w:val="00F01610"/>
    <w:rsid w:val="00F0167D"/>
    <w:rsid w:val="00F0177A"/>
    <w:rsid w:val="00F019D5"/>
    <w:rsid w:val="00F01F0A"/>
    <w:rsid w:val="00F0214E"/>
    <w:rsid w:val="00F024AF"/>
    <w:rsid w:val="00F02500"/>
    <w:rsid w:val="00F02783"/>
    <w:rsid w:val="00F02974"/>
    <w:rsid w:val="00F029AB"/>
    <w:rsid w:val="00F02B61"/>
    <w:rsid w:val="00F02F02"/>
    <w:rsid w:val="00F02FE3"/>
    <w:rsid w:val="00F03078"/>
    <w:rsid w:val="00F032E2"/>
    <w:rsid w:val="00F034A9"/>
    <w:rsid w:val="00F037E3"/>
    <w:rsid w:val="00F03FF2"/>
    <w:rsid w:val="00F0419A"/>
    <w:rsid w:val="00F0430C"/>
    <w:rsid w:val="00F04400"/>
    <w:rsid w:val="00F046D8"/>
    <w:rsid w:val="00F04C4C"/>
    <w:rsid w:val="00F04F47"/>
    <w:rsid w:val="00F04F9E"/>
    <w:rsid w:val="00F05266"/>
    <w:rsid w:val="00F053D8"/>
    <w:rsid w:val="00F054A8"/>
    <w:rsid w:val="00F0568A"/>
    <w:rsid w:val="00F05864"/>
    <w:rsid w:val="00F058CB"/>
    <w:rsid w:val="00F05B1F"/>
    <w:rsid w:val="00F05BD4"/>
    <w:rsid w:val="00F05E1D"/>
    <w:rsid w:val="00F060AD"/>
    <w:rsid w:val="00F06465"/>
    <w:rsid w:val="00F06835"/>
    <w:rsid w:val="00F06A47"/>
    <w:rsid w:val="00F06A93"/>
    <w:rsid w:val="00F06D8D"/>
    <w:rsid w:val="00F06E0B"/>
    <w:rsid w:val="00F0717F"/>
    <w:rsid w:val="00F0747A"/>
    <w:rsid w:val="00F07849"/>
    <w:rsid w:val="00F07882"/>
    <w:rsid w:val="00F07883"/>
    <w:rsid w:val="00F07893"/>
    <w:rsid w:val="00F10177"/>
    <w:rsid w:val="00F10298"/>
    <w:rsid w:val="00F10644"/>
    <w:rsid w:val="00F1079A"/>
    <w:rsid w:val="00F107BE"/>
    <w:rsid w:val="00F10CAA"/>
    <w:rsid w:val="00F10D83"/>
    <w:rsid w:val="00F11371"/>
    <w:rsid w:val="00F115AA"/>
    <w:rsid w:val="00F1196B"/>
    <w:rsid w:val="00F11A4C"/>
    <w:rsid w:val="00F11A55"/>
    <w:rsid w:val="00F11A6A"/>
    <w:rsid w:val="00F11A72"/>
    <w:rsid w:val="00F11E62"/>
    <w:rsid w:val="00F12030"/>
    <w:rsid w:val="00F12489"/>
    <w:rsid w:val="00F126BD"/>
    <w:rsid w:val="00F126CA"/>
    <w:rsid w:val="00F12775"/>
    <w:rsid w:val="00F1322F"/>
    <w:rsid w:val="00F1331A"/>
    <w:rsid w:val="00F13371"/>
    <w:rsid w:val="00F13433"/>
    <w:rsid w:val="00F134FC"/>
    <w:rsid w:val="00F1350E"/>
    <w:rsid w:val="00F136F8"/>
    <w:rsid w:val="00F14419"/>
    <w:rsid w:val="00F14494"/>
    <w:rsid w:val="00F1470E"/>
    <w:rsid w:val="00F147A5"/>
    <w:rsid w:val="00F14AA7"/>
    <w:rsid w:val="00F15177"/>
    <w:rsid w:val="00F15780"/>
    <w:rsid w:val="00F157FF"/>
    <w:rsid w:val="00F15884"/>
    <w:rsid w:val="00F1589F"/>
    <w:rsid w:val="00F15A61"/>
    <w:rsid w:val="00F15B8E"/>
    <w:rsid w:val="00F15B96"/>
    <w:rsid w:val="00F15C7A"/>
    <w:rsid w:val="00F16665"/>
    <w:rsid w:val="00F16908"/>
    <w:rsid w:val="00F16B3C"/>
    <w:rsid w:val="00F16FB0"/>
    <w:rsid w:val="00F1733B"/>
    <w:rsid w:val="00F1745F"/>
    <w:rsid w:val="00F17474"/>
    <w:rsid w:val="00F1768A"/>
    <w:rsid w:val="00F177B5"/>
    <w:rsid w:val="00F17975"/>
    <w:rsid w:val="00F17AD5"/>
    <w:rsid w:val="00F17D1D"/>
    <w:rsid w:val="00F17D62"/>
    <w:rsid w:val="00F201CC"/>
    <w:rsid w:val="00F20487"/>
    <w:rsid w:val="00F204C2"/>
    <w:rsid w:val="00F2053E"/>
    <w:rsid w:val="00F2087D"/>
    <w:rsid w:val="00F20F65"/>
    <w:rsid w:val="00F2106D"/>
    <w:rsid w:val="00F212C3"/>
    <w:rsid w:val="00F2156E"/>
    <w:rsid w:val="00F216D5"/>
    <w:rsid w:val="00F21E26"/>
    <w:rsid w:val="00F21F15"/>
    <w:rsid w:val="00F22337"/>
    <w:rsid w:val="00F224E6"/>
    <w:rsid w:val="00F22529"/>
    <w:rsid w:val="00F228DB"/>
    <w:rsid w:val="00F22BA8"/>
    <w:rsid w:val="00F22D65"/>
    <w:rsid w:val="00F22E59"/>
    <w:rsid w:val="00F23175"/>
    <w:rsid w:val="00F232F7"/>
    <w:rsid w:val="00F23C22"/>
    <w:rsid w:val="00F23E7C"/>
    <w:rsid w:val="00F23EAD"/>
    <w:rsid w:val="00F23FB0"/>
    <w:rsid w:val="00F2473A"/>
    <w:rsid w:val="00F24771"/>
    <w:rsid w:val="00F2480A"/>
    <w:rsid w:val="00F24891"/>
    <w:rsid w:val="00F24B42"/>
    <w:rsid w:val="00F24B9F"/>
    <w:rsid w:val="00F24CA6"/>
    <w:rsid w:val="00F24F4B"/>
    <w:rsid w:val="00F256AE"/>
    <w:rsid w:val="00F25773"/>
    <w:rsid w:val="00F257FA"/>
    <w:rsid w:val="00F26004"/>
    <w:rsid w:val="00F26254"/>
    <w:rsid w:val="00F2647C"/>
    <w:rsid w:val="00F2667B"/>
    <w:rsid w:val="00F266F9"/>
    <w:rsid w:val="00F26A18"/>
    <w:rsid w:val="00F26C15"/>
    <w:rsid w:val="00F270E8"/>
    <w:rsid w:val="00F27554"/>
    <w:rsid w:val="00F27D84"/>
    <w:rsid w:val="00F27E5C"/>
    <w:rsid w:val="00F27EF5"/>
    <w:rsid w:val="00F27F2F"/>
    <w:rsid w:val="00F27FDB"/>
    <w:rsid w:val="00F3013E"/>
    <w:rsid w:val="00F30251"/>
    <w:rsid w:val="00F305CC"/>
    <w:rsid w:val="00F306AD"/>
    <w:rsid w:val="00F307A4"/>
    <w:rsid w:val="00F3084E"/>
    <w:rsid w:val="00F3094B"/>
    <w:rsid w:val="00F30A46"/>
    <w:rsid w:val="00F31102"/>
    <w:rsid w:val="00F3116D"/>
    <w:rsid w:val="00F3134D"/>
    <w:rsid w:val="00F3137E"/>
    <w:rsid w:val="00F314C6"/>
    <w:rsid w:val="00F31698"/>
    <w:rsid w:val="00F3179A"/>
    <w:rsid w:val="00F31987"/>
    <w:rsid w:val="00F31A86"/>
    <w:rsid w:val="00F31BD4"/>
    <w:rsid w:val="00F31D54"/>
    <w:rsid w:val="00F31FED"/>
    <w:rsid w:val="00F32357"/>
    <w:rsid w:val="00F32951"/>
    <w:rsid w:val="00F32C70"/>
    <w:rsid w:val="00F32F0F"/>
    <w:rsid w:val="00F339D3"/>
    <w:rsid w:val="00F33C72"/>
    <w:rsid w:val="00F33EA1"/>
    <w:rsid w:val="00F345A0"/>
    <w:rsid w:val="00F3467D"/>
    <w:rsid w:val="00F34E02"/>
    <w:rsid w:val="00F3549E"/>
    <w:rsid w:val="00F35A5A"/>
    <w:rsid w:val="00F35B53"/>
    <w:rsid w:val="00F363B2"/>
    <w:rsid w:val="00F365A7"/>
    <w:rsid w:val="00F3681C"/>
    <w:rsid w:val="00F3692A"/>
    <w:rsid w:val="00F36B45"/>
    <w:rsid w:val="00F36C53"/>
    <w:rsid w:val="00F36EC6"/>
    <w:rsid w:val="00F37341"/>
    <w:rsid w:val="00F3769D"/>
    <w:rsid w:val="00F37819"/>
    <w:rsid w:val="00F401FF"/>
    <w:rsid w:val="00F404F4"/>
    <w:rsid w:val="00F406B7"/>
    <w:rsid w:val="00F40A6E"/>
    <w:rsid w:val="00F40C2D"/>
    <w:rsid w:val="00F40D5D"/>
    <w:rsid w:val="00F40E59"/>
    <w:rsid w:val="00F40FF8"/>
    <w:rsid w:val="00F41066"/>
    <w:rsid w:val="00F41248"/>
    <w:rsid w:val="00F4143E"/>
    <w:rsid w:val="00F41652"/>
    <w:rsid w:val="00F41CC5"/>
    <w:rsid w:val="00F41D25"/>
    <w:rsid w:val="00F42307"/>
    <w:rsid w:val="00F423C2"/>
    <w:rsid w:val="00F42675"/>
    <w:rsid w:val="00F4287D"/>
    <w:rsid w:val="00F42A72"/>
    <w:rsid w:val="00F42AAD"/>
    <w:rsid w:val="00F42BB5"/>
    <w:rsid w:val="00F42F2F"/>
    <w:rsid w:val="00F43288"/>
    <w:rsid w:val="00F433F8"/>
    <w:rsid w:val="00F433FE"/>
    <w:rsid w:val="00F4343C"/>
    <w:rsid w:val="00F435C4"/>
    <w:rsid w:val="00F435CE"/>
    <w:rsid w:val="00F43627"/>
    <w:rsid w:val="00F43781"/>
    <w:rsid w:val="00F43859"/>
    <w:rsid w:val="00F43B4E"/>
    <w:rsid w:val="00F43CCE"/>
    <w:rsid w:val="00F442EA"/>
    <w:rsid w:val="00F445F8"/>
    <w:rsid w:val="00F4463C"/>
    <w:rsid w:val="00F448AC"/>
    <w:rsid w:val="00F44BAD"/>
    <w:rsid w:val="00F44CFC"/>
    <w:rsid w:val="00F44FB7"/>
    <w:rsid w:val="00F44FD1"/>
    <w:rsid w:val="00F45137"/>
    <w:rsid w:val="00F45257"/>
    <w:rsid w:val="00F453E0"/>
    <w:rsid w:val="00F45CBB"/>
    <w:rsid w:val="00F45D05"/>
    <w:rsid w:val="00F46232"/>
    <w:rsid w:val="00F462AB"/>
    <w:rsid w:val="00F46619"/>
    <w:rsid w:val="00F46AD3"/>
    <w:rsid w:val="00F46B88"/>
    <w:rsid w:val="00F46D51"/>
    <w:rsid w:val="00F47093"/>
    <w:rsid w:val="00F473A5"/>
    <w:rsid w:val="00F473F3"/>
    <w:rsid w:val="00F474B8"/>
    <w:rsid w:val="00F4751B"/>
    <w:rsid w:val="00F47744"/>
    <w:rsid w:val="00F478CA"/>
    <w:rsid w:val="00F47CE2"/>
    <w:rsid w:val="00F501F3"/>
    <w:rsid w:val="00F506EF"/>
    <w:rsid w:val="00F50773"/>
    <w:rsid w:val="00F50874"/>
    <w:rsid w:val="00F50A98"/>
    <w:rsid w:val="00F50E00"/>
    <w:rsid w:val="00F50E57"/>
    <w:rsid w:val="00F50E5F"/>
    <w:rsid w:val="00F50EC3"/>
    <w:rsid w:val="00F511D6"/>
    <w:rsid w:val="00F51460"/>
    <w:rsid w:val="00F5151D"/>
    <w:rsid w:val="00F5156A"/>
    <w:rsid w:val="00F51667"/>
    <w:rsid w:val="00F517C2"/>
    <w:rsid w:val="00F51D48"/>
    <w:rsid w:val="00F521DC"/>
    <w:rsid w:val="00F52310"/>
    <w:rsid w:val="00F523F7"/>
    <w:rsid w:val="00F52600"/>
    <w:rsid w:val="00F52940"/>
    <w:rsid w:val="00F5295A"/>
    <w:rsid w:val="00F52D5B"/>
    <w:rsid w:val="00F53199"/>
    <w:rsid w:val="00F53BCE"/>
    <w:rsid w:val="00F541A1"/>
    <w:rsid w:val="00F546B4"/>
    <w:rsid w:val="00F548AB"/>
    <w:rsid w:val="00F54A37"/>
    <w:rsid w:val="00F54B09"/>
    <w:rsid w:val="00F54BEA"/>
    <w:rsid w:val="00F54E8A"/>
    <w:rsid w:val="00F553DC"/>
    <w:rsid w:val="00F5551F"/>
    <w:rsid w:val="00F556F7"/>
    <w:rsid w:val="00F559A8"/>
    <w:rsid w:val="00F559AD"/>
    <w:rsid w:val="00F55C21"/>
    <w:rsid w:val="00F55DD7"/>
    <w:rsid w:val="00F55E1F"/>
    <w:rsid w:val="00F55E5F"/>
    <w:rsid w:val="00F55F4F"/>
    <w:rsid w:val="00F55F6D"/>
    <w:rsid w:val="00F561CB"/>
    <w:rsid w:val="00F56244"/>
    <w:rsid w:val="00F5665C"/>
    <w:rsid w:val="00F568FC"/>
    <w:rsid w:val="00F56F91"/>
    <w:rsid w:val="00F5736B"/>
    <w:rsid w:val="00F575FA"/>
    <w:rsid w:val="00F577F1"/>
    <w:rsid w:val="00F57880"/>
    <w:rsid w:val="00F57A1C"/>
    <w:rsid w:val="00F57C92"/>
    <w:rsid w:val="00F57D13"/>
    <w:rsid w:val="00F57D4A"/>
    <w:rsid w:val="00F6003F"/>
    <w:rsid w:val="00F602D3"/>
    <w:rsid w:val="00F608AB"/>
    <w:rsid w:val="00F60933"/>
    <w:rsid w:val="00F60BE7"/>
    <w:rsid w:val="00F60BED"/>
    <w:rsid w:val="00F60C16"/>
    <w:rsid w:val="00F60DA4"/>
    <w:rsid w:val="00F6106D"/>
    <w:rsid w:val="00F6158E"/>
    <w:rsid w:val="00F6159C"/>
    <w:rsid w:val="00F61714"/>
    <w:rsid w:val="00F61F6E"/>
    <w:rsid w:val="00F62172"/>
    <w:rsid w:val="00F6238F"/>
    <w:rsid w:val="00F626BE"/>
    <w:rsid w:val="00F62901"/>
    <w:rsid w:val="00F62B43"/>
    <w:rsid w:val="00F62E46"/>
    <w:rsid w:val="00F62E8E"/>
    <w:rsid w:val="00F6370A"/>
    <w:rsid w:val="00F637B1"/>
    <w:rsid w:val="00F639AF"/>
    <w:rsid w:val="00F63E59"/>
    <w:rsid w:val="00F64246"/>
    <w:rsid w:val="00F6479E"/>
    <w:rsid w:val="00F647D2"/>
    <w:rsid w:val="00F64A25"/>
    <w:rsid w:val="00F64A73"/>
    <w:rsid w:val="00F64B78"/>
    <w:rsid w:val="00F64BE0"/>
    <w:rsid w:val="00F64F1D"/>
    <w:rsid w:val="00F64F4D"/>
    <w:rsid w:val="00F65319"/>
    <w:rsid w:val="00F656CA"/>
    <w:rsid w:val="00F65B68"/>
    <w:rsid w:val="00F65FD4"/>
    <w:rsid w:val="00F66759"/>
    <w:rsid w:val="00F669FF"/>
    <w:rsid w:val="00F6719C"/>
    <w:rsid w:val="00F676FC"/>
    <w:rsid w:val="00F67846"/>
    <w:rsid w:val="00F67B42"/>
    <w:rsid w:val="00F67B55"/>
    <w:rsid w:val="00F703EE"/>
    <w:rsid w:val="00F706DB"/>
    <w:rsid w:val="00F70AA5"/>
    <w:rsid w:val="00F70B72"/>
    <w:rsid w:val="00F70C0C"/>
    <w:rsid w:val="00F70DC2"/>
    <w:rsid w:val="00F70DEF"/>
    <w:rsid w:val="00F70EA3"/>
    <w:rsid w:val="00F710A1"/>
    <w:rsid w:val="00F71398"/>
    <w:rsid w:val="00F715FB"/>
    <w:rsid w:val="00F71751"/>
    <w:rsid w:val="00F71770"/>
    <w:rsid w:val="00F71A02"/>
    <w:rsid w:val="00F720C6"/>
    <w:rsid w:val="00F7244B"/>
    <w:rsid w:val="00F724C9"/>
    <w:rsid w:val="00F72834"/>
    <w:rsid w:val="00F7294C"/>
    <w:rsid w:val="00F72C5F"/>
    <w:rsid w:val="00F732FC"/>
    <w:rsid w:val="00F73549"/>
    <w:rsid w:val="00F73ABB"/>
    <w:rsid w:val="00F73AD3"/>
    <w:rsid w:val="00F73ADE"/>
    <w:rsid w:val="00F73D09"/>
    <w:rsid w:val="00F73FBB"/>
    <w:rsid w:val="00F7403A"/>
    <w:rsid w:val="00F74401"/>
    <w:rsid w:val="00F74556"/>
    <w:rsid w:val="00F74732"/>
    <w:rsid w:val="00F74877"/>
    <w:rsid w:val="00F74907"/>
    <w:rsid w:val="00F74A80"/>
    <w:rsid w:val="00F74BCA"/>
    <w:rsid w:val="00F74D61"/>
    <w:rsid w:val="00F74F66"/>
    <w:rsid w:val="00F7509E"/>
    <w:rsid w:val="00F75782"/>
    <w:rsid w:val="00F75996"/>
    <w:rsid w:val="00F75C6E"/>
    <w:rsid w:val="00F75D4B"/>
    <w:rsid w:val="00F7635E"/>
    <w:rsid w:val="00F765F7"/>
    <w:rsid w:val="00F772E1"/>
    <w:rsid w:val="00F77533"/>
    <w:rsid w:val="00F776F8"/>
    <w:rsid w:val="00F803F0"/>
    <w:rsid w:val="00F804D6"/>
    <w:rsid w:val="00F8062E"/>
    <w:rsid w:val="00F806BD"/>
    <w:rsid w:val="00F806ED"/>
    <w:rsid w:val="00F80792"/>
    <w:rsid w:val="00F807EB"/>
    <w:rsid w:val="00F80C1D"/>
    <w:rsid w:val="00F80C9C"/>
    <w:rsid w:val="00F80FA4"/>
    <w:rsid w:val="00F80FC1"/>
    <w:rsid w:val="00F81130"/>
    <w:rsid w:val="00F8149D"/>
    <w:rsid w:val="00F818F7"/>
    <w:rsid w:val="00F81A32"/>
    <w:rsid w:val="00F81C5F"/>
    <w:rsid w:val="00F81D46"/>
    <w:rsid w:val="00F8220F"/>
    <w:rsid w:val="00F82218"/>
    <w:rsid w:val="00F82411"/>
    <w:rsid w:val="00F82566"/>
    <w:rsid w:val="00F826CA"/>
    <w:rsid w:val="00F827F7"/>
    <w:rsid w:val="00F82F5B"/>
    <w:rsid w:val="00F8325D"/>
    <w:rsid w:val="00F83289"/>
    <w:rsid w:val="00F832A9"/>
    <w:rsid w:val="00F832B0"/>
    <w:rsid w:val="00F83307"/>
    <w:rsid w:val="00F833A5"/>
    <w:rsid w:val="00F83424"/>
    <w:rsid w:val="00F83846"/>
    <w:rsid w:val="00F83A65"/>
    <w:rsid w:val="00F83E6A"/>
    <w:rsid w:val="00F842FE"/>
    <w:rsid w:val="00F844D3"/>
    <w:rsid w:val="00F84629"/>
    <w:rsid w:val="00F8488E"/>
    <w:rsid w:val="00F84A73"/>
    <w:rsid w:val="00F84B71"/>
    <w:rsid w:val="00F84F0E"/>
    <w:rsid w:val="00F8519E"/>
    <w:rsid w:val="00F85B76"/>
    <w:rsid w:val="00F85FF5"/>
    <w:rsid w:val="00F8658E"/>
    <w:rsid w:val="00F86BB4"/>
    <w:rsid w:val="00F870F5"/>
    <w:rsid w:val="00F8776A"/>
    <w:rsid w:val="00F87AE8"/>
    <w:rsid w:val="00F87BD3"/>
    <w:rsid w:val="00F87EFC"/>
    <w:rsid w:val="00F9028F"/>
    <w:rsid w:val="00F902D2"/>
    <w:rsid w:val="00F9070F"/>
    <w:rsid w:val="00F90779"/>
    <w:rsid w:val="00F907A3"/>
    <w:rsid w:val="00F907A4"/>
    <w:rsid w:val="00F909A8"/>
    <w:rsid w:val="00F90A0A"/>
    <w:rsid w:val="00F90B12"/>
    <w:rsid w:val="00F90CAE"/>
    <w:rsid w:val="00F90CBD"/>
    <w:rsid w:val="00F90D3D"/>
    <w:rsid w:val="00F91009"/>
    <w:rsid w:val="00F9109E"/>
    <w:rsid w:val="00F9115F"/>
    <w:rsid w:val="00F9177E"/>
    <w:rsid w:val="00F91E4F"/>
    <w:rsid w:val="00F91FDF"/>
    <w:rsid w:val="00F9208B"/>
    <w:rsid w:val="00F92763"/>
    <w:rsid w:val="00F927CF"/>
    <w:rsid w:val="00F92AA1"/>
    <w:rsid w:val="00F92EDB"/>
    <w:rsid w:val="00F92FDC"/>
    <w:rsid w:val="00F931D2"/>
    <w:rsid w:val="00F93431"/>
    <w:rsid w:val="00F93558"/>
    <w:rsid w:val="00F936E7"/>
    <w:rsid w:val="00F93796"/>
    <w:rsid w:val="00F93896"/>
    <w:rsid w:val="00F93A4A"/>
    <w:rsid w:val="00F93AA5"/>
    <w:rsid w:val="00F93B89"/>
    <w:rsid w:val="00F93D27"/>
    <w:rsid w:val="00F9419F"/>
    <w:rsid w:val="00F94598"/>
    <w:rsid w:val="00F946C1"/>
    <w:rsid w:val="00F947C8"/>
    <w:rsid w:val="00F9484F"/>
    <w:rsid w:val="00F949CE"/>
    <w:rsid w:val="00F9514F"/>
    <w:rsid w:val="00F951F1"/>
    <w:rsid w:val="00F9524F"/>
    <w:rsid w:val="00F955E8"/>
    <w:rsid w:val="00F959D5"/>
    <w:rsid w:val="00F95CC5"/>
    <w:rsid w:val="00F95DD6"/>
    <w:rsid w:val="00F96370"/>
    <w:rsid w:val="00F964F2"/>
    <w:rsid w:val="00F966F2"/>
    <w:rsid w:val="00F96DD4"/>
    <w:rsid w:val="00F9703A"/>
    <w:rsid w:val="00F971D3"/>
    <w:rsid w:val="00F9768C"/>
    <w:rsid w:val="00F97940"/>
    <w:rsid w:val="00F97B3B"/>
    <w:rsid w:val="00F97BA3"/>
    <w:rsid w:val="00F97EA2"/>
    <w:rsid w:val="00F97F0D"/>
    <w:rsid w:val="00FA004C"/>
    <w:rsid w:val="00FA02FA"/>
    <w:rsid w:val="00FA068A"/>
    <w:rsid w:val="00FA084C"/>
    <w:rsid w:val="00FA0B0A"/>
    <w:rsid w:val="00FA0BEC"/>
    <w:rsid w:val="00FA1023"/>
    <w:rsid w:val="00FA121C"/>
    <w:rsid w:val="00FA1407"/>
    <w:rsid w:val="00FA17B9"/>
    <w:rsid w:val="00FA1A68"/>
    <w:rsid w:val="00FA1B1A"/>
    <w:rsid w:val="00FA1B76"/>
    <w:rsid w:val="00FA2162"/>
    <w:rsid w:val="00FA251B"/>
    <w:rsid w:val="00FA2747"/>
    <w:rsid w:val="00FA2A33"/>
    <w:rsid w:val="00FA2C8F"/>
    <w:rsid w:val="00FA2CF7"/>
    <w:rsid w:val="00FA2ED5"/>
    <w:rsid w:val="00FA328B"/>
    <w:rsid w:val="00FA3410"/>
    <w:rsid w:val="00FA345F"/>
    <w:rsid w:val="00FA35F9"/>
    <w:rsid w:val="00FA360B"/>
    <w:rsid w:val="00FA3860"/>
    <w:rsid w:val="00FA3A50"/>
    <w:rsid w:val="00FA40D8"/>
    <w:rsid w:val="00FA4552"/>
    <w:rsid w:val="00FA4763"/>
    <w:rsid w:val="00FA4830"/>
    <w:rsid w:val="00FA49C5"/>
    <w:rsid w:val="00FA4B62"/>
    <w:rsid w:val="00FA5032"/>
    <w:rsid w:val="00FA5208"/>
    <w:rsid w:val="00FA57ED"/>
    <w:rsid w:val="00FA5B3B"/>
    <w:rsid w:val="00FA5EE0"/>
    <w:rsid w:val="00FA6615"/>
    <w:rsid w:val="00FA6980"/>
    <w:rsid w:val="00FA6B71"/>
    <w:rsid w:val="00FA6CDF"/>
    <w:rsid w:val="00FA6D05"/>
    <w:rsid w:val="00FA6DE5"/>
    <w:rsid w:val="00FA6EA7"/>
    <w:rsid w:val="00FA7164"/>
    <w:rsid w:val="00FA7192"/>
    <w:rsid w:val="00FA7699"/>
    <w:rsid w:val="00FA7BB5"/>
    <w:rsid w:val="00FA7C85"/>
    <w:rsid w:val="00FA7FC5"/>
    <w:rsid w:val="00FA7FEA"/>
    <w:rsid w:val="00FB03F8"/>
    <w:rsid w:val="00FB05E0"/>
    <w:rsid w:val="00FB095A"/>
    <w:rsid w:val="00FB0CBB"/>
    <w:rsid w:val="00FB0D58"/>
    <w:rsid w:val="00FB12D8"/>
    <w:rsid w:val="00FB1751"/>
    <w:rsid w:val="00FB176A"/>
    <w:rsid w:val="00FB17AB"/>
    <w:rsid w:val="00FB18DB"/>
    <w:rsid w:val="00FB1B93"/>
    <w:rsid w:val="00FB1CDC"/>
    <w:rsid w:val="00FB2152"/>
    <w:rsid w:val="00FB238A"/>
    <w:rsid w:val="00FB2424"/>
    <w:rsid w:val="00FB2446"/>
    <w:rsid w:val="00FB28EB"/>
    <w:rsid w:val="00FB290A"/>
    <w:rsid w:val="00FB2995"/>
    <w:rsid w:val="00FB2C81"/>
    <w:rsid w:val="00FB3627"/>
    <w:rsid w:val="00FB3BC4"/>
    <w:rsid w:val="00FB3CDE"/>
    <w:rsid w:val="00FB3EE7"/>
    <w:rsid w:val="00FB3F9C"/>
    <w:rsid w:val="00FB3FDE"/>
    <w:rsid w:val="00FB4002"/>
    <w:rsid w:val="00FB40A0"/>
    <w:rsid w:val="00FB4339"/>
    <w:rsid w:val="00FB4345"/>
    <w:rsid w:val="00FB4450"/>
    <w:rsid w:val="00FB4509"/>
    <w:rsid w:val="00FB4676"/>
    <w:rsid w:val="00FB4787"/>
    <w:rsid w:val="00FB4B07"/>
    <w:rsid w:val="00FB504F"/>
    <w:rsid w:val="00FB5113"/>
    <w:rsid w:val="00FB5193"/>
    <w:rsid w:val="00FB53BB"/>
    <w:rsid w:val="00FB5552"/>
    <w:rsid w:val="00FB5555"/>
    <w:rsid w:val="00FB5559"/>
    <w:rsid w:val="00FB55EC"/>
    <w:rsid w:val="00FB56C6"/>
    <w:rsid w:val="00FB5789"/>
    <w:rsid w:val="00FB5869"/>
    <w:rsid w:val="00FB5F3A"/>
    <w:rsid w:val="00FB637A"/>
    <w:rsid w:val="00FB6382"/>
    <w:rsid w:val="00FB64A5"/>
    <w:rsid w:val="00FB671E"/>
    <w:rsid w:val="00FB6AA9"/>
    <w:rsid w:val="00FB6AD4"/>
    <w:rsid w:val="00FB6AF9"/>
    <w:rsid w:val="00FB6DBD"/>
    <w:rsid w:val="00FB7293"/>
    <w:rsid w:val="00FB755A"/>
    <w:rsid w:val="00FB7A1C"/>
    <w:rsid w:val="00FB7AEB"/>
    <w:rsid w:val="00FB7F22"/>
    <w:rsid w:val="00FC00F3"/>
    <w:rsid w:val="00FC0A33"/>
    <w:rsid w:val="00FC1416"/>
    <w:rsid w:val="00FC14B2"/>
    <w:rsid w:val="00FC15AF"/>
    <w:rsid w:val="00FC15D8"/>
    <w:rsid w:val="00FC178C"/>
    <w:rsid w:val="00FC1823"/>
    <w:rsid w:val="00FC1CD6"/>
    <w:rsid w:val="00FC1FFC"/>
    <w:rsid w:val="00FC2198"/>
    <w:rsid w:val="00FC26A4"/>
    <w:rsid w:val="00FC2802"/>
    <w:rsid w:val="00FC28EC"/>
    <w:rsid w:val="00FC2C93"/>
    <w:rsid w:val="00FC2CFF"/>
    <w:rsid w:val="00FC3047"/>
    <w:rsid w:val="00FC325A"/>
    <w:rsid w:val="00FC32C2"/>
    <w:rsid w:val="00FC33ED"/>
    <w:rsid w:val="00FC39A9"/>
    <w:rsid w:val="00FC3C54"/>
    <w:rsid w:val="00FC41FA"/>
    <w:rsid w:val="00FC43AD"/>
    <w:rsid w:val="00FC51CF"/>
    <w:rsid w:val="00FC51F2"/>
    <w:rsid w:val="00FC5876"/>
    <w:rsid w:val="00FC599F"/>
    <w:rsid w:val="00FC62F5"/>
    <w:rsid w:val="00FC6367"/>
    <w:rsid w:val="00FC643A"/>
    <w:rsid w:val="00FC692B"/>
    <w:rsid w:val="00FC6951"/>
    <w:rsid w:val="00FC6AF8"/>
    <w:rsid w:val="00FC6EA2"/>
    <w:rsid w:val="00FC731E"/>
    <w:rsid w:val="00FC74D7"/>
    <w:rsid w:val="00FC7584"/>
    <w:rsid w:val="00FC7705"/>
    <w:rsid w:val="00FC7E32"/>
    <w:rsid w:val="00FC7F1E"/>
    <w:rsid w:val="00FC7F85"/>
    <w:rsid w:val="00FD035A"/>
    <w:rsid w:val="00FD05BA"/>
    <w:rsid w:val="00FD0806"/>
    <w:rsid w:val="00FD0ABB"/>
    <w:rsid w:val="00FD13A3"/>
    <w:rsid w:val="00FD14B6"/>
    <w:rsid w:val="00FD169C"/>
    <w:rsid w:val="00FD185A"/>
    <w:rsid w:val="00FD19F1"/>
    <w:rsid w:val="00FD1A49"/>
    <w:rsid w:val="00FD1A7E"/>
    <w:rsid w:val="00FD1C53"/>
    <w:rsid w:val="00FD2230"/>
    <w:rsid w:val="00FD22EF"/>
    <w:rsid w:val="00FD25D7"/>
    <w:rsid w:val="00FD2902"/>
    <w:rsid w:val="00FD2CC3"/>
    <w:rsid w:val="00FD2E5C"/>
    <w:rsid w:val="00FD31A0"/>
    <w:rsid w:val="00FD31BF"/>
    <w:rsid w:val="00FD3201"/>
    <w:rsid w:val="00FD349D"/>
    <w:rsid w:val="00FD3768"/>
    <w:rsid w:val="00FD3C4F"/>
    <w:rsid w:val="00FD3C94"/>
    <w:rsid w:val="00FD3CC7"/>
    <w:rsid w:val="00FD3F2D"/>
    <w:rsid w:val="00FD4148"/>
    <w:rsid w:val="00FD4489"/>
    <w:rsid w:val="00FD471B"/>
    <w:rsid w:val="00FD4D5B"/>
    <w:rsid w:val="00FD50F9"/>
    <w:rsid w:val="00FD564C"/>
    <w:rsid w:val="00FD5896"/>
    <w:rsid w:val="00FD5EE9"/>
    <w:rsid w:val="00FD6453"/>
    <w:rsid w:val="00FD67FD"/>
    <w:rsid w:val="00FD6BC5"/>
    <w:rsid w:val="00FD6E6A"/>
    <w:rsid w:val="00FD7230"/>
    <w:rsid w:val="00FD7241"/>
    <w:rsid w:val="00FD7CB2"/>
    <w:rsid w:val="00FD7CF3"/>
    <w:rsid w:val="00FD7D46"/>
    <w:rsid w:val="00FD7D8B"/>
    <w:rsid w:val="00FE014A"/>
    <w:rsid w:val="00FE0491"/>
    <w:rsid w:val="00FE050C"/>
    <w:rsid w:val="00FE0528"/>
    <w:rsid w:val="00FE0699"/>
    <w:rsid w:val="00FE0781"/>
    <w:rsid w:val="00FE0AF2"/>
    <w:rsid w:val="00FE1016"/>
    <w:rsid w:val="00FE12EF"/>
    <w:rsid w:val="00FE1BBB"/>
    <w:rsid w:val="00FE1C47"/>
    <w:rsid w:val="00FE2083"/>
    <w:rsid w:val="00FE20C0"/>
    <w:rsid w:val="00FE2185"/>
    <w:rsid w:val="00FE22DD"/>
    <w:rsid w:val="00FE2531"/>
    <w:rsid w:val="00FE263E"/>
    <w:rsid w:val="00FE2709"/>
    <w:rsid w:val="00FE2A40"/>
    <w:rsid w:val="00FE2BEE"/>
    <w:rsid w:val="00FE2CFB"/>
    <w:rsid w:val="00FE2E20"/>
    <w:rsid w:val="00FE393E"/>
    <w:rsid w:val="00FE42E7"/>
    <w:rsid w:val="00FE44A2"/>
    <w:rsid w:val="00FE45C9"/>
    <w:rsid w:val="00FE49CC"/>
    <w:rsid w:val="00FE49F5"/>
    <w:rsid w:val="00FE4A60"/>
    <w:rsid w:val="00FE4D06"/>
    <w:rsid w:val="00FE4FC0"/>
    <w:rsid w:val="00FE5417"/>
    <w:rsid w:val="00FE54E0"/>
    <w:rsid w:val="00FE55F0"/>
    <w:rsid w:val="00FE597B"/>
    <w:rsid w:val="00FE5A97"/>
    <w:rsid w:val="00FE5DAA"/>
    <w:rsid w:val="00FE5E2B"/>
    <w:rsid w:val="00FE5F31"/>
    <w:rsid w:val="00FE62C0"/>
    <w:rsid w:val="00FE6331"/>
    <w:rsid w:val="00FE63F5"/>
    <w:rsid w:val="00FE655F"/>
    <w:rsid w:val="00FE685B"/>
    <w:rsid w:val="00FE6C12"/>
    <w:rsid w:val="00FE6E1F"/>
    <w:rsid w:val="00FE7181"/>
    <w:rsid w:val="00FE745E"/>
    <w:rsid w:val="00FE7894"/>
    <w:rsid w:val="00FF01FA"/>
    <w:rsid w:val="00FF031A"/>
    <w:rsid w:val="00FF033D"/>
    <w:rsid w:val="00FF0874"/>
    <w:rsid w:val="00FF0925"/>
    <w:rsid w:val="00FF0D07"/>
    <w:rsid w:val="00FF0D7F"/>
    <w:rsid w:val="00FF142A"/>
    <w:rsid w:val="00FF1C8C"/>
    <w:rsid w:val="00FF21B5"/>
    <w:rsid w:val="00FF21C3"/>
    <w:rsid w:val="00FF2A11"/>
    <w:rsid w:val="00FF2AA0"/>
    <w:rsid w:val="00FF2CFB"/>
    <w:rsid w:val="00FF2E66"/>
    <w:rsid w:val="00FF2E85"/>
    <w:rsid w:val="00FF2F42"/>
    <w:rsid w:val="00FF2FAB"/>
    <w:rsid w:val="00FF330E"/>
    <w:rsid w:val="00FF3447"/>
    <w:rsid w:val="00FF3C24"/>
    <w:rsid w:val="00FF3C52"/>
    <w:rsid w:val="00FF3EB4"/>
    <w:rsid w:val="00FF3F6C"/>
    <w:rsid w:val="00FF4020"/>
    <w:rsid w:val="00FF419E"/>
    <w:rsid w:val="00FF443F"/>
    <w:rsid w:val="00FF44F1"/>
    <w:rsid w:val="00FF4603"/>
    <w:rsid w:val="00FF4AA5"/>
    <w:rsid w:val="00FF4B07"/>
    <w:rsid w:val="00FF4BE3"/>
    <w:rsid w:val="00FF4BFC"/>
    <w:rsid w:val="00FF4BFE"/>
    <w:rsid w:val="00FF4C11"/>
    <w:rsid w:val="00FF4F00"/>
    <w:rsid w:val="00FF4F8B"/>
    <w:rsid w:val="00FF52B9"/>
    <w:rsid w:val="00FF54DA"/>
    <w:rsid w:val="00FF56B9"/>
    <w:rsid w:val="00FF57E8"/>
    <w:rsid w:val="00FF58C0"/>
    <w:rsid w:val="00FF5948"/>
    <w:rsid w:val="00FF5F60"/>
    <w:rsid w:val="00FF5F6B"/>
    <w:rsid w:val="00FF66A5"/>
    <w:rsid w:val="00FF6B71"/>
    <w:rsid w:val="00FF6EDF"/>
    <w:rsid w:val="00FF6EEA"/>
    <w:rsid w:val="00FF70D8"/>
    <w:rsid w:val="00FF74DB"/>
    <w:rsid w:val="00FF779E"/>
    <w:rsid w:val="00FF77DF"/>
    <w:rsid w:val="00FF7ABB"/>
    <w:rsid w:val="00FF7B99"/>
    <w:rsid w:val="0255B4BF"/>
    <w:rsid w:val="02D19A2B"/>
    <w:rsid w:val="03101B5A"/>
    <w:rsid w:val="03590649"/>
    <w:rsid w:val="0464AED2"/>
    <w:rsid w:val="04AF6FBA"/>
    <w:rsid w:val="05185DA2"/>
    <w:rsid w:val="0AE27145"/>
    <w:rsid w:val="10636C3D"/>
    <w:rsid w:val="125B77BC"/>
    <w:rsid w:val="14F0F962"/>
    <w:rsid w:val="1538D703"/>
    <w:rsid w:val="157B70A0"/>
    <w:rsid w:val="17F477E1"/>
    <w:rsid w:val="1896FBBC"/>
    <w:rsid w:val="18AD5F0E"/>
    <w:rsid w:val="1A3384D1"/>
    <w:rsid w:val="1C60B040"/>
    <w:rsid w:val="1DDFA881"/>
    <w:rsid w:val="1F64E140"/>
    <w:rsid w:val="20A395DA"/>
    <w:rsid w:val="2182105C"/>
    <w:rsid w:val="2424F1F3"/>
    <w:rsid w:val="242FB4F8"/>
    <w:rsid w:val="24326549"/>
    <w:rsid w:val="24E56283"/>
    <w:rsid w:val="252626E4"/>
    <w:rsid w:val="2964F437"/>
    <w:rsid w:val="2ABA23E7"/>
    <w:rsid w:val="2D0F20E2"/>
    <w:rsid w:val="2D2FA31D"/>
    <w:rsid w:val="3127A1EC"/>
    <w:rsid w:val="3330374A"/>
    <w:rsid w:val="3376430A"/>
    <w:rsid w:val="35E4A196"/>
    <w:rsid w:val="378A11F9"/>
    <w:rsid w:val="3A486E93"/>
    <w:rsid w:val="3A6350B3"/>
    <w:rsid w:val="3EB5BB4E"/>
    <w:rsid w:val="40851A65"/>
    <w:rsid w:val="40B976A3"/>
    <w:rsid w:val="444A61D0"/>
    <w:rsid w:val="4881F16E"/>
    <w:rsid w:val="48D8C8F6"/>
    <w:rsid w:val="49FF82B9"/>
    <w:rsid w:val="4A1B6339"/>
    <w:rsid w:val="4B72C02E"/>
    <w:rsid w:val="4B7414C2"/>
    <w:rsid w:val="4C1A60CA"/>
    <w:rsid w:val="4C1BF139"/>
    <w:rsid w:val="4C8284D8"/>
    <w:rsid w:val="4ECA8AAD"/>
    <w:rsid w:val="4FA38AAE"/>
    <w:rsid w:val="518ABFA2"/>
    <w:rsid w:val="51BC62B3"/>
    <w:rsid w:val="570D5000"/>
    <w:rsid w:val="580944CA"/>
    <w:rsid w:val="58A5C22B"/>
    <w:rsid w:val="58BB9112"/>
    <w:rsid w:val="5992F96A"/>
    <w:rsid w:val="5A6CC86B"/>
    <w:rsid w:val="5C7E41BD"/>
    <w:rsid w:val="61D82B43"/>
    <w:rsid w:val="654950E4"/>
    <w:rsid w:val="67D1C813"/>
    <w:rsid w:val="6ABE1B21"/>
    <w:rsid w:val="6C182F6A"/>
    <w:rsid w:val="6CD45473"/>
    <w:rsid w:val="6E1E15E7"/>
    <w:rsid w:val="722B7720"/>
    <w:rsid w:val="726B4014"/>
    <w:rsid w:val="7606A029"/>
    <w:rsid w:val="774EFFAA"/>
    <w:rsid w:val="77AF4335"/>
    <w:rsid w:val="78116C06"/>
    <w:rsid w:val="7859E9AE"/>
    <w:rsid w:val="791A783C"/>
    <w:rsid w:val="799606D4"/>
    <w:rsid w:val="79A21317"/>
    <w:rsid w:val="7B8ACC17"/>
    <w:rsid w:val="7C88DF26"/>
    <w:rsid w:val="7E9A6ED6"/>
    <w:rsid w:val="7F65B85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2B907A"/>
  <w14:defaultImageDpi w14:val="330"/>
  <w15:docId w15:val="{4E50A166-00E4-422B-AB89-B86DCF636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qFormat="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F1C8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351FC4"/>
    <w:pPr>
      <w:keepNext/>
      <w:pageBreakBefore/>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CC1BB2"/>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CC1BB2"/>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CC1BB2"/>
    <w:pPr>
      <w:outlineLvl w:val="3"/>
    </w:pPr>
    <w:rPr>
      <w:sz w:val="24"/>
    </w:rPr>
  </w:style>
  <w:style w:type="paragraph" w:styleId="Heading5">
    <w:name w:val="heading 5"/>
    <w:basedOn w:val="Normal"/>
    <w:next w:val="BodyText"/>
    <w:link w:val="Heading5Char"/>
    <w:qFormat/>
    <w:rsid w:val="00CC1BB2"/>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1FC4"/>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CC1BB2"/>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CC1BB2"/>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CC1BB2"/>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CC1BB2"/>
    <w:rPr>
      <w:rFonts w:ascii="Calibri" w:eastAsiaTheme="majorEastAsia" w:hAnsi="Calibri" w:cstheme="majorBidi"/>
      <w:i/>
      <w:sz w:val="24"/>
      <w:lang w:eastAsia="en-NZ"/>
    </w:rPr>
  </w:style>
  <w:style w:type="paragraph" w:styleId="BodyText">
    <w:name w:val="Body Text"/>
    <w:basedOn w:val="Normal"/>
    <w:link w:val="BodyTextChar"/>
    <w:qFormat/>
    <w:rsid w:val="00CC1BB2"/>
    <w:pPr>
      <w:jc w:val="left"/>
    </w:pPr>
  </w:style>
  <w:style w:type="character" w:customStyle="1" w:styleId="BodyTextChar">
    <w:name w:val="Body Text Char"/>
    <w:basedOn w:val="DefaultParagraphFont"/>
    <w:link w:val="BodyText"/>
    <w:rsid w:val="00CC1BB2"/>
    <w:rPr>
      <w:rFonts w:ascii="Calibri" w:eastAsiaTheme="minorEastAsia" w:hAnsi="Calibri"/>
      <w:lang w:eastAsia="en-NZ"/>
    </w:rPr>
  </w:style>
  <w:style w:type="table" w:styleId="TableGrid">
    <w:name w:val="Table Grid"/>
    <w:basedOn w:val="TableNormal"/>
    <w:uiPriority w:val="59"/>
    <w:rsid w:val="00CC1BB2"/>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semiHidden/>
    <w:qFormat/>
    <w:rsid w:val="00CC1BB2"/>
    <w:pPr>
      <w:spacing w:before="60" w:after="60"/>
      <w:ind w:left="567" w:right="567"/>
      <w:jc w:val="left"/>
    </w:pPr>
    <w:rPr>
      <w:sz w:val="20"/>
    </w:rPr>
  </w:style>
  <w:style w:type="character" w:customStyle="1" w:styleId="QuoteChar">
    <w:name w:val="Quote Char"/>
    <w:basedOn w:val="DefaultParagraphFont"/>
    <w:link w:val="Quote"/>
    <w:uiPriority w:val="1"/>
    <w:semiHidden/>
    <w:rsid w:val="00205533"/>
    <w:rPr>
      <w:rFonts w:ascii="Calibri" w:eastAsiaTheme="minorEastAsia" w:hAnsi="Calibri"/>
      <w:sz w:val="20"/>
      <w:lang w:eastAsia="en-NZ"/>
    </w:rPr>
  </w:style>
  <w:style w:type="paragraph" w:customStyle="1" w:styleId="Bullet">
    <w:name w:val="Bullet"/>
    <w:basedOn w:val="Normal"/>
    <w:link w:val="BulletChar"/>
    <w:qFormat/>
    <w:rsid w:val="00CC1BB2"/>
    <w:pPr>
      <w:numPr>
        <w:numId w:val="4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CC1BB2"/>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FA2162"/>
    <w:pPr>
      <w:numPr>
        <w:numId w:val="46"/>
      </w:numPr>
      <w:tabs>
        <w:tab w:val="clear" w:pos="397"/>
        <w:tab w:val="left" w:pos="794"/>
      </w:tabs>
      <w:spacing w:before="0"/>
      <w:jc w:val="left"/>
    </w:pPr>
  </w:style>
  <w:style w:type="paragraph" w:customStyle="1" w:styleId="Figureheading">
    <w:name w:val="Figure heading"/>
    <w:basedOn w:val="Normal"/>
    <w:next w:val="BodyText"/>
    <w:uiPriority w:val="1"/>
    <w:rsid w:val="00CC1BB2"/>
    <w:pPr>
      <w:keepNext/>
      <w:ind w:left="1134" w:hanging="1134"/>
      <w:jc w:val="left"/>
    </w:pPr>
    <w:rPr>
      <w:b/>
      <w:sz w:val="20"/>
    </w:rPr>
  </w:style>
  <w:style w:type="character" w:styleId="FootnoteReference">
    <w:name w:val="footnote reference"/>
    <w:uiPriority w:val="99"/>
    <w:rsid w:val="00CC1BB2"/>
    <w:rPr>
      <w:rFonts w:ascii="Calibri" w:hAnsi="Calibri"/>
      <w:color w:val="auto"/>
      <w:sz w:val="22"/>
      <w:vertAlign w:val="superscript"/>
    </w:rPr>
  </w:style>
  <w:style w:type="paragraph" w:styleId="FootnoteText">
    <w:name w:val="footnote text"/>
    <w:basedOn w:val="Normal"/>
    <w:link w:val="FootnoteTextChar"/>
    <w:uiPriority w:val="99"/>
    <w:rsid w:val="00CC1BB2"/>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CC1BB2"/>
    <w:rPr>
      <w:rFonts w:ascii="Calibri" w:eastAsiaTheme="minorEastAsia" w:hAnsi="Calibri"/>
      <w:sz w:val="19"/>
      <w:lang w:eastAsia="en-NZ"/>
    </w:rPr>
  </w:style>
  <w:style w:type="character" w:styleId="Hyperlink">
    <w:name w:val="Hyperlink"/>
    <w:uiPriority w:val="99"/>
    <w:qFormat/>
    <w:rsid w:val="00CC1BB2"/>
    <w:rPr>
      <w:color w:val="32809C"/>
      <w:u w:val="none"/>
    </w:rPr>
  </w:style>
  <w:style w:type="paragraph" w:customStyle="1" w:styleId="Imprint">
    <w:name w:val="Imprint"/>
    <w:basedOn w:val="Normal"/>
    <w:uiPriority w:val="3"/>
    <w:rsid w:val="00CC1BB2"/>
    <w:pPr>
      <w:jc w:val="left"/>
    </w:pPr>
  </w:style>
  <w:style w:type="paragraph" w:customStyle="1" w:styleId="Note">
    <w:name w:val="Note"/>
    <w:basedOn w:val="BodyText"/>
    <w:next w:val="Normal"/>
    <w:uiPriority w:val="1"/>
    <w:qFormat/>
    <w:rsid w:val="00CC1BB2"/>
    <w:pPr>
      <w:spacing w:line="240" w:lineRule="atLeast"/>
    </w:pPr>
    <w:rPr>
      <w:sz w:val="18"/>
    </w:rPr>
  </w:style>
  <w:style w:type="paragraph" w:customStyle="1" w:styleId="References">
    <w:name w:val="References"/>
    <w:basedOn w:val="Normal"/>
    <w:uiPriority w:val="1"/>
    <w:semiHidden/>
    <w:qFormat/>
    <w:rsid w:val="00CC1BB2"/>
    <w:pPr>
      <w:spacing w:before="0" w:line="260" w:lineRule="atLeast"/>
      <w:jc w:val="left"/>
    </w:pPr>
    <w:rPr>
      <w:sz w:val="20"/>
    </w:rPr>
  </w:style>
  <w:style w:type="paragraph" w:customStyle="1" w:styleId="Source">
    <w:name w:val="Source"/>
    <w:basedOn w:val="Normal"/>
    <w:next w:val="Normal"/>
    <w:uiPriority w:val="1"/>
    <w:qFormat/>
    <w:rsid w:val="00CC1BB2"/>
    <w:pPr>
      <w:tabs>
        <w:tab w:val="left" w:pos="680"/>
      </w:tabs>
      <w:spacing w:line="240" w:lineRule="atLeast"/>
      <w:jc w:val="left"/>
    </w:pPr>
    <w:rPr>
      <w:sz w:val="18"/>
    </w:rPr>
  </w:style>
  <w:style w:type="paragraph" w:styleId="Title">
    <w:name w:val="Title"/>
    <w:basedOn w:val="Normal"/>
    <w:link w:val="TitleChar"/>
    <w:uiPriority w:val="2"/>
    <w:rsid w:val="00CC1BB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CC1BB2"/>
    <w:rPr>
      <w:rFonts w:ascii="Georgia" w:eastAsiaTheme="minorEastAsia" w:hAnsi="Georgia"/>
      <w:b/>
      <w:color w:val="1B556B"/>
      <w:sz w:val="56"/>
      <w:lang w:eastAsia="en-NZ"/>
    </w:rPr>
  </w:style>
  <w:style w:type="paragraph" w:styleId="Subtitle">
    <w:name w:val="Subtitle"/>
    <w:basedOn w:val="Title"/>
    <w:link w:val="SubtitleChar"/>
    <w:uiPriority w:val="2"/>
    <w:rsid w:val="00CC1BB2"/>
    <w:pPr>
      <w:spacing w:before="600" w:line="240" w:lineRule="auto"/>
    </w:pPr>
    <w:rPr>
      <w:sz w:val="36"/>
      <w:szCs w:val="36"/>
    </w:rPr>
  </w:style>
  <w:style w:type="character" w:customStyle="1" w:styleId="SubtitleChar">
    <w:name w:val="Subtitle Char"/>
    <w:basedOn w:val="DefaultParagraphFont"/>
    <w:link w:val="Subtitle"/>
    <w:uiPriority w:val="2"/>
    <w:rsid w:val="00CC1BB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CC1BB2"/>
    <w:pPr>
      <w:keepNext/>
      <w:ind w:left="1134" w:hanging="1134"/>
      <w:jc w:val="left"/>
    </w:pPr>
    <w:rPr>
      <w:b/>
      <w:sz w:val="20"/>
    </w:rPr>
  </w:style>
  <w:style w:type="paragraph" w:customStyle="1" w:styleId="TableText">
    <w:name w:val="TableText"/>
    <w:basedOn w:val="Normal"/>
    <w:link w:val="TableTextChar"/>
    <w:qFormat/>
    <w:rsid w:val="00CC1BB2"/>
    <w:pPr>
      <w:spacing w:before="60" w:after="60" w:line="240" w:lineRule="atLeast"/>
      <w:jc w:val="left"/>
    </w:pPr>
    <w:rPr>
      <w:sz w:val="18"/>
    </w:rPr>
  </w:style>
  <w:style w:type="paragraph" w:customStyle="1" w:styleId="TableTextbold">
    <w:name w:val="TableText bold"/>
    <w:basedOn w:val="TableText"/>
    <w:rsid w:val="00CC1BB2"/>
    <w:rPr>
      <w:b/>
    </w:rPr>
  </w:style>
  <w:style w:type="paragraph" w:styleId="TOC1">
    <w:name w:val="toc 1"/>
    <w:basedOn w:val="Normal"/>
    <w:next w:val="Normal"/>
    <w:uiPriority w:val="39"/>
    <w:rsid w:val="00CC1BB2"/>
    <w:pPr>
      <w:tabs>
        <w:tab w:val="right" w:pos="8505"/>
      </w:tabs>
      <w:spacing w:before="280" w:after="0" w:line="240" w:lineRule="auto"/>
      <w:ind w:left="567" w:right="567" w:hanging="567"/>
      <w:jc w:val="left"/>
    </w:pPr>
  </w:style>
  <w:style w:type="paragraph" w:styleId="TOC2">
    <w:name w:val="toc 2"/>
    <w:basedOn w:val="Normal"/>
    <w:next w:val="Normal"/>
    <w:uiPriority w:val="39"/>
    <w:rsid w:val="00770537"/>
    <w:pPr>
      <w:tabs>
        <w:tab w:val="right" w:pos="8505"/>
      </w:tabs>
      <w:spacing w:before="60" w:after="60" w:line="240" w:lineRule="auto"/>
      <w:ind w:left="56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CC1BB2"/>
    <w:pPr>
      <w:tabs>
        <w:tab w:val="left" w:pos="2835"/>
      </w:tabs>
      <w:spacing w:after="0"/>
      <w:jc w:val="left"/>
    </w:pPr>
  </w:style>
  <w:style w:type="paragraph" w:customStyle="1" w:styleId="Footerodd">
    <w:name w:val="Footer odd"/>
    <w:basedOn w:val="Normal"/>
    <w:uiPriority w:val="2"/>
    <w:rsid w:val="00CC1BB2"/>
    <w:pPr>
      <w:tabs>
        <w:tab w:val="right" w:pos="7938"/>
        <w:tab w:val="right" w:pos="8505"/>
      </w:tabs>
      <w:jc w:val="left"/>
    </w:pPr>
    <w:rPr>
      <w:sz w:val="16"/>
    </w:rPr>
  </w:style>
  <w:style w:type="paragraph" w:customStyle="1" w:styleId="Footereven">
    <w:name w:val="Footer even"/>
    <w:basedOn w:val="Normal"/>
    <w:uiPriority w:val="2"/>
    <w:rsid w:val="00CC1BB2"/>
    <w:pPr>
      <w:tabs>
        <w:tab w:val="left" w:pos="567"/>
      </w:tabs>
    </w:pPr>
    <w:rPr>
      <w:sz w:val="16"/>
    </w:rPr>
  </w:style>
  <w:style w:type="paragraph" w:customStyle="1" w:styleId="Numberedparagraph">
    <w:name w:val="Numbered paragraph"/>
    <w:basedOn w:val="Normal"/>
    <w:uiPriority w:val="1"/>
    <w:qFormat/>
    <w:rsid w:val="00CC1BB2"/>
    <w:pPr>
      <w:numPr>
        <w:numId w:val="45"/>
      </w:numPr>
      <w:spacing w:before="0"/>
      <w:jc w:val="left"/>
    </w:pPr>
  </w:style>
  <w:style w:type="paragraph" w:customStyle="1" w:styleId="Sub-lista">
    <w:name w:val="Sub-list a"/>
    <w:aliases w:val="b"/>
    <w:basedOn w:val="Normal"/>
    <w:uiPriority w:val="2"/>
    <w:rsid w:val="00CC1BB2"/>
    <w:pPr>
      <w:numPr>
        <w:numId w:val="47"/>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CC1BB2"/>
    <w:pPr>
      <w:spacing w:before="0"/>
      <w:ind w:left="1134" w:right="567" w:hanging="1134"/>
      <w:jc w:val="left"/>
    </w:pPr>
  </w:style>
  <w:style w:type="paragraph" w:customStyle="1" w:styleId="Sub-listi">
    <w:name w:val="Sub-list i"/>
    <w:aliases w:val="ii"/>
    <w:basedOn w:val="BodyText"/>
    <w:semiHidden/>
    <w:rsid w:val="00CC1BB2"/>
    <w:pPr>
      <w:numPr>
        <w:numId w:val="48"/>
      </w:numPr>
      <w:spacing w:before="60" w:after="60"/>
    </w:pPr>
  </w:style>
  <w:style w:type="paragraph" w:customStyle="1" w:styleId="TableBullet">
    <w:name w:val="TableBullet"/>
    <w:basedOn w:val="Normal"/>
    <w:qFormat/>
    <w:rsid w:val="00CC1BB2"/>
    <w:pPr>
      <w:numPr>
        <w:numId w:val="49"/>
      </w:numPr>
      <w:spacing w:before="0" w:after="60" w:line="240" w:lineRule="atLeast"/>
      <w:jc w:val="left"/>
    </w:pPr>
    <w:rPr>
      <w:rFonts w:cs="Arial"/>
      <w:sz w:val="18"/>
      <w:szCs w:val="16"/>
    </w:rPr>
  </w:style>
  <w:style w:type="paragraph" w:customStyle="1" w:styleId="TableDash">
    <w:name w:val="TableDash"/>
    <w:basedOn w:val="TableBullet"/>
    <w:qFormat/>
    <w:rsid w:val="00CC1BB2"/>
    <w:pPr>
      <w:numPr>
        <w:numId w:val="50"/>
      </w:numPr>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1440" w:right="284" w:hanging="360"/>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CC1BB2"/>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1A4C49"/>
    <w:pPr>
      <w:spacing w:before="0" w:after="200" w:line="240" w:lineRule="auto"/>
    </w:pPr>
    <w:rPr>
      <w:rFonts w:asciiTheme="minorHAnsi" w:eastAsia="Times New Roman" w:hAnsiTheme="minorHAnsi" w:cstheme="minorHAnsi"/>
      <w:b/>
      <w:bCs/>
      <w:color w:val="1C556C" w:themeColor="accent1"/>
      <w:sz w:val="20"/>
      <w:szCs w:val="20"/>
      <w:lang w:eastAsia="en-US"/>
    </w:rPr>
  </w:style>
  <w:style w:type="character" w:customStyle="1" w:styleId="BulletChar">
    <w:name w:val="Bullet Char"/>
    <w:basedOn w:val="DefaultParagraphFont"/>
    <w:link w:val="Bullet"/>
    <w:locked/>
    <w:rsid w:val="00CC1BB2"/>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1"/>
      </w:numPr>
    </w:pPr>
  </w:style>
  <w:style w:type="paragraph" w:customStyle="1" w:styleId="Boxtext">
    <w:name w:val="Box text"/>
    <w:basedOn w:val="Normal"/>
    <w:uiPriority w:val="1"/>
    <w:semiHidden/>
    <w:qFormat/>
    <w:rsid w:val="00CC1BB2"/>
    <w:pPr>
      <w:spacing w:line="260" w:lineRule="atLeast"/>
      <w:ind w:left="284" w:right="284"/>
      <w:jc w:val="left"/>
    </w:pPr>
    <w:rPr>
      <w:color w:val="1B556B"/>
      <w:sz w:val="20"/>
    </w:rPr>
  </w:style>
  <w:style w:type="paragraph" w:customStyle="1" w:styleId="Boxbullet">
    <w:name w:val="Box bullet"/>
    <w:basedOn w:val="Boxtext"/>
    <w:uiPriority w:val="1"/>
    <w:semiHidden/>
    <w:qFormat/>
    <w:rsid w:val="00CC1BB2"/>
    <w:pPr>
      <w:numPr>
        <w:numId w:val="42"/>
      </w:numPr>
      <w:tabs>
        <w:tab w:val="left" w:pos="680"/>
      </w:tabs>
      <w:spacing w:before="0"/>
    </w:pPr>
    <w:rPr>
      <w:rFonts w:cs="Times New Roman"/>
      <w:szCs w:val="20"/>
    </w:rPr>
  </w:style>
  <w:style w:type="paragraph" w:customStyle="1" w:styleId="Boxheading0">
    <w:name w:val="Box heading"/>
    <w:basedOn w:val="Boxtext"/>
    <w:next w:val="Boxtext"/>
    <w:uiPriority w:val="1"/>
    <w:semiHidden/>
    <w:qFormat/>
    <w:rsid w:val="00CC1BB2"/>
    <w:pPr>
      <w:keepNext/>
      <w:spacing w:before="240" w:after="0"/>
    </w:pPr>
    <w:rPr>
      <w:rFonts w:cs="Times New Roman"/>
      <w:b/>
      <w:sz w:val="22"/>
      <w:szCs w:val="20"/>
    </w:rPr>
  </w:style>
  <w:style w:type="paragraph" w:customStyle="1" w:styleId="Boxsub-bullet">
    <w:name w:val="Box sub-bullet"/>
    <w:basedOn w:val="Boxtext"/>
    <w:uiPriority w:val="1"/>
    <w:semiHidden/>
    <w:qFormat/>
    <w:rsid w:val="00CC1BB2"/>
    <w:pPr>
      <w:numPr>
        <w:numId w:val="43"/>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spacing w:before="0"/>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205533"/>
    <w:rPr>
      <w:rFonts w:ascii="Calibri" w:eastAsiaTheme="minorEastAsia" w:hAnsi="Calibri"/>
      <w:sz w:val="20"/>
      <w:szCs w:val="20"/>
      <w:lang w:eastAsia="en-NZ"/>
    </w:rPr>
  </w:style>
  <w:style w:type="paragraph" w:customStyle="1" w:styleId="Default">
    <w:name w:val="Default"/>
    <w:semiHidden/>
    <w:rsid w:val="00CE7128"/>
    <w:pPr>
      <w:autoSpaceDE w:val="0"/>
      <w:autoSpaceDN w:val="0"/>
      <w:adjustRightInd w:val="0"/>
      <w:spacing w:after="0" w:line="240" w:lineRule="auto"/>
    </w:pPr>
    <w:rPr>
      <w:rFonts w:ascii="Arial" w:hAnsi="Arial" w:cs="Arial"/>
      <w:color w:val="000000"/>
      <w:sz w:val="24"/>
      <w:szCs w:val="24"/>
    </w:rPr>
  </w:style>
  <w:style w:type="character" w:customStyle="1" w:styleId="TableTextChar">
    <w:name w:val="TableText Char"/>
    <w:link w:val="TableText"/>
    <w:rsid w:val="008378F6"/>
    <w:rPr>
      <w:rFonts w:ascii="Calibri" w:eastAsiaTheme="minorEastAsia" w:hAnsi="Calibri"/>
      <w:sz w:val="18"/>
      <w:lang w:eastAsia="en-NZ"/>
    </w:rPr>
  </w:style>
  <w:style w:type="table" w:customStyle="1" w:styleId="MinistryfortheEnvironment">
    <w:name w:val="Ministry for the Environment"/>
    <w:basedOn w:val="TableNormal"/>
    <w:uiPriority w:val="99"/>
    <w:rsid w:val="008378F6"/>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CellMar>
        <w:bottom w:w="57" w:type="dxa"/>
      </w:tblCellMar>
    </w:tblPr>
    <w:tblStylePr w:type="firstRow">
      <w:rPr>
        <w:b/>
        <w:color w:val="FFFFFF" w:themeColor="background1"/>
      </w:rPr>
      <w:tblPr/>
      <w:tcPr>
        <w:shd w:val="clear" w:color="auto" w:fill="1B556B" w:themeFill="text2"/>
      </w:tcPr>
    </w:tblStylePr>
  </w:style>
  <w:style w:type="character" w:styleId="Mention">
    <w:name w:val="Mention"/>
    <w:basedOn w:val="DefaultParagraphFont"/>
    <w:uiPriority w:val="99"/>
    <w:unhideWhenUsed/>
    <w:rsid w:val="00563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020826">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77034080">
      <w:bodyDiv w:val="1"/>
      <w:marLeft w:val="0"/>
      <w:marRight w:val="0"/>
      <w:marTop w:val="0"/>
      <w:marBottom w:val="0"/>
      <w:divBdr>
        <w:top w:val="none" w:sz="0" w:space="0" w:color="auto"/>
        <w:left w:val="none" w:sz="0" w:space="0" w:color="auto"/>
        <w:bottom w:val="none" w:sz="0" w:space="0" w:color="auto"/>
        <w:right w:val="none" w:sz="0" w:space="0" w:color="auto"/>
      </w:divBdr>
    </w:div>
    <w:div w:id="299306605">
      <w:bodyDiv w:val="1"/>
      <w:marLeft w:val="0"/>
      <w:marRight w:val="0"/>
      <w:marTop w:val="0"/>
      <w:marBottom w:val="0"/>
      <w:divBdr>
        <w:top w:val="none" w:sz="0" w:space="0" w:color="auto"/>
        <w:left w:val="none" w:sz="0" w:space="0" w:color="auto"/>
        <w:bottom w:val="none" w:sz="0" w:space="0" w:color="auto"/>
        <w:right w:val="none" w:sz="0" w:space="0" w:color="auto"/>
      </w:divBdr>
    </w:div>
    <w:div w:id="549879188">
      <w:bodyDiv w:val="1"/>
      <w:marLeft w:val="0"/>
      <w:marRight w:val="0"/>
      <w:marTop w:val="0"/>
      <w:marBottom w:val="0"/>
      <w:divBdr>
        <w:top w:val="none" w:sz="0" w:space="0" w:color="auto"/>
        <w:left w:val="none" w:sz="0" w:space="0" w:color="auto"/>
        <w:bottom w:val="none" w:sz="0" w:space="0" w:color="auto"/>
        <w:right w:val="none" w:sz="0" w:space="0" w:color="auto"/>
      </w:divBdr>
    </w:div>
    <w:div w:id="557202532">
      <w:bodyDiv w:val="1"/>
      <w:marLeft w:val="0"/>
      <w:marRight w:val="0"/>
      <w:marTop w:val="0"/>
      <w:marBottom w:val="0"/>
      <w:divBdr>
        <w:top w:val="none" w:sz="0" w:space="0" w:color="auto"/>
        <w:left w:val="none" w:sz="0" w:space="0" w:color="auto"/>
        <w:bottom w:val="none" w:sz="0" w:space="0" w:color="auto"/>
        <w:right w:val="none" w:sz="0" w:space="0" w:color="auto"/>
      </w:divBdr>
    </w:div>
    <w:div w:id="639188284">
      <w:bodyDiv w:val="1"/>
      <w:marLeft w:val="0"/>
      <w:marRight w:val="0"/>
      <w:marTop w:val="0"/>
      <w:marBottom w:val="0"/>
      <w:divBdr>
        <w:top w:val="none" w:sz="0" w:space="0" w:color="auto"/>
        <w:left w:val="none" w:sz="0" w:space="0" w:color="auto"/>
        <w:bottom w:val="none" w:sz="0" w:space="0" w:color="auto"/>
        <w:right w:val="none" w:sz="0" w:space="0" w:color="auto"/>
      </w:divBdr>
      <w:divsChild>
        <w:div w:id="1167751747">
          <w:marLeft w:val="0"/>
          <w:marRight w:val="0"/>
          <w:marTop w:val="0"/>
          <w:marBottom w:val="0"/>
          <w:divBdr>
            <w:top w:val="none" w:sz="0" w:space="0" w:color="auto"/>
            <w:left w:val="none" w:sz="0" w:space="0" w:color="auto"/>
            <w:bottom w:val="none" w:sz="0" w:space="0" w:color="auto"/>
            <w:right w:val="none" w:sz="0" w:space="0" w:color="auto"/>
          </w:divBdr>
        </w:div>
        <w:div w:id="2040622235">
          <w:marLeft w:val="0"/>
          <w:marRight w:val="0"/>
          <w:marTop w:val="0"/>
          <w:marBottom w:val="0"/>
          <w:divBdr>
            <w:top w:val="none" w:sz="0" w:space="0" w:color="auto"/>
            <w:left w:val="none" w:sz="0" w:space="0" w:color="auto"/>
            <w:bottom w:val="none" w:sz="0" w:space="0" w:color="auto"/>
            <w:right w:val="none" w:sz="0" w:space="0" w:color="auto"/>
          </w:divBdr>
        </w:div>
      </w:divsChild>
    </w:div>
    <w:div w:id="680399191">
      <w:bodyDiv w:val="1"/>
      <w:marLeft w:val="0"/>
      <w:marRight w:val="0"/>
      <w:marTop w:val="0"/>
      <w:marBottom w:val="0"/>
      <w:divBdr>
        <w:top w:val="none" w:sz="0" w:space="0" w:color="auto"/>
        <w:left w:val="none" w:sz="0" w:space="0" w:color="auto"/>
        <w:bottom w:val="none" w:sz="0" w:space="0" w:color="auto"/>
        <w:right w:val="none" w:sz="0" w:space="0" w:color="auto"/>
      </w:divBdr>
    </w:div>
    <w:div w:id="702095601">
      <w:bodyDiv w:val="1"/>
      <w:marLeft w:val="0"/>
      <w:marRight w:val="0"/>
      <w:marTop w:val="0"/>
      <w:marBottom w:val="0"/>
      <w:divBdr>
        <w:top w:val="none" w:sz="0" w:space="0" w:color="auto"/>
        <w:left w:val="none" w:sz="0" w:space="0" w:color="auto"/>
        <w:bottom w:val="none" w:sz="0" w:space="0" w:color="auto"/>
        <w:right w:val="none" w:sz="0" w:space="0" w:color="auto"/>
      </w:divBdr>
    </w:div>
    <w:div w:id="732117549">
      <w:bodyDiv w:val="1"/>
      <w:marLeft w:val="0"/>
      <w:marRight w:val="0"/>
      <w:marTop w:val="0"/>
      <w:marBottom w:val="0"/>
      <w:divBdr>
        <w:top w:val="none" w:sz="0" w:space="0" w:color="auto"/>
        <w:left w:val="none" w:sz="0" w:space="0" w:color="auto"/>
        <w:bottom w:val="none" w:sz="0" w:space="0" w:color="auto"/>
        <w:right w:val="none" w:sz="0" w:space="0" w:color="auto"/>
      </w:divBdr>
    </w:div>
    <w:div w:id="775323196">
      <w:bodyDiv w:val="1"/>
      <w:marLeft w:val="0"/>
      <w:marRight w:val="0"/>
      <w:marTop w:val="0"/>
      <w:marBottom w:val="0"/>
      <w:divBdr>
        <w:top w:val="none" w:sz="0" w:space="0" w:color="auto"/>
        <w:left w:val="none" w:sz="0" w:space="0" w:color="auto"/>
        <w:bottom w:val="none" w:sz="0" w:space="0" w:color="auto"/>
        <w:right w:val="none" w:sz="0" w:space="0" w:color="auto"/>
      </w:divBdr>
    </w:div>
    <w:div w:id="835919560">
      <w:bodyDiv w:val="1"/>
      <w:marLeft w:val="0"/>
      <w:marRight w:val="0"/>
      <w:marTop w:val="0"/>
      <w:marBottom w:val="0"/>
      <w:divBdr>
        <w:top w:val="none" w:sz="0" w:space="0" w:color="auto"/>
        <w:left w:val="none" w:sz="0" w:space="0" w:color="auto"/>
        <w:bottom w:val="none" w:sz="0" w:space="0" w:color="auto"/>
        <w:right w:val="none" w:sz="0" w:space="0" w:color="auto"/>
      </w:divBdr>
    </w:div>
    <w:div w:id="1015768976">
      <w:bodyDiv w:val="1"/>
      <w:marLeft w:val="0"/>
      <w:marRight w:val="0"/>
      <w:marTop w:val="0"/>
      <w:marBottom w:val="0"/>
      <w:divBdr>
        <w:top w:val="none" w:sz="0" w:space="0" w:color="auto"/>
        <w:left w:val="none" w:sz="0" w:space="0" w:color="auto"/>
        <w:bottom w:val="none" w:sz="0" w:space="0" w:color="auto"/>
        <w:right w:val="none" w:sz="0" w:space="0" w:color="auto"/>
      </w:divBdr>
    </w:div>
    <w:div w:id="1030497655">
      <w:bodyDiv w:val="1"/>
      <w:marLeft w:val="0"/>
      <w:marRight w:val="0"/>
      <w:marTop w:val="0"/>
      <w:marBottom w:val="0"/>
      <w:divBdr>
        <w:top w:val="none" w:sz="0" w:space="0" w:color="auto"/>
        <w:left w:val="none" w:sz="0" w:space="0" w:color="auto"/>
        <w:bottom w:val="none" w:sz="0" w:space="0" w:color="auto"/>
        <w:right w:val="none" w:sz="0" w:space="0" w:color="auto"/>
      </w:divBdr>
    </w:div>
    <w:div w:id="1157455021">
      <w:bodyDiv w:val="1"/>
      <w:marLeft w:val="0"/>
      <w:marRight w:val="0"/>
      <w:marTop w:val="0"/>
      <w:marBottom w:val="0"/>
      <w:divBdr>
        <w:top w:val="none" w:sz="0" w:space="0" w:color="auto"/>
        <w:left w:val="none" w:sz="0" w:space="0" w:color="auto"/>
        <w:bottom w:val="none" w:sz="0" w:space="0" w:color="auto"/>
        <w:right w:val="none" w:sz="0" w:space="0" w:color="auto"/>
      </w:divBdr>
    </w:div>
    <w:div w:id="1416242317">
      <w:bodyDiv w:val="1"/>
      <w:marLeft w:val="0"/>
      <w:marRight w:val="0"/>
      <w:marTop w:val="0"/>
      <w:marBottom w:val="0"/>
      <w:divBdr>
        <w:top w:val="none" w:sz="0" w:space="0" w:color="auto"/>
        <w:left w:val="none" w:sz="0" w:space="0" w:color="auto"/>
        <w:bottom w:val="none" w:sz="0" w:space="0" w:color="auto"/>
        <w:right w:val="none" w:sz="0" w:space="0" w:color="auto"/>
      </w:divBdr>
    </w:div>
    <w:div w:id="143216716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00811979">
      <w:bodyDiv w:val="1"/>
      <w:marLeft w:val="0"/>
      <w:marRight w:val="0"/>
      <w:marTop w:val="0"/>
      <w:marBottom w:val="0"/>
      <w:divBdr>
        <w:top w:val="none" w:sz="0" w:space="0" w:color="auto"/>
        <w:left w:val="none" w:sz="0" w:space="0" w:color="auto"/>
        <w:bottom w:val="none" w:sz="0" w:space="0" w:color="auto"/>
        <w:right w:val="none" w:sz="0" w:space="0" w:color="auto"/>
      </w:divBdr>
    </w:div>
    <w:div w:id="1799641549">
      <w:bodyDiv w:val="1"/>
      <w:marLeft w:val="0"/>
      <w:marRight w:val="0"/>
      <w:marTop w:val="0"/>
      <w:marBottom w:val="0"/>
      <w:divBdr>
        <w:top w:val="none" w:sz="0" w:space="0" w:color="auto"/>
        <w:left w:val="none" w:sz="0" w:space="0" w:color="auto"/>
        <w:bottom w:val="none" w:sz="0" w:space="0" w:color="auto"/>
        <w:right w:val="none" w:sz="0" w:space="0" w:color="auto"/>
      </w:divBdr>
    </w:div>
    <w:div w:id="1844661005">
      <w:bodyDiv w:val="1"/>
      <w:marLeft w:val="0"/>
      <w:marRight w:val="0"/>
      <w:marTop w:val="0"/>
      <w:marBottom w:val="0"/>
      <w:divBdr>
        <w:top w:val="none" w:sz="0" w:space="0" w:color="auto"/>
        <w:left w:val="none" w:sz="0" w:space="0" w:color="auto"/>
        <w:bottom w:val="none" w:sz="0" w:space="0" w:color="auto"/>
        <w:right w:val="none" w:sz="0" w:space="0" w:color="auto"/>
      </w:divBdr>
    </w:div>
    <w:div w:id="184643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5.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7.xml"/><Relationship Id="rId50"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2.png"/><Relationship Id="rId44" Type="http://schemas.openxmlformats.org/officeDocument/2006/relationships/image" Target="media/image25.jpg"/><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8.svg"/><Relationship Id="rId30" Type="http://schemas.openxmlformats.org/officeDocument/2006/relationships/image" Target="media/image11.svg"/><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nvironment.govt.nz/"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6.xml"/><Relationship Id="rId20" Type="http://schemas.openxmlformats.org/officeDocument/2006/relationships/footer" Target="footer4.xml"/><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govt.nz/publications/marginal-abatement-cost-curves-analysis-for-new-zealand-potential-greenhouse-gas-mitigation-options-and-their-costs/" TargetMode="External"/><Relationship Id="rId13" Type="http://schemas.openxmlformats.org/officeDocument/2006/relationships/hyperlink" Target="https://environment.govt.nz/publications/national-policy-statement-for-greenhouse-gas-emissions-from-industrial-process-heat-2023/" TargetMode="External"/><Relationship Id="rId3" Type="http://schemas.openxmlformats.org/officeDocument/2006/relationships/hyperlink" Target="https://environment.govt.nz/publications/review-of-the-new-zealand-emissions-trading-scheme-summary-of-modelling/" TargetMode="External"/><Relationship Id="rId7" Type="http://schemas.openxmlformats.org/officeDocument/2006/relationships/hyperlink" Target="https://www.climatecommission.govt.nz/public/Uploads/EB4/supporting-docs/Technical-Annex-Modelling-and-analysis-9-4.pdf" TargetMode="External"/><Relationship Id="rId12" Type="http://schemas.openxmlformats.org/officeDocument/2006/relationships/hyperlink" Target="https://environment.govt.nz/what-government-is-doing/areas-of-work/climate-change/nationally-determined-contribution/" TargetMode="External"/><Relationship Id="rId17" Type="http://schemas.openxmlformats.org/officeDocument/2006/relationships/hyperlink" Target="https://www.gasindustry.co.nz/assets/CoverDocument/Gas-Supply-and-Demand-Study-December-2023.pdf" TargetMode="External"/><Relationship Id="rId2" Type="http://schemas.openxmlformats.org/officeDocument/2006/relationships/hyperlink" Target="https://environment.govt.nz/facts-and-science/climate-change/new-zealands-projected-greenhouse-gas-emissions-to-2050/" TargetMode="External"/><Relationship Id="rId16" Type="http://schemas.openxmlformats.org/officeDocument/2006/relationships/hyperlink" Target="https://www.gasindustry.co.nz/assets/CoverDocument/Review-of-CCUS-CCS-Potential-in-New-Zealand-March-2023.pdf" TargetMode="External"/><Relationship Id="rId1" Type="http://schemas.openxmlformats.org/officeDocument/2006/relationships/hyperlink" Target="https://www.ipcc.ch/site/assets/uploads/2018/05/SYR_AR5_FINAL_full_wcover.pdf" TargetMode="External"/><Relationship Id="rId6" Type="http://schemas.openxmlformats.org/officeDocument/2006/relationships/hyperlink" Target="https://www.climatecommission.govt.nz/public/Inaia-tonu-nei-a-low-emissions-future-for-Aotearoa/Modelling-files/ENZ-manual-aug-21.pdf" TargetMode="External"/><Relationship Id="rId11" Type="http://schemas.openxmlformats.org/officeDocument/2006/relationships/hyperlink" Target="https://environment.govt.nz/publications/national-policy-statement-for-greenhouse-gas-emissions-from-industrial-process-heat-2023/" TargetMode="External"/><Relationship Id="rId5" Type="http://schemas.openxmlformats.org/officeDocument/2006/relationships/hyperlink" Target="https://web-assets.bcg.com/b3/79/19665b7f40c8ba52d5b372cf7e6c/the-future-is-electric-full-report-october-2022.pdf" TargetMode="External"/><Relationship Id="rId15" Type="http://schemas.openxmlformats.org/officeDocument/2006/relationships/hyperlink" Target="https://tewaihanga.govt.nz/our-work/research-insights/infrastructure-consenting-for-climate-targets" TargetMode="External"/><Relationship Id="rId10" Type="http://schemas.openxmlformats.org/officeDocument/2006/relationships/hyperlink" Target="https://environment.govt.nz/publications/planned-methodological-improvements-for-new-zealands-greenhouse-gas-inventory-19902022/" TargetMode="External"/><Relationship Id="rId4" Type="http://schemas.openxmlformats.org/officeDocument/2006/relationships/hyperlink" Target="https://environment.govt.nz/facts-and-science/climate-change/new-zealands-greenhouse-gas-inventory/" TargetMode="External"/><Relationship Id="rId9" Type="http://schemas.openxmlformats.org/officeDocument/2006/relationships/hyperlink" Target="https://environment.govt.nz/facts-and-science/climate-change/new-zealands-projected-greenhouse-gas-emissions-to-2050/" TargetMode="External"/><Relationship Id="rId14" Type="http://schemas.openxmlformats.org/officeDocument/2006/relationships/hyperlink" Target="https://www.mbie.govt.nz/building-and-energy/energy-and-natural-resources/energy-statistics-and-modelling/energy-statistics/new-zealand-energy-sector-greenhouse-gas-emiss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0b9a1ae-0ec5-4f34-9dc8-1985b482724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F0ED3E7071764B921C4E27244E093B" ma:contentTypeVersion="15" ma:contentTypeDescription="Create a new document." ma:contentTypeScope="" ma:versionID="dabd20db6717d0ef3b90d75dc8959041">
  <xsd:schema xmlns:xsd="http://www.w3.org/2001/XMLSchema" xmlns:xs="http://www.w3.org/2001/XMLSchema" xmlns:p="http://schemas.microsoft.com/office/2006/metadata/properties" xmlns:ns3="70b9a1ae-0ec5-4f34-9dc8-1985b4827245" xmlns:ns4="bcbbea60-5584-407b-9b19-c2fe980083ec" targetNamespace="http://schemas.microsoft.com/office/2006/metadata/properties" ma:root="true" ma:fieldsID="b2901d801e131fd42f3f856c153b4f90" ns3:_="" ns4:_="">
    <xsd:import namespace="70b9a1ae-0ec5-4f34-9dc8-1985b4827245"/>
    <xsd:import namespace="bcbbea60-5584-407b-9b19-c2fe980083ec"/>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9a1ae-0ec5-4f34-9dc8-1985b4827245"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bbea60-5584-407b-9b19-c2fe980083ec"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70b9a1ae-0ec5-4f34-9dc8-1985b4827245"/>
  </ds:schemaRefs>
</ds:datastoreItem>
</file>

<file path=customXml/itemProps2.xml><?xml version="1.0" encoding="utf-8"?>
<ds:datastoreItem xmlns:ds="http://schemas.openxmlformats.org/officeDocument/2006/customXml" ds:itemID="{C51B89A4-3D5B-4059-9AE0-D64D94A00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9a1ae-0ec5-4f34-9dc8-1985b4827245"/>
    <ds:schemaRef ds:uri="bcbbea60-5584-407b-9b19-c2fe98008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13</TotalTime>
  <Pages>65</Pages>
  <Words>19252</Words>
  <Characters>104541</Characters>
  <Application>Microsoft Office Word</Application>
  <DocSecurity>0</DocSecurity>
  <Lines>3372</Lines>
  <Paragraphs>2063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121730</CharactersWithSpaces>
  <SharedDoc>false</SharedDoc>
  <HLinks>
    <vt:vector size="498" baseType="variant">
      <vt:variant>
        <vt:i4>1769527</vt:i4>
      </vt:variant>
      <vt:variant>
        <vt:i4>365</vt:i4>
      </vt:variant>
      <vt:variant>
        <vt:i4>0</vt:i4>
      </vt:variant>
      <vt:variant>
        <vt:i4>5</vt:i4>
      </vt:variant>
      <vt:variant>
        <vt:lpwstr/>
      </vt:variant>
      <vt:variant>
        <vt:lpwstr>_Toc171427583</vt:lpwstr>
      </vt:variant>
      <vt:variant>
        <vt:i4>1769527</vt:i4>
      </vt:variant>
      <vt:variant>
        <vt:i4>359</vt:i4>
      </vt:variant>
      <vt:variant>
        <vt:i4>0</vt:i4>
      </vt:variant>
      <vt:variant>
        <vt:i4>5</vt:i4>
      </vt:variant>
      <vt:variant>
        <vt:lpwstr/>
      </vt:variant>
      <vt:variant>
        <vt:lpwstr>_Toc171427582</vt:lpwstr>
      </vt:variant>
      <vt:variant>
        <vt:i4>1769527</vt:i4>
      </vt:variant>
      <vt:variant>
        <vt:i4>353</vt:i4>
      </vt:variant>
      <vt:variant>
        <vt:i4>0</vt:i4>
      </vt:variant>
      <vt:variant>
        <vt:i4>5</vt:i4>
      </vt:variant>
      <vt:variant>
        <vt:lpwstr/>
      </vt:variant>
      <vt:variant>
        <vt:lpwstr>_Toc171427581</vt:lpwstr>
      </vt:variant>
      <vt:variant>
        <vt:i4>1769527</vt:i4>
      </vt:variant>
      <vt:variant>
        <vt:i4>347</vt:i4>
      </vt:variant>
      <vt:variant>
        <vt:i4>0</vt:i4>
      </vt:variant>
      <vt:variant>
        <vt:i4>5</vt:i4>
      </vt:variant>
      <vt:variant>
        <vt:lpwstr/>
      </vt:variant>
      <vt:variant>
        <vt:lpwstr>_Toc171427580</vt:lpwstr>
      </vt:variant>
      <vt:variant>
        <vt:i4>1310775</vt:i4>
      </vt:variant>
      <vt:variant>
        <vt:i4>341</vt:i4>
      </vt:variant>
      <vt:variant>
        <vt:i4>0</vt:i4>
      </vt:variant>
      <vt:variant>
        <vt:i4>5</vt:i4>
      </vt:variant>
      <vt:variant>
        <vt:lpwstr/>
      </vt:variant>
      <vt:variant>
        <vt:lpwstr>_Toc171427579</vt:lpwstr>
      </vt:variant>
      <vt:variant>
        <vt:i4>1310775</vt:i4>
      </vt:variant>
      <vt:variant>
        <vt:i4>335</vt:i4>
      </vt:variant>
      <vt:variant>
        <vt:i4>0</vt:i4>
      </vt:variant>
      <vt:variant>
        <vt:i4>5</vt:i4>
      </vt:variant>
      <vt:variant>
        <vt:lpwstr/>
      </vt:variant>
      <vt:variant>
        <vt:lpwstr>_Toc171427578</vt:lpwstr>
      </vt:variant>
      <vt:variant>
        <vt:i4>1310775</vt:i4>
      </vt:variant>
      <vt:variant>
        <vt:i4>329</vt:i4>
      </vt:variant>
      <vt:variant>
        <vt:i4>0</vt:i4>
      </vt:variant>
      <vt:variant>
        <vt:i4>5</vt:i4>
      </vt:variant>
      <vt:variant>
        <vt:lpwstr/>
      </vt:variant>
      <vt:variant>
        <vt:lpwstr>_Toc171427577</vt:lpwstr>
      </vt:variant>
      <vt:variant>
        <vt:i4>1310775</vt:i4>
      </vt:variant>
      <vt:variant>
        <vt:i4>323</vt:i4>
      </vt:variant>
      <vt:variant>
        <vt:i4>0</vt:i4>
      </vt:variant>
      <vt:variant>
        <vt:i4>5</vt:i4>
      </vt:variant>
      <vt:variant>
        <vt:lpwstr/>
      </vt:variant>
      <vt:variant>
        <vt:lpwstr>_Toc171427576</vt:lpwstr>
      </vt:variant>
      <vt:variant>
        <vt:i4>1310775</vt:i4>
      </vt:variant>
      <vt:variant>
        <vt:i4>317</vt:i4>
      </vt:variant>
      <vt:variant>
        <vt:i4>0</vt:i4>
      </vt:variant>
      <vt:variant>
        <vt:i4>5</vt:i4>
      </vt:variant>
      <vt:variant>
        <vt:lpwstr/>
      </vt:variant>
      <vt:variant>
        <vt:lpwstr>_Toc171427575</vt:lpwstr>
      </vt:variant>
      <vt:variant>
        <vt:i4>1310775</vt:i4>
      </vt:variant>
      <vt:variant>
        <vt:i4>311</vt:i4>
      </vt:variant>
      <vt:variant>
        <vt:i4>0</vt:i4>
      </vt:variant>
      <vt:variant>
        <vt:i4>5</vt:i4>
      </vt:variant>
      <vt:variant>
        <vt:lpwstr/>
      </vt:variant>
      <vt:variant>
        <vt:lpwstr>_Toc171427574</vt:lpwstr>
      </vt:variant>
      <vt:variant>
        <vt:i4>1310775</vt:i4>
      </vt:variant>
      <vt:variant>
        <vt:i4>305</vt:i4>
      </vt:variant>
      <vt:variant>
        <vt:i4>0</vt:i4>
      </vt:variant>
      <vt:variant>
        <vt:i4>5</vt:i4>
      </vt:variant>
      <vt:variant>
        <vt:lpwstr/>
      </vt:variant>
      <vt:variant>
        <vt:lpwstr>_Toc171427573</vt:lpwstr>
      </vt:variant>
      <vt:variant>
        <vt:i4>1310775</vt:i4>
      </vt:variant>
      <vt:variant>
        <vt:i4>299</vt:i4>
      </vt:variant>
      <vt:variant>
        <vt:i4>0</vt:i4>
      </vt:variant>
      <vt:variant>
        <vt:i4>5</vt:i4>
      </vt:variant>
      <vt:variant>
        <vt:lpwstr/>
      </vt:variant>
      <vt:variant>
        <vt:lpwstr>_Toc171427572</vt:lpwstr>
      </vt:variant>
      <vt:variant>
        <vt:i4>1310775</vt:i4>
      </vt:variant>
      <vt:variant>
        <vt:i4>293</vt:i4>
      </vt:variant>
      <vt:variant>
        <vt:i4>0</vt:i4>
      </vt:variant>
      <vt:variant>
        <vt:i4>5</vt:i4>
      </vt:variant>
      <vt:variant>
        <vt:lpwstr/>
      </vt:variant>
      <vt:variant>
        <vt:lpwstr>_Toc171427571</vt:lpwstr>
      </vt:variant>
      <vt:variant>
        <vt:i4>1310775</vt:i4>
      </vt:variant>
      <vt:variant>
        <vt:i4>287</vt:i4>
      </vt:variant>
      <vt:variant>
        <vt:i4>0</vt:i4>
      </vt:variant>
      <vt:variant>
        <vt:i4>5</vt:i4>
      </vt:variant>
      <vt:variant>
        <vt:lpwstr/>
      </vt:variant>
      <vt:variant>
        <vt:lpwstr>_Toc171427570</vt:lpwstr>
      </vt:variant>
      <vt:variant>
        <vt:i4>1376311</vt:i4>
      </vt:variant>
      <vt:variant>
        <vt:i4>281</vt:i4>
      </vt:variant>
      <vt:variant>
        <vt:i4>0</vt:i4>
      </vt:variant>
      <vt:variant>
        <vt:i4>5</vt:i4>
      </vt:variant>
      <vt:variant>
        <vt:lpwstr/>
      </vt:variant>
      <vt:variant>
        <vt:lpwstr>_Toc171427569</vt:lpwstr>
      </vt:variant>
      <vt:variant>
        <vt:i4>1376311</vt:i4>
      </vt:variant>
      <vt:variant>
        <vt:i4>275</vt:i4>
      </vt:variant>
      <vt:variant>
        <vt:i4>0</vt:i4>
      </vt:variant>
      <vt:variant>
        <vt:i4>5</vt:i4>
      </vt:variant>
      <vt:variant>
        <vt:lpwstr/>
      </vt:variant>
      <vt:variant>
        <vt:lpwstr>_Toc171427568</vt:lpwstr>
      </vt:variant>
      <vt:variant>
        <vt:i4>1376311</vt:i4>
      </vt:variant>
      <vt:variant>
        <vt:i4>269</vt:i4>
      </vt:variant>
      <vt:variant>
        <vt:i4>0</vt:i4>
      </vt:variant>
      <vt:variant>
        <vt:i4>5</vt:i4>
      </vt:variant>
      <vt:variant>
        <vt:lpwstr/>
      </vt:variant>
      <vt:variant>
        <vt:lpwstr>_Toc171427567</vt:lpwstr>
      </vt:variant>
      <vt:variant>
        <vt:i4>1376311</vt:i4>
      </vt:variant>
      <vt:variant>
        <vt:i4>263</vt:i4>
      </vt:variant>
      <vt:variant>
        <vt:i4>0</vt:i4>
      </vt:variant>
      <vt:variant>
        <vt:i4>5</vt:i4>
      </vt:variant>
      <vt:variant>
        <vt:lpwstr/>
      </vt:variant>
      <vt:variant>
        <vt:lpwstr>_Toc171427566</vt:lpwstr>
      </vt:variant>
      <vt:variant>
        <vt:i4>1376311</vt:i4>
      </vt:variant>
      <vt:variant>
        <vt:i4>257</vt:i4>
      </vt:variant>
      <vt:variant>
        <vt:i4>0</vt:i4>
      </vt:variant>
      <vt:variant>
        <vt:i4>5</vt:i4>
      </vt:variant>
      <vt:variant>
        <vt:lpwstr/>
      </vt:variant>
      <vt:variant>
        <vt:lpwstr>_Toc171427565</vt:lpwstr>
      </vt:variant>
      <vt:variant>
        <vt:i4>1376311</vt:i4>
      </vt:variant>
      <vt:variant>
        <vt:i4>251</vt:i4>
      </vt:variant>
      <vt:variant>
        <vt:i4>0</vt:i4>
      </vt:variant>
      <vt:variant>
        <vt:i4>5</vt:i4>
      </vt:variant>
      <vt:variant>
        <vt:lpwstr/>
      </vt:variant>
      <vt:variant>
        <vt:lpwstr>_Toc171427564</vt:lpwstr>
      </vt:variant>
      <vt:variant>
        <vt:i4>1376311</vt:i4>
      </vt:variant>
      <vt:variant>
        <vt:i4>245</vt:i4>
      </vt:variant>
      <vt:variant>
        <vt:i4>0</vt:i4>
      </vt:variant>
      <vt:variant>
        <vt:i4>5</vt:i4>
      </vt:variant>
      <vt:variant>
        <vt:lpwstr/>
      </vt:variant>
      <vt:variant>
        <vt:lpwstr>_Toc171427563</vt:lpwstr>
      </vt:variant>
      <vt:variant>
        <vt:i4>1376311</vt:i4>
      </vt:variant>
      <vt:variant>
        <vt:i4>239</vt:i4>
      </vt:variant>
      <vt:variant>
        <vt:i4>0</vt:i4>
      </vt:variant>
      <vt:variant>
        <vt:i4>5</vt:i4>
      </vt:variant>
      <vt:variant>
        <vt:lpwstr/>
      </vt:variant>
      <vt:variant>
        <vt:lpwstr>_Toc171427562</vt:lpwstr>
      </vt:variant>
      <vt:variant>
        <vt:i4>1966133</vt:i4>
      </vt:variant>
      <vt:variant>
        <vt:i4>230</vt:i4>
      </vt:variant>
      <vt:variant>
        <vt:i4>0</vt:i4>
      </vt:variant>
      <vt:variant>
        <vt:i4>5</vt:i4>
      </vt:variant>
      <vt:variant>
        <vt:lpwstr/>
      </vt:variant>
      <vt:variant>
        <vt:lpwstr>_Toc171438624</vt:lpwstr>
      </vt:variant>
      <vt:variant>
        <vt:i4>1966133</vt:i4>
      </vt:variant>
      <vt:variant>
        <vt:i4>224</vt:i4>
      </vt:variant>
      <vt:variant>
        <vt:i4>0</vt:i4>
      </vt:variant>
      <vt:variant>
        <vt:i4>5</vt:i4>
      </vt:variant>
      <vt:variant>
        <vt:lpwstr/>
      </vt:variant>
      <vt:variant>
        <vt:lpwstr>_Toc171438623</vt:lpwstr>
      </vt:variant>
      <vt:variant>
        <vt:i4>1966133</vt:i4>
      </vt:variant>
      <vt:variant>
        <vt:i4>218</vt:i4>
      </vt:variant>
      <vt:variant>
        <vt:i4>0</vt:i4>
      </vt:variant>
      <vt:variant>
        <vt:i4>5</vt:i4>
      </vt:variant>
      <vt:variant>
        <vt:lpwstr/>
      </vt:variant>
      <vt:variant>
        <vt:lpwstr>_Toc171438622</vt:lpwstr>
      </vt:variant>
      <vt:variant>
        <vt:i4>1966133</vt:i4>
      </vt:variant>
      <vt:variant>
        <vt:i4>212</vt:i4>
      </vt:variant>
      <vt:variant>
        <vt:i4>0</vt:i4>
      </vt:variant>
      <vt:variant>
        <vt:i4>5</vt:i4>
      </vt:variant>
      <vt:variant>
        <vt:lpwstr/>
      </vt:variant>
      <vt:variant>
        <vt:lpwstr>_Toc171438621</vt:lpwstr>
      </vt:variant>
      <vt:variant>
        <vt:i4>1966133</vt:i4>
      </vt:variant>
      <vt:variant>
        <vt:i4>206</vt:i4>
      </vt:variant>
      <vt:variant>
        <vt:i4>0</vt:i4>
      </vt:variant>
      <vt:variant>
        <vt:i4>5</vt:i4>
      </vt:variant>
      <vt:variant>
        <vt:lpwstr/>
      </vt:variant>
      <vt:variant>
        <vt:lpwstr>_Toc171438620</vt:lpwstr>
      </vt:variant>
      <vt:variant>
        <vt:i4>1900597</vt:i4>
      </vt:variant>
      <vt:variant>
        <vt:i4>200</vt:i4>
      </vt:variant>
      <vt:variant>
        <vt:i4>0</vt:i4>
      </vt:variant>
      <vt:variant>
        <vt:i4>5</vt:i4>
      </vt:variant>
      <vt:variant>
        <vt:lpwstr/>
      </vt:variant>
      <vt:variant>
        <vt:lpwstr>_Toc171438619</vt:lpwstr>
      </vt:variant>
      <vt:variant>
        <vt:i4>1900597</vt:i4>
      </vt:variant>
      <vt:variant>
        <vt:i4>194</vt:i4>
      </vt:variant>
      <vt:variant>
        <vt:i4>0</vt:i4>
      </vt:variant>
      <vt:variant>
        <vt:i4>5</vt:i4>
      </vt:variant>
      <vt:variant>
        <vt:lpwstr/>
      </vt:variant>
      <vt:variant>
        <vt:lpwstr>_Toc171438618</vt:lpwstr>
      </vt:variant>
      <vt:variant>
        <vt:i4>1900597</vt:i4>
      </vt:variant>
      <vt:variant>
        <vt:i4>188</vt:i4>
      </vt:variant>
      <vt:variant>
        <vt:i4>0</vt:i4>
      </vt:variant>
      <vt:variant>
        <vt:i4>5</vt:i4>
      </vt:variant>
      <vt:variant>
        <vt:lpwstr/>
      </vt:variant>
      <vt:variant>
        <vt:lpwstr>_Toc171438617</vt:lpwstr>
      </vt:variant>
      <vt:variant>
        <vt:i4>1900597</vt:i4>
      </vt:variant>
      <vt:variant>
        <vt:i4>182</vt:i4>
      </vt:variant>
      <vt:variant>
        <vt:i4>0</vt:i4>
      </vt:variant>
      <vt:variant>
        <vt:i4>5</vt:i4>
      </vt:variant>
      <vt:variant>
        <vt:lpwstr/>
      </vt:variant>
      <vt:variant>
        <vt:lpwstr>_Toc171438616</vt:lpwstr>
      </vt:variant>
      <vt:variant>
        <vt:i4>1900597</vt:i4>
      </vt:variant>
      <vt:variant>
        <vt:i4>176</vt:i4>
      </vt:variant>
      <vt:variant>
        <vt:i4>0</vt:i4>
      </vt:variant>
      <vt:variant>
        <vt:i4>5</vt:i4>
      </vt:variant>
      <vt:variant>
        <vt:lpwstr/>
      </vt:variant>
      <vt:variant>
        <vt:lpwstr>_Toc171438615</vt:lpwstr>
      </vt:variant>
      <vt:variant>
        <vt:i4>1900597</vt:i4>
      </vt:variant>
      <vt:variant>
        <vt:i4>170</vt:i4>
      </vt:variant>
      <vt:variant>
        <vt:i4>0</vt:i4>
      </vt:variant>
      <vt:variant>
        <vt:i4>5</vt:i4>
      </vt:variant>
      <vt:variant>
        <vt:lpwstr/>
      </vt:variant>
      <vt:variant>
        <vt:lpwstr>_Toc171438614</vt:lpwstr>
      </vt:variant>
      <vt:variant>
        <vt:i4>1900597</vt:i4>
      </vt:variant>
      <vt:variant>
        <vt:i4>164</vt:i4>
      </vt:variant>
      <vt:variant>
        <vt:i4>0</vt:i4>
      </vt:variant>
      <vt:variant>
        <vt:i4>5</vt:i4>
      </vt:variant>
      <vt:variant>
        <vt:lpwstr/>
      </vt:variant>
      <vt:variant>
        <vt:lpwstr>_Toc171438613</vt:lpwstr>
      </vt:variant>
      <vt:variant>
        <vt:i4>1900597</vt:i4>
      </vt:variant>
      <vt:variant>
        <vt:i4>158</vt:i4>
      </vt:variant>
      <vt:variant>
        <vt:i4>0</vt:i4>
      </vt:variant>
      <vt:variant>
        <vt:i4>5</vt:i4>
      </vt:variant>
      <vt:variant>
        <vt:lpwstr/>
      </vt:variant>
      <vt:variant>
        <vt:lpwstr>_Toc171438612</vt:lpwstr>
      </vt:variant>
      <vt:variant>
        <vt:i4>1900597</vt:i4>
      </vt:variant>
      <vt:variant>
        <vt:i4>152</vt:i4>
      </vt:variant>
      <vt:variant>
        <vt:i4>0</vt:i4>
      </vt:variant>
      <vt:variant>
        <vt:i4>5</vt:i4>
      </vt:variant>
      <vt:variant>
        <vt:lpwstr/>
      </vt:variant>
      <vt:variant>
        <vt:lpwstr>_Toc171438611</vt:lpwstr>
      </vt:variant>
      <vt:variant>
        <vt:i4>1900597</vt:i4>
      </vt:variant>
      <vt:variant>
        <vt:i4>146</vt:i4>
      </vt:variant>
      <vt:variant>
        <vt:i4>0</vt:i4>
      </vt:variant>
      <vt:variant>
        <vt:i4>5</vt:i4>
      </vt:variant>
      <vt:variant>
        <vt:lpwstr/>
      </vt:variant>
      <vt:variant>
        <vt:lpwstr>_Toc171438610</vt:lpwstr>
      </vt:variant>
      <vt:variant>
        <vt:i4>1835061</vt:i4>
      </vt:variant>
      <vt:variant>
        <vt:i4>140</vt:i4>
      </vt:variant>
      <vt:variant>
        <vt:i4>0</vt:i4>
      </vt:variant>
      <vt:variant>
        <vt:i4>5</vt:i4>
      </vt:variant>
      <vt:variant>
        <vt:lpwstr/>
      </vt:variant>
      <vt:variant>
        <vt:lpwstr>_Toc171438609</vt:lpwstr>
      </vt:variant>
      <vt:variant>
        <vt:i4>1048631</vt:i4>
      </vt:variant>
      <vt:variant>
        <vt:i4>131</vt:i4>
      </vt:variant>
      <vt:variant>
        <vt:i4>0</vt:i4>
      </vt:variant>
      <vt:variant>
        <vt:i4>5</vt:i4>
      </vt:variant>
      <vt:variant>
        <vt:lpwstr/>
      </vt:variant>
      <vt:variant>
        <vt:lpwstr>_Toc171427530</vt:lpwstr>
      </vt:variant>
      <vt:variant>
        <vt:i4>1114167</vt:i4>
      </vt:variant>
      <vt:variant>
        <vt:i4>125</vt:i4>
      </vt:variant>
      <vt:variant>
        <vt:i4>0</vt:i4>
      </vt:variant>
      <vt:variant>
        <vt:i4>5</vt:i4>
      </vt:variant>
      <vt:variant>
        <vt:lpwstr/>
      </vt:variant>
      <vt:variant>
        <vt:lpwstr>_Toc171427529</vt:lpwstr>
      </vt:variant>
      <vt:variant>
        <vt:i4>1114167</vt:i4>
      </vt:variant>
      <vt:variant>
        <vt:i4>119</vt:i4>
      </vt:variant>
      <vt:variant>
        <vt:i4>0</vt:i4>
      </vt:variant>
      <vt:variant>
        <vt:i4>5</vt:i4>
      </vt:variant>
      <vt:variant>
        <vt:lpwstr/>
      </vt:variant>
      <vt:variant>
        <vt:lpwstr>_Toc171427528</vt:lpwstr>
      </vt:variant>
      <vt:variant>
        <vt:i4>1114167</vt:i4>
      </vt:variant>
      <vt:variant>
        <vt:i4>113</vt:i4>
      </vt:variant>
      <vt:variant>
        <vt:i4>0</vt:i4>
      </vt:variant>
      <vt:variant>
        <vt:i4>5</vt:i4>
      </vt:variant>
      <vt:variant>
        <vt:lpwstr/>
      </vt:variant>
      <vt:variant>
        <vt:lpwstr>_Toc171427527</vt:lpwstr>
      </vt:variant>
      <vt:variant>
        <vt:i4>1114167</vt:i4>
      </vt:variant>
      <vt:variant>
        <vt:i4>107</vt:i4>
      </vt:variant>
      <vt:variant>
        <vt:i4>0</vt:i4>
      </vt:variant>
      <vt:variant>
        <vt:i4>5</vt:i4>
      </vt:variant>
      <vt:variant>
        <vt:lpwstr/>
      </vt:variant>
      <vt:variant>
        <vt:lpwstr>_Toc171427526</vt:lpwstr>
      </vt:variant>
      <vt:variant>
        <vt:i4>1114167</vt:i4>
      </vt:variant>
      <vt:variant>
        <vt:i4>101</vt:i4>
      </vt:variant>
      <vt:variant>
        <vt:i4>0</vt:i4>
      </vt:variant>
      <vt:variant>
        <vt:i4>5</vt:i4>
      </vt:variant>
      <vt:variant>
        <vt:lpwstr/>
      </vt:variant>
      <vt:variant>
        <vt:lpwstr>_Toc171427525</vt:lpwstr>
      </vt:variant>
      <vt:variant>
        <vt:i4>1114167</vt:i4>
      </vt:variant>
      <vt:variant>
        <vt:i4>95</vt:i4>
      </vt:variant>
      <vt:variant>
        <vt:i4>0</vt:i4>
      </vt:variant>
      <vt:variant>
        <vt:i4>5</vt:i4>
      </vt:variant>
      <vt:variant>
        <vt:lpwstr/>
      </vt:variant>
      <vt:variant>
        <vt:lpwstr>_Toc171427524</vt:lpwstr>
      </vt:variant>
      <vt:variant>
        <vt:i4>1114167</vt:i4>
      </vt:variant>
      <vt:variant>
        <vt:i4>89</vt:i4>
      </vt:variant>
      <vt:variant>
        <vt:i4>0</vt:i4>
      </vt:variant>
      <vt:variant>
        <vt:i4>5</vt:i4>
      </vt:variant>
      <vt:variant>
        <vt:lpwstr/>
      </vt:variant>
      <vt:variant>
        <vt:lpwstr>_Toc171427523</vt:lpwstr>
      </vt:variant>
      <vt:variant>
        <vt:i4>1114167</vt:i4>
      </vt:variant>
      <vt:variant>
        <vt:i4>83</vt:i4>
      </vt:variant>
      <vt:variant>
        <vt:i4>0</vt:i4>
      </vt:variant>
      <vt:variant>
        <vt:i4>5</vt:i4>
      </vt:variant>
      <vt:variant>
        <vt:lpwstr/>
      </vt:variant>
      <vt:variant>
        <vt:lpwstr>_Toc171427522</vt:lpwstr>
      </vt:variant>
      <vt:variant>
        <vt:i4>1114167</vt:i4>
      </vt:variant>
      <vt:variant>
        <vt:i4>77</vt:i4>
      </vt:variant>
      <vt:variant>
        <vt:i4>0</vt:i4>
      </vt:variant>
      <vt:variant>
        <vt:i4>5</vt:i4>
      </vt:variant>
      <vt:variant>
        <vt:lpwstr/>
      </vt:variant>
      <vt:variant>
        <vt:lpwstr>_Toc171427521</vt:lpwstr>
      </vt:variant>
      <vt:variant>
        <vt:i4>1114167</vt:i4>
      </vt:variant>
      <vt:variant>
        <vt:i4>71</vt:i4>
      </vt:variant>
      <vt:variant>
        <vt:i4>0</vt:i4>
      </vt:variant>
      <vt:variant>
        <vt:i4>5</vt:i4>
      </vt:variant>
      <vt:variant>
        <vt:lpwstr/>
      </vt:variant>
      <vt:variant>
        <vt:lpwstr>_Toc171427520</vt:lpwstr>
      </vt:variant>
      <vt:variant>
        <vt:i4>1179703</vt:i4>
      </vt:variant>
      <vt:variant>
        <vt:i4>65</vt:i4>
      </vt:variant>
      <vt:variant>
        <vt:i4>0</vt:i4>
      </vt:variant>
      <vt:variant>
        <vt:i4>5</vt:i4>
      </vt:variant>
      <vt:variant>
        <vt:lpwstr/>
      </vt:variant>
      <vt:variant>
        <vt:lpwstr>_Toc171427519</vt:lpwstr>
      </vt:variant>
      <vt:variant>
        <vt:i4>1179703</vt:i4>
      </vt:variant>
      <vt:variant>
        <vt:i4>59</vt:i4>
      </vt:variant>
      <vt:variant>
        <vt:i4>0</vt:i4>
      </vt:variant>
      <vt:variant>
        <vt:i4>5</vt:i4>
      </vt:variant>
      <vt:variant>
        <vt:lpwstr/>
      </vt:variant>
      <vt:variant>
        <vt:lpwstr>_Toc171427518</vt:lpwstr>
      </vt:variant>
      <vt:variant>
        <vt:i4>1179703</vt:i4>
      </vt:variant>
      <vt:variant>
        <vt:i4>53</vt:i4>
      </vt:variant>
      <vt:variant>
        <vt:i4>0</vt:i4>
      </vt:variant>
      <vt:variant>
        <vt:i4>5</vt:i4>
      </vt:variant>
      <vt:variant>
        <vt:lpwstr/>
      </vt:variant>
      <vt:variant>
        <vt:lpwstr>_Toc171427517</vt:lpwstr>
      </vt:variant>
      <vt:variant>
        <vt:i4>1179703</vt:i4>
      </vt:variant>
      <vt:variant>
        <vt:i4>47</vt:i4>
      </vt:variant>
      <vt:variant>
        <vt:i4>0</vt:i4>
      </vt:variant>
      <vt:variant>
        <vt:i4>5</vt:i4>
      </vt:variant>
      <vt:variant>
        <vt:lpwstr/>
      </vt:variant>
      <vt:variant>
        <vt:lpwstr>_Toc171427516</vt:lpwstr>
      </vt:variant>
      <vt:variant>
        <vt:i4>1179703</vt:i4>
      </vt:variant>
      <vt:variant>
        <vt:i4>41</vt:i4>
      </vt:variant>
      <vt:variant>
        <vt:i4>0</vt:i4>
      </vt:variant>
      <vt:variant>
        <vt:i4>5</vt:i4>
      </vt:variant>
      <vt:variant>
        <vt:lpwstr/>
      </vt:variant>
      <vt:variant>
        <vt:lpwstr>_Toc171427515</vt:lpwstr>
      </vt:variant>
      <vt:variant>
        <vt:i4>1179703</vt:i4>
      </vt:variant>
      <vt:variant>
        <vt:i4>35</vt:i4>
      </vt:variant>
      <vt:variant>
        <vt:i4>0</vt:i4>
      </vt:variant>
      <vt:variant>
        <vt:i4>5</vt:i4>
      </vt:variant>
      <vt:variant>
        <vt:lpwstr/>
      </vt:variant>
      <vt:variant>
        <vt:lpwstr>_Toc171427514</vt:lpwstr>
      </vt:variant>
      <vt:variant>
        <vt:i4>1179703</vt:i4>
      </vt:variant>
      <vt:variant>
        <vt:i4>29</vt:i4>
      </vt:variant>
      <vt:variant>
        <vt:i4>0</vt:i4>
      </vt:variant>
      <vt:variant>
        <vt:i4>5</vt:i4>
      </vt:variant>
      <vt:variant>
        <vt:lpwstr/>
      </vt:variant>
      <vt:variant>
        <vt:lpwstr>_Toc171427513</vt:lpwstr>
      </vt:variant>
      <vt:variant>
        <vt:i4>1179703</vt:i4>
      </vt:variant>
      <vt:variant>
        <vt:i4>23</vt:i4>
      </vt:variant>
      <vt:variant>
        <vt:i4>0</vt:i4>
      </vt:variant>
      <vt:variant>
        <vt:i4>5</vt:i4>
      </vt:variant>
      <vt:variant>
        <vt:lpwstr/>
      </vt:variant>
      <vt:variant>
        <vt:lpwstr>_Toc171427512</vt:lpwstr>
      </vt:variant>
      <vt:variant>
        <vt:i4>1179703</vt:i4>
      </vt:variant>
      <vt:variant>
        <vt:i4>17</vt:i4>
      </vt:variant>
      <vt:variant>
        <vt:i4>0</vt:i4>
      </vt:variant>
      <vt:variant>
        <vt:i4>5</vt:i4>
      </vt:variant>
      <vt:variant>
        <vt:lpwstr/>
      </vt:variant>
      <vt:variant>
        <vt:lpwstr>_Toc171427511</vt:lpwstr>
      </vt:variant>
      <vt:variant>
        <vt:i4>1179703</vt:i4>
      </vt:variant>
      <vt:variant>
        <vt:i4>11</vt:i4>
      </vt:variant>
      <vt:variant>
        <vt:i4>0</vt:i4>
      </vt:variant>
      <vt:variant>
        <vt:i4>5</vt:i4>
      </vt:variant>
      <vt:variant>
        <vt:lpwstr/>
      </vt:variant>
      <vt:variant>
        <vt:lpwstr>_Toc171427510</vt:lpwstr>
      </vt:variant>
      <vt:variant>
        <vt:i4>1245239</vt:i4>
      </vt:variant>
      <vt:variant>
        <vt:i4>5</vt:i4>
      </vt:variant>
      <vt:variant>
        <vt:i4>0</vt:i4>
      </vt:variant>
      <vt:variant>
        <vt:i4>5</vt:i4>
      </vt:variant>
      <vt:variant>
        <vt:lpwstr/>
      </vt:variant>
      <vt:variant>
        <vt:lpwstr>_Toc171427509</vt:lpwstr>
      </vt:variant>
      <vt:variant>
        <vt:i4>917531</vt:i4>
      </vt:variant>
      <vt:variant>
        <vt:i4>0</vt:i4>
      </vt:variant>
      <vt:variant>
        <vt:i4>0</vt:i4>
      </vt:variant>
      <vt:variant>
        <vt:i4>5</vt:i4>
      </vt:variant>
      <vt:variant>
        <vt:lpwstr>https://environment.govt.nz/</vt:lpwstr>
      </vt:variant>
      <vt:variant>
        <vt:lpwstr/>
      </vt:variant>
      <vt:variant>
        <vt:i4>1114117</vt:i4>
      </vt:variant>
      <vt:variant>
        <vt:i4>48</vt:i4>
      </vt:variant>
      <vt:variant>
        <vt:i4>0</vt:i4>
      </vt:variant>
      <vt:variant>
        <vt:i4>5</vt:i4>
      </vt:variant>
      <vt:variant>
        <vt:lpwstr>https://www.gasindustry.co.nz/assets/CoverDocument/Gas-Supply-and-Demand-Study-December-2023.pdf</vt:lpwstr>
      </vt:variant>
      <vt:variant>
        <vt:lpwstr/>
      </vt:variant>
      <vt:variant>
        <vt:i4>1376337</vt:i4>
      </vt:variant>
      <vt:variant>
        <vt:i4>45</vt:i4>
      </vt:variant>
      <vt:variant>
        <vt:i4>0</vt:i4>
      </vt:variant>
      <vt:variant>
        <vt:i4>5</vt:i4>
      </vt:variant>
      <vt:variant>
        <vt:lpwstr>https://www.gasindustry.co.nz/assets/CoverDocument/Review-of-CCUS-CCS-Potential-in-New-Zealand-March-2023.pdf</vt:lpwstr>
      </vt:variant>
      <vt:variant>
        <vt:lpwstr/>
      </vt:variant>
      <vt:variant>
        <vt:i4>6619255</vt:i4>
      </vt:variant>
      <vt:variant>
        <vt:i4>42</vt:i4>
      </vt:variant>
      <vt:variant>
        <vt:i4>0</vt:i4>
      </vt:variant>
      <vt:variant>
        <vt:i4>5</vt:i4>
      </vt:variant>
      <vt:variant>
        <vt:lpwstr>https://tewaihanga.govt.nz/our-work/research-insights/infrastructure-consenting-for-climate-targets</vt:lpwstr>
      </vt:variant>
      <vt:variant>
        <vt:lpwstr/>
      </vt:variant>
      <vt:variant>
        <vt:i4>2621474</vt:i4>
      </vt:variant>
      <vt:variant>
        <vt:i4>39</vt:i4>
      </vt:variant>
      <vt:variant>
        <vt:i4>0</vt:i4>
      </vt:variant>
      <vt:variant>
        <vt:i4>5</vt:i4>
      </vt:variant>
      <vt:variant>
        <vt:lpwstr>https://www.mbie.govt.nz/building-and-energy/energy-and-natural-resources/energy-statistics-and-modelling/energy-statistics/new-zealand-energy-sector-greenhouse-gas-emissions</vt:lpwstr>
      </vt:variant>
      <vt:variant>
        <vt:lpwstr/>
      </vt:variant>
      <vt:variant>
        <vt:i4>2293861</vt:i4>
      </vt:variant>
      <vt:variant>
        <vt:i4>36</vt:i4>
      </vt:variant>
      <vt:variant>
        <vt:i4>0</vt:i4>
      </vt:variant>
      <vt:variant>
        <vt:i4>5</vt:i4>
      </vt:variant>
      <vt:variant>
        <vt:lpwstr>https://environment.govt.nz/publications/national-policy-statement-for-greenhouse-gas-emissions-from-industrial-process-heat-2023/</vt:lpwstr>
      </vt:variant>
      <vt:variant>
        <vt:lpwstr/>
      </vt:variant>
      <vt:variant>
        <vt:i4>196674</vt:i4>
      </vt:variant>
      <vt:variant>
        <vt:i4>33</vt:i4>
      </vt:variant>
      <vt:variant>
        <vt:i4>0</vt:i4>
      </vt:variant>
      <vt:variant>
        <vt:i4>5</vt:i4>
      </vt:variant>
      <vt:variant>
        <vt:lpwstr>https://environment.govt.nz/what-government-is-doing/areas-of-work/climate-change/nationally-determined-contribution/</vt:lpwstr>
      </vt:variant>
      <vt:variant>
        <vt:lpwstr/>
      </vt:variant>
      <vt:variant>
        <vt:i4>2293861</vt:i4>
      </vt:variant>
      <vt:variant>
        <vt:i4>30</vt:i4>
      </vt:variant>
      <vt:variant>
        <vt:i4>0</vt:i4>
      </vt:variant>
      <vt:variant>
        <vt:i4>5</vt:i4>
      </vt:variant>
      <vt:variant>
        <vt:lpwstr>https://environment.govt.nz/publications/national-policy-statement-for-greenhouse-gas-emissions-from-industrial-process-heat-2023/</vt:lpwstr>
      </vt:variant>
      <vt:variant>
        <vt:lpwstr/>
      </vt:variant>
      <vt:variant>
        <vt:i4>4718597</vt:i4>
      </vt:variant>
      <vt:variant>
        <vt:i4>27</vt:i4>
      </vt:variant>
      <vt:variant>
        <vt:i4>0</vt:i4>
      </vt:variant>
      <vt:variant>
        <vt:i4>5</vt:i4>
      </vt:variant>
      <vt:variant>
        <vt:lpwstr>https://environment.govt.nz/publications/planned-methodological-improvements-for-new-zealands-greenhouse-gas-inventory-19902022/</vt:lpwstr>
      </vt:variant>
      <vt:variant>
        <vt:lpwstr/>
      </vt:variant>
      <vt:variant>
        <vt:i4>6029382</vt:i4>
      </vt:variant>
      <vt:variant>
        <vt:i4>24</vt:i4>
      </vt:variant>
      <vt:variant>
        <vt:i4>0</vt:i4>
      </vt:variant>
      <vt:variant>
        <vt:i4>5</vt:i4>
      </vt:variant>
      <vt:variant>
        <vt:lpwstr>https://environment.govt.nz/facts-and-science/climate-change/new-zealands-projected-greenhouse-gas-emissions-to-2050/</vt:lpwstr>
      </vt:variant>
      <vt:variant>
        <vt:lpwstr/>
      </vt:variant>
      <vt:variant>
        <vt:i4>5701702</vt:i4>
      </vt:variant>
      <vt:variant>
        <vt:i4>21</vt:i4>
      </vt:variant>
      <vt:variant>
        <vt:i4>0</vt:i4>
      </vt:variant>
      <vt:variant>
        <vt:i4>5</vt:i4>
      </vt:variant>
      <vt:variant>
        <vt:lpwstr>https://environment.govt.nz/publications/marginal-abatement-cost-curves-analysis-for-new-zealand-potential-greenhouse-gas-mitigation-options-and-their-costs/</vt:lpwstr>
      </vt:variant>
      <vt:variant>
        <vt:lpwstr/>
      </vt:variant>
      <vt:variant>
        <vt:i4>6291574</vt:i4>
      </vt:variant>
      <vt:variant>
        <vt:i4>18</vt:i4>
      </vt:variant>
      <vt:variant>
        <vt:i4>0</vt:i4>
      </vt:variant>
      <vt:variant>
        <vt:i4>5</vt:i4>
      </vt:variant>
      <vt:variant>
        <vt:lpwstr>https://www.climatecommission.govt.nz/public/Uploads/EB4/supporting-docs/Technical-Annex-Modelling-and-analysis-9-4.pdf</vt:lpwstr>
      </vt:variant>
      <vt:variant>
        <vt:lpwstr/>
      </vt:variant>
      <vt:variant>
        <vt:i4>196682</vt:i4>
      </vt:variant>
      <vt:variant>
        <vt:i4>15</vt:i4>
      </vt:variant>
      <vt:variant>
        <vt:i4>0</vt:i4>
      </vt:variant>
      <vt:variant>
        <vt:i4>5</vt:i4>
      </vt:variant>
      <vt:variant>
        <vt:lpwstr>https://www.climatecommission.govt.nz/public/Inaia-tonu-nei-a-low-emissions-future-for-Aotearoa/Modelling-files/ENZ-manual-aug-21.pdf</vt:lpwstr>
      </vt:variant>
      <vt:variant>
        <vt:lpwstr/>
      </vt:variant>
      <vt:variant>
        <vt:i4>5767250</vt:i4>
      </vt:variant>
      <vt:variant>
        <vt:i4>12</vt:i4>
      </vt:variant>
      <vt:variant>
        <vt:i4>0</vt:i4>
      </vt:variant>
      <vt:variant>
        <vt:i4>5</vt:i4>
      </vt:variant>
      <vt:variant>
        <vt:lpwstr>https://web-assets.bcg.com/b3/79/19665b7f40c8ba52d5b372cf7e6c/the-future-is-electric-full-report-october-2022.pdf</vt:lpwstr>
      </vt:variant>
      <vt:variant>
        <vt:lpwstr/>
      </vt:variant>
      <vt:variant>
        <vt:i4>3276925</vt:i4>
      </vt:variant>
      <vt:variant>
        <vt:i4>9</vt:i4>
      </vt:variant>
      <vt:variant>
        <vt:i4>0</vt:i4>
      </vt:variant>
      <vt:variant>
        <vt:i4>5</vt:i4>
      </vt:variant>
      <vt:variant>
        <vt:lpwstr>https://environment.govt.nz/facts-and-science/climate-change/new-zealands-greenhouse-gas-inventory/</vt:lpwstr>
      </vt:variant>
      <vt:variant>
        <vt:lpwstr/>
      </vt:variant>
      <vt:variant>
        <vt:i4>4784153</vt:i4>
      </vt:variant>
      <vt:variant>
        <vt:i4>6</vt:i4>
      </vt:variant>
      <vt:variant>
        <vt:i4>0</vt:i4>
      </vt:variant>
      <vt:variant>
        <vt:i4>5</vt:i4>
      </vt:variant>
      <vt:variant>
        <vt:lpwstr>https://environment.govt.nz/publications/review-of-the-new-zealand-emissions-trading-scheme-summary-of-modelling/</vt:lpwstr>
      </vt:variant>
      <vt:variant>
        <vt:lpwstr/>
      </vt:variant>
      <vt:variant>
        <vt:i4>6029382</vt:i4>
      </vt:variant>
      <vt:variant>
        <vt:i4>3</vt:i4>
      </vt:variant>
      <vt:variant>
        <vt:i4>0</vt:i4>
      </vt:variant>
      <vt:variant>
        <vt:i4>5</vt:i4>
      </vt:variant>
      <vt:variant>
        <vt:lpwstr>https://environment.govt.nz/facts-and-science/climate-change/new-zealands-projected-greenhouse-gas-emissions-to-2050/</vt:lpwstr>
      </vt:variant>
      <vt:variant>
        <vt:lpwstr/>
      </vt:variant>
      <vt:variant>
        <vt:i4>6488096</vt:i4>
      </vt:variant>
      <vt:variant>
        <vt:i4>0</vt:i4>
      </vt:variant>
      <vt:variant>
        <vt:i4>0</vt:i4>
      </vt:variant>
      <vt:variant>
        <vt:i4>5</vt:i4>
      </vt:variant>
      <vt:variant>
        <vt:lpwstr>https://www.ipcc.ch/site/assets/uploads/2018/05/SYR_AR5_FINAL_full_wcover.pdf</vt:lpwstr>
      </vt:variant>
      <vt:variant>
        <vt:lpwstr/>
      </vt:variant>
      <vt:variant>
        <vt:i4>5832827</vt:i4>
      </vt:variant>
      <vt:variant>
        <vt:i4>12</vt:i4>
      </vt:variant>
      <vt:variant>
        <vt:i4>0</vt:i4>
      </vt:variant>
      <vt:variant>
        <vt:i4>5</vt:i4>
      </vt:variant>
      <vt:variant>
        <vt:lpwstr>mailto:Tim.Denne@mfe.govt.nz</vt:lpwstr>
      </vt:variant>
      <vt:variant>
        <vt:lpwstr/>
      </vt:variant>
      <vt:variant>
        <vt:i4>5832827</vt:i4>
      </vt:variant>
      <vt:variant>
        <vt:i4>9</vt:i4>
      </vt:variant>
      <vt:variant>
        <vt:i4>0</vt:i4>
      </vt:variant>
      <vt:variant>
        <vt:i4>5</vt:i4>
      </vt:variant>
      <vt:variant>
        <vt:lpwstr>mailto:Tim.Denne@mfe.govt.nz</vt:lpwstr>
      </vt:variant>
      <vt:variant>
        <vt:lpwstr/>
      </vt:variant>
      <vt:variant>
        <vt:i4>4915318</vt:i4>
      </vt:variant>
      <vt:variant>
        <vt:i4>6</vt:i4>
      </vt:variant>
      <vt:variant>
        <vt:i4>0</vt:i4>
      </vt:variant>
      <vt:variant>
        <vt:i4>5</vt:i4>
      </vt:variant>
      <vt:variant>
        <vt:lpwstr>mailto:Katrina.Walsh@mfe.govt.nz</vt:lpwstr>
      </vt:variant>
      <vt:variant>
        <vt:lpwstr/>
      </vt:variant>
      <vt:variant>
        <vt:i4>5832827</vt:i4>
      </vt:variant>
      <vt:variant>
        <vt:i4>3</vt:i4>
      </vt:variant>
      <vt:variant>
        <vt:i4>0</vt:i4>
      </vt:variant>
      <vt:variant>
        <vt:i4>5</vt:i4>
      </vt:variant>
      <vt:variant>
        <vt:lpwstr>mailto:Tim.Denne@mfe.govt.nz</vt:lpwstr>
      </vt:variant>
      <vt:variant>
        <vt:lpwstr/>
      </vt:variant>
      <vt:variant>
        <vt:i4>5832827</vt:i4>
      </vt:variant>
      <vt:variant>
        <vt:i4>0</vt:i4>
      </vt:variant>
      <vt:variant>
        <vt:i4>0</vt:i4>
      </vt:variant>
      <vt:variant>
        <vt:i4>5</vt:i4>
      </vt:variant>
      <vt:variant>
        <vt:lpwstr>mailto:Tim.Denne@mfe.govt.nz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DenneTim</dc:creator>
  <cp:keywords/>
  <cp:lastModifiedBy>Katrina Walsh</cp:lastModifiedBy>
  <cp:revision>8</cp:revision>
  <cp:lastPrinted>2024-07-02T05:48:00Z</cp:lastPrinted>
  <dcterms:created xsi:type="dcterms:W3CDTF">2024-07-19T00:45:00Z</dcterms:created>
  <dcterms:modified xsi:type="dcterms:W3CDTF">2024-07-19T04:51:00Z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0x0101006CF0ED3E7071764B921C4E27244E093B</vt:lpwstr>
  </property>
  <property fmtid="{D5CDD505-2E9C-101B-9397-08002B2CF9AE}" pid="3" name="_dlc_DocIdItemGuid">
    <vt:lpwstr>c39fa9a2-23e1-442e-820c-07475cfb5f11</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