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370A1" w14:textId="6C77CB86" w:rsidR="0003640E" w:rsidRPr="004A3CC2" w:rsidRDefault="48DE0FAB" w:rsidP="001D6BE0">
      <w:pPr>
        <w:pStyle w:val="Subtitle"/>
      </w:pPr>
      <w:r>
        <w:rPr>
          <w:noProof/>
        </w:rPr>
        <w:drawing>
          <wp:anchor distT="0" distB="0" distL="114300" distR="114300" simplePos="0" relativeHeight="251658240" behindDoc="0" locked="0" layoutInCell="1" allowOverlap="1" wp14:anchorId="31970BB2" wp14:editId="401FDDAB">
            <wp:simplePos x="0" y="0"/>
            <wp:positionH relativeFrom="page">
              <wp:align>left</wp:align>
            </wp:positionH>
            <wp:positionV relativeFrom="page">
              <wp:align>top</wp:align>
            </wp:positionV>
            <wp:extent cx="7562850" cy="10693604"/>
            <wp:effectExtent l="0" t="0" r="0" b="0"/>
            <wp:wrapSquare wrapText="bothSides"/>
            <wp:docPr id="185912176" name="Picture 18591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581191" cy="10719537"/>
                    </a:xfrm>
                    <a:prstGeom prst="rect">
                      <a:avLst/>
                    </a:prstGeom>
                  </pic:spPr>
                </pic:pic>
              </a:graphicData>
            </a:graphic>
            <wp14:sizeRelH relativeFrom="margin">
              <wp14:pctWidth>0</wp14:pctWidth>
            </wp14:sizeRelH>
            <wp14:sizeRelV relativeFrom="margin">
              <wp14:pctHeight>0</wp14:pctHeight>
            </wp14:sizeRelV>
          </wp:anchor>
        </w:drawing>
      </w:r>
    </w:p>
    <w:p w14:paraId="3D1D1898" w14:textId="77777777" w:rsidR="00E362A9" w:rsidRDefault="00E362A9" w:rsidP="0003640E">
      <w:pPr>
        <w:pStyle w:val="BodyText"/>
        <w:sectPr w:rsidR="00E362A9" w:rsidSect="00B86F2A">
          <w:headerReference w:type="default" r:id="rId13"/>
          <w:footerReference w:type="default" r:id="rId14"/>
          <w:pgSz w:w="11907" w:h="16840" w:code="9"/>
          <w:pgMar w:top="5670" w:right="1701" w:bottom="1701" w:left="1701" w:header="567" w:footer="1134" w:gutter="0"/>
          <w:cols w:space="720"/>
        </w:sectPr>
      </w:pPr>
    </w:p>
    <w:p w14:paraId="3485169D" w14:textId="77777777" w:rsidR="00D509A3" w:rsidRDefault="00D509A3" w:rsidP="00775F57">
      <w:pPr>
        <w:pStyle w:val="Imprint"/>
        <w:spacing w:before="0" w:after="0"/>
        <w:rPr>
          <w:b/>
        </w:rPr>
        <w:sectPr w:rsidR="00D509A3" w:rsidSect="00844839">
          <w:headerReference w:type="even" r:id="rId15"/>
          <w:headerReference w:type="default" r:id="rId16"/>
          <w:footerReference w:type="even" r:id="rId17"/>
          <w:footerReference w:type="default" r:id="rId18"/>
          <w:pgSz w:w="11907" w:h="16840" w:code="9"/>
          <w:pgMar w:top="1134" w:right="1701" w:bottom="1134" w:left="1701" w:header="567" w:footer="567" w:gutter="0"/>
          <w:cols w:space="720"/>
        </w:sectPr>
      </w:pPr>
    </w:p>
    <w:p w14:paraId="1B8E2F2F" w14:textId="25FCF99B" w:rsidR="00452EC4" w:rsidRPr="006B77BB" w:rsidRDefault="00452EC4" w:rsidP="00775F57">
      <w:pPr>
        <w:pStyle w:val="Imprint"/>
        <w:spacing w:before="0" w:after="0"/>
        <w:rPr>
          <w:b/>
        </w:rPr>
      </w:pPr>
      <w:r w:rsidRPr="006B77BB">
        <w:rPr>
          <w:b/>
        </w:rPr>
        <w:t>Disclaimer</w:t>
      </w:r>
    </w:p>
    <w:p w14:paraId="0F027B6E" w14:textId="0D2BC421" w:rsidR="0059040D" w:rsidRDefault="0059040D" w:rsidP="0059040D">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6D45D2BF" w14:textId="77777777" w:rsidR="0059040D" w:rsidRDefault="0059040D" w:rsidP="00D01DD6">
      <w:pPr>
        <w:pStyle w:val="Bullet"/>
      </w:pPr>
      <w:r>
        <w:t xml:space="preserve">the information does not alter the laws of New Zealand, other official guidelines, or requirements </w:t>
      </w:r>
    </w:p>
    <w:p w14:paraId="2AB2D489" w14:textId="77777777" w:rsidR="0059040D" w:rsidRDefault="0059040D" w:rsidP="00D01DD6">
      <w:pPr>
        <w:pStyle w:val="Bullet"/>
      </w:pPr>
      <w:r>
        <w:t xml:space="preserve">it does not constitute legal advice, and users should take specific advice from qualified professionals before taking any action based on information in this publication </w:t>
      </w:r>
    </w:p>
    <w:p w14:paraId="29905C05" w14:textId="77777777" w:rsidR="0059040D" w:rsidRDefault="0059040D" w:rsidP="00D01DD6">
      <w:pPr>
        <w:pStyle w:val="Bullet"/>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2226F3E6" w14:textId="77777777" w:rsidR="00452EC4" w:rsidRPr="006B77BB" w:rsidRDefault="0059040D" w:rsidP="00D01DD6">
      <w:pPr>
        <w:pStyle w:val="Bullet"/>
      </w:pPr>
      <w:r>
        <w:t>all references to websites, organisations or people not within the Ministry are for convenience only and should not be taken as endorsement of those websites or information contained in those websites nor of organisations or people referred to.</w:t>
      </w:r>
    </w:p>
    <w:p w14:paraId="27B35A38" w14:textId="7B335D91" w:rsidR="00457135" w:rsidRDefault="00457135" w:rsidP="0080531E">
      <w:pPr>
        <w:pStyle w:val="Imprint"/>
      </w:pPr>
    </w:p>
    <w:p w14:paraId="79911B83" w14:textId="3A0BEF1F" w:rsidR="006634FB" w:rsidRDefault="006634FB" w:rsidP="006634FB">
      <w:pPr>
        <w:pStyle w:val="Imprint"/>
      </w:pPr>
      <w:r>
        <w:t xml:space="preserve">This document may be cited as: Ministry for the Environment. 2024. </w:t>
      </w:r>
      <w:r w:rsidRPr="006634FB">
        <w:rPr>
          <w:i/>
          <w:iCs/>
        </w:rPr>
        <w:t>New Zealand’s first emissions reduction plan: Amendment 2024</w:t>
      </w:r>
      <w:r>
        <w:t>. Wellington: Ministry for the Environment.</w:t>
      </w:r>
    </w:p>
    <w:p w14:paraId="7E8BE822" w14:textId="77777777" w:rsidR="009C493B" w:rsidRDefault="009C493B" w:rsidP="009C493B">
      <w:pPr>
        <w:pStyle w:val="Imprint"/>
      </w:pPr>
      <w:r w:rsidRPr="0B58B722">
        <w:rPr>
          <w:b/>
          <w:bCs/>
        </w:rPr>
        <w:t>This emissions reduction plan amendment is published by the Minister of Climate Change under section 5ZI of the Climate Change Response Act 2002.</w:t>
      </w:r>
    </w:p>
    <w:p w14:paraId="04142CBD" w14:textId="77777777" w:rsidR="006634FB" w:rsidRDefault="006634FB" w:rsidP="006634FB">
      <w:pPr>
        <w:pStyle w:val="Imprint"/>
      </w:pPr>
    </w:p>
    <w:p w14:paraId="761FEAE5" w14:textId="77777777" w:rsidR="006634FB" w:rsidRDefault="006634FB" w:rsidP="006634FB">
      <w:pPr>
        <w:pStyle w:val="Imprint"/>
      </w:pPr>
    </w:p>
    <w:p w14:paraId="66CCB3E1" w14:textId="77777777" w:rsidR="006634FB" w:rsidRDefault="006634FB" w:rsidP="006634FB">
      <w:pPr>
        <w:pStyle w:val="Imprint"/>
      </w:pPr>
    </w:p>
    <w:p w14:paraId="5C0A3CD1" w14:textId="4A799D74" w:rsidR="006634FB" w:rsidRDefault="006634FB" w:rsidP="006634FB">
      <w:pPr>
        <w:pStyle w:val="Imprint"/>
      </w:pPr>
      <w:r>
        <w:t>Published in December 2024 by the</w:t>
      </w:r>
      <w:r>
        <w:br/>
        <w:t xml:space="preserve">Ministry for the Environment on behalf of the Climate Change Chief Executives Board </w:t>
      </w:r>
      <w:r>
        <w:br/>
        <w:t>Manatū mō te Taiao</w:t>
      </w:r>
      <w:r>
        <w:br/>
        <w:t>PO Box 10362, Wellington 6143, New Zealand</w:t>
      </w:r>
      <w:r>
        <w:br/>
        <w:t>environment.govt.nz</w:t>
      </w:r>
    </w:p>
    <w:p w14:paraId="0FCC0DA6" w14:textId="53682F07" w:rsidR="006634FB" w:rsidRDefault="006634FB" w:rsidP="006634FB">
      <w:pPr>
        <w:pStyle w:val="Imprint"/>
      </w:pPr>
      <w:r>
        <w:t>ISBN:</w:t>
      </w:r>
      <w:r w:rsidR="3CA8C319">
        <w:t xml:space="preserve"> </w:t>
      </w:r>
      <w:r>
        <w:t>978-1-991140-43-2 (online)</w:t>
      </w:r>
    </w:p>
    <w:p w14:paraId="2234461D" w14:textId="02ABD7AE" w:rsidR="006634FB" w:rsidRDefault="006634FB" w:rsidP="006634FB">
      <w:pPr>
        <w:pStyle w:val="Imprint"/>
      </w:pPr>
      <w:r>
        <w:t xml:space="preserve">Publication number: </w:t>
      </w:r>
      <w:r w:rsidR="5433BE48">
        <w:t>1858</w:t>
      </w:r>
    </w:p>
    <w:p w14:paraId="1D5AF567" w14:textId="2851ADA3" w:rsidR="00130A41" w:rsidRDefault="006634FB" w:rsidP="0080531E">
      <w:pPr>
        <w:pStyle w:val="Imprint"/>
      </w:pPr>
      <w:r>
        <w:t>© Crown copyright New Zealand 2024</w:t>
      </w:r>
    </w:p>
    <w:p w14:paraId="1ECEA4E2" w14:textId="77777777" w:rsidR="0080531E" w:rsidRDefault="0080531E" w:rsidP="00A84FE1"/>
    <w:p w14:paraId="28A1C6B6" w14:textId="77777777" w:rsidR="006634FB" w:rsidRPr="00A84FE1" w:rsidRDefault="006634FB" w:rsidP="00A84FE1">
      <w:pPr>
        <w:sectPr w:rsidR="006634FB" w:rsidRPr="00A84FE1" w:rsidSect="002215F3">
          <w:type w:val="continuous"/>
          <w:pgSz w:w="11907" w:h="16840" w:code="9"/>
          <w:pgMar w:top="1440" w:right="1440" w:bottom="1440" w:left="1440" w:header="567" w:footer="567" w:gutter="0"/>
          <w:cols w:space="720"/>
          <w:docGrid w:linePitch="299"/>
        </w:sectPr>
      </w:pPr>
    </w:p>
    <w:p w14:paraId="615107BC" w14:textId="139E34BB" w:rsidR="0080531E" w:rsidRPr="00F06E0B" w:rsidRDefault="0080531E" w:rsidP="00585FD0">
      <w:pPr>
        <w:pStyle w:val="Heading"/>
      </w:pPr>
      <w:r w:rsidRPr="00F06E0B">
        <w:lastRenderedPageBreak/>
        <w:t>Contents</w:t>
      </w:r>
    </w:p>
    <w:p w14:paraId="6004E61C" w14:textId="1998F4E3" w:rsidR="00AE13ED" w:rsidRDefault="00775F57" w:rsidP="008D0E2F">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82398377" w:history="1">
        <w:r w:rsidR="00AE13ED" w:rsidRPr="00AC6025">
          <w:rPr>
            <w:rStyle w:val="Hyperlink"/>
            <w:noProof/>
          </w:rPr>
          <w:t>Introduction</w:t>
        </w:r>
        <w:r w:rsidR="00AE13ED">
          <w:rPr>
            <w:noProof/>
            <w:webHidden/>
          </w:rPr>
          <w:tab/>
        </w:r>
        <w:r w:rsidR="00AE13ED">
          <w:rPr>
            <w:noProof/>
            <w:webHidden/>
          </w:rPr>
          <w:fldChar w:fldCharType="begin"/>
        </w:r>
        <w:r w:rsidR="00AE13ED">
          <w:rPr>
            <w:noProof/>
            <w:webHidden/>
          </w:rPr>
          <w:instrText xml:space="preserve"> PAGEREF _Toc182398377 \h </w:instrText>
        </w:r>
        <w:r w:rsidR="00AE13ED">
          <w:rPr>
            <w:noProof/>
            <w:webHidden/>
          </w:rPr>
        </w:r>
        <w:r w:rsidR="00AE13ED">
          <w:rPr>
            <w:noProof/>
            <w:webHidden/>
          </w:rPr>
          <w:fldChar w:fldCharType="separate"/>
        </w:r>
        <w:r w:rsidR="001C1C70">
          <w:rPr>
            <w:noProof/>
            <w:webHidden/>
          </w:rPr>
          <w:t>4</w:t>
        </w:r>
        <w:r w:rsidR="00AE13ED">
          <w:rPr>
            <w:noProof/>
            <w:webHidden/>
          </w:rPr>
          <w:fldChar w:fldCharType="end"/>
        </w:r>
      </w:hyperlink>
    </w:p>
    <w:p w14:paraId="36FCAC26" w14:textId="466BDFA4" w:rsidR="00AE13ED" w:rsidRDefault="00AE13ED" w:rsidP="008D0E2F">
      <w:pPr>
        <w:pStyle w:val="TOC1"/>
        <w:rPr>
          <w:rFonts w:asciiTheme="minorHAnsi" w:hAnsiTheme="minorHAnsi"/>
          <w:noProof/>
          <w:kern w:val="2"/>
          <w:sz w:val="24"/>
          <w:szCs w:val="24"/>
          <w14:ligatures w14:val="standardContextual"/>
        </w:rPr>
      </w:pPr>
      <w:hyperlink w:anchor="_Toc182398378" w:history="1">
        <w:r w:rsidRPr="00AC6025">
          <w:rPr>
            <w:rStyle w:val="Hyperlink"/>
            <w:noProof/>
          </w:rPr>
          <w:t xml:space="preserve">We are on track to </w:t>
        </w:r>
        <w:r w:rsidR="00D166D9">
          <w:rPr>
            <w:rStyle w:val="Hyperlink"/>
            <w:noProof/>
          </w:rPr>
          <w:t>meet</w:t>
        </w:r>
        <w:r w:rsidRPr="00AC6025">
          <w:rPr>
            <w:rStyle w:val="Hyperlink"/>
            <w:noProof/>
          </w:rPr>
          <w:t xml:space="preserve"> our first two emissions budgets</w:t>
        </w:r>
        <w:r>
          <w:rPr>
            <w:noProof/>
            <w:webHidden/>
          </w:rPr>
          <w:tab/>
        </w:r>
        <w:r>
          <w:rPr>
            <w:noProof/>
            <w:webHidden/>
          </w:rPr>
          <w:fldChar w:fldCharType="begin"/>
        </w:r>
        <w:r>
          <w:rPr>
            <w:noProof/>
            <w:webHidden/>
          </w:rPr>
          <w:instrText xml:space="preserve"> PAGEREF _Toc182398378 \h </w:instrText>
        </w:r>
        <w:r>
          <w:rPr>
            <w:noProof/>
            <w:webHidden/>
          </w:rPr>
        </w:r>
        <w:r>
          <w:rPr>
            <w:noProof/>
            <w:webHidden/>
          </w:rPr>
          <w:fldChar w:fldCharType="separate"/>
        </w:r>
        <w:r w:rsidR="001C1C70">
          <w:rPr>
            <w:noProof/>
            <w:webHidden/>
          </w:rPr>
          <w:t>5</w:t>
        </w:r>
        <w:r>
          <w:rPr>
            <w:noProof/>
            <w:webHidden/>
          </w:rPr>
          <w:fldChar w:fldCharType="end"/>
        </w:r>
      </w:hyperlink>
    </w:p>
    <w:p w14:paraId="1664EE78" w14:textId="5B4DB23E" w:rsidR="00AE13ED" w:rsidRDefault="00AE13ED" w:rsidP="008D0E2F">
      <w:pPr>
        <w:pStyle w:val="TOC2"/>
        <w:rPr>
          <w:rFonts w:asciiTheme="minorHAnsi" w:hAnsiTheme="minorHAnsi"/>
          <w:noProof/>
          <w:kern w:val="2"/>
          <w:sz w:val="24"/>
          <w:szCs w:val="24"/>
          <w14:ligatures w14:val="standardContextual"/>
        </w:rPr>
      </w:pPr>
      <w:hyperlink w:anchor="_Toc182398379" w:history="1">
        <w:r w:rsidRPr="00AC6025">
          <w:rPr>
            <w:rStyle w:val="Hyperlink"/>
            <w:noProof/>
          </w:rPr>
          <w:t>Our approach is delivering results</w:t>
        </w:r>
        <w:r>
          <w:rPr>
            <w:noProof/>
            <w:webHidden/>
          </w:rPr>
          <w:tab/>
        </w:r>
        <w:r>
          <w:rPr>
            <w:noProof/>
            <w:webHidden/>
          </w:rPr>
          <w:fldChar w:fldCharType="begin"/>
        </w:r>
        <w:r>
          <w:rPr>
            <w:noProof/>
            <w:webHidden/>
          </w:rPr>
          <w:instrText xml:space="preserve"> PAGEREF _Toc182398379 \h </w:instrText>
        </w:r>
        <w:r>
          <w:rPr>
            <w:noProof/>
            <w:webHidden/>
          </w:rPr>
        </w:r>
        <w:r>
          <w:rPr>
            <w:noProof/>
            <w:webHidden/>
          </w:rPr>
          <w:fldChar w:fldCharType="separate"/>
        </w:r>
        <w:r w:rsidR="001C1C70">
          <w:rPr>
            <w:noProof/>
            <w:webHidden/>
          </w:rPr>
          <w:t>6</w:t>
        </w:r>
        <w:r>
          <w:rPr>
            <w:noProof/>
            <w:webHidden/>
          </w:rPr>
          <w:fldChar w:fldCharType="end"/>
        </w:r>
      </w:hyperlink>
    </w:p>
    <w:p w14:paraId="391D4211" w14:textId="523AEF7D" w:rsidR="00AE13ED" w:rsidRDefault="00AE13ED" w:rsidP="008D0E2F">
      <w:pPr>
        <w:pStyle w:val="TOC2"/>
        <w:rPr>
          <w:rFonts w:asciiTheme="minorHAnsi" w:hAnsiTheme="minorHAnsi"/>
          <w:noProof/>
          <w:kern w:val="2"/>
          <w:sz w:val="24"/>
          <w:szCs w:val="24"/>
          <w14:ligatures w14:val="standardContextual"/>
        </w:rPr>
      </w:pPr>
      <w:hyperlink w:anchor="_Toc182398380" w:history="1">
        <w:r w:rsidRPr="00AC6025">
          <w:rPr>
            <w:rStyle w:val="Hyperlink"/>
            <w:rFonts w:eastAsia="Georgia" w:cs="Georgia"/>
            <w:noProof/>
            <w:lang w:val="en-US"/>
          </w:rPr>
          <w:t>Getting started with the second emissions reduction plan</w:t>
        </w:r>
        <w:r>
          <w:rPr>
            <w:noProof/>
            <w:webHidden/>
          </w:rPr>
          <w:tab/>
        </w:r>
        <w:r>
          <w:rPr>
            <w:noProof/>
            <w:webHidden/>
          </w:rPr>
          <w:fldChar w:fldCharType="begin"/>
        </w:r>
        <w:r>
          <w:rPr>
            <w:noProof/>
            <w:webHidden/>
          </w:rPr>
          <w:instrText xml:space="preserve"> PAGEREF _Toc182398380 \h </w:instrText>
        </w:r>
        <w:r>
          <w:rPr>
            <w:noProof/>
            <w:webHidden/>
          </w:rPr>
        </w:r>
        <w:r>
          <w:rPr>
            <w:noProof/>
            <w:webHidden/>
          </w:rPr>
          <w:fldChar w:fldCharType="separate"/>
        </w:r>
        <w:r w:rsidR="001C1C70">
          <w:rPr>
            <w:noProof/>
            <w:webHidden/>
          </w:rPr>
          <w:t>7</w:t>
        </w:r>
        <w:r>
          <w:rPr>
            <w:noProof/>
            <w:webHidden/>
          </w:rPr>
          <w:fldChar w:fldCharType="end"/>
        </w:r>
      </w:hyperlink>
    </w:p>
    <w:p w14:paraId="327C632A" w14:textId="5E96AD6C" w:rsidR="00AE13ED" w:rsidRDefault="00AE13ED" w:rsidP="008D0E2F">
      <w:pPr>
        <w:pStyle w:val="TOC1"/>
        <w:rPr>
          <w:rFonts w:asciiTheme="minorHAnsi" w:hAnsiTheme="minorHAnsi"/>
          <w:noProof/>
          <w:kern w:val="2"/>
          <w:sz w:val="24"/>
          <w:szCs w:val="24"/>
          <w14:ligatures w14:val="standardContextual"/>
        </w:rPr>
      </w:pPr>
      <w:hyperlink w:anchor="_Toc182398381" w:history="1">
        <w:r w:rsidRPr="00AC6025">
          <w:rPr>
            <w:rStyle w:val="Hyperlink"/>
            <w:noProof/>
            <w:lang w:val="en-US"/>
          </w:rPr>
          <w:t>How to read the amended plan</w:t>
        </w:r>
        <w:r>
          <w:rPr>
            <w:noProof/>
            <w:webHidden/>
          </w:rPr>
          <w:tab/>
        </w:r>
        <w:r>
          <w:rPr>
            <w:noProof/>
            <w:webHidden/>
          </w:rPr>
          <w:fldChar w:fldCharType="begin"/>
        </w:r>
        <w:r>
          <w:rPr>
            <w:noProof/>
            <w:webHidden/>
          </w:rPr>
          <w:instrText xml:space="preserve"> PAGEREF _Toc182398381 \h </w:instrText>
        </w:r>
        <w:r>
          <w:rPr>
            <w:noProof/>
            <w:webHidden/>
          </w:rPr>
        </w:r>
        <w:r>
          <w:rPr>
            <w:noProof/>
            <w:webHidden/>
          </w:rPr>
          <w:fldChar w:fldCharType="separate"/>
        </w:r>
        <w:r w:rsidR="001C1C70">
          <w:rPr>
            <w:noProof/>
            <w:webHidden/>
          </w:rPr>
          <w:t>9</w:t>
        </w:r>
        <w:r>
          <w:rPr>
            <w:noProof/>
            <w:webHidden/>
          </w:rPr>
          <w:fldChar w:fldCharType="end"/>
        </w:r>
      </w:hyperlink>
    </w:p>
    <w:p w14:paraId="68F505B1" w14:textId="0863F035" w:rsidR="00AE13ED" w:rsidRDefault="00AE13ED" w:rsidP="008D0E2F">
      <w:pPr>
        <w:pStyle w:val="TOC1"/>
        <w:rPr>
          <w:rFonts w:asciiTheme="minorHAnsi" w:hAnsiTheme="minorHAnsi"/>
          <w:noProof/>
          <w:kern w:val="2"/>
          <w:sz w:val="24"/>
          <w:szCs w:val="24"/>
          <w14:ligatures w14:val="standardContextual"/>
        </w:rPr>
      </w:pPr>
      <w:hyperlink w:anchor="_Toc182398382" w:history="1">
        <w:r w:rsidRPr="00AC6025">
          <w:rPr>
            <w:rStyle w:val="Hyperlink"/>
            <w:noProof/>
          </w:rPr>
          <w:t>Appendix 1: Table of discontinued actions</w:t>
        </w:r>
        <w:r>
          <w:rPr>
            <w:noProof/>
            <w:webHidden/>
          </w:rPr>
          <w:tab/>
        </w:r>
        <w:r>
          <w:rPr>
            <w:noProof/>
            <w:webHidden/>
          </w:rPr>
          <w:fldChar w:fldCharType="begin"/>
        </w:r>
        <w:r>
          <w:rPr>
            <w:noProof/>
            <w:webHidden/>
          </w:rPr>
          <w:instrText xml:space="preserve"> PAGEREF _Toc182398382 \h </w:instrText>
        </w:r>
        <w:r>
          <w:rPr>
            <w:noProof/>
            <w:webHidden/>
          </w:rPr>
        </w:r>
        <w:r>
          <w:rPr>
            <w:noProof/>
            <w:webHidden/>
          </w:rPr>
          <w:fldChar w:fldCharType="separate"/>
        </w:r>
        <w:r w:rsidR="001C1C70">
          <w:rPr>
            <w:noProof/>
            <w:webHidden/>
          </w:rPr>
          <w:t>10</w:t>
        </w:r>
        <w:r>
          <w:rPr>
            <w:noProof/>
            <w:webHidden/>
          </w:rPr>
          <w:fldChar w:fldCharType="end"/>
        </w:r>
      </w:hyperlink>
    </w:p>
    <w:p w14:paraId="7CA3F69E" w14:textId="1B08E411" w:rsidR="00AE13ED" w:rsidRDefault="00AE13ED" w:rsidP="008D0E2F">
      <w:pPr>
        <w:pStyle w:val="TOC1"/>
        <w:rPr>
          <w:rFonts w:asciiTheme="minorHAnsi" w:hAnsiTheme="minorHAnsi"/>
          <w:noProof/>
          <w:kern w:val="2"/>
          <w:sz w:val="24"/>
          <w:szCs w:val="24"/>
          <w14:ligatures w14:val="standardContextual"/>
        </w:rPr>
      </w:pPr>
      <w:hyperlink w:anchor="_Toc182398393" w:history="1">
        <w:r w:rsidRPr="00AC6025">
          <w:rPr>
            <w:rStyle w:val="Hyperlink"/>
            <w:noProof/>
          </w:rPr>
          <w:t>Appendix 2: New Zealand’s domestic climate change framework</w:t>
        </w:r>
        <w:r>
          <w:rPr>
            <w:noProof/>
            <w:webHidden/>
          </w:rPr>
          <w:tab/>
        </w:r>
        <w:r>
          <w:rPr>
            <w:noProof/>
            <w:webHidden/>
          </w:rPr>
          <w:fldChar w:fldCharType="begin"/>
        </w:r>
        <w:r>
          <w:rPr>
            <w:noProof/>
            <w:webHidden/>
          </w:rPr>
          <w:instrText xml:space="preserve"> PAGEREF _Toc182398393 \h </w:instrText>
        </w:r>
        <w:r>
          <w:rPr>
            <w:noProof/>
            <w:webHidden/>
          </w:rPr>
        </w:r>
        <w:r>
          <w:rPr>
            <w:noProof/>
            <w:webHidden/>
          </w:rPr>
          <w:fldChar w:fldCharType="separate"/>
        </w:r>
        <w:r w:rsidR="001C1C70">
          <w:rPr>
            <w:noProof/>
            <w:webHidden/>
          </w:rPr>
          <w:t>13</w:t>
        </w:r>
        <w:r>
          <w:rPr>
            <w:noProof/>
            <w:webHidden/>
          </w:rPr>
          <w:fldChar w:fldCharType="end"/>
        </w:r>
      </w:hyperlink>
    </w:p>
    <w:p w14:paraId="23418880" w14:textId="7284D5E6" w:rsidR="00796A6F" w:rsidRPr="00554B30" w:rsidRDefault="00775F57" w:rsidP="009F382E">
      <w:pPr>
        <w:pStyle w:val="Glossary"/>
        <w:tabs>
          <w:tab w:val="right" w:pos="8505"/>
        </w:tabs>
        <w:ind w:right="567"/>
      </w:pPr>
      <w:r w:rsidRPr="006B77BB">
        <w:rPr>
          <w:color w:val="0092CF"/>
        </w:rPr>
        <w:fldChar w:fldCharType="end"/>
      </w:r>
    </w:p>
    <w:p w14:paraId="3014298F" w14:textId="77777777" w:rsidR="009052CB" w:rsidRDefault="009052CB" w:rsidP="009F382E">
      <w:pPr>
        <w:pStyle w:val="Glossary"/>
        <w:tabs>
          <w:tab w:val="left" w:pos="8222"/>
        </w:tabs>
      </w:pPr>
    </w:p>
    <w:p w14:paraId="621DCA1F" w14:textId="77777777" w:rsidR="009052CB" w:rsidRPr="00554B30" w:rsidRDefault="009052CB" w:rsidP="009F382E">
      <w:pPr>
        <w:pStyle w:val="Glossary"/>
        <w:tabs>
          <w:tab w:val="left" w:pos="8222"/>
        </w:tabs>
      </w:pPr>
    </w:p>
    <w:p w14:paraId="241E5F68" w14:textId="77777777" w:rsidR="00532334" w:rsidRPr="006B77BB" w:rsidRDefault="00532334" w:rsidP="009F382E">
      <w:pPr>
        <w:pStyle w:val="Heading"/>
        <w:tabs>
          <w:tab w:val="left" w:pos="8222"/>
        </w:tabs>
      </w:pPr>
      <w:r w:rsidRPr="006B77BB">
        <w:t>Tables</w:t>
      </w:r>
    </w:p>
    <w:p w14:paraId="712582BA" w14:textId="038711DE" w:rsidR="0080652A" w:rsidRDefault="004943C2" w:rsidP="009F382E">
      <w:pPr>
        <w:pStyle w:val="TableofFigures"/>
        <w:tabs>
          <w:tab w:val="right" w:pos="8505"/>
          <w:tab w:val="right" w:pos="9487"/>
        </w:tabs>
        <w:ind w:right="1276"/>
        <w:rPr>
          <w:rFonts w:asciiTheme="minorHAnsi" w:hAnsiTheme="minorHAnsi"/>
          <w:noProof/>
          <w:kern w:val="2"/>
          <w:sz w:val="24"/>
          <w:szCs w:val="24"/>
          <w14:ligatures w14:val="standardContextual"/>
        </w:rPr>
      </w:pPr>
      <w:r w:rsidRPr="006B77BB">
        <w:fldChar w:fldCharType="begin"/>
      </w:r>
      <w:r w:rsidRPr="006B77BB">
        <w:instrText xml:space="preserve"> TOC \h \z \t "Table heading" \c </w:instrText>
      </w:r>
      <w:r w:rsidRPr="006B77BB">
        <w:fldChar w:fldCharType="separate"/>
      </w:r>
      <w:hyperlink w:anchor="_Toc182490789" w:history="1">
        <w:r w:rsidR="0080652A" w:rsidRPr="002B5226">
          <w:rPr>
            <w:rStyle w:val="Hyperlink"/>
            <w:noProof/>
          </w:rPr>
          <w:t>Table 1:</w:t>
        </w:r>
        <w:r w:rsidR="0080652A">
          <w:rPr>
            <w:rFonts w:asciiTheme="minorHAnsi" w:hAnsiTheme="minorHAnsi"/>
            <w:noProof/>
            <w:kern w:val="2"/>
            <w:sz w:val="24"/>
            <w:szCs w:val="24"/>
            <w14:ligatures w14:val="standardContextual"/>
          </w:rPr>
          <w:tab/>
        </w:r>
        <w:r w:rsidR="0080652A" w:rsidRPr="002B5226">
          <w:rPr>
            <w:rStyle w:val="Hyperlink"/>
            <w:noProof/>
          </w:rPr>
          <w:t>Projections with new measures (net emissions</w:t>
        </w:r>
        <w:r w:rsidR="007319B0">
          <w:rPr>
            <w:rStyle w:val="Hyperlink"/>
            <w:noProof/>
          </w:rPr>
          <w:t xml:space="preserve"> </w:t>
        </w:r>
        <w:r w:rsidR="007319B0">
          <w:rPr>
            <w:noProof/>
          </w:rPr>
          <w:t>in Mt CO</w:t>
        </w:r>
        <w:r w:rsidR="007319B0" w:rsidRPr="00E2606F">
          <w:rPr>
            <w:noProof/>
            <w:vertAlign w:val="subscript"/>
          </w:rPr>
          <w:t>2</w:t>
        </w:r>
        <w:r w:rsidR="007319B0">
          <w:rPr>
            <w:noProof/>
          </w:rPr>
          <w:t>-e</w:t>
        </w:r>
        <w:r w:rsidR="007319B0" w:rsidRPr="00154C2F">
          <w:rPr>
            <w:noProof/>
          </w:rPr>
          <w:t xml:space="preserve">) </w:t>
        </w:r>
        <w:r w:rsidR="0080652A" w:rsidRPr="002B5226">
          <w:rPr>
            <w:rStyle w:val="Hyperlink"/>
            <w:noProof/>
          </w:rPr>
          <w:t>)</w:t>
        </w:r>
        <w:r w:rsidR="0080652A">
          <w:rPr>
            <w:noProof/>
            <w:webHidden/>
          </w:rPr>
          <w:tab/>
        </w:r>
        <w:r w:rsidR="0080652A">
          <w:rPr>
            <w:noProof/>
            <w:webHidden/>
          </w:rPr>
          <w:fldChar w:fldCharType="begin"/>
        </w:r>
        <w:r w:rsidR="0080652A">
          <w:rPr>
            <w:noProof/>
            <w:webHidden/>
          </w:rPr>
          <w:instrText xml:space="preserve"> PAGEREF _Toc182490789 \h </w:instrText>
        </w:r>
        <w:r w:rsidR="0080652A">
          <w:rPr>
            <w:noProof/>
            <w:webHidden/>
          </w:rPr>
        </w:r>
        <w:r w:rsidR="0080652A">
          <w:rPr>
            <w:noProof/>
            <w:webHidden/>
          </w:rPr>
          <w:fldChar w:fldCharType="separate"/>
        </w:r>
        <w:r w:rsidR="001C1C70">
          <w:rPr>
            <w:noProof/>
            <w:webHidden/>
          </w:rPr>
          <w:t>6</w:t>
        </w:r>
        <w:r w:rsidR="0080652A">
          <w:rPr>
            <w:noProof/>
            <w:webHidden/>
          </w:rPr>
          <w:fldChar w:fldCharType="end"/>
        </w:r>
      </w:hyperlink>
    </w:p>
    <w:p w14:paraId="4714FC1A" w14:textId="41E237B2" w:rsidR="0080652A" w:rsidRDefault="0080652A" w:rsidP="009F382E">
      <w:pPr>
        <w:pStyle w:val="TableofFigures"/>
        <w:tabs>
          <w:tab w:val="right" w:pos="8505"/>
          <w:tab w:val="right" w:pos="9487"/>
        </w:tabs>
        <w:ind w:right="1276"/>
        <w:rPr>
          <w:rFonts w:asciiTheme="minorHAnsi" w:hAnsiTheme="minorHAnsi"/>
          <w:noProof/>
          <w:kern w:val="2"/>
          <w:sz w:val="24"/>
          <w:szCs w:val="24"/>
          <w14:ligatures w14:val="standardContextual"/>
        </w:rPr>
      </w:pPr>
      <w:hyperlink w:anchor="_Toc182490790" w:history="1">
        <w:r w:rsidRPr="002B5226">
          <w:rPr>
            <w:rStyle w:val="Hyperlink"/>
            <w:noProof/>
          </w:rPr>
          <w:t>Table 2:</w:t>
        </w:r>
        <w:r>
          <w:rPr>
            <w:rFonts w:asciiTheme="minorHAnsi" w:hAnsiTheme="minorHAnsi"/>
            <w:noProof/>
            <w:kern w:val="2"/>
            <w:sz w:val="24"/>
            <w:szCs w:val="24"/>
            <w14:ligatures w14:val="standardContextual"/>
          </w:rPr>
          <w:tab/>
        </w:r>
        <w:r w:rsidRPr="002B5226">
          <w:rPr>
            <w:rStyle w:val="Hyperlink"/>
            <w:noProof/>
          </w:rPr>
          <w:t>New Zealand’s first three emissions budgets</w:t>
        </w:r>
        <w:r w:rsidR="007319B0">
          <w:rPr>
            <w:rStyle w:val="Hyperlink"/>
            <w:noProof/>
          </w:rPr>
          <w:t xml:space="preserve"> </w:t>
        </w:r>
        <w:r w:rsidR="007319B0">
          <w:rPr>
            <w:noProof/>
          </w:rPr>
          <w:t>(</w:t>
        </w:r>
        <w:r w:rsidR="007319B0" w:rsidRPr="007B1459">
          <w:rPr>
            <w:noProof/>
          </w:rPr>
          <w:t>Mt CO</w:t>
        </w:r>
        <w:r w:rsidR="007319B0" w:rsidRPr="00B35D04">
          <w:rPr>
            <w:noProof/>
            <w:vertAlign w:val="subscript"/>
          </w:rPr>
          <w:t>2</w:t>
        </w:r>
        <w:r w:rsidR="007319B0">
          <w:rPr>
            <w:noProof/>
          </w:rPr>
          <w:t>-</w:t>
        </w:r>
        <w:r w:rsidR="007319B0" w:rsidRPr="007B1459">
          <w:rPr>
            <w:noProof/>
          </w:rPr>
          <w:t>e</w:t>
        </w:r>
        <w:r w:rsidR="007319B0">
          <w:rPr>
            <w:noProof/>
          </w:rPr>
          <w:t>)</w:t>
        </w:r>
        <w:r>
          <w:rPr>
            <w:noProof/>
            <w:webHidden/>
          </w:rPr>
          <w:tab/>
        </w:r>
        <w:r>
          <w:rPr>
            <w:noProof/>
            <w:webHidden/>
          </w:rPr>
          <w:fldChar w:fldCharType="begin"/>
        </w:r>
        <w:r>
          <w:rPr>
            <w:noProof/>
            <w:webHidden/>
          </w:rPr>
          <w:instrText xml:space="preserve"> PAGEREF _Toc182490790 \h </w:instrText>
        </w:r>
        <w:r>
          <w:rPr>
            <w:noProof/>
            <w:webHidden/>
          </w:rPr>
        </w:r>
        <w:r>
          <w:rPr>
            <w:noProof/>
            <w:webHidden/>
          </w:rPr>
          <w:fldChar w:fldCharType="separate"/>
        </w:r>
        <w:r w:rsidR="001C1C70">
          <w:rPr>
            <w:noProof/>
            <w:webHidden/>
          </w:rPr>
          <w:t>13</w:t>
        </w:r>
        <w:r>
          <w:rPr>
            <w:noProof/>
            <w:webHidden/>
          </w:rPr>
          <w:fldChar w:fldCharType="end"/>
        </w:r>
      </w:hyperlink>
    </w:p>
    <w:p w14:paraId="16D43B66" w14:textId="77777777" w:rsidR="008D0E2F" w:rsidRDefault="004943C2" w:rsidP="009F382E">
      <w:pPr>
        <w:pStyle w:val="Heading"/>
        <w:tabs>
          <w:tab w:val="right" w:pos="8505"/>
        </w:tabs>
        <w:ind w:right="1276"/>
      </w:pPr>
      <w:r w:rsidRPr="006B77BB">
        <w:fldChar w:fldCharType="end"/>
      </w:r>
    </w:p>
    <w:p w14:paraId="60C2E555" w14:textId="405BA4F6" w:rsidR="00532334" w:rsidRPr="006B77BB" w:rsidRDefault="00B51610" w:rsidP="009F382E">
      <w:pPr>
        <w:pStyle w:val="Heading"/>
        <w:tabs>
          <w:tab w:val="right" w:pos="8505"/>
        </w:tabs>
        <w:ind w:right="1276"/>
      </w:pPr>
      <w:r w:rsidRPr="006B77BB">
        <w:t>Figure</w:t>
      </w:r>
      <w:r w:rsidR="00532334" w:rsidRPr="006B77BB">
        <w:t>s</w:t>
      </w:r>
    </w:p>
    <w:p w14:paraId="41A53704" w14:textId="434151A0" w:rsidR="004F65C1" w:rsidRDefault="004943C2" w:rsidP="009F382E">
      <w:pPr>
        <w:pStyle w:val="TableofFigures"/>
        <w:tabs>
          <w:tab w:val="right" w:pos="8505"/>
        </w:tabs>
        <w:ind w:right="1276"/>
        <w:rPr>
          <w:rFonts w:asciiTheme="minorHAnsi" w:hAnsiTheme="minorHAnsi"/>
          <w:noProof/>
          <w:kern w:val="2"/>
          <w:sz w:val="24"/>
          <w:szCs w:val="24"/>
          <w14:ligatures w14:val="standardContextual"/>
        </w:rPr>
      </w:pPr>
      <w:r w:rsidRPr="00B37999">
        <w:rPr>
          <w:rStyle w:val="Hyperlink"/>
          <w:noProof/>
        </w:rPr>
        <w:fldChar w:fldCharType="begin"/>
      </w:r>
      <w:r w:rsidRPr="00B37999">
        <w:rPr>
          <w:rStyle w:val="Hyperlink"/>
          <w:noProof/>
        </w:rPr>
        <w:instrText xml:space="preserve"> TOC \h \z \t "Figure heading" \c </w:instrText>
      </w:r>
      <w:r w:rsidRPr="00B37999">
        <w:rPr>
          <w:rStyle w:val="Hyperlink"/>
          <w:noProof/>
        </w:rPr>
        <w:fldChar w:fldCharType="separate"/>
      </w:r>
      <w:hyperlink w:anchor="_Toc183525918" w:history="1">
        <w:r w:rsidR="004F65C1" w:rsidRPr="00814622">
          <w:rPr>
            <w:rStyle w:val="Hyperlink"/>
            <w:noProof/>
          </w:rPr>
          <w:t xml:space="preserve">Figure 1: </w:t>
        </w:r>
        <w:r w:rsidR="004F65C1">
          <w:rPr>
            <w:rFonts w:asciiTheme="minorHAnsi" w:hAnsiTheme="minorHAnsi"/>
            <w:noProof/>
            <w:kern w:val="2"/>
            <w:sz w:val="24"/>
            <w:szCs w:val="24"/>
            <w14:ligatures w14:val="standardContextual"/>
          </w:rPr>
          <w:tab/>
        </w:r>
        <w:r w:rsidR="004F65C1" w:rsidRPr="00814622">
          <w:rPr>
            <w:rStyle w:val="Hyperlink"/>
            <w:noProof/>
          </w:rPr>
          <w:t xml:space="preserve"> The five pillars of </w:t>
        </w:r>
        <w:r w:rsidR="007319B0">
          <w:rPr>
            <w:rStyle w:val="Hyperlink"/>
            <w:noProof/>
          </w:rPr>
          <w:t>New Zealand’s C</w:t>
        </w:r>
        <w:r w:rsidR="004F65C1" w:rsidRPr="00814622">
          <w:rPr>
            <w:rStyle w:val="Hyperlink"/>
            <w:noProof/>
          </w:rPr>
          <w:t xml:space="preserve">limate </w:t>
        </w:r>
        <w:r w:rsidR="007319B0">
          <w:rPr>
            <w:rStyle w:val="Hyperlink"/>
            <w:noProof/>
          </w:rPr>
          <w:t>S</w:t>
        </w:r>
        <w:r w:rsidR="004F65C1" w:rsidRPr="00814622">
          <w:rPr>
            <w:rStyle w:val="Hyperlink"/>
            <w:noProof/>
          </w:rPr>
          <w:t>trategy</w:t>
        </w:r>
        <w:r w:rsidR="004F65C1">
          <w:rPr>
            <w:noProof/>
            <w:webHidden/>
          </w:rPr>
          <w:tab/>
        </w:r>
        <w:r w:rsidR="004F65C1">
          <w:rPr>
            <w:noProof/>
            <w:webHidden/>
          </w:rPr>
          <w:fldChar w:fldCharType="begin"/>
        </w:r>
        <w:r w:rsidR="004F65C1">
          <w:rPr>
            <w:noProof/>
            <w:webHidden/>
          </w:rPr>
          <w:instrText xml:space="preserve"> PAGEREF _Toc183525918 \h </w:instrText>
        </w:r>
        <w:r w:rsidR="004F65C1">
          <w:rPr>
            <w:noProof/>
            <w:webHidden/>
          </w:rPr>
        </w:r>
        <w:r w:rsidR="004F65C1">
          <w:rPr>
            <w:noProof/>
            <w:webHidden/>
          </w:rPr>
          <w:fldChar w:fldCharType="separate"/>
        </w:r>
        <w:r w:rsidR="001C1C70">
          <w:rPr>
            <w:noProof/>
            <w:webHidden/>
          </w:rPr>
          <w:t>5</w:t>
        </w:r>
        <w:r w:rsidR="004F65C1">
          <w:rPr>
            <w:noProof/>
            <w:webHidden/>
          </w:rPr>
          <w:fldChar w:fldCharType="end"/>
        </w:r>
      </w:hyperlink>
    </w:p>
    <w:p w14:paraId="7A3C6B71" w14:textId="28A89674" w:rsidR="004F65C1" w:rsidRDefault="004F65C1" w:rsidP="009F382E">
      <w:pPr>
        <w:pStyle w:val="TableofFigures"/>
        <w:tabs>
          <w:tab w:val="right" w:pos="8505"/>
        </w:tabs>
        <w:ind w:right="1276"/>
        <w:rPr>
          <w:rFonts w:asciiTheme="minorHAnsi" w:hAnsiTheme="minorHAnsi"/>
          <w:noProof/>
          <w:kern w:val="2"/>
          <w:sz w:val="24"/>
          <w:szCs w:val="24"/>
          <w14:ligatures w14:val="standardContextual"/>
        </w:rPr>
      </w:pPr>
      <w:hyperlink w:anchor="_Toc183525919" w:history="1">
        <w:r w:rsidRPr="00814622">
          <w:rPr>
            <w:rStyle w:val="Hyperlink"/>
            <w:noProof/>
          </w:rPr>
          <w:t xml:space="preserve">Figure 2: </w:t>
        </w:r>
        <w:r>
          <w:rPr>
            <w:rFonts w:asciiTheme="minorHAnsi" w:hAnsiTheme="minorHAnsi"/>
            <w:noProof/>
            <w:kern w:val="2"/>
            <w:sz w:val="24"/>
            <w:szCs w:val="24"/>
            <w14:ligatures w14:val="standardContextual"/>
          </w:rPr>
          <w:tab/>
        </w:r>
        <w:r w:rsidRPr="00814622">
          <w:rPr>
            <w:rStyle w:val="Hyperlink"/>
            <w:noProof/>
          </w:rPr>
          <w:t xml:space="preserve">Emissions projections with new measures and sensitivity range using target accounting </w:t>
        </w:r>
        <w:r w:rsidR="007319B0">
          <w:rPr>
            <w:rStyle w:val="Hyperlink"/>
            <w:noProof/>
          </w:rPr>
          <w:t xml:space="preserve"> </w:t>
        </w:r>
        <w:r>
          <w:rPr>
            <w:noProof/>
            <w:webHidden/>
          </w:rPr>
          <w:tab/>
        </w:r>
        <w:r>
          <w:rPr>
            <w:noProof/>
            <w:webHidden/>
          </w:rPr>
          <w:fldChar w:fldCharType="begin"/>
        </w:r>
        <w:r>
          <w:rPr>
            <w:noProof/>
            <w:webHidden/>
          </w:rPr>
          <w:instrText xml:space="preserve"> PAGEREF _Toc183525919 \h </w:instrText>
        </w:r>
        <w:r>
          <w:rPr>
            <w:noProof/>
            <w:webHidden/>
          </w:rPr>
        </w:r>
        <w:r>
          <w:rPr>
            <w:noProof/>
            <w:webHidden/>
          </w:rPr>
          <w:fldChar w:fldCharType="separate"/>
        </w:r>
        <w:r w:rsidR="001C1C70">
          <w:rPr>
            <w:noProof/>
            <w:webHidden/>
          </w:rPr>
          <w:t>8</w:t>
        </w:r>
        <w:r>
          <w:rPr>
            <w:noProof/>
            <w:webHidden/>
          </w:rPr>
          <w:fldChar w:fldCharType="end"/>
        </w:r>
      </w:hyperlink>
    </w:p>
    <w:p w14:paraId="76F40DD5" w14:textId="2AB2EC2A" w:rsidR="008A2FF1" w:rsidRPr="006B77BB" w:rsidRDefault="004943C2" w:rsidP="009F382E">
      <w:pPr>
        <w:pStyle w:val="TableofFigures"/>
        <w:tabs>
          <w:tab w:val="right" w:pos="8505"/>
        </w:tabs>
        <w:ind w:right="1276"/>
      </w:pPr>
      <w:r w:rsidRPr="00B37999">
        <w:rPr>
          <w:rStyle w:val="Hyperlink"/>
          <w:noProof/>
        </w:rPr>
        <w:fldChar w:fldCharType="end"/>
      </w:r>
    </w:p>
    <w:p w14:paraId="0BC394ED" w14:textId="77777777" w:rsidR="00796A6F" w:rsidRPr="00554B30" w:rsidRDefault="00796A6F" w:rsidP="00554B30">
      <w:bookmarkStart w:id="0" w:name="_Toc215561202"/>
      <w:r w:rsidRPr="00554B30">
        <w:br w:type="page"/>
      </w:r>
    </w:p>
    <w:p w14:paraId="6934F4FA" w14:textId="2394CDCE" w:rsidR="0080531E" w:rsidRDefault="006634FB" w:rsidP="00DC3CFC">
      <w:pPr>
        <w:pStyle w:val="Heading1"/>
        <w:rPr>
          <w:rStyle w:val="Heading1Char"/>
          <w:b/>
          <w:bCs/>
        </w:rPr>
      </w:pPr>
      <w:bookmarkStart w:id="1" w:name="_Toc182398377"/>
      <w:bookmarkStart w:id="2" w:name="_Toc345760336"/>
      <w:bookmarkEnd w:id="0"/>
      <w:r>
        <w:rPr>
          <w:rStyle w:val="Heading1Char"/>
          <w:b/>
          <w:bCs/>
        </w:rPr>
        <w:lastRenderedPageBreak/>
        <w:t>Introduction</w:t>
      </w:r>
      <w:bookmarkEnd w:id="1"/>
    </w:p>
    <w:p w14:paraId="14E33035" w14:textId="7E6D4851" w:rsidR="00FF36E7" w:rsidRDefault="00FF36E7" w:rsidP="006634FB">
      <w:pPr>
        <w:pStyle w:val="BodyText"/>
      </w:pPr>
      <w:r>
        <w:t>The</w:t>
      </w:r>
      <w:r w:rsidR="00B124F9">
        <w:t xml:space="preserve"> Government is </w:t>
      </w:r>
      <w:r w:rsidR="001D45F1">
        <w:t>committed</w:t>
      </w:r>
      <w:r w:rsidR="00B124F9">
        <w:t xml:space="preserve"> to </w:t>
      </w:r>
      <w:r w:rsidR="0092163E" w:rsidRPr="0092163E">
        <w:t xml:space="preserve">meeting </w:t>
      </w:r>
      <w:r w:rsidR="0092163E">
        <w:t>New Zealand’s</w:t>
      </w:r>
      <w:r w:rsidR="0092163E" w:rsidRPr="0092163E">
        <w:t xml:space="preserve"> climate change targets to reduce the impacts of climate change and prepare for its future impacts</w:t>
      </w:r>
      <w:r w:rsidR="00FC70D0">
        <w:t>.</w:t>
      </w:r>
    </w:p>
    <w:p w14:paraId="22677681" w14:textId="04E78FC2" w:rsidR="00C91843" w:rsidRDefault="00B478A8" w:rsidP="00364DD2">
      <w:pPr>
        <w:pStyle w:val="BodyText"/>
      </w:pPr>
      <w:r>
        <w:t>This year</w:t>
      </w:r>
      <w:r w:rsidR="00C75E55">
        <w:t xml:space="preserve"> we</w:t>
      </w:r>
      <w:r w:rsidR="00A12BF3">
        <w:t xml:space="preserve"> launched a new </w:t>
      </w:r>
      <w:r w:rsidR="00BD7C1B">
        <w:t>c</w:t>
      </w:r>
      <w:r w:rsidR="00A12BF3">
        <w:t xml:space="preserve">limate </w:t>
      </w:r>
      <w:r w:rsidR="00BD7C1B">
        <w:t>change s</w:t>
      </w:r>
      <w:r w:rsidR="00A12BF3">
        <w:t>trategy</w:t>
      </w:r>
      <w:r w:rsidR="003F29E5">
        <w:t>, which</w:t>
      </w:r>
      <w:r w:rsidR="00974D42">
        <w:t>, to</w:t>
      </w:r>
      <w:r w:rsidR="00A12BF3">
        <w:t xml:space="preserve"> </w:t>
      </w:r>
      <w:r w:rsidR="001602FD" w:rsidRPr="001602FD">
        <w:t>achiev</w:t>
      </w:r>
      <w:r w:rsidR="00974D42">
        <w:t>e</w:t>
      </w:r>
      <w:r w:rsidR="001602FD" w:rsidRPr="001602FD">
        <w:t xml:space="preserve"> New Zealand’s emissions reduction goals</w:t>
      </w:r>
      <w:r w:rsidR="00974D42">
        <w:t xml:space="preserve">, takes a </w:t>
      </w:r>
      <w:r w:rsidR="001602FD" w:rsidRPr="001602FD">
        <w:t>cost</w:t>
      </w:r>
      <w:r w:rsidR="00C27231">
        <w:t>-effective</w:t>
      </w:r>
      <w:r w:rsidR="0013014D">
        <w:t>,</w:t>
      </w:r>
      <w:r w:rsidR="00C91843">
        <w:rPr>
          <w:rStyle w:val="FootnoteReference"/>
        </w:rPr>
        <w:footnoteReference w:id="2"/>
      </w:r>
      <w:r w:rsidR="001602FD" w:rsidRPr="001602FD">
        <w:t xml:space="preserve"> net-based approach</w:t>
      </w:r>
      <w:r w:rsidR="00974D42">
        <w:t xml:space="preserve"> that uses</w:t>
      </w:r>
      <w:r w:rsidR="001602FD" w:rsidRPr="001602FD">
        <w:t xml:space="preserve"> effective and efficient policies. </w:t>
      </w:r>
    </w:p>
    <w:p w14:paraId="5E8F9A23" w14:textId="382608ED" w:rsidR="00CD259A" w:rsidRDefault="00E37701" w:rsidP="00364DD2">
      <w:pPr>
        <w:pStyle w:val="BodyText"/>
      </w:pPr>
      <w:r>
        <w:t xml:space="preserve">We have prioritised climate change </w:t>
      </w:r>
      <w:r w:rsidR="00712FB6">
        <w:t xml:space="preserve">within </w:t>
      </w:r>
      <w:r>
        <w:t>the nine government tar</w:t>
      </w:r>
      <w:r w:rsidR="006D1C3F">
        <w:t>gets</w:t>
      </w:r>
      <w:r w:rsidR="0027237D">
        <w:t xml:space="preserve"> </w:t>
      </w:r>
      <w:r w:rsidR="00712FB6">
        <w:t xml:space="preserve">that have been </w:t>
      </w:r>
      <w:r w:rsidR="0058258C">
        <w:t xml:space="preserve">set for the public sector to </w:t>
      </w:r>
      <w:r w:rsidR="00650367">
        <w:t xml:space="preserve">achieve. </w:t>
      </w:r>
    </w:p>
    <w:p w14:paraId="0B6A1529" w14:textId="6154A0BC" w:rsidR="00364DD2" w:rsidRDefault="00B16F21" w:rsidP="00364DD2">
      <w:pPr>
        <w:pStyle w:val="BodyText"/>
      </w:pPr>
      <w:r>
        <w:t xml:space="preserve">We have </w:t>
      </w:r>
      <w:r w:rsidR="0063275F">
        <w:t>changed</w:t>
      </w:r>
      <w:r w:rsidR="00805D29">
        <w:t xml:space="preserve"> the settings of the New Zealand </w:t>
      </w:r>
      <w:r w:rsidR="00DB2D76">
        <w:t>E</w:t>
      </w:r>
      <w:r w:rsidR="00805D29">
        <w:t>missions</w:t>
      </w:r>
      <w:r w:rsidR="00DB2D76">
        <w:t xml:space="preserve"> T</w:t>
      </w:r>
      <w:r w:rsidR="00805D29">
        <w:t xml:space="preserve">rading </w:t>
      </w:r>
      <w:r w:rsidR="00DB2D76">
        <w:t>S</w:t>
      </w:r>
      <w:r w:rsidR="00805D29">
        <w:t xml:space="preserve">cheme </w:t>
      </w:r>
      <w:r w:rsidR="00DB2D76">
        <w:t>(NZ ETS)</w:t>
      </w:r>
      <w:r w:rsidR="00805D29">
        <w:t xml:space="preserve"> that will </w:t>
      </w:r>
      <w:r w:rsidRPr="00B16F21">
        <w:t>ensure New Zealand has a more credible market. The Government has committed to aligning the NZ ETS with New Zealand’s climate targets and giving participants confidence their investments to reduce emissions will be rewarded.</w:t>
      </w:r>
      <w:r w:rsidR="00F72EB1">
        <w:t xml:space="preserve"> </w:t>
      </w:r>
    </w:p>
    <w:p w14:paraId="06D0EE75" w14:textId="6FE2501B" w:rsidR="004073E7" w:rsidRDefault="00D35B66" w:rsidP="00364DD2">
      <w:pPr>
        <w:pStyle w:val="BodyText"/>
      </w:pPr>
      <w:r>
        <w:t>In e</w:t>
      </w:r>
      <w:r w:rsidR="00FE69FA">
        <w:t xml:space="preserve">mbedding this </w:t>
      </w:r>
      <w:r w:rsidR="001D3E7D">
        <w:t>Government’s approach</w:t>
      </w:r>
      <w:r>
        <w:t>,</w:t>
      </w:r>
      <w:r w:rsidR="001D3E7D">
        <w:t xml:space="preserve"> </w:t>
      </w:r>
      <w:r>
        <w:t>w</w:t>
      </w:r>
      <w:r w:rsidR="002578C7">
        <w:t xml:space="preserve">e have taken decisions to discontinue some programmes and start </w:t>
      </w:r>
      <w:r w:rsidR="000333AF">
        <w:t>others</w:t>
      </w:r>
      <w:r w:rsidR="002578C7">
        <w:t xml:space="preserve"> to ensure our effort is </w:t>
      </w:r>
      <w:r w:rsidR="00944336">
        <w:t xml:space="preserve">focused </w:t>
      </w:r>
      <w:r w:rsidR="002578C7">
        <w:t>on</w:t>
      </w:r>
      <w:r w:rsidR="006C75FB">
        <w:t xml:space="preserve"> delivering our </w:t>
      </w:r>
      <w:r w:rsidR="002503E7">
        <w:t>c</w:t>
      </w:r>
      <w:r w:rsidR="006C75FB">
        <w:t xml:space="preserve">limate </w:t>
      </w:r>
      <w:r w:rsidR="002503E7">
        <w:t>s</w:t>
      </w:r>
      <w:r w:rsidR="006C75FB">
        <w:t>trategy, including</w:t>
      </w:r>
      <w:r w:rsidR="002578C7">
        <w:t xml:space="preserve"> the actions and policies that will deliver cost-effective </w:t>
      </w:r>
      <w:r w:rsidR="007F2997">
        <w:t xml:space="preserve">emissions reductions </w:t>
      </w:r>
      <w:r w:rsidR="002578C7">
        <w:t>for New Zealand.</w:t>
      </w:r>
      <w:r w:rsidR="00DB2D76">
        <w:t xml:space="preserve"> </w:t>
      </w:r>
      <w:r w:rsidR="00F04DB8">
        <w:t>The previous government als</w:t>
      </w:r>
      <w:r w:rsidR="00A4516C">
        <w:t xml:space="preserve">o discontinued </w:t>
      </w:r>
      <w:r w:rsidR="00665863">
        <w:t xml:space="preserve">a number of policies </w:t>
      </w:r>
      <w:r w:rsidR="00AC3050">
        <w:t xml:space="preserve">in </w:t>
      </w:r>
      <w:r w:rsidR="001D0625">
        <w:t xml:space="preserve">2023 </w:t>
      </w:r>
      <w:r w:rsidR="00B57907">
        <w:t>as part</w:t>
      </w:r>
      <w:r w:rsidR="00AC3050">
        <w:t xml:space="preserve"> of </w:t>
      </w:r>
      <w:r w:rsidR="00B57907">
        <w:t>its focus to ‘get back</w:t>
      </w:r>
      <w:r w:rsidR="00EF3D8E">
        <w:t xml:space="preserve"> to</w:t>
      </w:r>
      <w:r w:rsidR="00B57907">
        <w:t xml:space="preserve"> </w:t>
      </w:r>
      <w:r w:rsidR="00524146">
        <w:t>basics’.</w:t>
      </w:r>
      <w:r w:rsidR="00AC3050">
        <w:t xml:space="preserve"> </w:t>
      </w:r>
    </w:p>
    <w:p w14:paraId="57A9B173" w14:textId="1F290CAB" w:rsidR="00F859A2" w:rsidRDefault="008963D3" w:rsidP="00364DD2">
      <w:pPr>
        <w:pStyle w:val="BodyText"/>
      </w:pPr>
      <w:r>
        <w:t xml:space="preserve">This approach </w:t>
      </w:r>
      <w:r w:rsidR="001B2099">
        <w:t>will</w:t>
      </w:r>
      <w:r>
        <w:t xml:space="preserve"> deliver results for New Zealand.</w:t>
      </w:r>
      <w:r w:rsidR="00DB2D76">
        <w:t xml:space="preserve"> </w:t>
      </w:r>
      <w:r>
        <w:rPr>
          <w:rFonts w:eastAsia="Arial"/>
        </w:rPr>
        <w:t xml:space="preserve">Based on the central estimate </w:t>
      </w:r>
      <w:r w:rsidR="006A760B">
        <w:rPr>
          <w:rFonts w:eastAsia="Arial"/>
        </w:rPr>
        <w:t>(the</w:t>
      </w:r>
      <w:r>
        <w:rPr>
          <w:rFonts w:eastAsia="Arial"/>
        </w:rPr>
        <w:t xml:space="preserve"> most likely </w:t>
      </w:r>
      <w:r w:rsidR="00B30BFF">
        <w:rPr>
          <w:rFonts w:eastAsia="Arial"/>
        </w:rPr>
        <w:t xml:space="preserve">outcome based on </w:t>
      </w:r>
      <w:r w:rsidR="00E47740">
        <w:rPr>
          <w:rFonts w:eastAsia="Arial"/>
        </w:rPr>
        <w:t xml:space="preserve">our </w:t>
      </w:r>
      <w:r w:rsidR="00B30BFF">
        <w:rPr>
          <w:rFonts w:eastAsia="Arial"/>
        </w:rPr>
        <w:t xml:space="preserve">current </w:t>
      </w:r>
      <w:r w:rsidR="00E47740">
        <w:rPr>
          <w:rFonts w:eastAsia="Arial"/>
        </w:rPr>
        <w:t>understanding</w:t>
      </w:r>
      <w:r w:rsidR="006A760B">
        <w:rPr>
          <w:rFonts w:eastAsia="Arial"/>
        </w:rPr>
        <w:t>)</w:t>
      </w:r>
      <w:r w:rsidR="008D1F8F">
        <w:rPr>
          <w:rFonts w:eastAsia="Arial"/>
        </w:rPr>
        <w:t>,</w:t>
      </w:r>
      <w:r>
        <w:rPr>
          <w:rFonts w:eastAsia="Georgia"/>
          <w:lang w:val="en-US"/>
        </w:rPr>
        <w:t xml:space="preserve"> current </w:t>
      </w:r>
      <w:r w:rsidR="001B2099">
        <w:rPr>
          <w:rFonts w:eastAsia="Georgia"/>
          <w:lang w:val="en-US"/>
        </w:rPr>
        <w:t xml:space="preserve">net </w:t>
      </w:r>
      <w:r>
        <w:rPr>
          <w:rFonts w:eastAsia="Georgia"/>
          <w:lang w:val="en-US"/>
        </w:rPr>
        <w:t xml:space="preserve">emissions projections </w:t>
      </w:r>
      <w:r w:rsidRPr="00983D68">
        <w:rPr>
          <w:rFonts w:eastAsia="Arial"/>
        </w:rPr>
        <w:t>indicate</w:t>
      </w:r>
      <w:r>
        <w:rPr>
          <w:rFonts w:eastAsia="Arial"/>
        </w:rPr>
        <w:t xml:space="preserve"> </w:t>
      </w:r>
      <w:r w:rsidRPr="00983D68">
        <w:rPr>
          <w:rFonts w:eastAsia="Arial"/>
        </w:rPr>
        <w:t xml:space="preserve">we </w:t>
      </w:r>
      <w:r>
        <w:rPr>
          <w:rFonts w:eastAsia="Arial"/>
        </w:rPr>
        <w:t xml:space="preserve">are </w:t>
      </w:r>
      <w:r w:rsidR="009A6383">
        <w:rPr>
          <w:rFonts w:eastAsia="Arial"/>
        </w:rPr>
        <w:t xml:space="preserve">on track </w:t>
      </w:r>
      <w:r>
        <w:rPr>
          <w:rFonts w:eastAsia="Arial"/>
        </w:rPr>
        <w:t xml:space="preserve">to </w:t>
      </w:r>
      <w:r w:rsidRPr="00983D68">
        <w:rPr>
          <w:rFonts w:eastAsia="Arial"/>
        </w:rPr>
        <w:t>meet the first emissions budget</w:t>
      </w:r>
      <w:r>
        <w:t>.</w:t>
      </w:r>
    </w:p>
    <w:p w14:paraId="45C9BCA5" w14:textId="5F972AAA" w:rsidR="00CD54B2" w:rsidRDefault="001A014D" w:rsidP="00CD54B2">
      <w:pPr>
        <w:pStyle w:val="BodyText"/>
      </w:pPr>
      <w:r>
        <w:t xml:space="preserve">Published in May 2022, </w:t>
      </w:r>
      <w:r w:rsidR="00C148A5">
        <w:t>New Zealand’s first emissions reduction plan</w:t>
      </w:r>
      <w:r>
        <w:t xml:space="preserve"> </w:t>
      </w:r>
      <w:r w:rsidR="00D40887">
        <w:t>sets out the policies and actions to meet</w:t>
      </w:r>
      <w:r w:rsidR="00C148A5" w:rsidRPr="007E48B4">
        <w:t xml:space="preserve"> the first emissions budget</w:t>
      </w:r>
      <w:r w:rsidR="00C148A5">
        <w:t xml:space="preserve"> for the period 2022</w:t>
      </w:r>
      <w:r w:rsidR="00233334">
        <w:t>–</w:t>
      </w:r>
      <w:r w:rsidR="00C148A5">
        <w:t>25</w:t>
      </w:r>
      <w:r>
        <w:t>.</w:t>
      </w:r>
      <w:r w:rsidR="00C148A5">
        <w:t xml:space="preserve"> </w:t>
      </w:r>
      <w:r w:rsidR="0082482B">
        <w:t>We have updated th</w:t>
      </w:r>
      <w:r w:rsidR="00373F00">
        <w:t>is</w:t>
      </w:r>
      <w:r w:rsidR="0082482B">
        <w:t xml:space="preserve"> plan</w:t>
      </w:r>
      <w:r w:rsidR="00C148A5">
        <w:t xml:space="preserve"> to ensure </w:t>
      </w:r>
      <w:r w:rsidR="00C148A5" w:rsidRPr="006634FB">
        <w:t>it</w:t>
      </w:r>
      <w:r w:rsidR="00C148A5" w:rsidRPr="006634FB" w:rsidDel="003270BB">
        <w:t xml:space="preserve"> </w:t>
      </w:r>
      <w:r w:rsidR="00C148A5" w:rsidRPr="006634FB">
        <w:t>reflects this Government’s approach to meeting the first emissions budget</w:t>
      </w:r>
      <w:r w:rsidR="00C148A5">
        <w:t xml:space="preserve"> in the most cost-effective way.</w:t>
      </w:r>
      <w:r w:rsidR="00DB2D76">
        <w:t xml:space="preserve"> </w:t>
      </w:r>
      <w:r w:rsidR="00CD54B2">
        <w:t xml:space="preserve">This </w:t>
      </w:r>
      <w:r w:rsidR="00C148A5">
        <w:t xml:space="preserve">approach will be </w:t>
      </w:r>
      <w:r w:rsidR="00CD54B2">
        <w:t xml:space="preserve">further embedded through the implementation of the second emissions </w:t>
      </w:r>
      <w:r w:rsidR="00C148A5">
        <w:t>reduction plan – our plan to meet the second emissions budget for the period 2026</w:t>
      </w:r>
      <w:r w:rsidR="003B25FC">
        <w:t>–</w:t>
      </w:r>
      <w:r w:rsidR="00C148A5">
        <w:t xml:space="preserve">30. </w:t>
      </w:r>
    </w:p>
    <w:p w14:paraId="2305C945" w14:textId="20275723" w:rsidR="00724565" w:rsidRDefault="00724565" w:rsidP="00724565">
      <w:pPr>
        <w:pStyle w:val="BodyText"/>
      </w:pPr>
      <w:r w:rsidRPr="00584E1A">
        <w:t xml:space="preserve">This document is the 2024 amendment to </w:t>
      </w:r>
      <w:hyperlink r:id="rId19" w:history="1">
        <w:r w:rsidRPr="005B1F9C">
          <w:rPr>
            <w:rStyle w:val="Hyperlink"/>
          </w:rPr>
          <w:t>New Zealand’s first emissions reduction plan</w:t>
        </w:r>
      </w:hyperlink>
      <w:r>
        <w:t>.</w:t>
      </w:r>
      <w:r w:rsidRPr="00584E1A">
        <w:t xml:space="preserve"> It is designed to be read in conjunction with </w:t>
      </w:r>
      <w:r>
        <w:t>the original plan</w:t>
      </w:r>
      <w:r w:rsidR="00C644CD">
        <w:t>,</w:t>
      </w:r>
      <w:r w:rsidRPr="00584E1A">
        <w:t xml:space="preserve"> </w:t>
      </w:r>
      <w:r>
        <w:t xml:space="preserve">the associated </w:t>
      </w:r>
      <w:hyperlink r:id="rId20" w:history="1">
        <w:r w:rsidR="00166D18" w:rsidRPr="00471BA7">
          <w:rPr>
            <w:rStyle w:val="Hyperlink"/>
          </w:rPr>
          <w:t>t</w:t>
        </w:r>
        <w:r w:rsidRPr="00471BA7">
          <w:rPr>
            <w:rStyle w:val="Hyperlink"/>
          </w:rPr>
          <w:t xml:space="preserve">able of </w:t>
        </w:r>
        <w:r w:rsidR="004E6582" w:rsidRPr="00471BA7">
          <w:rPr>
            <w:rStyle w:val="Hyperlink"/>
          </w:rPr>
          <w:t>a</w:t>
        </w:r>
        <w:r w:rsidRPr="00471BA7">
          <w:rPr>
            <w:rStyle w:val="Hyperlink"/>
          </w:rPr>
          <w:t>ctions</w:t>
        </w:r>
      </w:hyperlink>
      <w:r w:rsidR="00BD7C1B">
        <w:t xml:space="preserve"> and the </w:t>
      </w:r>
      <w:hyperlink r:id="rId21" w:history="1">
        <w:r w:rsidR="00BD7C1B" w:rsidRPr="00174778">
          <w:rPr>
            <w:rStyle w:val="Hyperlink"/>
          </w:rPr>
          <w:t>Government’s climate strategy</w:t>
        </w:r>
      </w:hyperlink>
      <w:r w:rsidRPr="00584E1A">
        <w:t>.</w:t>
      </w:r>
      <w:r>
        <w:t xml:space="preserve"> </w:t>
      </w:r>
    </w:p>
    <w:p w14:paraId="31BAF73C" w14:textId="77777777" w:rsidR="006634FB" w:rsidRDefault="006634FB" w:rsidP="006634FB">
      <w:pPr>
        <w:pStyle w:val="BodyText"/>
      </w:pPr>
    </w:p>
    <w:p w14:paraId="452EEAEF" w14:textId="77777777" w:rsidR="008963D3" w:rsidRDefault="008963D3">
      <w:pPr>
        <w:spacing w:before="0" w:after="200" w:line="276" w:lineRule="auto"/>
        <w:jc w:val="left"/>
        <w:rPr>
          <w:rFonts w:ascii="Georgia" w:eastAsiaTheme="majorEastAsia" w:hAnsi="Georgia" w:cstheme="majorBidi"/>
          <w:b/>
          <w:bCs/>
          <w:color w:val="1B556B"/>
          <w:sz w:val="48"/>
          <w:szCs w:val="28"/>
        </w:rPr>
      </w:pPr>
      <w:r>
        <w:br w:type="page"/>
      </w:r>
    </w:p>
    <w:p w14:paraId="11092DD8" w14:textId="430B302D" w:rsidR="00664ABA" w:rsidRPr="00BA49CC" w:rsidRDefault="00D87087" w:rsidP="00664ABA">
      <w:pPr>
        <w:pStyle w:val="Heading1"/>
      </w:pPr>
      <w:bookmarkStart w:id="3" w:name="_Toc182398378"/>
      <w:r>
        <w:lastRenderedPageBreak/>
        <w:t>We are o</w:t>
      </w:r>
      <w:r w:rsidR="000169EE">
        <w:t xml:space="preserve">n track to </w:t>
      </w:r>
      <w:r w:rsidR="00F91827">
        <w:t>meet</w:t>
      </w:r>
      <w:r w:rsidR="000169EE">
        <w:t xml:space="preserve"> our first two emissions budgets</w:t>
      </w:r>
      <w:bookmarkEnd w:id="3"/>
    </w:p>
    <w:p w14:paraId="4665EA6D" w14:textId="335DDEE6" w:rsidR="00941F90" w:rsidRDefault="00941F90" w:rsidP="00941F90">
      <w:pPr>
        <w:pStyle w:val="BodyText"/>
      </w:pPr>
      <w:r>
        <w:t>The Government is committed to meeting our domestic climate change targets and emissions budgets</w:t>
      </w:r>
      <w:r w:rsidR="00C46178">
        <w:t>, outlined in appendix 2</w:t>
      </w:r>
      <w:r w:rsidR="00162D92">
        <w:t>.</w:t>
      </w:r>
      <w:r w:rsidR="00DB2D76">
        <w:t xml:space="preserve"> </w:t>
      </w:r>
      <w:r>
        <w:t>In April 2024, t</w:t>
      </w:r>
      <w:r w:rsidRPr="00BC44A7">
        <w:t>he Government</w:t>
      </w:r>
      <w:r>
        <w:t xml:space="preserve"> </w:t>
      </w:r>
      <w:r w:rsidRPr="00BC44A7">
        <w:t xml:space="preserve">reinforced </w:t>
      </w:r>
      <w:r w:rsidR="00985CF1">
        <w:t>its</w:t>
      </w:r>
      <w:r w:rsidRPr="00BC44A7">
        <w:t xml:space="preserve"> commitment </w:t>
      </w:r>
      <w:r>
        <w:t xml:space="preserve">in one of </w:t>
      </w:r>
      <w:r w:rsidRPr="002831F9">
        <w:t xml:space="preserve">the Prime Minister’s </w:t>
      </w:r>
      <w:r w:rsidR="001639CF">
        <w:t xml:space="preserve">nine </w:t>
      </w:r>
      <w:r w:rsidRPr="002831F9">
        <w:t>public service target</w:t>
      </w:r>
      <w:r>
        <w:t>s</w:t>
      </w:r>
      <w:r w:rsidR="00883E71">
        <w:t>.</w:t>
      </w:r>
    </w:p>
    <w:p w14:paraId="4EDF3016" w14:textId="417194DA" w:rsidR="00941F90" w:rsidRPr="006634FB" w:rsidRDefault="001639CF" w:rsidP="008F7DB9">
      <w:pPr>
        <w:pStyle w:val="Quote"/>
        <w:ind w:left="425" w:right="794"/>
        <w:rPr>
          <w:i/>
          <w:iCs/>
        </w:rPr>
      </w:pPr>
      <w:r>
        <w:rPr>
          <w:i/>
          <w:iCs/>
        </w:rPr>
        <w:t xml:space="preserve">Target 9: </w:t>
      </w:r>
      <w:r w:rsidR="00941F90" w:rsidRPr="006634FB">
        <w:rPr>
          <w:i/>
          <w:iCs/>
        </w:rPr>
        <w:t>On track to meet New Zealand’s 2050 net zero climate change targets with total net emissions of no more than 290 megatonnes from 2022 to 2025 and 305 megatonnes from 2026 to 2030.</w:t>
      </w:r>
    </w:p>
    <w:p w14:paraId="4177825E" w14:textId="7199801A" w:rsidR="001064BD" w:rsidRDefault="001503D5" w:rsidP="001064BD">
      <w:pPr>
        <w:pStyle w:val="BodyText"/>
      </w:pPr>
      <w:r>
        <w:t xml:space="preserve">In July 2024, the Government launched its </w:t>
      </w:r>
      <w:r w:rsidR="00104EF2">
        <w:t>c</w:t>
      </w:r>
      <w:r>
        <w:t xml:space="preserve">limate </w:t>
      </w:r>
      <w:r w:rsidR="005B601F">
        <w:t>s</w:t>
      </w:r>
      <w:r>
        <w:t>trategy,</w:t>
      </w:r>
      <w:r w:rsidR="005B601F">
        <w:rPr>
          <w:rStyle w:val="FootnoteReference"/>
        </w:rPr>
        <w:footnoteReference w:id="3"/>
      </w:r>
      <w:r>
        <w:t xml:space="preserve"> </w:t>
      </w:r>
      <w:r w:rsidRPr="009C544B">
        <w:t>a</w:t>
      </w:r>
      <w:r>
        <w:t xml:space="preserve">n </w:t>
      </w:r>
      <w:r w:rsidRPr="009C544B">
        <w:t>ambitious plan aimed at reducing the impacts of climate change and preparing for its future effects</w:t>
      </w:r>
      <w:r>
        <w:t xml:space="preserve">. </w:t>
      </w:r>
      <w:r w:rsidR="004F2BF2">
        <w:t xml:space="preserve">The strategy has five pillars, which represent our goals for </w:t>
      </w:r>
      <w:r w:rsidR="004F2BF2" w:rsidRPr="00C71C5A">
        <w:t>reducing emissions and managing the impacts of climate change</w:t>
      </w:r>
      <w:r w:rsidR="004F2BF2">
        <w:t xml:space="preserve"> (figure 1)</w:t>
      </w:r>
      <w:r w:rsidR="001064BD">
        <w:t xml:space="preserve">. </w:t>
      </w:r>
    </w:p>
    <w:p w14:paraId="7E8B97A4" w14:textId="1953E696" w:rsidR="001503D5" w:rsidRPr="00DD3895" w:rsidRDefault="001064BD" w:rsidP="00A64C23">
      <w:pPr>
        <w:pStyle w:val="Figureheading"/>
      </w:pPr>
      <w:bookmarkStart w:id="4" w:name="_Toc183525918"/>
      <w:r w:rsidRPr="00A64C23">
        <w:t xml:space="preserve">Figure 1: </w:t>
      </w:r>
      <w:r>
        <w:tab/>
      </w:r>
      <w:r w:rsidRPr="00A64C23">
        <w:t>The f</w:t>
      </w:r>
      <w:r w:rsidR="001503D5" w:rsidRPr="00A64C23">
        <w:t>ive pillars</w:t>
      </w:r>
      <w:r w:rsidR="001503D5" w:rsidRPr="00A64C23" w:rsidDel="00B30CDA">
        <w:t xml:space="preserve"> </w:t>
      </w:r>
      <w:r w:rsidRPr="00A64C23">
        <w:t xml:space="preserve">of </w:t>
      </w:r>
      <w:r w:rsidR="00A75C96">
        <w:t>New Zealand’s</w:t>
      </w:r>
      <w:r w:rsidR="00A75C96" w:rsidRPr="00A64C23">
        <w:t xml:space="preserve"> </w:t>
      </w:r>
      <w:r w:rsidR="00A75C96">
        <w:t>C</w:t>
      </w:r>
      <w:r w:rsidR="00A75C96" w:rsidRPr="00A64C23">
        <w:t xml:space="preserve">limate </w:t>
      </w:r>
      <w:bookmarkEnd w:id="4"/>
      <w:r w:rsidR="00A75C96">
        <w:t>S</w:t>
      </w:r>
      <w:r w:rsidR="00A75C96" w:rsidRPr="00A64C23">
        <w:t>trategy</w:t>
      </w:r>
      <w:r w:rsidR="00A75C96">
        <w:t xml:space="preserve"> </w:t>
      </w:r>
    </w:p>
    <w:p w14:paraId="4C456B55" w14:textId="62263303" w:rsidR="001503D5" w:rsidRDefault="001503D5" w:rsidP="001503D5">
      <w:pPr>
        <w:pStyle w:val="BodyText"/>
      </w:pPr>
      <w:r w:rsidRPr="00944D26">
        <w:rPr>
          <w:noProof/>
        </w:rPr>
        <w:drawing>
          <wp:inline distT="0" distB="0" distL="0" distR="0" wp14:anchorId="0F2F35D6" wp14:editId="54D9C68E">
            <wp:extent cx="5310554" cy="2121825"/>
            <wp:effectExtent l="0" t="0" r="4445" b="0"/>
            <wp:docPr id="609805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05758" name="Picture 1"/>
                    <pic:cNvPicPr/>
                  </pic:nvPicPr>
                  <pic:blipFill>
                    <a:blip r:embed="rId22"/>
                    <a:stretch>
                      <a:fillRect/>
                    </a:stretch>
                  </pic:blipFill>
                  <pic:spPr>
                    <a:xfrm>
                      <a:off x="0" y="0"/>
                      <a:ext cx="5325085" cy="2127631"/>
                    </a:xfrm>
                    <a:prstGeom prst="rect">
                      <a:avLst/>
                    </a:prstGeom>
                  </pic:spPr>
                </pic:pic>
              </a:graphicData>
            </a:graphic>
          </wp:inline>
        </w:drawing>
      </w:r>
    </w:p>
    <w:p w14:paraId="1C9CB665" w14:textId="2C373B64" w:rsidR="00BC2977" w:rsidRDefault="001503D5" w:rsidP="001503D5">
      <w:pPr>
        <w:pStyle w:val="BodyText"/>
      </w:pPr>
      <w:r w:rsidRPr="006634FB">
        <w:t>Th</w:t>
      </w:r>
      <w:r w:rsidR="00215C5D">
        <w:t>e</w:t>
      </w:r>
      <w:r w:rsidRPr="006634FB">
        <w:t xml:space="preserve"> Government</w:t>
      </w:r>
      <w:r w:rsidR="00215C5D">
        <w:t xml:space="preserve"> wants to </w:t>
      </w:r>
      <w:r w:rsidR="00066DEC">
        <w:t xml:space="preserve">achieve cost-effective emissions </w:t>
      </w:r>
      <w:r w:rsidR="00760B3D">
        <w:t xml:space="preserve">reductions. </w:t>
      </w:r>
      <w:r w:rsidR="00AB4ABA">
        <w:t xml:space="preserve">This means </w:t>
      </w:r>
      <w:r w:rsidR="0005471C">
        <w:t xml:space="preserve">incentivising </w:t>
      </w:r>
      <w:r w:rsidR="00AB4ABA">
        <w:t xml:space="preserve">Government, businesses and households </w:t>
      </w:r>
      <w:r w:rsidR="0005471C">
        <w:t>to</w:t>
      </w:r>
      <w:r w:rsidR="00AB4ABA">
        <w:t xml:space="preserve"> take actions that have the greatest impact on net emissions </w:t>
      </w:r>
      <w:r w:rsidR="00AB4ABA" w:rsidRPr="003C3602">
        <w:t>for a given investment in reductions or removals.</w:t>
      </w:r>
      <w:r w:rsidR="00AB4ABA">
        <w:t xml:space="preserve"> </w:t>
      </w:r>
      <w:r w:rsidR="006C2FA0">
        <w:t xml:space="preserve">This </w:t>
      </w:r>
      <w:r w:rsidR="000A1B98">
        <w:t>is being</w:t>
      </w:r>
      <w:r w:rsidR="006C2FA0">
        <w:t xml:space="preserve"> achieved by</w:t>
      </w:r>
      <w:r w:rsidRPr="006634FB">
        <w:t xml:space="preserve"> using effective and efficient policies that do not negatively impact on the productivity of New Zealand’s key industries. </w:t>
      </w:r>
    </w:p>
    <w:p w14:paraId="1E33865B" w14:textId="1340161B" w:rsidR="001503D5" w:rsidRDefault="001503D5" w:rsidP="001503D5">
      <w:pPr>
        <w:pStyle w:val="BodyText"/>
      </w:pPr>
      <w:r w:rsidRPr="006634FB">
        <w:t xml:space="preserve">This approach </w:t>
      </w:r>
      <w:r w:rsidR="000A1B98">
        <w:t>is</w:t>
      </w:r>
      <w:r w:rsidRPr="006634FB">
        <w:t xml:space="preserve"> technology-led</w:t>
      </w:r>
      <w:r w:rsidR="006C2FA0">
        <w:t>.</w:t>
      </w:r>
      <w:r w:rsidR="00DB2D76">
        <w:t xml:space="preserve"> </w:t>
      </w:r>
      <w:r w:rsidR="006C2FA0">
        <w:t xml:space="preserve">It </w:t>
      </w:r>
      <w:r w:rsidR="000A1B98">
        <w:t>relies</w:t>
      </w:r>
      <w:r w:rsidRPr="006634FB">
        <w:t xml:space="preserve"> on a credible emissions trading scheme, complemented by policies that reduce barriers to investment in emissions reductions and removals.</w:t>
      </w:r>
    </w:p>
    <w:p w14:paraId="0F047B91" w14:textId="019915C0" w:rsidR="00A854FC" w:rsidRDefault="00E50121" w:rsidP="00A854FC">
      <w:pPr>
        <w:pStyle w:val="BodyText"/>
        <w:rPr>
          <w:rFonts w:eastAsia="Georgia"/>
          <w:lang w:val="en-US"/>
        </w:rPr>
      </w:pPr>
      <w:r w:rsidRPr="00A50ACD">
        <w:rPr>
          <w:rFonts w:eastAsia="Georgia"/>
          <w:lang w:val="en-US"/>
        </w:rPr>
        <w:t xml:space="preserve">We </w:t>
      </w:r>
      <w:proofErr w:type="gramStart"/>
      <w:r w:rsidRPr="00A50ACD">
        <w:rPr>
          <w:rFonts w:eastAsia="Georgia"/>
          <w:lang w:val="en-US"/>
        </w:rPr>
        <w:t>are</w:t>
      </w:r>
      <w:proofErr w:type="gramEnd"/>
      <w:r w:rsidRPr="00A50ACD">
        <w:rPr>
          <w:rFonts w:eastAsia="Georgia"/>
          <w:lang w:val="en-US"/>
        </w:rPr>
        <w:t xml:space="preserve"> nearly three years into delivering New Zealand’s first emissions reduction plan.</w:t>
      </w:r>
      <w:r w:rsidR="00981008">
        <w:rPr>
          <w:rFonts w:eastAsia="Georgia"/>
          <w:lang w:val="en-US"/>
        </w:rPr>
        <w:t xml:space="preserve"> </w:t>
      </w:r>
      <w:r w:rsidR="00A854FC">
        <w:rPr>
          <w:rFonts w:eastAsia="Georgia"/>
          <w:lang w:val="en-US"/>
        </w:rPr>
        <w:t>New Zealand</w:t>
      </w:r>
      <w:r w:rsidR="00A854FC" w:rsidRPr="00A50ACD">
        <w:rPr>
          <w:rFonts w:eastAsia="Georgia"/>
          <w:lang w:val="en-US"/>
        </w:rPr>
        <w:t xml:space="preserve"> ha</w:t>
      </w:r>
      <w:r w:rsidR="00A854FC">
        <w:rPr>
          <w:rFonts w:eastAsia="Georgia"/>
          <w:lang w:val="en-US"/>
        </w:rPr>
        <w:t>s</w:t>
      </w:r>
      <w:r w:rsidR="00A854FC" w:rsidRPr="00A50ACD">
        <w:rPr>
          <w:rFonts w:eastAsia="Georgia"/>
          <w:lang w:val="en-US"/>
        </w:rPr>
        <w:t xml:space="preserve"> faced challenges that have informed how we will continue to deliver the </w:t>
      </w:r>
      <w:r w:rsidR="00991834">
        <w:rPr>
          <w:rFonts w:eastAsia="Georgia"/>
          <w:lang w:val="en-US"/>
        </w:rPr>
        <w:t>p</w:t>
      </w:r>
      <w:r w:rsidR="00A854FC" w:rsidRPr="00A50ACD">
        <w:rPr>
          <w:rFonts w:eastAsia="Georgia"/>
          <w:lang w:val="en-US"/>
        </w:rPr>
        <w:t xml:space="preserve">lan going forward. In the early stages, supply chain constraints driven by </w:t>
      </w:r>
      <w:r w:rsidR="007F29D3">
        <w:rPr>
          <w:rFonts w:eastAsia="Georgia"/>
          <w:lang w:val="en-US"/>
        </w:rPr>
        <w:t>COVID</w:t>
      </w:r>
      <w:r w:rsidR="00A854FC" w:rsidRPr="00A50ACD">
        <w:rPr>
          <w:rFonts w:eastAsia="Georgia"/>
          <w:lang w:val="en-US"/>
        </w:rPr>
        <w:t>-19 and later</w:t>
      </w:r>
      <w:r w:rsidR="00A854FC">
        <w:rPr>
          <w:rFonts w:eastAsia="Georgia"/>
          <w:lang w:val="en-US"/>
        </w:rPr>
        <w:t>,</w:t>
      </w:r>
      <w:r w:rsidR="00A854FC" w:rsidRPr="00A50ACD">
        <w:rPr>
          <w:rFonts w:eastAsia="Georgia"/>
          <w:lang w:val="en-US"/>
        </w:rPr>
        <w:t xml:space="preserve"> Cyclone Gabrielle and the Auckland flooding</w:t>
      </w:r>
      <w:r w:rsidR="00A854FC">
        <w:rPr>
          <w:rFonts w:eastAsia="Georgia"/>
          <w:lang w:val="en-US"/>
        </w:rPr>
        <w:t>,</w:t>
      </w:r>
      <w:r w:rsidR="00A854FC" w:rsidRPr="00A50ACD">
        <w:rPr>
          <w:rFonts w:eastAsia="Georgia"/>
          <w:lang w:val="en-US"/>
        </w:rPr>
        <w:t xml:space="preserve"> caused delivery delays across several sectors. Worsening inflation and the cost-of-living crisis </w:t>
      </w:r>
      <w:r w:rsidR="00356E56">
        <w:rPr>
          <w:rFonts w:eastAsia="Georgia"/>
          <w:lang w:val="en-US"/>
        </w:rPr>
        <w:t>have</w:t>
      </w:r>
      <w:r w:rsidR="00356E56" w:rsidRPr="00A50ACD">
        <w:rPr>
          <w:rFonts w:eastAsia="Georgia"/>
          <w:lang w:val="en-US"/>
        </w:rPr>
        <w:t xml:space="preserve"> </w:t>
      </w:r>
      <w:r w:rsidR="00A854FC" w:rsidRPr="00A50ACD">
        <w:rPr>
          <w:rFonts w:eastAsia="Georgia"/>
          <w:lang w:val="en-US"/>
        </w:rPr>
        <w:t>meant some actions have been paused or discontinued to ease cost pressure on households (</w:t>
      </w:r>
      <w:r w:rsidR="0034265C">
        <w:rPr>
          <w:rFonts w:eastAsia="Georgia"/>
          <w:lang w:val="en-US"/>
        </w:rPr>
        <w:t>eg,</w:t>
      </w:r>
      <w:r w:rsidR="00A854FC" w:rsidRPr="00A50ACD">
        <w:rPr>
          <w:rFonts w:eastAsia="Georgia"/>
          <w:lang w:val="en-US"/>
        </w:rPr>
        <w:t xml:space="preserve"> the </w:t>
      </w:r>
      <w:r w:rsidR="00A854FC">
        <w:rPr>
          <w:rFonts w:eastAsia="Georgia"/>
          <w:lang w:val="en-US"/>
        </w:rPr>
        <w:t xml:space="preserve">previous </w:t>
      </w:r>
      <w:r w:rsidR="00A854FC" w:rsidRPr="00A50ACD">
        <w:rPr>
          <w:rFonts w:eastAsia="Georgia"/>
          <w:lang w:val="en-US"/>
        </w:rPr>
        <w:t xml:space="preserve">government cancelling the sustainable biofuels obligation in February 2023). </w:t>
      </w:r>
    </w:p>
    <w:p w14:paraId="4D0FAEE4" w14:textId="236CBD75" w:rsidR="005C6E7D" w:rsidRDefault="00C9350C" w:rsidP="00C9350C">
      <w:pPr>
        <w:pStyle w:val="BodyText"/>
        <w:rPr>
          <w:rFonts w:eastAsia="Georgia"/>
          <w:lang w:val="en-US"/>
        </w:rPr>
      </w:pPr>
      <w:r w:rsidRPr="27C16C13">
        <w:rPr>
          <w:rFonts w:eastAsia="Georgia"/>
        </w:rPr>
        <w:lastRenderedPageBreak/>
        <w:t xml:space="preserve">These challenges have reinforced the need to prioritise </w:t>
      </w:r>
      <w:r w:rsidR="0099650C">
        <w:rPr>
          <w:rFonts w:eastAsia="Georgia"/>
        </w:rPr>
        <w:t xml:space="preserve">actions </w:t>
      </w:r>
      <w:r w:rsidRPr="27C16C13">
        <w:rPr>
          <w:rFonts w:eastAsia="Georgia"/>
        </w:rPr>
        <w:t xml:space="preserve">that deliver cost-effective </w:t>
      </w:r>
      <w:r w:rsidR="001A1CB2">
        <w:rPr>
          <w:rFonts w:eastAsia="Georgia"/>
        </w:rPr>
        <w:t xml:space="preserve">emissions reductions </w:t>
      </w:r>
      <w:r w:rsidR="009329B6">
        <w:rPr>
          <w:rFonts w:eastAsia="Georgia"/>
        </w:rPr>
        <w:t>in line with our approach.</w:t>
      </w:r>
      <w:r w:rsidR="00DB2D76">
        <w:rPr>
          <w:rFonts w:eastAsia="Georgia"/>
        </w:rPr>
        <w:t xml:space="preserve"> </w:t>
      </w:r>
      <w:r w:rsidR="006E15A6">
        <w:rPr>
          <w:rFonts w:eastAsia="Georgia"/>
          <w:lang w:val="en-US"/>
        </w:rPr>
        <w:t xml:space="preserve">This amendment </w:t>
      </w:r>
      <w:r w:rsidR="006D08FB">
        <w:rPr>
          <w:rFonts w:eastAsia="Georgia"/>
          <w:lang w:val="en-US"/>
        </w:rPr>
        <w:t xml:space="preserve">updates </w:t>
      </w:r>
      <w:r w:rsidR="00F019E6">
        <w:rPr>
          <w:rFonts w:eastAsia="Georgia"/>
          <w:lang w:val="en-US"/>
        </w:rPr>
        <w:t>the first emissions reduction</w:t>
      </w:r>
      <w:r w:rsidR="006E15A6">
        <w:rPr>
          <w:rFonts w:eastAsia="Georgia"/>
          <w:lang w:val="en-US"/>
        </w:rPr>
        <w:t xml:space="preserve"> plan to ensure we are focused on the actions that will </w:t>
      </w:r>
      <w:r w:rsidR="006D424C">
        <w:t xml:space="preserve">minimise the </w:t>
      </w:r>
      <w:r w:rsidR="006D424C" w:rsidRPr="00D71C6C">
        <w:t>cost</w:t>
      </w:r>
      <w:r w:rsidR="006D424C">
        <w:t>-</w:t>
      </w:r>
      <w:r w:rsidR="006D424C" w:rsidRPr="00D71C6C">
        <w:t>of</w:t>
      </w:r>
      <w:r w:rsidR="006D424C">
        <w:t>-</w:t>
      </w:r>
      <w:r w:rsidR="006D424C" w:rsidRPr="00D71C6C">
        <w:t>living impacts of climate change policies</w:t>
      </w:r>
      <w:r w:rsidR="006D424C">
        <w:t xml:space="preserve"> and </w:t>
      </w:r>
      <w:r w:rsidR="006D424C" w:rsidRPr="0055746A">
        <w:t>increase the likelihood of successful delivery of targets and budgets</w:t>
      </w:r>
      <w:r w:rsidR="006E15A6">
        <w:rPr>
          <w:rFonts w:eastAsia="Georgia"/>
          <w:lang w:val="en-US"/>
        </w:rPr>
        <w:t xml:space="preserve">. </w:t>
      </w:r>
    </w:p>
    <w:p w14:paraId="4B266403" w14:textId="77777777" w:rsidR="00FF4867" w:rsidRDefault="006E15A6" w:rsidP="00C9350C">
      <w:pPr>
        <w:pStyle w:val="BodyText"/>
        <w:rPr>
          <w:rFonts w:eastAsia="Georgia"/>
          <w:lang w:val="en-US"/>
        </w:rPr>
      </w:pPr>
      <w:r>
        <w:rPr>
          <w:rFonts w:eastAsia="Georgia"/>
          <w:lang w:val="en-US"/>
        </w:rPr>
        <w:t xml:space="preserve">We have chosen not to directly intervene or subsidise interventions the market can provide. </w:t>
      </w:r>
      <w:r w:rsidR="00BE53D0">
        <w:rPr>
          <w:rFonts w:eastAsia="Georgia"/>
        </w:rPr>
        <w:t xml:space="preserve">This has </w:t>
      </w:r>
      <w:r w:rsidR="00914448">
        <w:rPr>
          <w:rFonts w:eastAsia="Georgia"/>
        </w:rPr>
        <w:t xml:space="preserve">seen this </w:t>
      </w:r>
      <w:r w:rsidR="0034265C">
        <w:rPr>
          <w:rFonts w:eastAsia="Georgia"/>
        </w:rPr>
        <w:t>G</w:t>
      </w:r>
      <w:r w:rsidR="00914448">
        <w:rPr>
          <w:rFonts w:eastAsia="Georgia"/>
        </w:rPr>
        <w:t xml:space="preserve">overnment stop a number of existing </w:t>
      </w:r>
      <w:r w:rsidR="008B3C36">
        <w:rPr>
          <w:rFonts w:eastAsia="Georgia"/>
        </w:rPr>
        <w:t>programmes</w:t>
      </w:r>
      <w:r w:rsidR="00136BE9">
        <w:rPr>
          <w:rFonts w:eastAsia="Georgia"/>
        </w:rPr>
        <w:t>, while s</w:t>
      </w:r>
      <w:r w:rsidR="00C9681C" w:rsidRPr="006634FB">
        <w:t>ome actions were stopped by the previous administration</w:t>
      </w:r>
      <w:r w:rsidR="00C9681C">
        <w:t xml:space="preserve"> (35 and 6 actions</w:t>
      </w:r>
      <w:r w:rsidR="009D01C3">
        <w:t>,</w:t>
      </w:r>
      <w:r w:rsidR="00C9681C">
        <w:t xml:space="preserve"> respectively)</w:t>
      </w:r>
      <w:r w:rsidR="00C9681C" w:rsidRPr="006634FB">
        <w:t>.</w:t>
      </w:r>
      <w:r w:rsidR="008D1FA2" w:rsidRPr="008D1FA2">
        <w:t xml:space="preserve"> </w:t>
      </w:r>
      <w:r w:rsidR="00FD27AE" w:rsidRPr="006634FB">
        <w:t xml:space="preserve">The list of discontinued actions can be found in </w:t>
      </w:r>
      <w:r w:rsidR="00FD27AE" w:rsidDel="00C715FE">
        <w:t>a</w:t>
      </w:r>
      <w:r w:rsidR="00FD27AE" w:rsidRPr="006634FB">
        <w:t>ppendix 1.</w:t>
      </w:r>
      <w:r w:rsidR="00981008">
        <w:rPr>
          <w:rFonts w:eastAsia="Georgia"/>
          <w:lang w:val="en-US"/>
        </w:rPr>
        <w:t xml:space="preserve"> </w:t>
      </w:r>
    </w:p>
    <w:p w14:paraId="24022B7B" w14:textId="77777777" w:rsidR="00FF4867" w:rsidRDefault="00981008" w:rsidP="00FF4867">
      <w:pPr>
        <w:pStyle w:val="BodyText"/>
        <w:keepNext/>
        <w:keepLines/>
        <w:rPr>
          <w:rFonts w:eastAsia="Georgia"/>
        </w:rPr>
      </w:pPr>
      <w:r>
        <w:rPr>
          <w:rFonts w:eastAsia="Georgia"/>
          <w:lang w:val="en-US"/>
        </w:rPr>
        <w:t xml:space="preserve">We have also started work on new actions as outlined in this </w:t>
      </w:r>
      <w:r w:rsidR="009D01C3">
        <w:rPr>
          <w:rFonts w:eastAsia="Georgia"/>
          <w:lang w:val="en-US"/>
        </w:rPr>
        <w:t>G</w:t>
      </w:r>
      <w:r>
        <w:rPr>
          <w:rFonts w:eastAsia="Georgia"/>
          <w:lang w:val="en-US"/>
        </w:rPr>
        <w:t>overnment’s coalition agreements</w:t>
      </w:r>
      <w:r w:rsidR="00D91C0F">
        <w:rPr>
          <w:rFonts w:eastAsia="Georgia"/>
          <w:lang w:val="en-US"/>
        </w:rPr>
        <w:t>. These</w:t>
      </w:r>
      <w:r>
        <w:rPr>
          <w:rFonts w:eastAsia="Georgia"/>
          <w:lang w:val="en-US"/>
        </w:rPr>
        <w:t xml:space="preserve"> and </w:t>
      </w:r>
      <w:r w:rsidR="00D91C0F">
        <w:rPr>
          <w:rFonts w:eastAsia="Georgia"/>
          <w:lang w:val="en-US"/>
        </w:rPr>
        <w:t xml:space="preserve">additional </w:t>
      </w:r>
      <w:r>
        <w:rPr>
          <w:rFonts w:eastAsia="Georgia"/>
          <w:lang w:val="en-US"/>
        </w:rPr>
        <w:t>new actions</w:t>
      </w:r>
      <w:r w:rsidR="002B7B6B">
        <w:rPr>
          <w:rFonts w:eastAsia="Georgia"/>
          <w:lang w:val="en-US"/>
        </w:rPr>
        <w:t>,</w:t>
      </w:r>
      <w:r>
        <w:rPr>
          <w:rFonts w:eastAsia="Georgia"/>
          <w:lang w:val="en-US"/>
        </w:rPr>
        <w:t xml:space="preserve"> </w:t>
      </w:r>
      <w:r w:rsidR="00E23028">
        <w:rPr>
          <w:rFonts w:eastAsia="Georgia"/>
          <w:lang w:val="en-US"/>
        </w:rPr>
        <w:t xml:space="preserve">are </w:t>
      </w:r>
      <w:r>
        <w:rPr>
          <w:rFonts w:eastAsia="Georgia"/>
          <w:lang w:val="en-US"/>
        </w:rPr>
        <w:t xml:space="preserve">included in the </w:t>
      </w:r>
      <w:hyperlink r:id="rId23" w:history="1">
        <w:r w:rsidRPr="00E2606F">
          <w:rPr>
            <w:rStyle w:val="Hyperlink"/>
            <w:rFonts w:eastAsia="Georgia"/>
            <w:lang w:val="en-US"/>
          </w:rPr>
          <w:t>second emissions reduction plan</w:t>
        </w:r>
      </w:hyperlink>
      <w:r>
        <w:rPr>
          <w:rFonts w:eastAsia="Georgia"/>
          <w:lang w:val="en-US"/>
        </w:rPr>
        <w:t>.</w:t>
      </w:r>
      <w:r w:rsidR="00FF4867">
        <w:rPr>
          <w:rFonts w:eastAsia="Georgia"/>
          <w:lang w:val="en-US"/>
        </w:rPr>
        <w:t xml:space="preserve">  </w:t>
      </w:r>
      <w:r w:rsidR="00FF4867">
        <w:rPr>
          <w:rFonts w:eastAsia="Georgia"/>
        </w:rPr>
        <w:t>Implementing</w:t>
      </w:r>
      <w:r w:rsidR="00FF4867" w:rsidRPr="00A50ACD">
        <w:rPr>
          <w:rFonts w:eastAsia="Georgia"/>
        </w:rPr>
        <w:t xml:space="preserve"> the new approach for the</w:t>
      </w:r>
      <w:r w:rsidR="00FF4867">
        <w:rPr>
          <w:rFonts w:eastAsia="Georgia"/>
        </w:rPr>
        <w:t xml:space="preserve"> final year</w:t>
      </w:r>
      <w:r w:rsidR="00FF4867" w:rsidRPr="00A50ACD">
        <w:rPr>
          <w:rFonts w:eastAsia="Georgia"/>
        </w:rPr>
        <w:t xml:space="preserve"> of the first emissions budget</w:t>
      </w:r>
      <w:r w:rsidR="00FF4867">
        <w:rPr>
          <w:rFonts w:eastAsia="Georgia"/>
        </w:rPr>
        <w:t xml:space="preserve"> period</w:t>
      </w:r>
      <w:r w:rsidR="00FF4867" w:rsidRPr="00A50ACD">
        <w:rPr>
          <w:rFonts w:eastAsia="Georgia"/>
        </w:rPr>
        <w:t xml:space="preserve"> will </w:t>
      </w:r>
      <w:r w:rsidR="00FF4867">
        <w:rPr>
          <w:rFonts w:eastAsia="Georgia"/>
        </w:rPr>
        <w:t>see:</w:t>
      </w:r>
    </w:p>
    <w:p w14:paraId="024AE26E" w14:textId="77777777" w:rsidR="00FF4867" w:rsidRPr="004F6AAE" w:rsidRDefault="00FF4867" w:rsidP="00FF4867">
      <w:pPr>
        <w:pStyle w:val="Bullet"/>
        <w:keepNext/>
        <w:keepLines/>
      </w:pPr>
      <w:r w:rsidRPr="004F6AAE">
        <w:t xml:space="preserve">a renewed emphasis on action to enable renewable energy investment and development </w:t>
      </w:r>
    </w:p>
    <w:p w14:paraId="0DDD5A26" w14:textId="77777777" w:rsidR="00FF4867" w:rsidRPr="004F6AAE" w:rsidRDefault="00FF4867" w:rsidP="00FF4867">
      <w:pPr>
        <w:pStyle w:val="Bullet"/>
        <w:keepLines/>
      </w:pPr>
      <w:r w:rsidRPr="004F6AAE">
        <w:t>universal support mechanisms to mitigate the impact of the transition on individuals and households</w:t>
      </w:r>
    </w:p>
    <w:p w14:paraId="7FD82285" w14:textId="77777777" w:rsidR="00FF4867" w:rsidRDefault="00FF4867" w:rsidP="00FF4867">
      <w:pPr>
        <w:pStyle w:val="Bullet"/>
        <w:keepLines/>
      </w:pPr>
      <w:r w:rsidRPr="004F6AAE">
        <w:t>work to recognise more sources of removals for the second emissions budget and future budgets</w:t>
      </w:r>
      <w:r>
        <w:t>.</w:t>
      </w:r>
    </w:p>
    <w:p w14:paraId="74ED4E55" w14:textId="2A8A1C2A" w:rsidR="00A24CAD" w:rsidRPr="006634FB" w:rsidRDefault="00A24CAD" w:rsidP="004F6AAE">
      <w:pPr>
        <w:pStyle w:val="Heading2"/>
      </w:pPr>
      <w:bookmarkStart w:id="5" w:name="_Toc182398379"/>
      <w:r>
        <w:t xml:space="preserve">Our approach </w:t>
      </w:r>
      <w:r w:rsidR="007C45EA">
        <w:t>is delivering</w:t>
      </w:r>
      <w:r>
        <w:t xml:space="preserve"> results</w:t>
      </w:r>
      <w:bookmarkEnd w:id="5"/>
    </w:p>
    <w:p w14:paraId="0AC78203" w14:textId="15757D84" w:rsidR="00A87F7C" w:rsidRDefault="00962C43" w:rsidP="007463E8">
      <w:pPr>
        <w:pStyle w:val="BodyText"/>
      </w:pPr>
      <w:r>
        <w:rPr>
          <w:rFonts w:eastAsia="Georgia"/>
          <w:lang w:val="en-US"/>
        </w:rPr>
        <w:t xml:space="preserve">This </w:t>
      </w:r>
      <w:r w:rsidR="003F185F">
        <w:rPr>
          <w:rFonts w:eastAsia="Georgia"/>
          <w:lang w:val="en-US"/>
        </w:rPr>
        <w:t xml:space="preserve">Government’s </w:t>
      </w:r>
      <w:r>
        <w:rPr>
          <w:rFonts w:eastAsia="Georgia"/>
          <w:lang w:val="en-US"/>
        </w:rPr>
        <w:t xml:space="preserve">approach </w:t>
      </w:r>
      <w:r w:rsidR="009143C8">
        <w:rPr>
          <w:rFonts w:eastAsia="Georgia"/>
          <w:lang w:val="en-US"/>
        </w:rPr>
        <w:t>to reducing</w:t>
      </w:r>
      <w:r w:rsidR="00033816">
        <w:rPr>
          <w:rFonts w:eastAsia="Georgia"/>
          <w:lang w:val="en-US"/>
        </w:rPr>
        <w:t xml:space="preserve"> net emissions </w:t>
      </w:r>
      <w:r w:rsidR="009143C8">
        <w:rPr>
          <w:rFonts w:eastAsia="Georgia"/>
          <w:lang w:val="en-US"/>
        </w:rPr>
        <w:t>will</w:t>
      </w:r>
      <w:r w:rsidR="00F875B9">
        <w:rPr>
          <w:rFonts w:eastAsia="Georgia"/>
          <w:lang w:val="en-US"/>
        </w:rPr>
        <w:t xml:space="preserve"> keep the country on track to meet the first emissions budget.</w:t>
      </w:r>
      <w:r w:rsidR="00DB2D76">
        <w:rPr>
          <w:rFonts w:eastAsia="Georgia"/>
          <w:lang w:val="en-US"/>
        </w:rPr>
        <w:t xml:space="preserve"> </w:t>
      </w:r>
      <w:r w:rsidR="00FB17D5">
        <w:rPr>
          <w:rFonts w:eastAsia="Arial"/>
        </w:rPr>
        <w:t>Based on the central estimate</w:t>
      </w:r>
      <w:r w:rsidR="00B1008C">
        <w:rPr>
          <w:rFonts w:eastAsia="Arial"/>
        </w:rPr>
        <w:t>,</w:t>
      </w:r>
      <w:r w:rsidR="00182AEC">
        <w:rPr>
          <w:rStyle w:val="FootnoteReference"/>
          <w:rFonts w:eastAsia="Arial"/>
        </w:rPr>
        <w:footnoteReference w:id="4"/>
      </w:r>
      <w:r w:rsidR="00FB17D5">
        <w:rPr>
          <w:rFonts w:eastAsia="Georgia"/>
          <w:lang w:val="en-US"/>
        </w:rPr>
        <w:t xml:space="preserve"> c</w:t>
      </w:r>
      <w:r w:rsidR="00033816">
        <w:rPr>
          <w:rFonts w:eastAsia="Georgia"/>
          <w:lang w:val="en-US"/>
        </w:rPr>
        <w:t xml:space="preserve">urrent </w:t>
      </w:r>
      <w:r w:rsidR="00191117">
        <w:rPr>
          <w:rFonts w:eastAsia="Georgia"/>
          <w:lang w:val="en-US"/>
        </w:rPr>
        <w:t>emissions</w:t>
      </w:r>
      <w:r w:rsidR="000146E4">
        <w:rPr>
          <w:rFonts w:eastAsia="Georgia"/>
          <w:lang w:val="en-US"/>
        </w:rPr>
        <w:t>’</w:t>
      </w:r>
      <w:r w:rsidR="00191117">
        <w:rPr>
          <w:rFonts w:eastAsia="Georgia"/>
          <w:lang w:val="en-US"/>
        </w:rPr>
        <w:t xml:space="preserve"> projections </w:t>
      </w:r>
      <w:r w:rsidR="00A24CAD" w:rsidRPr="00983D68">
        <w:rPr>
          <w:rFonts w:eastAsia="Arial"/>
        </w:rPr>
        <w:t>indicate</w:t>
      </w:r>
      <w:r w:rsidR="00A24CAD">
        <w:rPr>
          <w:rFonts w:eastAsia="Arial"/>
        </w:rPr>
        <w:t xml:space="preserve"> </w:t>
      </w:r>
      <w:r w:rsidR="00A24CAD" w:rsidRPr="00983D68">
        <w:rPr>
          <w:rFonts w:eastAsia="Arial"/>
        </w:rPr>
        <w:t xml:space="preserve">we </w:t>
      </w:r>
      <w:r w:rsidR="00A24CAD">
        <w:rPr>
          <w:rFonts w:eastAsia="Arial"/>
        </w:rPr>
        <w:t xml:space="preserve">are projected to </w:t>
      </w:r>
      <w:r w:rsidR="00A24CAD" w:rsidRPr="00983D68">
        <w:rPr>
          <w:rFonts w:eastAsia="Arial"/>
        </w:rPr>
        <w:t>meet the first emissions budget</w:t>
      </w:r>
      <w:r w:rsidR="009108C5" w:rsidRPr="009108C5">
        <w:t xml:space="preserve"> </w:t>
      </w:r>
      <w:r w:rsidR="00A24CAD">
        <w:t xml:space="preserve">(see </w:t>
      </w:r>
      <w:r w:rsidR="00B1008C">
        <w:t>t</w:t>
      </w:r>
      <w:r w:rsidR="00A24CAD">
        <w:t xml:space="preserve">able </w:t>
      </w:r>
      <w:r w:rsidR="00AE13ED">
        <w:t>1</w:t>
      </w:r>
      <w:r w:rsidR="00A24CAD">
        <w:t>).</w:t>
      </w:r>
      <w:r w:rsidR="00DB2D76">
        <w:t xml:space="preserve"> </w:t>
      </w:r>
    </w:p>
    <w:p w14:paraId="3A4F10FF" w14:textId="445D5E99" w:rsidR="007463E8" w:rsidRDefault="00A87F7C" w:rsidP="007463E8">
      <w:pPr>
        <w:pStyle w:val="BodyText"/>
      </w:pPr>
      <w:r>
        <w:rPr>
          <w:rFonts w:eastAsia="Arial"/>
        </w:rPr>
        <w:t>The</w:t>
      </w:r>
      <w:r w:rsidR="00C17E7F">
        <w:rPr>
          <w:rFonts w:eastAsia="Arial"/>
        </w:rPr>
        <w:t>se</w:t>
      </w:r>
      <w:r>
        <w:rPr>
          <w:rFonts w:eastAsia="Arial"/>
        </w:rPr>
        <w:t xml:space="preserve"> projections</w:t>
      </w:r>
      <w:r w:rsidDel="00BD53BB">
        <w:rPr>
          <w:rFonts w:eastAsia="Arial"/>
        </w:rPr>
        <w:t xml:space="preserve"> </w:t>
      </w:r>
      <w:r>
        <w:rPr>
          <w:rFonts w:eastAsia="Arial"/>
        </w:rPr>
        <w:t>account for the impact, where quantifiable, of discontinuing actions in the first emissions reduction plan</w:t>
      </w:r>
      <w:r w:rsidR="00FF2348">
        <w:rPr>
          <w:rFonts w:eastAsia="Arial"/>
        </w:rPr>
        <w:t>,</w:t>
      </w:r>
      <w:r w:rsidR="004F6AAE" w:rsidDel="00FF2348">
        <w:rPr>
          <w:rFonts w:eastAsia="Arial"/>
        </w:rPr>
        <w:t xml:space="preserve"> </w:t>
      </w:r>
      <w:r w:rsidR="004F6AAE">
        <w:t>expressed in megatonnes of carbon dioxide equivalent (Mt CO</w:t>
      </w:r>
      <w:r w:rsidR="004F6AAE" w:rsidRPr="00D1122F">
        <w:rPr>
          <w:vertAlign w:val="subscript"/>
        </w:rPr>
        <w:t>2</w:t>
      </w:r>
      <w:r w:rsidR="004F6AAE">
        <w:t>-e).</w:t>
      </w:r>
      <w:r w:rsidR="001C508E">
        <w:rPr>
          <w:rStyle w:val="FootnoteReference"/>
        </w:rPr>
        <w:footnoteReference w:id="5"/>
      </w:r>
    </w:p>
    <w:p w14:paraId="1F3DEAE2" w14:textId="11CCD6C6" w:rsidR="00A24CAD" w:rsidRPr="00F61504" w:rsidRDefault="00A24CAD" w:rsidP="00A24CAD">
      <w:pPr>
        <w:pStyle w:val="Tableheading"/>
      </w:pPr>
      <w:bookmarkStart w:id="6" w:name="_Toc182490789"/>
      <w:r w:rsidRPr="00F61504">
        <w:t xml:space="preserve">Table </w:t>
      </w:r>
      <w:r w:rsidR="00AE13ED">
        <w:t>1</w:t>
      </w:r>
      <w:r w:rsidRPr="00F61504">
        <w:t>:</w:t>
      </w:r>
      <w:r>
        <w:tab/>
      </w:r>
      <w:r w:rsidR="007C4D77">
        <w:t>Net emissions p</w:t>
      </w:r>
      <w:r w:rsidRPr="00154C2F">
        <w:t>rojections with new measures (net emissions</w:t>
      </w:r>
      <w:r w:rsidR="00C60EF6">
        <w:t xml:space="preserve"> in Mt CO</w:t>
      </w:r>
      <w:r w:rsidR="00C60EF6" w:rsidRPr="00E2606F">
        <w:rPr>
          <w:vertAlign w:val="subscript"/>
        </w:rPr>
        <w:t>2</w:t>
      </w:r>
      <w:r w:rsidR="00C60EF6">
        <w:t>-e</w:t>
      </w:r>
      <w:r w:rsidRPr="00154C2F">
        <w:t xml:space="preserve">) </w:t>
      </w:r>
      <w:bookmarkEnd w:id="6"/>
    </w:p>
    <w:tbl>
      <w:tblPr>
        <w:tblStyle w:val="TableGrid"/>
        <w:tblW w:w="4917"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2881"/>
        <w:gridCol w:w="2882"/>
        <w:gridCol w:w="2880"/>
      </w:tblGrid>
      <w:tr w:rsidR="00A24CAD" w:rsidRPr="006B77BB" w14:paraId="0BEE4F69" w14:textId="77777777" w:rsidTr="00EB63A6">
        <w:trPr>
          <w:tblHeader/>
        </w:trPr>
        <w:tc>
          <w:tcPr>
            <w:tcW w:w="1667" w:type="pct"/>
            <w:shd w:val="clear" w:color="auto" w:fill="1B556B"/>
          </w:tcPr>
          <w:p w14:paraId="2568B1DA" w14:textId="77777777" w:rsidR="00A24CAD" w:rsidRPr="006B77BB" w:rsidRDefault="00A24CAD" w:rsidP="00EB63A6">
            <w:pPr>
              <w:pStyle w:val="TableTextbold"/>
              <w:rPr>
                <w:color w:val="FFFFFF" w:themeColor="background1"/>
              </w:rPr>
            </w:pPr>
            <w:r>
              <w:rPr>
                <w:color w:val="FFFFFF" w:themeColor="background1"/>
              </w:rPr>
              <w:t>Emissions budgets limits</w:t>
            </w:r>
          </w:p>
        </w:tc>
        <w:tc>
          <w:tcPr>
            <w:tcW w:w="1667" w:type="pct"/>
            <w:shd w:val="clear" w:color="auto" w:fill="1B556B"/>
          </w:tcPr>
          <w:p w14:paraId="3C7BB231" w14:textId="07064624" w:rsidR="00A24CAD" w:rsidRPr="006B77BB" w:rsidRDefault="00FA4831" w:rsidP="00EB63A6">
            <w:pPr>
              <w:pStyle w:val="TableTextbold"/>
              <w:rPr>
                <w:color w:val="FFFFFF" w:themeColor="background1"/>
              </w:rPr>
            </w:pPr>
            <w:r>
              <w:rPr>
                <w:color w:val="FFFFFF" w:themeColor="background1"/>
              </w:rPr>
              <w:t>P</w:t>
            </w:r>
            <w:r w:rsidR="00A24CAD" w:rsidRPr="006634FB">
              <w:rPr>
                <w:color w:val="FFFFFF" w:themeColor="background1"/>
              </w:rPr>
              <w:t>rojections including ERP2 policies (central estimate)</w:t>
            </w:r>
          </w:p>
        </w:tc>
        <w:tc>
          <w:tcPr>
            <w:tcW w:w="1666" w:type="pct"/>
            <w:shd w:val="clear" w:color="auto" w:fill="1B556B"/>
          </w:tcPr>
          <w:p w14:paraId="706FCBE7" w14:textId="4AA6E561" w:rsidR="00A24CAD" w:rsidRPr="006B77BB" w:rsidRDefault="00A24CAD" w:rsidP="00EB63A6">
            <w:pPr>
              <w:pStyle w:val="TableTextbold"/>
              <w:rPr>
                <w:color w:val="FFFFFF" w:themeColor="background1"/>
              </w:rPr>
            </w:pPr>
            <w:r w:rsidRPr="006634FB">
              <w:rPr>
                <w:color w:val="FFFFFF" w:themeColor="background1"/>
              </w:rPr>
              <w:t xml:space="preserve">Uncertainty for projections </w:t>
            </w:r>
            <w:r w:rsidR="00205252">
              <w:rPr>
                <w:color w:val="FFFFFF" w:themeColor="background1"/>
              </w:rPr>
              <w:br/>
            </w:r>
            <w:r w:rsidRPr="006634FB">
              <w:rPr>
                <w:color w:val="FFFFFF" w:themeColor="background1"/>
              </w:rPr>
              <w:t>(central estimate)</w:t>
            </w:r>
          </w:p>
        </w:tc>
      </w:tr>
      <w:tr w:rsidR="00A24CAD" w:rsidRPr="006B77BB" w14:paraId="23CBD98F" w14:textId="77777777" w:rsidTr="009D2036">
        <w:tc>
          <w:tcPr>
            <w:tcW w:w="1667" w:type="pct"/>
            <w:shd w:val="clear" w:color="auto" w:fill="auto"/>
            <w:vAlign w:val="center"/>
          </w:tcPr>
          <w:p w14:paraId="50693799" w14:textId="397F0829" w:rsidR="00A24CAD" w:rsidRPr="006B77BB" w:rsidRDefault="00A24CAD" w:rsidP="00EB63A6">
            <w:pPr>
              <w:pStyle w:val="TableText"/>
            </w:pPr>
            <w:r w:rsidRPr="005E6D0A">
              <w:t>First emissions budget</w:t>
            </w:r>
            <w:r w:rsidRPr="005E6D0A">
              <w:br/>
              <w:t>290 Mt CO</w:t>
            </w:r>
            <w:r w:rsidRPr="00854964">
              <w:rPr>
                <w:vertAlign w:val="subscript"/>
              </w:rPr>
              <w:t>2</w:t>
            </w:r>
            <w:r w:rsidRPr="005E6D0A">
              <w:t>-e</w:t>
            </w:r>
          </w:p>
        </w:tc>
        <w:tc>
          <w:tcPr>
            <w:tcW w:w="1667" w:type="pct"/>
            <w:vAlign w:val="center"/>
          </w:tcPr>
          <w:p w14:paraId="6F86DB38" w14:textId="398E365A" w:rsidR="00A24CAD" w:rsidRPr="006B77BB" w:rsidRDefault="00A24CAD" w:rsidP="00057E98">
            <w:pPr>
              <w:pStyle w:val="TableText"/>
            </w:pPr>
            <w:r w:rsidRPr="0006383F">
              <w:t>284.</w:t>
            </w:r>
            <w:r>
              <w:t>1</w:t>
            </w:r>
          </w:p>
        </w:tc>
        <w:tc>
          <w:tcPr>
            <w:tcW w:w="1666" w:type="pct"/>
            <w:vAlign w:val="center"/>
          </w:tcPr>
          <w:p w14:paraId="2394F01A" w14:textId="35708BAE" w:rsidR="00A24CAD" w:rsidRPr="006B77BB" w:rsidRDefault="00A24CAD" w:rsidP="00057E98">
            <w:pPr>
              <w:pStyle w:val="TableText"/>
            </w:pPr>
            <w:r w:rsidRPr="00286C09">
              <w:t>±</w:t>
            </w:r>
            <w:r>
              <w:t>7</w:t>
            </w:r>
            <w:r w:rsidRPr="00286C09">
              <w:t xml:space="preserve"> </w:t>
            </w:r>
          </w:p>
        </w:tc>
      </w:tr>
      <w:tr w:rsidR="00A24CAD" w:rsidRPr="006B77BB" w14:paraId="4A850F49" w14:textId="77777777" w:rsidTr="009D2036">
        <w:tc>
          <w:tcPr>
            <w:tcW w:w="1667" w:type="pct"/>
            <w:shd w:val="clear" w:color="auto" w:fill="auto"/>
            <w:vAlign w:val="center"/>
          </w:tcPr>
          <w:p w14:paraId="5E65FAB2" w14:textId="120B0FFB" w:rsidR="00A24CAD" w:rsidRPr="006B77BB" w:rsidRDefault="00A24CAD" w:rsidP="00EB63A6">
            <w:pPr>
              <w:pStyle w:val="TableText"/>
            </w:pPr>
            <w:r w:rsidRPr="005E6D0A">
              <w:t>Second emissions budget</w:t>
            </w:r>
            <w:r w:rsidRPr="005E6D0A">
              <w:br/>
              <w:t>305 Mt CO</w:t>
            </w:r>
            <w:r w:rsidRPr="00854964">
              <w:rPr>
                <w:vertAlign w:val="subscript"/>
              </w:rPr>
              <w:t>2</w:t>
            </w:r>
            <w:r w:rsidRPr="005E6D0A">
              <w:t>-e</w:t>
            </w:r>
          </w:p>
        </w:tc>
        <w:tc>
          <w:tcPr>
            <w:tcW w:w="1667" w:type="pct"/>
            <w:vAlign w:val="center"/>
          </w:tcPr>
          <w:p w14:paraId="094F5DE7" w14:textId="5401F71E" w:rsidR="00A24CAD" w:rsidRPr="006B77BB" w:rsidRDefault="00A24CAD" w:rsidP="00057E98">
            <w:pPr>
              <w:pStyle w:val="TableText"/>
            </w:pPr>
            <w:r w:rsidRPr="003258A5">
              <w:t>30</w:t>
            </w:r>
            <w:r w:rsidR="00D4716E">
              <w:t>3</w:t>
            </w:r>
            <w:r w:rsidRPr="003258A5">
              <w:t>.</w:t>
            </w:r>
            <w:r w:rsidR="00957278">
              <w:t>1</w:t>
            </w:r>
          </w:p>
        </w:tc>
        <w:tc>
          <w:tcPr>
            <w:tcW w:w="1666" w:type="pct"/>
            <w:vAlign w:val="center"/>
          </w:tcPr>
          <w:p w14:paraId="44D21539" w14:textId="3870C441" w:rsidR="00A24CAD" w:rsidRPr="006B77BB" w:rsidRDefault="00A24CAD" w:rsidP="00057E98">
            <w:pPr>
              <w:pStyle w:val="TableText"/>
            </w:pPr>
            <w:r w:rsidRPr="00286C09">
              <w:t>±</w:t>
            </w:r>
            <w:r>
              <w:t>1</w:t>
            </w:r>
            <w:r w:rsidR="007E0E19">
              <w:t>7</w:t>
            </w:r>
            <w:r w:rsidRPr="00286C09">
              <w:t xml:space="preserve"> </w:t>
            </w:r>
          </w:p>
        </w:tc>
      </w:tr>
      <w:tr w:rsidR="00A24CAD" w:rsidRPr="006B77BB" w14:paraId="715967E8" w14:textId="77777777" w:rsidTr="009D2036">
        <w:tc>
          <w:tcPr>
            <w:tcW w:w="1667" w:type="pct"/>
            <w:shd w:val="clear" w:color="auto" w:fill="auto"/>
            <w:vAlign w:val="center"/>
          </w:tcPr>
          <w:p w14:paraId="6DA84CB7" w14:textId="7DE0FBA7" w:rsidR="00A24CAD" w:rsidRPr="005E6D0A" w:rsidRDefault="00A24CAD" w:rsidP="00EB63A6">
            <w:pPr>
              <w:pStyle w:val="TableText"/>
            </w:pPr>
            <w:r w:rsidRPr="005E6D0A">
              <w:t>Third emissions budget</w:t>
            </w:r>
            <w:r w:rsidRPr="005E6D0A">
              <w:br/>
              <w:t>240 Mt CO</w:t>
            </w:r>
            <w:r w:rsidRPr="00854964">
              <w:rPr>
                <w:vertAlign w:val="subscript"/>
              </w:rPr>
              <w:t>2</w:t>
            </w:r>
            <w:r w:rsidRPr="005E6D0A">
              <w:t>-e</w:t>
            </w:r>
          </w:p>
        </w:tc>
        <w:tc>
          <w:tcPr>
            <w:tcW w:w="1667" w:type="pct"/>
            <w:vAlign w:val="center"/>
          </w:tcPr>
          <w:p w14:paraId="6C940994" w14:textId="4DEF10EB" w:rsidR="00A24CAD" w:rsidRPr="003258A5" w:rsidRDefault="00A24CAD" w:rsidP="00057E98">
            <w:pPr>
              <w:pStyle w:val="TableText"/>
            </w:pPr>
            <w:r w:rsidRPr="003258A5">
              <w:t>2</w:t>
            </w:r>
            <w:r w:rsidR="00957278">
              <w:t>49</w:t>
            </w:r>
            <w:r w:rsidRPr="003258A5">
              <w:t>.</w:t>
            </w:r>
            <w:r w:rsidR="00957278">
              <w:t>2</w:t>
            </w:r>
          </w:p>
        </w:tc>
        <w:tc>
          <w:tcPr>
            <w:tcW w:w="1666" w:type="pct"/>
            <w:vAlign w:val="center"/>
          </w:tcPr>
          <w:p w14:paraId="064071C6" w14:textId="62C2C58C" w:rsidR="00A24CAD" w:rsidRPr="00286C09" w:rsidRDefault="00A24CAD" w:rsidP="00057E98">
            <w:pPr>
              <w:pStyle w:val="TableText"/>
            </w:pPr>
            <w:r w:rsidRPr="00286C09">
              <w:t>±</w:t>
            </w:r>
            <w:r>
              <w:t>33</w:t>
            </w:r>
            <w:r w:rsidRPr="00286C09">
              <w:t xml:space="preserve"> </w:t>
            </w:r>
          </w:p>
        </w:tc>
      </w:tr>
    </w:tbl>
    <w:bookmarkEnd w:id="2"/>
    <w:p w14:paraId="78283773" w14:textId="4F8EE1B3" w:rsidR="00F60CFC" w:rsidRDefault="006D6123" w:rsidP="00C755E5">
      <w:pPr>
        <w:rPr>
          <w:rFonts w:eastAsia="Arial"/>
          <w:b/>
        </w:rPr>
      </w:pPr>
      <w:r>
        <w:rPr>
          <w:rFonts w:eastAsia="Arial"/>
        </w:rPr>
        <w:lastRenderedPageBreak/>
        <w:t>U</w:t>
      </w:r>
      <w:r w:rsidR="00A87F7C" w:rsidRPr="00F61504">
        <w:rPr>
          <w:rFonts w:eastAsia="Arial"/>
        </w:rPr>
        <w:t xml:space="preserve">ncertainty ranges </w:t>
      </w:r>
      <w:r>
        <w:rPr>
          <w:rFonts w:eastAsia="Arial"/>
        </w:rPr>
        <w:t xml:space="preserve">are used </w:t>
      </w:r>
      <w:r w:rsidR="00A87F7C" w:rsidRPr="00F61504">
        <w:rPr>
          <w:rFonts w:eastAsia="Arial"/>
        </w:rPr>
        <w:t xml:space="preserve">to represent a range of possible futures and provide </w:t>
      </w:r>
      <w:r w:rsidR="00B1008C">
        <w:rPr>
          <w:rFonts w:eastAsia="Arial"/>
        </w:rPr>
        <w:t>g</w:t>
      </w:r>
      <w:r w:rsidR="00A87F7C" w:rsidRPr="00F61504">
        <w:rPr>
          <w:rFonts w:eastAsia="Arial"/>
        </w:rPr>
        <w:t>overnment with an assessment of confidence about our progress</w:t>
      </w:r>
      <w:r w:rsidR="00A87F7C">
        <w:rPr>
          <w:rFonts w:eastAsia="Arial"/>
        </w:rPr>
        <w:t>.</w:t>
      </w:r>
      <w:r w:rsidR="00A87F7C">
        <w:rPr>
          <w:rStyle w:val="FootnoteReference"/>
          <w:rFonts w:eastAsia="Arial" w:cs="Arial"/>
          <w:bCs/>
        </w:rPr>
        <w:footnoteReference w:id="6"/>
      </w:r>
      <w:r w:rsidR="00A87F7C">
        <w:rPr>
          <w:rFonts w:eastAsia="Arial"/>
          <w:b/>
        </w:rPr>
        <w:t xml:space="preserve"> </w:t>
      </w:r>
    </w:p>
    <w:p w14:paraId="187EA9BB" w14:textId="4C5550F0" w:rsidR="008D0249" w:rsidRDefault="00F60CFC" w:rsidP="00C236E2">
      <w:pPr>
        <w:pStyle w:val="BodyText"/>
      </w:pPr>
      <w:r w:rsidRPr="006634FB">
        <w:t xml:space="preserve">We will continue to take an agile approach to delivering the first emissions reduction plan and, where needed, </w:t>
      </w:r>
      <w:r>
        <w:t xml:space="preserve">make </w:t>
      </w:r>
      <w:r w:rsidRPr="006634FB">
        <w:t xml:space="preserve">changes to ensure </w:t>
      </w:r>
      <w:r w:rsidR="009411B9">
        <w:t xml:space="preserve">the plan’s </w:t>
      </w:r>
      <w:r w:rsidRPr="006634FB">
        <w:t xml:space="preserve">ongoing alignment with the </w:t>
      </w:r>
      <w:r w:rsidR="004245A8">
        <w:t>Government’s c</w:t>
      </w:r>
      <w:r w:rsidRPr="006634FB">
        <w:t xml:space="preserve">limate </w:t>
      </w:r>
      <w:r w:rsidR="004245A8">
        <w:t>s</w:t>
      </w:r>
      <w:r w:rsidRPr="006634FB">
        <w:t xml:space="preserve">trategy </w:t>
      </w:r>
      <w:r w:rsidR="00D42384">
        <w:t>as well as</w:t>
      </w:r>
      <w:r w:rsidR="00D42384" w:rsidRPr="006634FB">
        <w:t xml:space="preserve"> </w:t>
      </w:r>
      <w:r w:rsidR="00C26DDA">
        <w:t xml:space="preserve">its ability to meet the </w:t>
      </w:r>
      <w:r w:rsidRPr="006634FB">
        <w:t>first emissions budget.</w:t>
      </w:r>
      <w:r w:rsidR="00C236E2">
        <w:t xml:space="preserve"> </w:t>
      </w:r>
      <w:r w:rsidR="00EE176E">
        <w:t xml:space="preserve"> </w:t>
      </w:r>
      <w:r w:rsidR="00EE176E" w:rsidRPr="00760175" w:rsidDel="00576760">
        <w:t>We will know whether we have managed to stay within th</w:t>
      </w:r>
      <w:r w:rsidR="00EE176E">
        <w:t>e first</w:t>
      </w:r>
      <w:r w:rsidR="00EE176E" w:rsidRPr="00760175" w:rsidDel="00576760">
        <w:t xml:space="preserve"> </w:t>
      </w:r>
      <w:r w:rsidR="00EE176E">
        <w:t xml:space="preserve">emissions </w:t>
      </w:r>
      <w:r w:rsidR="00EE176E" w:rsidRPr="00760175" w:rsidDel="00576760">
        <w:t>budget in 2027, when official data for the period become</w:t>
      </w:r>
      <w:r w:rsidR="00EE176E" w:rsidDel="00F4491E">
        <w:t>s</w:t>
      </w:r>
      <w:r w:rsidR="00EE176E" w:rsidRPr="00760175" w:rsidDel="00576760">
        <w:t xml:space="preserve"> available.</w:t>
      </w:r>
    </w:p>
    <w:p w14:paraId="3E0F7BC1" w14:textId="2A7ABA5B" w:rsidR="00715B43" w:rsidRPr="00597853" w:rsidRDefault="00715B43" w:rsidP="00715B43">
      <w:pPr>
        <w:pStyle w:val="Heading2"/>
        <w:rPr>
          <w:rFonts w:eastAsia="Georgia" w:cs="Georgia"/>
          <w:color w:val="1B546B"/>
          <w:szCs w:val="36"/>
          <w:lang w:val="en-US"/>
        </w:rPr>
      </w:pPr>
      <w:bookmarkStart w:id="7" w:name="_Toc182398380"/>
      <w:r>
        <w:rPr>
          <w:rFonts w:eastAsia="Georgia" w:cs="Georgia"/>
          <w:color w:val="1B546B"/>
          <w:szCs w:val="36"/>
          <w:lang w:val="en-US"/>
        </w:rPr>
        <w:t>Getting started with the second emissions reduction plan</w:t>
      </w:r>
      <w:bookmarkEnd w:id="7"/>
      <w:r>
        <w:rPr>
          <w:rFonts w:eastAsia="Georgia" w:cs="Georgia"/>
          <w:color w:val="1B546B"/>
          <w:szCs w:val="36"/>
          <w:lang w:val="en-US"/>
        </w:rPr>
        <w:t xml:space="preserve"> </w:t>
      </w:r>
    </w:p>
    <w:p w14:paraId="730B70C1" w14:textId="1AAB2FF6" w:rsidR="00715B43" w:rsidRDefault="00B04035" w:rsidP="00B04035">
      <w:pPr>
        <w:pStyle w:val="BodyText"/>
      </w:pPr>
      <w:r w:rsidRPr="000B4587">
        <w:t>The Government is also focused on ensuring New Zealand is well positioned to meet future emissions budgets.</w:t>
      </w:r>
      <w:r>
        <w:t xml:space="preserve"> Its</w:t>
      </w:r>
      <w:r w:rsidR="00715B43" w:rsidRPr="005158D6">
        <w:t xml:space="preserve"> </w:t>
      </w:r>
      <w:r w:rsidR="00715B43">
        <w:t>revised</w:t>
      </w:r>
      <w:r w:rsidR="00715B43" w:rsidRPr="005158D6">
        <w:t xml:space="preserve"> approach </w:t>
      </w:r>
      <w:r w:rsidR="00715B43">
        <w:t>will also be implemented through the second emissions reduction plan</w:t>
      </w:r>
      <w:r w:rsidR="004C35A9">
        <w:t xml:space="preserve">, developed to achieve the </w:t>
      </w:r>
      <w:r w:rsidR="00715B43" w:rsidRPr="00D41DA2">
        <w:t>second emissions budget (2026</w:t>
      </w:r>
      <w:r w:rsidR="00233334">
        <w:t>–</w:t>
      </w:r>
      <w:r w:rsidR="00715B43" w:rsidRPr="00D41DA2">
        <w:t>2030).</w:t>
      </w:r>
      <w:r w:rsidR="005A7B06">
        <w:t xml:space="preserve"> </w:t>
      </w:r>
    </w:p>
    <w:p w14:paraId="18F18D8F" w14:textId="67C4C3BA" w:rsidR="00715B43" w:rsidRDefault="00715B43" w:rsidP="00715B43">
      <w:pPr>
        <w:pStyle w:val="BodyText"/>
      </w:pPr>
      <w:r>
        <w:t xml:space="preserve">As the </w:t>
      </w:r>
      <w:hyperlink r:id="rId24" w:history="1">
        <w:r w:rsidR="00A24624" w:rsidRPr="00E2606F">
          <w:rPr>
            <w:rStyle w:val="Hyperlink"/>
            <w:rFonts w:eastAsia="Georgia"/>
            <w:lang w:val="en-US"/>
          </w:rPr>
          <w:t>second emissions reduction plan</w:t>
        </w:r>
      </w:hyperlink>
      <w:r w:rsidR="00A24624">
        <w:rPr>
          <w:rStyle w:val="Hyperlink"/>
          <w:rFonts w:eastAsia="Georgia"/>
          <w:lang w:val="en-US"/>
        </w:rPr>
        <w:t xml:space="preserve"> </w:t>
      </w:r>
      <w:r>
        <w:t xml:space="preserve">contains </w:t>
      </w:r>
      <w:r w:rsidRPr="00D956D5">
        <w:t>initiatives</w:t>
      </w:r>
      <w:r>
        <w:t xml:space="preserve"> from the Government’s manifesto commitments and </w:t>
      </w:r>
      <w:r w:rsidR="004E1B32">
        <w:t>c</w:t>
      </w:r>
      <w:r>
        <w:t xml:space="preserve">oalition </w:t>
      </w:r>
      <w:r w:rsidR="004E1B32">
        <w:t>a</w:t>
      </w:r>
      <w:r>
        <w:t>greements, work is beginning on some of these in 2024</w:t>
      </w:r>
      <w:r w:rsidR="00C757ED">
        <w:t xml:space="preserve"> and</w:t>
      </w:r>
      <w:r w:rsidR="00A62C7F">
        <w:t xml:space="preserve"> </w:t>
      </w:r>
      <w:r w:rsidR="00C757ED">
        <w:t>2025</w:t>
      </w:r>
      <w:r>
        <w:t xml:space="preserve"> </w:t>
      </w:r>
      <w:r w:rsidR="00233334">
        <w:t>–</w:t>
      </w:r>
      <w:r>
        <w:t xml:space="preserve"> </w:t>
      </w:r>
      <w:r w:rsidR="00C757ED">
        <w:t>before</w:t>
      </w:r>
      <w:r>
        <w:t xml:space="preserve"> the second emissions budget period formally </w:t>
      </w:r>
      <w:r w:rsidR="0064067C">
        <w:t>begins</w:t>
      </w:r>
      <w:r>
        <w:t xml:space="preserve"> on 1 January 2026.</w:t>
      </w:r>
    </w:p>
    <w:p w14:paraId="2523D8B3" w14:textId="34DB4B5A" w:rsidR="00BD36DF" w:rsidRDefault="004F46BB" w:rsidP="00715B43">
      <w:pPr>
        <w:pStyle w:val="BodyText"/>
      </w:pPr>
      <w:r>
        <w:t xml:space="preserve">These </w:t>
      </w:r>
      <w:r w:rsidR="00BD36DF">
        <w:t xml:space="preserve">initiatives </w:t>
      </w:r>
      <w:r w:rsidR="00715B43">
        <w:t>include</w:t>
      </w:r>
      <w:r w:rsidR="00715B43" w:rsidRPr="00DB4E40">
        <w:t xml:space="preserve"> restoring confidence in the </w:t>
      </w:r>
      <w:r w:rsidR="00715B43" w:rsidRPr="00827DFB">
        <w:t>NZ ETS</w:t>
      </w:r>
      <w:r w:rsidR="00BD36DF">
        <w:t xml:space="preserve"> and</w:t>
      </w:r>
      <w:r w:rsidR="00715B43">
        <w:t xml:space="preserve"> enabling</w:t>
      </w:r>
      <w:r w:rsidR="00BD36DF">
        <w:t>:</w:t>
      </w:r>
    </w:p>
    <w:p w14:paraId="697DF2EB" w14:textId="192E4320" w:rsidR="00BD36DF" w:rsidRDefault="00715B43" w:rsidP="00536DEE">
      <w:pPr>
        <w:pStyle w:val="Bullet"/>
      </w:pPr>
      <w:r>
        <w:t xml:space="preserve">electrification through </w:t>
      </w:r>
      <w:r w:rsidRPr="001A0B77">
        <w:rPr>
          <w:i/>
        </w:rPr>
        <w:t>Electrify NZ</w:t>
      </w:r>
      <w:r>
        <w:t xml:space="preserve"> commitments</w:t>
      </w:r>
      <w:r w:rsidR="00B8030B">
        <w:t xml:space="preserve"> </w:t>
      </w:r>
      <w:r w:rsidR="00B8030B" w:rsidRPr="00770E8A">
        <w:t>to support private investment in electricity generation and networks</w:t>
      </w:r>
    </w:p>
    <w:p w14:paraId="18B29C74" w14:textId="5ECA9CC1" w:rsidR="00BD36DF" w:rsidRDefault="00715B43" w:rsidP="00536DEE">
      <w:pPr>
        <w:pStyle w:val="Bullet"/>
      </w:pPr>
      <w:r>
        <w:t>carbon capture utilisation and storage</w:t>
      </w:r>
    </w:p>
    <w:p w14:paraId="73A1ADEB" w14:textId="429AA4DF" w:rsidR="00BD36DF" w:rsidRDefault="00715B43" w:rsidP="00536DEE">
      <w:pPr>
        <w:pStyle w:val="Bullet"/>
      </w:pPr>
      <w:r w:rsidRPr="007D7181">
        <w:t xml:space="preserve">a network of 10,000 public EV </w:t>
      </w:r>
      <w:r w:rsidR="00536DEE" w:rsidRPr="007D7181">
        <w:t>charg</w:t>
      </w:r>
      <w:r w:rsidR="00536DEE">
        <w:t>ing</w:t>
      </w:r>
      <w:r w:rsidR="00536DEE" w:rsidRPr="007D7181">
        <w:t xml:space="preserve"> </w:t>
      </w:r>
      <w:r w:rsidRPr="007D7181">
        <w:t>points</w:t>
      </w:r>
    </w:p>
    <w:p w14:paraId="05D05ABB" w14:textId="1EC28960" w:rsidR="00715B43" w:rsidRDefault="00715B43" w:rsidP="00536DEE">
      <w:pPr>
        <w:pStyle w:val="Bullet"/>
      </w:pPr>
      <w:r w:rsidRPr="00DB4E40">
        <w:t>technology</w:t>
      </w:r>
      <w:r>
        <w:t xml:space="preserve"> research and development</w:t>
      </w:r>
      <w:r w:rsidRPr="00DB4E40">
        <w:t xml:space="preserve"> to </w:t>
      </w:r>
      <w:r w:rsidRPr="00827DFB">
        <w:t>reduc</w:t>
      </w:r>
      <w:r>
        <w:t>e</w:t>
      </w:r>
      <w:r w:rsidRPr="00DB4E40">
        <w:t xml:space="preserve"> agricultural emissions</w:t>
      </w:r>
      <w:r>
        <w:t>.</w:t>
      </w:r>
    </w:p>
    <w:p w14:paraId="738DBFF6" w14:textId="598E5BF3" w:rsidR="006551E7" w:rsidRPr="00D41DA2" w:rsidRDefault="006551E7" w:rsidP="006551E7">
      <w:pPr>
        <w:pStyle w:val="BodyText"/>
        <w:rPr>
          <w:rFonts w:eastAsia="Georgia"/>
          <w:b/>
        </w:rPr>
      </w:pPr>
      <w:r>
        <w:rPr>
          <w:rFonts w:eastAsia="Arial"/>
        </w:rPr>
        <w:t xml:space="preserve">The emissions projections (table </w:t>
      </w:r>
      <w:r w:rsidR="00407283">
        <w:rPr>
          <w:rFonts w:eastAsia="Arial"/>
        </w:rPr>
        <w:t>1</w:t>
      </w:r>
      <w:r>
        <w:rPr>
          <w:rFonts w:eastAsia="Arial"/>
        </w:rPr>
        <w:t xml:space="preserve"> and figure </w:t>
      </w:r>
      <w:r w:rsidR="00A4018B">
        <w:rPr>
          <w:rFonts w:eastAsia="Arial"/>
        </w:rPr>
        <w:t>2</w:t>
      </w:r>
      <w:r>
        <w:rPr>
          <w:rFonts w:eastAsia="Arial"/>
        </w:rPr>
        <w:t xml:space="preserve">) </w:t>
      </w:r>
      <w:r w:rsidRPr="00983D68">
        <w:t xml:space="preserve">account </w:t>
      </w:r>
      <w:r>
        <w:t xml:space="preserve">for </w:t>
      </w:r>
      <w:r w:rsidRPr="00D41DA2">
        <w:t>the</w:t>
      </w:r>
      <w:r w:rsidRPr="00983D68">
        <w:rPr>
          <w:rFonts w:eastAsia="Arial"/>
        </w:rPr>
        <w:t xml:space="preserve"> policies and actions</w:t>
      </w:r>
      <w:r>
        <w:rPr>
          <w:rFonts w:eastAsia="Arial"/>
        </w:rPr>
        <w:t xml:space="preserve"> included in the</w:t>
      </w:r>
      <w:r w:rsidRPr="00D41DA2">
        <w:rPr>
          <w:rFonts w:eastAsia="Arial"/>
        </w:rPr>
        <w:t xml:space="preserve"> </w:t>
      </w:r>
      <w:r>
        <w:rPr>
          <w:rFonts w:eastAsia="Arial"/>
        </w:rPr>
        <w:t xml:space="preserve">second emissions reduction plan. Any longer-term abatement impact from the stopped actions has been considered in </w:t>
      </w:r>
      <w:r w:rsidR="00407283">
        <w:rPr>
          <w:rFonts w:eastAsia="Arial"/>
        </w:rPr>
        <w:t>developing</w:t>
      </w:r>
      <w:r>
        <w:rPr>
          <w:rFonts w:eastAsia="Arial"/>
        </w:rPr>
        <w:t xml:space="preserve"> </w:t>
      </w:r>
      <w:r w:rsidR="00BE513F">
        <w:rPr>
          <w:rFonts w:eastAsia="Arial"/>
        </w:rPr>
        <w:t>that plan</w:t>
      </w:r>
      <w:r>
        <w:rPr>
          <w:rFonts w:eastAsia="Arial"/>
        </w:rPr>
        <w:t>.</w:t>
      </w:r>
    </w:p>
    <w:p w14:paraId="60CF41BD" w14:textId="1BA72710" w:rsidR="006403B9" w:rsidRDefault="00C821E4" w:rsidP="006634FB">
      <w:pPr>
        <w:pStyle w:val="BodyText"/>
        <w:rPr>
          <w:lang w:val="en-US"/>
        </w:rPr>
      </w:pPr>
      <w:r>
        <w:rPr>
          <w:lang w:val="en-US"/>
        </w:rPr>
        <w:t>M</w:t>
      </w:r>
      <w:r w:rsidR="007B19CA">
        <w:rPr>
          <w:lang w:val="en-US"/>
        </w:rPr>
        <w:t>odelling</w:t>
      </w:r>
      <w:r w:rsidR="006634FB" w:rsidRPr="005E6D0A" w:rsidDel="007B19CA">
        <w:rPr>
          <w:lang w:val="en-US"/>
        </w:rPr>
        <w:t xml:space="preserve"> </w:t>
      </w:r>
      <w:r w:rsidR="006634FB" w:rsidRPr="005E6D0A">
        <w:rPr>
          <w:lang w:val="en-US"/>
        </w:rPr>
        <w:t xml:space="preserve">shows </w:t>
      </w:r>
      <w:r w:rsidR="00DF71F0">
        <w:rPr>
          <w:lang w:val="en-US"/>
        </w:rPr>
        <w:t>New Zealand is</w:t>
      </w:r>
      <w:r w:rsidR="006634FB" w:rsidRPr="005E6D0A">
        <w:rPr>
          <w:lang w:val="en-US"/>
        </w:rPr>
        <w:t xml:space="preserve"> projected to meet the first and second emissions budget</w:t>
      </w:r>
      <w:r w:rsidR="006634FB">
        <w:rPr>
          <w:lang w:val="en-US"/>
        </w:rPr>
        <w:t xml:space="preserve"> based on central estimates</w:t>
      </w:r>
      <w:r w:rsidR="006634FB" w:rsidRPr="005E6D0A">
        <w:rPr>
          <w:lang w:val="en-US"/>
        </w:rPr>
        <w:t xml:space="preserve">. The </w:t>
      </w:r>
      <w:r w:rsidR="00744553">
        <w:rPr>
          <w:lang w:val="en-US"/>
        </w:rPr>
        <w:t xml:space="preserve">modelling shows </w:t>
      </w:r>
      <w:r w:rsidR="001767AD">
        <w:rPr>
          <w:lang w:val="en-US"/>
        </w:rPr>
        <w:t xml:space="preserve">New Zealand is above the limit for the </w:t>
      </w:r>
      <w:r w:rsidR="006634FB" w:rsidRPr="005E6D0A">
        <w:rPr>
          <w:lang w:val="en-US"/>
        </w:rPr>
        <w:t>third emissions budget</w:t>
      </w:r>
      <w:r w:rsidR="004061DD">
        <w:rPr>
          <w:lang w:val="en-US"/>
        </w:rPr>
        <w:t>, however</w:t>
      </w:r>
      <w:r w:rsidR="00CC78E6">
        <w:rPr>
          <w:lang w:val="en-US"/>
        </w:rPr>
        <w:t>,</w:t>
      </w:r>
      <w:r w:rsidR="004061DD">
        <w:rPr>
          <w:lang w:val="en-US"/>
        </w:rPr>
        <w:t xml:space="preserve"> </w:t>
      </w:r>
      <w:r w:rsidR="00051FE1">
        <w:rPr>
          <w:lang w:val="en-US"/>
        </w:rPr>
        <w:t xml:space="preserve">the amount </w:t>
      </w:r>
      <w:r w:rsidR="00A24624">
        <w:rPr>
          <w:lang w:val="en-US"/>
        </w:rPr>
        <w:t>above the limit</w:t>
      </w:r>
      <w:r w:rsidR="00051FE1">
        <w:rPr>
          <w:lang w:val="en-US"/>
        </w:rPr>
        <w:t xml:space="preserve"> has reduced significantly since the July 2024 </w:t>
      </w:r>
      <w:r w:rsidR="002F6BB0">
        <w:rPr>
          <w:lang w:val="en-US"/>
        </w:rPr>
        <w:t xml:space="preserve">interim emissions </w:t>
      </w:r>
      <w:r w:rsidR="00051FE1">
        <w:rPr>
          <w:lang w:val="en-US"/>
        </w:rPr>
        <w:t>projections</w:t>
      </w:r>
      <w:r w:rsidR="002F6BB0">
        <w:rPr>
          <w:lang w:val="en-US"/>
        </w:rPr>
        <w:t xml:space="preserve"> (now projected</w:t>
      </w:r>
      <w:r w:rsidR="007C14D0">
        <w:rPr>
          <w:lang w:val="en-US"/>
        </w:rPr>
        <w:t xml:space="preserve"> to</w:t>
      </w:r>
      <w:r w:rsidR="00E36C1E">
        <w:rPr>
          <w:lang w:val="en-US"/>
        </w:rPr>
        <w:t xml:space="preserve"> be 9.2 Mt over budget, compared to 17 Mt over in July</w:t>
      </w:r>
      <w:r w:rsidR="007C14D0">
        <w:rPr>
          <w:lang w:val="en-US"/>
        </w:rPr>
        <w:t>)</w:t>
      </w:r>
      <w:r w:rsidR="00217240">
        <w:rPr>
          <w:lang w:val="en-US"/>
        </w:rPr>
        <w:t>.</w:t>
      </w:r>
      <w:r w:rsidR="00A24624">
        <w:rPr>
          <w:rStyle w:val="FootnoteReference"/>
        </w:rPr>
        <w:footnoteReference w:id="7"/>
      </w:r>
      <w:r w:rsidR="006634FB" w:rsidRPr="00D41DA2">
        <w:rPr>
          <w:lang w:val="en-US"/>
        </w:rPr>
        <w:t xml:space="preserve"> </w:t>
      </w:r>
      <w:r w:rsidR="00EA2CAB">
        <w:rPr>
          <w:lang w:val="en-US"/>
        </w:rPr>
        <w:t xml:space="preserve"> The </w:t>
      </w:r>
      <w:r w:rsidR="00690777">
        <w:rPr>
          <w:lang w:val="en-US"/>
        </w:rPr>
        <w:t>modeling</w:t>
      </w:r>
      <w:r w:rsidR="00EA2CAB">
        <w:rPr>
          <w:lang w:val="en-US"/>
        </w:rPr>
        <w:t xml:space="preserve"> also </w:t>
      </w:r>
      <w:r w:rsidR="00D955F4">
        <w:rPr>
          <w:lang w:val="en-US"/>
        </w:rPr>
        <w:t xml:space="preserve">shows New Zealand is on track to reach net zero </w:t>
      </w:r>
      <w:r w:rsidR="00690777">
        <w:rPr>
          <w:lang w:val="en-US"/>
        </w:rPr>
        <w:t>emissions by 2050.</w:t>
      </w:r>
    </w:p>
    <w:p w14:paraId="7295B496" w14:textId="61378B3A" w:rsidR="006634FB" w:rsidRPr="00B8082F" w:rsidRDefault="004E5769" w:rsidP="006634FB">
      <w:pPr>
        <w:pStyle w:val="BodyText"/>
        <w:rPr>
          <w:lang w:val="en-US"/>
        </w:rPr>
      </w:pPr>
      <w:r w:rsidRPr="005E6D0A">
        <w:rPr>
          <w:lang w:val="en-US"/>
        </w:rPr>
        <w:t xml:space="preserve">Figure </w:t>
      </w:r>
      <w:r>
        <w:rPr>
          <w:lang w:val="en-US"/>
        </w:rPr>
        <w:t>2</w:t>
      </w:r>
      <w:r w:rsidRPr="005E6D0A">
        <w:rPr>
          <w:lang w:val="en-US"/>
        </w:rPr>
        <w:t xml:space="preserve"> </w:t>
      </w:r>
      <w:r>
        <w:rPr>
          <w:lang w:val="en-US"/>
        </w:rPr>
        <w:t xml:space="preserve">shows our progress towards </w:t>
      </w:r>
      <w:r w:rsidRPr="005E6D0A">
        <w:rPr>
          <w:lang w:val="en-US"/>
        </w:rPr>
        <w:t xml:space="preserve">the first three emissions budgets </w:t>
      </w:r>
      <w:r>
        <w:rPr>
          <w:lang w:val="en-US"/>
        </w:rPr>
        <w:t xml:space="preserve">and net zero by 2050 </w:t>
      </w:r>
      <w:r w:rsidRPr="005E6D0A">
        <w:rPr>
          <w:lang w:val="en-US"/>
        </w:rPr>
        <w:t xml:space="preserve">based on </w:t>
      </w:r>
      <w:r>
        <w:rPr>
          <w:rFonts w:eastAsia="Times New Roman" w:cs="Calibri"/>
          <w:lang w:val="en-US"/>
        </w:rPr>
        <w:t xml:space="preserve">current </w:t>
      </w:r>
      <w:r>
        <w:rPr>
          <w:rFonts w:eastAsia="Georgia"/>
          <w:lang w:val="en-US"/>
        </w:rPr>
        <w:t>modelling</w:t>
      </w:r>
      <w:r w:rsidRPr="005E6D0A">
        <w:rPr>
          <w:lang w:val="en-US"/>
        </w:rPr>
        <w:t>.</w:t>
      </w:r>
    </w:p>
    <w:p w14:paraId="1799943F" w14:textId="5EBDFD86" w:rsidR="006634FB" w:rsidRPr="00180417" w:rsidRDefault="006634FB" w:rsidP="006634FB">
      <w:pPr>
        <w:pStyle w:val="Figureheading"/>
        <w:rPr>
          <w:szCs w:val="20"/>
        </w:rPr>
      </w:pPr>
      <w:bookmarkStart w:id="8" w:name="_Toc183525919"/>
      <w:r w:rsidRPr="00180417">
        <w:rPr>
          <w:szCs w:val="20"/>
        </w:rPr>
        <w:lastRenderedPageBreak/>
        <w:t xml:space="preserve">Figure </w:t>
      </w:r>
      <w:r w:rsidR="00AC5069">
        <w:rPr>
          <w:szCs w:val="20"/>
        </w:rPr>
        <w:t>2</w:t>
      </w:r>
      <w:r w:rsidRPr="00180417">
        <w:rPr>
          <w:szCs w:val="20"/>
        </w:rPr>
        <w:t xml:space="preserve">: </w:t>
      </w:r>
      <w:r w:rsidR="0080652A" w:rsidRPr="00180417">
        <w:rPr>
          <w:szCs w:val="20"/>
        </w:rPr>
        <w:tab/>
      </w:r>
      <w:r w:rsidR="008C36D5">
        <w:rPr>
          <w:szCs w:val="20"/>
        </w:rPr>
        <w:t>E</w:t>
      </w:r>
      <w:r w:rsidRPr="00180417">
        <w:rPr>
          <w:szCs w:val="20"/>
        </w:rPr>
        <w:t xml:space="preserve">missions projections with new measures </w:t>
      </w:r>
      <w:r w:rsidR="008C36D5">
        <w:rPr>
          <w:szCs w:val="20"/>
        </w:rPr>
        <w:t xml:space="preserve">and sensitivity range </w:t>
      </w:r>
      <w:r w:rsidR="00722C63">
        <w:rPr>
          <w:szCs w:val="20"/>
        </w:rPr>
        <w:t>(Mt CO</w:t>
      </w:r>
      <w:r w:rsidR="00722C63" w:rsidRPr="00404C94">
        <w:rPr>
          <w:szCs w:val="20"/>
          <w:vertAlign w:val="subscript"/>
        </w:rPr>
        <w:t>2</w:t>
      </w:r>
      <w:r w:rsidR="008A33FD">
        <w:rPr>
          <w:szCs w:val="20"/>
        </w:rPr>
        <w:t>-e)</w:t>
      </w:r>
      <w:r w:rsidR="003706BA">
        <w:rPr>
          <w:szCs w:val="20"/>
        </w:rPr>
        <w:t>, 2022-2050</w:t>
      </w:r>
      <w:r w:rsidR="00DB2D76" w:rsidRPr="00180417">
        <w:rPr>
          <w:szCs w:val="20"/>
        </w:rPr>
        <w:t xml:space="preserve"> </w:t>
      </w:r>
      <w:bookmarkEnd w:id="8"/>
    </w:p>
    <w:p w14:paraId="68EE368D" w14:textId="70F9970F" w:rsidR="006634FB" w:rsidRPr="006634FB" w:rsidRDefault="004E08FE" w:rsidP="00631EDD">
      <w:pPr>
        <w:pStyle w:val="BodyText"/>
        <w:spacing w:after="0"/>
        <w:jc w:val="center"/>
      </w:pPr>
      <w:r>
        <w:rPr>
          <w:noProof/>
        </w:rPr>
        <w:drawing>
          <wp:inline distT="0" distB="0" distL="0" distR="0" wp14:anchorId="52DB30D4" wp14:editId="3DED0EDB">
            <wp:extent cx="5400000" cy="3948519"/>
            <wp:effectExtent l="0" t="0" r="0" b="1270"/>
            <wp:docPr id="7066366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36641" name="Picture 7"/>
                    <pic:cNvPicPr/>
                  </pic:nvPicPr>
                  <pic:blipFill>
                    <a:blip r:embed="rId25"/>
                    <a:stretch>
                      <a:fillRect/>
                    </a:stretch>
                  </pic:blipFill>
                  <pic:spPr bwMode="auto">
                    <a:xfrm>
                      <a:off x="0" y="0"/>
                      <a:ext cx="5400000" cy="3948519"/>
                    </a:xfrm>
                    <a:prstGeom prst="rect">
                      <a:avLst/>
                    </a:prstGeom>
                    <a:ln>
                      <a:noFill/>
                    </a:ln>
                    <a:extLst>
                      <a:ext uri="{53640926-AAD7-44D8-BBD7-CCE9431645EC}">
                        <a14:shadowObscured xmlns:a14="http://schemas.microsoft.com/office/drawing/2010/main"/>
                      </a:ext>
                    </a:extLst>
                  </pic:spPr>
                </pic:pic>
              </a:graphicData>
            </a:graphic>
          </wp:inline>
        </w:drawing>
      </w:r>
    </w:p>
    <w:p w14:paraId="4D6482FA" w14:textId="1797D2B8" w:rsidR="00597853" w:rsidRPr="005E6D0A" w:rsidDel="00244207" w:rsidRDefault="00597853" w:rsidP="00597853">
      <w:pPr>
        <w:pStyle w:val="BodyText"/>
        <w:rPr>
          <w:rStyle w:val="normaltextrun"/>
          <w:rFonts w:ascii="Arial" w:eastAsiaTheme="majorEastAsia" w:hAnsi="Arial" w:cs="Calibri"/>
          <w:b/>
          <w:color w:val="008753"/>
          <w:kern w:val="2"/>
          <w:sz w:val="28"/>
          <w:szCs w:val="28"/>
          <w14:ligatures w14:val="standardContextual"/>
        </w:rPr>
      </w:pPr>
      <w:r w:rsidRPr="00D41DA2">
        <w:rPr>
          <w:lang w:val="en-US"/>
        </w:rPr>
        <w:t xml:space="preserve">Because projections are based on assumptions made about the future, they become less accurate the further out </w:t>
      </w:r>
      <w:r w:rsidR="00D7662D">
        <w:rPr>
          <w:lang w:val="en-US"/>
        </w:rPr>
        <w:t>they</w:t>
      </w:r>
      <w:r w:rsidR="00F6784F">
        <w:rPr>
          <w:lang w:val="en-US"/>
        </w:rPr>
        <w:t xml:space="preserve"> go</w:t>
      </w:r>
      <w:r w:rsidRPr="00D41DA2">
        <w:rPr>
          <w:lang w:val="en-US"/>
        </w:rPr>
        <w:t>.</w:t>
      </w:r>
      <w:r w:rsidR="00EE2FB9">
        <w:rPr>
          <w:lang w:val="en-US"/>
        </w:rPr>
        <w:t xml:space="preserve"> </w:t>
      </w:r>
      <w:r w:rsidR="00EE2FB9">
        <w:t>Much can change between now and 2050</w:t>
      </w:r>
      <w:r w:rsidR="00EE2FB9" w:rsidRPr="00BD4BC3">
        <w:t>.</w:t>
      </w:r>
      <w:r w:rsidR="00EE2FB9" w:rsidRPr="004E5769">
        <w:rPr>
          <w:lang w:val="en-US"/>
        </w:rPr>
        <w:t xml:space="preserve"> </w:t>
      </w:r>
      <w:r w:rsidRPr="00D41DA2">
        <w:rPr>
          <w:lang w:val="en-US"/>
        </w:rPr>
        <w:t xml:space="preserve"> The </w:t>
      </w:r>
      <w:r>
        <w:rPr>
          <w:lang w:val="en-US"/>
        </w:rPr>
        <w:t>G</w:t>
      </w:r>
      <w:r w:rsidRPr="00D41DA2">
        <w:rPr>
          <w:lang w:val="en-US"/>
        </w:rPr>
        <w:t xml:space="preserve">overnment is committed </w:t>
      </w:r>
      <w:r w:rsidRPr="005E6D0A">
        <w:rPr>
          <w:lang w:val="en-US"/>
        </w:rPr>
        <w:t xml:space="preserve">to </w:t>
      </w:r>
      <w:r w:rsidR="00B263D2">
        <w:rPr>
          <w:rStyle w:val="normaltextrun"/>
          <w:rFonts w:eastAsiaTheme="majorEastAsia" w:cs="Calibri"/>
        </w:rPr>
        <w:t>meet</w:t>
      </w:r>
      <w:r w:rsidR="00EB78D9">
        <w:rPr>
          <w:rStyle w:val="normaltextrun"/>
          <w:rFonts w:eastAsiaTheme="majorEastAsia" w:cs="Calibri"/>
        </w:rPr>
        <w:t>ing</w:t>
      </w:r>
      <w:r w:rsidR="00B263D2">
        <w:rPr>
          <w:rStyle w:val="normaltextrun"/>
          <w:rFonts w:eastAsiaTheme="majorEastAsia" w:cs="Calibri"/>
        </w:rPr>
        <w:t xml:space="preserve"> New Zealand’s long-term targets</w:t>
      </w:r>
      <w:r w:rsidR="007F12E7">
        <w:rPr>
          <w:rStyle w:val="normaltextrun"/>
          <w:rFonts w:eastAsiaTheme="majorEastAsia" w:cs="Calibri"/>
        </w:rPr>
        <w:t>.</w:t>
      </w:r>
      <w:r w:rsidR="00D93A3C" w:rsidRPr="005E6D0A" w:rsidDel="00244207">
        <w:rPr>
          <w:rStyle w:val="normaltextrun"/>
          <w:rFonts w:eastAsiaTheme="majorEastAsia" w:cs="Calibri"/>
        </w:rPr>
        <w:t xml:space="preserve"> </w:t>
      </w:r>
      <w:r w:rsidR="007F12E7">
        <w:rPr>
          <w:rStyle w:val="normaltextrun"/>
          <w:rFonts w:eastAsiaTheme="majorEastAsia" w:cs="Calibri"/>
        </w:rPr>
        <w:t>T</w:t>
      </w:r>
      <w:r w:rsidRPr="005E6D0A">
        <w:rPr>
          <w:rStyle w:val="normaltextrun"/>
          <w:rFonts w:eastAsiaTheme="majorEastAsia" w:cs="Calibri"/>
        </w:rPr>
        <w:t xml:space="preserve">his will be done </w:t>
      </w:r>
      <w:r w:rsidRPr="005E6D0A">
        <w:rPr>
          <w:lang w:val="en-US"/>
        </w:rPr>
        <w:t xml:space="preserve">through a series of emissions budgets and future emissions reduction plans. </w:t>
      </w:r>
    </w:p>
    <w:p w14:paraId="531353E2" w14:textId="77777777" w:rsidR="00BB5A15" w:rsidRDefault="00BB5A15">
      <w:pPr>
        <w:spacing w:before="0" w:after="200" w:line="276" w:lineRule="auto"/>
        <w:jc w:val="left"/>
        <w:rPr>
          <w:rFonts w:ascii="Georgia" w:eastAsiaTheme="majorEastAsia" w:hAnsi="Georgia" w:cstheme="majorBidi"/>
          <w:b/>
          <w:bCs/>
          <w:color w:val="1B556B"/>
          <w:sz w:val="48"/>
          <w:szCs w:val="28"/>
          <w:lang w:val="en-US"/>
        </w:rPr>
      </w:pPr>
      <w:bookmarkStart w:id="9" w:name="_Toc181180894"/>
      <w:bookmarkStart w:id="10" w:name="_Toc182398381"/>
      <w:r>
        <w:rPr>
          <w:lang w:val="en-US"/>
        </w:rPr>
        <w:br w:type="page"/>
      </w:r>
    </w:p>
    <w:p w14:paraId="4576B39E" w14:textId="60FFDECD" w:rsidR="00597853" w:rsidRPr="00F61504" w:rsidRDefault="00597853" w:rsidP="00631EDD">
      <w:pPr>
        <w:pStyle w:val="Heading1"/>
        <w:rPr>
          <w:lang w:val="en-US"/>
        </w:rPr>
      </w:pPr>
      <w:r w:rsidRPr="0042652A">
        <w:rPr>
          <w:lang w:val="en-US"/>
        </w:rPr>
        <w:lastRenderedPageBreak/>
        <w:t xml:space="preserve">How </w:t>
      </w:r>
      <w:r w:rsidRPr="00F61504">
        <w:rPr>
          <w:lang w:val="en-US"/>
        </w:rPr>
        <w:t>to read the amended plan</w:t>
      </w:r>
      <w:bookmarkEnd w:id="9"/>
      <w:bookmarkEnd w:id="10"/>
    </w:p>
    <w:p w14:paraId="2462BEB5" w14:textId="292566E2" w:rsidR="00597853" w:rsidRDefault="00597853" w:rsidP="00597853">
      <w:pPr>
        <w:pStyle w:val="BodyText"/>
      </w:pPr>
      <w:r>
        <w:t xml:space="preserve">This document is </w:t>
      </w:r>
      <w:r w:rsidRPr="00584E1A">
        <w:t xml:space="preserve">designed to be read </w:t>
      </w:r>
      <w:r w:rsidR="002469A8">
        <w:t>alongside</w:t>
      </w:r>
      <w:r w:rsidRPr="00584E1A">
        <w:t xml:space="preserve"> </w:t>
      </w:r>
      <w:r>
        <w:t>the original first emissions reduction plan</w:t>
      </w:r>
      <w:r w:rsidR="00317B64">
        <w:t>,</w:t>
      </w:r>
      <w:r>
        <w:t xml:space="preserve"> the associated </w:t>
      </w:r>
      <w:r w:rsidR="004D7E19">
        <w:t>t</w:t>
      </w:r>
      <w:r>
        <w:t xml:space="preserve">able of </w:t>
      </w:r>
      <w:r w:rsidR="006860F9">
        <w:t>a</w:t>
      </w:r>
      <w:r>
        <w:t>ctions</w:t>
      </w:r>
      <w:r w:rsidR="00154073">
        <w:t xml:space="preserve">, and the Government’s </w:t>
      </w:r>
      <w:r w:rsidR="00045527">
        <w:t>c</w:t>
      </w:r>
      <w:r w:rsidR="00154073">
        <w:t>limate</w:t>
      </w:r>
      <w:r w:rsidR="003C29B8">
        <w:t xml:space="preserve"> </w:t>
      </w:r>
      <w:r w:rsidR="00045527">
        <w:t>s</w:t>
      </w:r>
      <w:r w:rsidR="003C29B8">
        <w:t>trategy</w:t>
      </w:r>
      <w:r w:rsidR="000D3AAF">
        <w:t>.</w:t>
      </w:r>
      <w:r>
        <w:t xml:space="preserve"> </w:t>
      </w:r>
      <w:r w:rsidR="000D3AAF">
        <w:t>These</w:t>
      </w:r>
      <w:r>
        <w:t xml:space="preserve"> can be found on the Ministry for the Environment website.</w:t>
      </w:r>
      <w:r>
        <w:rPr>
          <w:rStyle w:val="FootnoteReference"/>
        </w:rPr>
        <w:footnoteReference w:id="8"/>
      </w:r>
      <w:r w:rsidDel="00E4201C">
        <w:t xml:space="preserve"> </w:t>
      </w:r>
    </w:p>
    <w:p w14:paraId="3CBB26C5" w14:textId="54ECD650" w:rsidR="000D3AAF" w:rsidRDefault="000D3AAF" w:rsidP="000D3AAF">
      <w:pPr>
        <w:pStyle w:val="BodyText"/>
      </w:pPr>
      <w:r w:rsidRPr="006634FB">
        <w:t xml:space="preserve">In amending the </w:t>
      </w:r>
      <w:r w:rsidR="00B47AA9">
        <w:t>p</w:t>
      </w:r>
      <w:r w:rsidRPr="006634FB">
        <w:t>lan, we have considered the Climate Change Commission’s advice for meeting the relevant emissions budget (</w:t>
      </w:r>
      <w:r w:rsidRPr="006634FB">
        <w:rPr>
          <w:i/>
          <w:iCs/>
        </w:rPr>
        <w:t xml:space="preserve">Ināia tonu nei: a low emissions future for Aotearoa </w:t>
      </w:r>
      <w:r w:rsidRPr="006634FB">
        <w:t xml:space="preserve">(2021)) as well as its recent report </w:t>
      </w:r>
      <w:r w:rsidRPr="006634FB">
        <w:rPr>
          <w:i/>
          <w:iCs/>
        </w:rPr>
        <w:t>Monitoring report: Emissions reduction</w:t>
      </w:r>
      <w:r w:rsidRPr="006634FB">
        <w:t xml:space="preserve"> (2024)</w:t>
      </w:r>
      <w:r>
        <w:t>.</w:t>
      </w:r>
      <w:r w:rsidR="00DB2D76">
        <w:t xml:space="preserve"> </w:t>
      </w:r>
      <w:r>
        <w:t xml:space="preserve">The public were </w:t>
      </w:r>
      <w:r w:rsidRPr="006634FB">
        <w:t xml:space="preserve">consulted on the impacts of the new approach and </w:t>
      </w:r>
      <w:r w:rsidR="000100AB">
        <w:t>the</w:t>
      </w:r>
      <w:r w:rsidRPr="006634FB">
        <w:t xml:space="preserve"> amended plan for meeting that emissions budget</w:t>
      </w:r>
      <w:r w:rsidR="001B7B3D">
        <w:t>.</w:t>
      </w:r>
      <w:r>
        <w:rPr>
          <w:rStyle w:val="FootnoteReference"/>
        </w:rPr>
        <w:footnoteReference w:id="9"/>
      </w:r>
      <w:r w:rsidRPr="006634FB">
        <w:t xml:space="preserve"> </w:t>
      </w:r>
    </w:p>
    <w:p w14:paraId="0A3ED789" w14:textId="0E99B31C" w:rsidR="00550914" w:rsidRPr="005A3A51" w:rsidRDefault="00550914" w:rsidP="0043488A">
      <w:pPr>
        <w:pStyle w:val="BodyText"/>
        <w:rPr>
          <w:rFonts w:eastAsia="Times New Roman" w:cs="Times New Roman"/>
          <w:szCs w:val="20"/>
        </w:rPr>
      </w:pPr>
      <w:r w:rsidRPr="00A50ACD">
        <w:rPr>
          <w:rFonts w:eastAsia="Georgia"/>
          <w:lang w:val="en-US"/>
        </w:rPr>
        <w:t xml:space="preserve">We are continuing to </w:t>
      </w:r>
      <w:r w:rsidRPr="00A50ACD">
        <w:rPr>
          <w:rFonts w:eastAsia="Georgia"/>
        </w:rPr>
        <w:t xml:space="preserve">deliver the amended first emissions reduction plan through a set of </w:t>
      </w:r>
      <w:r w:rsidR="00EA4472">
        <w:rPr>
          <w:rFonts w:eastAsia="Georgia"/>
        </w:rPr>
        <w:br/>
      </w:r>
      <w:r w:rsidRPr="00A50ACD">
        <w:rPr>
          <w:rFonts w:eastAsia="Georgia"/>
        </w:rPr>
        <w:t>cross</w:t>
      </w:r>
      <w:r>
        <w:rPr>
          <w:rFonts w:eastAsia="Georgia"/>
        </w:rPr>
        <w:t>-</w:t>
      </w:r>
      <w:r w:rsidRPr="00A50ACD">
        <w:rPr>
          <w:rFonts w:eastAsia="Georgia"/>
        </w:rPr>
        <w:t xml:space="preserve">cutting and sector-specific work programmes. The areas with the greatest shift in approach are </w:t>
      </w:r>
      <w:r w:rsidR="008D0E66">
        <w:rPr>
          <w:rFonts w:eastAsia="Georgia"/>
        </w:rPr>
        <w:t>e</w:t>
      </w:r>
      <w:r w:rsidRPr="00A50ACD">
        <w:rPr>
          <w:rFonts w:eastAsia="Georgia"/>
        </w:rPr>
        <w:t xml:space="preserve">quitable </w:t>
      </w:r>
      <w:r w:rsidR="008D0E66">
        <w:rPr>
          <w:rFonts w:eastAsia="Georgia"/>
        </w:rPr>
        <w:t>t</w:t>
      </w:r>
      <w:r w:rsidRPr="00A50ACD">
        <w:rPr>
          <w:rFonts w:eastAsia="Georgia"/>
        </w:rPr>
        <w:t xml:space="preserve">ransition (chapter 3), </w:t>
      </w:r>
      <w:r w:rsidR="008D0E66">
        <w:rPr>
          <w:rFonts w:eastAsia="Georgia"/>
        </w:rPr>
        <w:t>e</w:t>
      </w:r>
      <w:r w:rsidRPr="00A50ACD">
        <w:rPr>
          <w:rFonts w:eastAsia="Georgia"/>
        </w:rPr>
        <w:t xml:space="preserve">missions </w:t>
      </w:r>
      <w:r w:rsidR="008D0E66">
        <w:rPr>
          <w:rFonts w:eastAsia="Georgia"/>
        </w:rPr>
        <w:t>p</w:t>
      </w:r>
      <w:r w:rsidRPr="00A50ACD">
        <w:rPr>
          <w:rFonts w:eastAsia="Georgia"/>
        </w:rPr>
        <w:t>ricing (chapter 5)</w:t>
      </w:r>
      <w:r w:rsidR="003E3801">
        <w:rPr>
          <w:rFonts w:eastAsia="Georgia"/>
        </w:rPr>
        <w:t>,</w:t>
      </w:r>
      <w:r w:rsidRPr="00A50ACD">
        <w:rPr>
          <w:rFonts w:eastAsia="Georgia"/>
        </w:rPr>
        <w:t xml:space="preserve"> </w:t>
      </w:r>
      <w:r w:rsidR="003E3801">
        <w:rPr>
          <w:rFonts w:eastAsia="Georgia"/>
        </w:rPr>
        <w:t>t</w:t>
      </w:r>
      <w:r w:rsidR="003E3801" w:rsidRPr="00A50ACD">
        <w:rPr>
          <w:rFonts w:eastAsia="Georgia"/>
        </w:rPr>
        <w:t xml:space="preserve">ransport (chapter 10) </w:t>
      </w:r>
      <w:r w:rsidRPr="00A50ACD">
        <w:rPr>
          <w:rFonts w:eastAsia="Georgia"/>
        </w:rPr>
        <w:t xml:space="preserve">and </w:t>
      </w:r>
      <w:r w:rsidR="008D0E66">
        <w:rPr>
          <w:rFonts w:eastAsia="Georgia"/>
        </w:rPr>
        <w:t>e</w:t>
      </w:r>
      <w:r w:rsidRPr="00A50ACD">
        <w:rPr>
          <w:rFonts w:eastAsia="Georgia"/>
        </w:rPr>
        <w:t xml:space="preserve">nergy (chapter 11). </w:t>
      </w:r>
    </w:p>
    <w:p w14:paraId="75D58159" w14:textId="64E69A84" w:rsidR="000453D2" w:rsidRDefault="00FE2B9B" w:rsidP="00597853">
      <w:pPr>
        <w:pStyle w:val="BodyText"/>
        <w:rPr>
          <w:lang w:val="en-US"/>
        </w:rPr>
        <w:sectPr w:rsidR="000453D2" w:rsidSect="009F382E">
          <w:footerReference w:type="default" r:id="rId26"/>
          <w:pgSz w:w="11910" w:h="16850"/>
          <w:pgMar w:top="1134" w:right="1420" w:bottom="1134" w:left="1701" w:header="454" w:footer="567" w:gutter="0"/>
          <w:cols w:space="720"/>
          <w:docGrid w:linePitch="299"/>
        </w:sectPr>
      </w:pPr>
      <w:r>
        <w:t>Appendix 1 provides d</w:t>
      </w:r>
      <w:r w:rsidR="000D3AAF">
        <w:t>etails on the actions that have been discontinued from the first emissions reduction plan.</w:t>
      </w:r>
    </w:p>
    <w:p w14:paraId="36FB89A8" w14:textId="3A73D13F" w:rsidR="00597853" w:rsidRDefault="00597853" w:rsidP="00597853">
      <w:pPr>
        <w:pStyle w:val="Heading1"/>
        <w:ind w:right="-474"/>
      </w:pPr>
      <w:bookmarkStart w:id="11" w:name="_Toc181180895"/>
      <w:bookmarkStart w:id="12" w:name="_Toc182398382"/>
      <w:r>
        <w:lastRenderedPageBreak/>
        <w:t xml:space="preserve">Appendix 1: Table of </w:t>
      </w:r>
      <w:r w:rsidR="0057258C">
        <w:t xml:space="preserve">discontinued </w:t>
      </w:r>
      <w:r>
        <w:t>actions</w:t>
      </w:r>
      <w:bookmarkEnd w:id="11"/>
      <w:bookmarkEnd w:id="12"/>
    </w:p>
    <w:p w14:paraId="6ADCBA2F" w14:textId="2DD42DC1" w:rsidR="00597853" w:rsidRDefault="00597853" w:rsidP="00E23F7A">
      <w:pPr>
        <w:spacing w:before="0" w:after="160" w:line="259" w:lineRule="auto"/>
        <w:jc w:val="left"/>
      </w:pPr>
      <w:r>
        <w:t xml:space="preserve">Below are the </w:t>
      </w:r>
      <w:r w:rsidR="0057258C">
        <w:t xml:space="preserve">discontinued </w:t>
      </w:r>
      <w:r>
        <w:t>actions being removed from the first emissions reduction plan, organised by chapter.</w:t>
      </w:r>
    </w:p>
    <w:p w14:paraId="30DF9A35" w14:textId="77777777" w:rsidR="00597853" w:rsidRPr="003E3801" w:rsidRDefault="00597853" w:rsidP="00E23F7A">
      <w:pPr>
        <w:pStyle w:val="Heading3"/>
        <w:rPr>
          <w:szCs w:val="18"/>
        </w:rPr>
      </w:pPr>
      <w:bookmarkStart w:id="13" w:name="_Toc103156336"/>
      <w:bookmarkStart w:id="14" w:name="_Toc174964373"/>
      <w:bookmarkStart w:id="15" w:name="_Toc174968287"/>
      <w:bookmarkStart w:id="16" w:name="_Toc181180896"/>
      <w:bookmarkStart w:id="17" w:name="_Toc182202288"/>
      <w:bookmarkStart w:id="18" w:name="_Toc182222053"/>
      <w:bookmarkStart w:id="19" w:name="_Toc182398383"/>
      <w:r w:rsidRPr="00613942">
        <w:rPr>
          <w:szCs w:val="18"/>
        </w:rPr>
        <w:t>Equitable</w:t>
      </w:r>
      <w:r w:rsidRPr="003E3801">
        <w:rPr>
          <w:szCs w:val="18"/>
        </w:rPr>
        <w:t xml:space="preserve"> transition (Chapter 3)</w:t>
      </w:r>
      <w:bookmarkEnd w:id="13"/>
      <w:bookmarkEnd w:id="14"/>
      <w:bookmarkEnd w:id="15"/>
      <w:bookmarkEnd w:id="16"/>
      <w:bookmarkEnd w:id="17"/>
      <w:bookmarkEnd w:id="18"/>
      <w:bookmarkEnd w:id="19"/>
    </w:p>
    <w:tbl>
      <w:tblPr>
        <w:tblStyle w:val="TableGrid"/>
        <w:tblW w:w="4921" w:type="pct"/>
        <w:tblBorders>
          <w:top w:val="single" w:sz="4" w:space="0" w:color="6EC7B8"/>
          <w:left w:val="none" w:sz="0" w:space="0" w:color="auto"/>
          <w:bottom w:val="single" w:sz="4" w:space="0" w:color="6EC7B8"/>
          <w:right w:val="none" w:sz="0" w:space="0" w:color="auto"/>
          <w:insideH w:val="single" w:sz="4" w:space="0" w:color="6EC7B8"/>
          <w:insideV w:val="single" w:sz="4" w:space="0" w:color="6EC7B8"/>
        </w:tblBorders>
        <w:tblCellMar>
          <w:right w:w="85" w:type="dxa"/>
        </w:tblCellMar>
        <w:tblLook w:val="04A0" w:firstRow="1" w:lastRow="0" w:firstColumn="1" w:lastColumn="0" w:noHBand="0" w:noVBand="1"/>
      </w:tblPr>
      <w:tblGrid>
        <w:gridCol w:w="7178"/>
        <w:gridCol w:w="1472"/>
      </w:tblGrid>
      <w:tr w:rsidR="00597853" w:rsidRPr="00EA327E" w14:paraId="4843C174" w14:textId="77777777" w:rsidTr="004B7B47">
        <w:trPr>
          <w:tblHeader/>
        </w:trPr>
        <w:tc>
          <w:tcPr>
            <w:tcW w:w="4149" w:type="pct"/>
            <w:shd w:val="clear" w:color="auto" w:fill="6EC7B8"/>
            <w:vAlign w:val="center"/>
          </w:tcPr>
          <w:p w14:paraId="0D2BA3EC" w14:textId="77777777" w:rsidR="00597853" w:rsidRPr="00EA327E" w:rsidRDefault="00597853" w:rsidP="00923B82">
            <w:pPr>
              <w:pStyle w:val="TableTextbold"/>
              <w:rPr>
                <w:rFonts w:cs="Calibri"/>
                <w:color w:val="FFFFFF" w:themeColor="background1"/>
                <w:szCs w:val="18"/>
              </w:rPr>
            </w:pPr>
            <w:r w:rsidRPr="00EA327E">
              <w:rPr>
                <w:rFonts w:cs="Calibri"/>
                <w:color w:val="FFFFFF" w:themeColor="background1"/>
                <w:szCs w:val="18"/>
              </w:rPr>
              <w:t>Actions for delivery</w:t>
            </w:r>
          </w:p>
        </w:tc>
        <w:tc>
          <w:tcPr>
            <w:tcW w:w="851" w:type="pct"/>
            <w:shd w:val="clear" w:color="auto" w:fill="6EC7B8"/>
            <w:vAlign w:val="center"/>
          </w:tcPr>
          <w:p w14:paraId="5E3C3ED8" w14:textId="77777777" w:rsidR="00597853" w:rsidRPr="00EA327E" w:rsidRDefault="00597853" w:rsidP="00923B82">
            <w:pPr>
              <w:pStyle w:val="TableTextbold"/>
              <w:rPr>
                <w:rFonts w:cs="Calibri"/>
                <w:color w:val="FFFFFF" w:themeColor="background1"/>
                <w:szCs w:val="18"/>
              </w:rPr>
            </w:pPr>
            <w:r w:rsidRPr="00EA327E">
              <w:rPr>
                <w:rFonts w:cs="Calibri"/>
                <w:color w:val="FFFFFF" w:themeColor="background1"/>
                <w:szCs w:val="18"/>
              </w:rPr>
              <w:t>Lead</w:t>
            </w:r>
          </w:p>
        </w:tc>
      </w:tr>
      <w:tr w:rsidR="00597853" w:rsidRPr="000A651B" w14:paraId="45CFD3A9" w14:textId="77777777" w:rsidTr="004B7B47">
        <w:tc>
          <w:tcPr>
            <w:tcW w:w="4149" w:type="pct"/>
          </w:tcPr>
          <w:p w14:paraId="6A6168F0" w14:textId="77777777" w:rsidR="00597853" w:rsidRPr="000A651B" w:rsidRDefault="00597853" w:rsidP="0043488A">
            <w:pPr>
              <w:pStyle w:val="TableText"/>
              <w:ind w:left="618" w:hanging="618"/>
              <w:rPr>
                <w:szCs w:val="18"/>
              </w:rPr>
            </w:pPr>
            <w:r w:rsidRPr="000A651B">
              <w:rPr>
                <w:szCs w:val="18"/>
              </w:rPr>
              <w:t>3.2.1</w:t>
            </w:r>
            <w:r w:rsidRPr="000A651B">
              <w:rPr>
                <w:szCs w:val="18"/>
              </w:rPr>
              <w:tab/>
              <w:t xml:space="preserve">Develop an equitable transition strategy. </w:t>
            </w:r>
          </w:p>
        </w:tc>
        <w:tc>
          <w:tcPr>
            <w:tcW w:w="851" w:type="pct"/>
            <w:shd w:val="clear" w:color="auto" w:fill="auto"/>
          </w:tcPr>
          <w:p w14:paraId="3603AB4F" w14:textId="77777777" w:rsidR="00597853" w:rsidRPr="000A651B" w:rsidRDefault="00597853" w:rsidP="00923B82">
            <w:pPr>
              <w:pStyle w:val="TableText"/>
              <w:rPr>
                <w:szCs w:val="18"/>
              </w:rPr>
            </w:pPr>
            <w:r w:rsidRPr="000A651B">
              <w:rPr>
                <w:szCs w:val="18"/>
              </w:rPr>
              <w:t>MBIE/MSD</w:t>
            </w:r>
          </w:p>
        </w:tc>
      </w:tr>
      <w:tr w:rsidR="00597853" w:rsidRPr="00623FBD" w14:paraId="49835473" w14:textId="77777777" w:rsidTr="004B7B47">
        <w:tc>
          <w:tcPr>
            <w:tcW w:w="4149" w:type="pct"/>
          </w:tcPr>
          <w:p w14:paraId="50F7CBB1" w14:textId="355E3F8F" w:rsidR="00597853" w:rsidRPr="0043488A" w:rsidRDefault="00597853" w:rsidP="003665D4">
            <w:pPr>
              <w:pStyle w:val="TableText"/>
              <w:tabs>
                <w:tab w:val="left" w:pos="604"/>
              </w:tabs>
              <w:ind w:left="618" w:hanging="618"/>
              <w:rPr>
                <w:szCs w:val="18"/>
              </w:rPr>
            </w:pPr>
            <w:r w:rsidRPr="0043488A">
              <w:rPr>
                <w:rFonts w:cstheme="minorBidi"/>
                <w:szCs w:val="18"/>
              </w:rPr>
              <w:t>3.2.2b</w:t>
            </w:r>
            <w:r w:rsidR="0029491C">
              <w:rPr>
                <w:rFonts w:cstheme="minorBidi"/>
                <w:szCs w:val="18"/>
              </w:rPr>
              <w:tab/>
            </w:r>
            <w:r w:rsidRPr="0043488A">
              <w:rPr>
                <w:rFonts w:cstheme="minorBidi"/>
                <w:szCs w:val="18"/>
              </w:rPr>
              <w:t>Support regions and industries to manage the transition.</w:t>
            </w:r>
          </w:p>
        </w:tc>
        <w:tc>
          <w:tcPr>
            <w:tcW w:w="851" w:type="pct"/>
            <w:shd w:val="clear" w:color="auto" w:fill="auto"/>
          </w:tcPr>
          <w:p w14:paraId="4D4E2236" w14:textId="77777777" w:rsidR="00597853" w:rsidRPr="00623FBD" w:rsidRDefault="00597853" w:rsidP="00923B82">
            <w:pPr>
              <w:spacing w:before="60" w:after="60" w:line="240" w:lineRule="atLeast"/>
              <w:jc w:val="left"/>
              <w:rPr>
                <w:rFonts w:eastAsia="MS Mincho" w:cs="Calibri"/>
                <w:sz w:val="18"/>
                <w:szCs w:val="18"/>
              </w:rPr>
            </w:pPr>
            <w:r w:rsidRPr="00623FBD">
              <w:rPr>
                <w:rFonts w:eastAsia="MS Mincho" w:cs="Calibri"/>
                <w:sz w:val="18"/>
                <w:szCs w:val="18"/>
              </w:rPr>
              <w:t>MBIE/MSD</w:t>
            </w:r>
          </w:p>
        </w:tc>
      </w:tr>
      <w:tr w:rsidR="00597853" w:rsidRPr="00623FBD" w14:paraId="11E5B538" w14:textId="77777777" w:rsidTr="004B7B47">
        <w:tc>
          <w:tcPr>
            <w:tcW w:w="4149" w:type="pct"/>
          </w:tcPr>
          <w:p w14:paraId="4E4B89A8" w14:textId="77777777" w:rsidR="00597853" w:rsidRPr="00623FBD" w:rsidRDefault="00597853" w:rsidP="0043488A">
            <w:pPr>
              <w:pStyle w:val="TableText"/>
              <w:ind w:left="618" w:hanging="618"/>
              <w:rPr>
                <w:rFonts w:eastAsia="MS Mincho" w:cs="Calibri"/>
                <w:szCs w:val="18"/>
              </w:rPr>
            </w:pPr>
            <w:r w:rsidRPr="00786E53">
              <w:rPr>
                <w:rFonts w:cs="Calibri"/>
                <w:szCs w:val="18"/>
              </w:rPr>
              <w:t>3.2.3</w:t>
            </w:r>
            <w:r w:rsidRPr="00786E53">
              <w:rPr>
                <w:rFonts w:cs="Calibri"/>
                <w:szCs w:val="18"/>
              </w:rPr>
              <w:tab/>
            </w:r>
            <w:r w:rsidRPr="000B4C39">
              <w:rPr>
                <w:szCs w:val="18"/>
              </w:rPr>
              <w:t>Implement</w:t>
            </w:r>
            <w:r w:rsidRPr="00786E53">
              <w:rPr>
                <w:rFonts w:cs="Calibri"/>
                <w:szCs w:val="18"/>
              </w:rPr>
              <w:t xml:space="preserve"> the Just Transition Partnerships Programme.</w:t>
            </w:r>
          </w:p>
        </w:tc>
        <w:tc>
          <w:tcPr>
            <w:tcW w:w="851" w:type="pct"/>
            <w:shd w:val="clear" w:color="auto" w:fill="auto"/>
          </w:tcPr>
          <w:p w14:paraId="42ECCF9E" w14:textId="77777777" w:rsidR="00597853" w:rsidRPr="00623FBD" w:rsidRDefault="00597853" w:rsidP="00923B82">
            <w:pPr>
              <w:spacing w:before="60" w:after="60" w:line="240" w:lineRule="atLeast"/>
              <w:jc w:val="left"/>
              <w:rPr>
                <w:rFonts w:eastAsia="MS Mincho" w:cs="Calibri"/>
                <w:sz w:val="18"/>
                <w:szCs w:val="18"/>
              </w:rPr>
            </w:pPr>
            <w:r w:rsidRPr="00623FBD">
              <w:rPr>
                <w:rFonts w:eastAsia="MS Mincho" w:cs="Calibri"/>
                <w:sz w:val="18"/>
                <w:szCs w:val="18"/>
              </w:rPr>
              <w:t>MBIE</w:t>
            </w:r>
          </w:p>
        </w:tc>
      </w:tr>
      <w:tr w:rsidR="00597853" w:rsidRPr="00D03637" w14:paraId="28778935" w14:textId="77777777" w:rsidTr="004B7B47">
        <w:tc>
          <w:tcPr>
            <w:tcW w:w="4149" w:type="pct"/>
          </w:tcPr>
          <w:p w14:paraId="3465F07F" w14:textId="77777777" w:rsidR="00597853" w:rsidRPr="00D03637" w:rsidRDefault="00597853" w:rsidP="0043488A">
            <w:pPr>
              <w:pStyle w:val="TableText"/>
              <w:ind w:left="618" w:hanging="618"/>
              <w:rPr>
                <w:szCs w:val="18"/>
              </w:rPr>
            </w:pPr>
            <w:r w:rsidRPr="00D03637">
              <w:rPr>
                <w:szCs w:val="18"/>
              </w:rPr>
              <w:t>3.3.1</w:t>
            </w:r>
            <w:r w:rsidRPr="00D03637">
              <w:rPr>
                <w:szCs w:val="18"/>
              </w:rPr>
              <w:tab/>
              <w:t>Develop an income insurance scheme.</w:t>
            </w:r>
          </w:p>
        </w:tc>
        <w:tc>
          <w:tcPr>
            <w:tcW w:w="851" w:type="pct"/>
            <w:shd w:val="clear" w:color="auto" w:fill="auto"/>
          </w:tcPr>
          <w:p w14:paraId="45C81918" w14:textId="77777777" w:rsidR="00597853" w:rsidRPr="00D03637" w:rsidRDefault="00597853" w:rsidP="00923B82">
            <w:pPr>
              <w:pStyle w:val="TableText"/>
              <w:rPr>
                <w:szCs w:val="18"/>
              </w:rPr>
            </w:pPr>
            <w:r w:rsidRPr="00D03637">
              <w:rPr>
                <w:szCs w:val="18"/>
              </w:rPr>
              <w:t>Government, BusinessNZ, New Zealand Council of Trade Unions</w:t>
            </w:r>
          </w:p>
        </w:tc>
      </w:tr>
    </w:tbl>
    <w:p w14:paraId="0CD787C8" w14:textId="77777777" w:rsidR="00597853" w:rsidRPr="009D2E20" w:rsidRDefault="00597853" w:rsidP="00E23F7A">
      <w:pPr>
        <w:pStyle w:val="Heading3"/>
      </w:pPr>
      <w:bookmarkStart w:id="20" w:name="_Toc103156338"/>
      <w:bookmarkStart w:id="21" w:name="_Toc174968289"/>
      <w:bookmarkStart w:id="22" w:name="_Toc181180897"/>
      <w:bookmarkStart w:id="23" w:name="_Toc182202289"/>
      <w:bookmarkStart w:id="24" w:name="_Toc182222054"/>
      <w:bookmarkStart w:id="25" w:name="_Toc182398384"/>
      <w:r w:rsidRPr="00C37C97">
        <w:rPr>
          <w:szCs w:val="18"/>
        </w:rPr>
        <w:t xml:space="preserve">Emissions </w:t>
      </w:r>
      <w:r w:rsidRPr="009D2E20">
        <w:t>pricing (Chapter 5)</w:t>
      </w:r>
      <w:bookmarkEnd w:id="20"/>
      <w:bookmarkEnd w:id="21"/>
      <w:bookmarkEnd w:id="22"/>
      <w:bookmarkEnd w:id="23"/>
      <w:bookmarkEnd w:id="24"/>
      <w:bookmarkEnd w:id="25"/>
    </w:p>
    <w:tbl>
      <w:tblPr>
        <w:tblStyle w:val="TableGrid"/>
        <w:tblW w:w="4921" w:type="pct"/>
        <w:tblBorders>
          <w:top w:val="single" w:sz="4" w:space="0" w:color="2C9986"/>
          <w:left w:val="none" w:sz="0" w:space="0" w:color="auto"/>
          <w:bottom w:val="single" w:sz="4" w:space="0" w:color="2C9986"/>
          <w:right w:val="none" w:sz="0" w:space="0" w:color="auto"/>
          <w:insideH w:val="single" w:sz="4" w:space="0" w:color="2C9986"/>
          <w:insideV w:val="single" w:sz="4" w:space="0" w:color="2C9986"/>
        </w:tblBorders>
        <w:tblLook w:val="04A0" w:firstRow="1" w:lastRow="0" w:firstColumn="1" w:lastColumn="0" w:noHBand="0" w:noVBand="1"/>
      </w:tblPr>
      <w:tblGrid>
        <w:gridCol w:w="7178"/>
        <w:gridCol w:w="1472"/>
      </w:tblGrid>
      <w:tr w:rsidR="00597853" w:rsidRPr="00902D91" w14:paraId="74A7058F" w14:textId="77777777" w:rsidTr="004B7B47">
        <w:trPr>
          <w:tblHeader/>
        </w:trPr>
        <w:tc>
          <w:tcPr>
            <w:tcW w:w="4149" w:type="pct"/>
            <w:shd w:val="clear" w:color="auto" w:fill="2C9986"/>
            <w:vAlign w:val="bottom"/>
          </w:tcPr>
          <w:p w14:paraId="4380A8BF" w14:textId="77777777" w:rsidR="00597853" w:rsidRPr="00902D91" w:rsidRDefault="00597853" w:rsidP="00923B82">
            <w:pPr>
              <w:spacing w:before="60" w:after="60" w:line="240" w:lineRule="atLeast"/>
              <w:rPr>
                <w:rFonts w:eastAsia="MS Mincho"/>
                <w:b/>
                <w:color w:val="FFFFFF"/>
                <w:sz w:val="18"/>
              </w:rPr>
            </w:pPr>
            <w:r w:rsidRPr="00902D91">
              <w:rPr>
                <w:rFonts w:eastAsia="MS Mincho"/>
                <w:b/>
                <w:color w:val="FFFFFF"/>
                <w:sz w:val="18"/>
              </w:rPr>
              <w:t>Actions for delivery</w:t>
            </w:r>
          </w:p>
        </w:tc>
        <w:tc>
          <w:tcPr>
            <w:tcW w:w="851" w:type="pct"/>
            <w:shd w:val="clear" w:color="auto" w:fill="2C9986"/>
            <w:vAlign w:val="bottom"/>
          </w:tcPr>
          <w:p w14:paraId="39D67DDB" w14:textId="77777777" w:rsidR="00597853" w:rsidRPr="00902D91" w:rsidRDefault="00597853" w:rsidP="00923B82">
            <w:pPr>
              <w:spacing w:before="60" w:after="60" w:line="240" w:lineRule="atLeast"/>
              <w:rPr>
                <w:rFonts w:eastAsia="MS Mincho"/>
                <w:b/>
                <w:color w:val="FFFFFF"/>
                <w:sz w:val="18"/>
              </w:rPr>
            </w:pPr>
            <w:r w:rsidRPr="00902D91">
              <w:rPr>
                <w:rFonts w:eastAsia="MS Mincho"/>
                <w:b/>
                <w:color w:val="FFFFFF"/>
                <w:sz w:val="18"/>
              </w:rPr>
              <w:t>Lead</w:t>
            </w:r>
          </w:p>
        </w:tc>
      </w:tr>
      <w:tr w:rsidR="00597853" w:rsidRPr="00436007" w14:paraId="306C4972" w14:textId="77777777" w:rsidTr="004B7B47">
        <w:tc>
          <w:tcPr>
            <w:tcW w:w="4149" w:type="pct"/>
          </w:tcPr>
          <w:p w14:paraId="468D3855" w14:textId="77777777" w:rsidR="00597853" w:rsidRPr="00436007" w:rsidRDefault="00597853" w:rsidP="0043488A">
            <w:pPr>
              <w:pStyle w:val="TableText"/>
              <w:ind w:left="618" w:hanging="618"/>
              <w:rPr>
                <w:rFonts w:eastAsia="MS Mincho" w:cs="Arial"/>
                <w:szCs w:val="18"/>
              </w:rPr>
            </w:pPr>
            <w:r w:rsidRPr="00436007">
              <w:rPr>
                <w:rFonts w:eastAsia="MS Mincho" w:cs="Arial"/>
                <w:szCs w:val="18"/>
              </w:rPr>
              <w:t>5.2.1</w:t>
            </w:r>
            <w:r w:rsidRPr="00436007">
              <w:rPr>
                <w:rFonts w:eastAsia="MS Mincho" w:cs="Arial"/>
                <w:szCs w:val="18"/>
              </w:rPr>
              <w:tab/>
              <w:t>Adjust the NZ ETS to drive a</w:t>
            </w:r>
            <w:r w:rsidRPr="00436007" w:rsidDel="00DE2A69">
              <w:rPr>
                <w:rFonts w:eastAsia="MS Mincho" w:cs="Arial"/>
                <w:szCs w:val="18"/>
              </w:rPr>
              <w:t xml:space="preserve"> balance of gross and net emissions reductions</w:t>
            </w:r>
            <w:r w:rsidRPr="00436007">
              <w:rPr>
                <w:rFonts w:eastAsia="MS Mincho" w:cs="Arial"/>
                <w:szCs w:val="18"/>
              </w:rPr>
              <w:t>.</w:t>
            </w:r>
          </w:p>
        </w:tc>
        <w:tc>
          <w:tcPr>
            <w:tcW w:w="851" w:type="pct"/>
            <w:shd w:val="clear" w:color="auto" w:fill="auto"/>
          </w:tcPr>
          <w:p w14:paraId="32B6F89C" w14:textId="77777777" w:rsidR="00597853" w:rsidRPr="00436007" w:rsidRDefault="00597853" w:rsidP="00923B82">
            <w:pPr>
              <w:pStyle w:val="TableText"/>
              <w:rPr>
                <w:szCs w:val="18"/>
              </w:rPr>
            </w:pPr>
            <w:r w:rsidRPr="00436007">
              <w:rPr>
                <w:szCs w:val="18"/>
              </w:rPr>
              <w:t>MfE</w:t>
            </w:r>
          </w:p>
        </w:tc>
      </w:tr>
      <w:tr w:rsidR="00597853" w:rsidRPr="00FF2715" w14:paraId="7FA8479F" w14:textId="77777777" w:rsidTr="004B7B47">
        <w:tc>
          <w:tcPr>
            <w:tcW w:w="4149" w:type="pct"/>
          </w:tcPr>
          <w:p w14:paraId="454A6CE9" w14:textId="77777777" w:rsidR="00597853" w:rsidRPr="00FF2715" w:rsidRDefault="00597853" w:rsidP="0043488A">
            <w:pPr>
              <w:pStyle w:val="TableText"/>
              <w:ind w:left="618" w:hanging="618"/>
              <w:rPr>
                <w:rFonts w:eastAsia="MS Mincho" w:cs="Arial"/>
                <w:szCs w:val="18"/>
              </w:rPr>
            </w:pPr>
            <w:r w:rsidRPr="00FF2715">
              <w:rPr>
                <w:rFonts w:eastAsia="MS Mincho" w:cs="Arial"/>
                <w:szCs w:val="18"/>
              </w:rPr>
              <w:t>5.2.3</w:t>
            </w:r>
            <w:r w:rsidRPr="00FF2715">
              <w:rPr>
                <w:rFonts w:eastAsia="MS Mincho" w:cs="Arial"/>
                <w:szCs w:val="18"/>
              </w:rPr>
              <w:tab/>
              <w:t>Assess how the NZ ETS can support indigenous biodiversity.</w:t>
            </w:r>
          </w:p>
        </w:tc>
        <w:tc>
          <w:tcPr>
            <w:tcW w:w="851" w:type="pct"/>
            <w:shd w:val="clear" w:color="auto" w:fill="auto"/>
          </w:tcPr>
          <w:p w14:paraId="5340FFF5" w14:textId="77777777" w:rsidR="00597853" w:rsidRPr="00FF2715" w:rsidRDefault="00597853" w:rsidP="00923B82">
            <w:pPr>
              <w:pStyle w:val="TableText"/>
              <w:rPr>
                <w:szCs w:val="18"/>
              </w:rPr>
            </w:pPr>
            <w:r w:rsidRPr="00FF2715">
              <w:rPr>
                <w:szCs w:val="18"/>
              </w:rPr>
              <w:t>MfE</w:t>
            </w:r>
          </w:p>
        </w:tc>
      </w:tr>
    </w:tbl>
    <w:p w14:paraId="75D094FF" w14:textId="77777777" w:rsidR="00597853" w:rsidRPr="009D2E20" w:rsidRDefault="00597853" w:rsidP="001B74FC">
      <w:pPr>
        <w:pStyle w:val="Heading3"/>
      </w:pPr>
      <w:bookmarkStart w:id="26" w:name="_Toc103156339"/>
      <w:bookmarkStart w:id="27" w:name="_Toc174968290"/>
      <w:bookmarkStart w:id="28" w:name="_Toc181180898"/>
      <w:bookmarkStart w:id="29" w:name="_Toc182202290"/>
      <w:bookmarkStart w:id="30" w:name="_Toc182222055"/>
      <w:bookmarkStart w:id="31" w:name="_Toc182398385"/>
      <w:r w:rsidRPr="00C37C97">
        <w:rPr>
          <w:szCs w:val="18"/>
        </w:rPr>
        <w:t>Fundi</w:t>
      </w:r>
      <w:r w:rsidRPr="009D2E20">
        <w:t>ng and finance (Chapter 6)</w:t>
      </w:r>
      <w:bookmarkEnd w:id="26"/>
      <w:bookmarkEnd w:id="27"/>
      <w:bookmarkEnd w:id="28"/>
      <w:bookmarkEnd w:id="29"/>
      <w:bookmarkEnd w:id="30"/>
      <w:bookmarkEnd w:id="31"/>
    </w:p>
    <w:tbl>
      <w:tblPr>
        <w:tblW w:w="8789" w:type="dxa"/>
        <w:tblBorders>
          <w:top w:val="single" w:sz="4" w:space="0" w:color="32809C"/>
          <w:bottom w:val="single" w:sz="4" w:space="0" w:color="32809C"/>
          <w:insideH w:val="single" w:sz="4" w:space="0" w:color="2C9986"/>
          <w:insideV w:val="single" w:sz="4" w:space="0" w:color="2C9986"/>
        </w:tblBorders>
        <w:tblLayout w:type="fixed"/>
        <w:tblLook w:val="04A0" w:firstRow="1" w:lastRow="0" w:firstColumn="1" w:lastColumn="0" w:noHBand="0" w:noVBand="1"/>
      </w:tblPr>
      <w:tblGrid>
        <w:gridCol w:w="7371"/>
        <w:gridCol w:w="1418"/>
      </w:tblGrid>
      <w:tr w:rsidR="00597853" w:rsidRPr="005D326A" w14:paraId="5EF0571B" w14:textId="77777777" w:rsidTr="004B7B47">
        <w:trPr>
          <w:trHeight w:val="80"/>
          <w:tblHeader/>
        </w:trPr>
        <w:tc>
          <w:tcPr>
            <w:tcW w:w="7371" w:type="dxa"/>
            <w:tcBorders>
              <w:top w:val="nil"/>
              <w:bottom w:val="single" w:sz="4" w:space="0" w:color="2C9986"/>
            </w:tcBorders>
            <w:shd w:val="clear" w:color="auto" w:fill="2C9986"/>
            <w:vAlign w:val="bottom"/>
          </w:tcPr>
          <w:p w14:paraId="5DF0ECC0" w14:textId="77777777" w:rsidR="00597853" w:rsidRPr="005D326A" w:rsidRDefault="00597853" w:rsidP="00923B82">
            <w:pPr>
              <w:spacing w:before="60" w:after="60" w:line="240" w:lineRule="atLeast"/>
              <w:rPr>
                <w:rFonts w:eastAsia="MS Mincho" w:cs="Calibri"/>
                <w:b/>
                <w:color w:val="FFFFFF"/>
                <w:sz w:val="18"/>
                <w:szCs w:val="18"/>
              </w:rPr>
            </w:pPr>
            <w:r w:rsidRPr="005D326A">
              <w:rPr>
                <w:rFonts w:eastAsia="MS Mincho" w:cs="Calibri"/>
                <w:b/>
                <w:color w:val="FFFFFF"/>
                <w:sz w:val="18"/>
                <w:szCs w:val="18"/>
              </w:rPr>
              <w:t xml:space="preserve">Actions for delivery </w:t>
            </w:r>
          </w:p>
        </w:tc>
        <w:tc>
          <w:tcPr>
            <w:tcW w:w="1418" w:type="dxa"/>
            <w:tcBorders>
              <w:top w:val="nil"/>
              <w:bottom w:val="single" w:sz="4" w:space="0" w:color="2C9986"/>
            </w:tcBorders>
            <w:shd w:val="clear" w:color="auto" w:fill="2C9986"/>
            <w:vAlign w:val="bottom"/>
          </w:tcPr>
          <w:p w14:paraId="7EB77429" w14:textId="77777777" w:rsidR="00597853" w:rsidRPr="005D326A" w:rsidRDefault="00597853" w:rsidP="00923B82">
            <w:pPr>
              <w:spacing w:before="60" w:after="60" w:line="240" w:lineRule="atLeast"/>
              <w:rPr>
                <w:rFonts w:eastAsia="MS Mincho" w:cs="Calibri"/>
                <w:b/>
                <w:color w:val="FFFFFF"/>
                <w:sz w:val="18"/>
                <w:szCs w:val="18"/>
              </w:rPr>
            </w:pPr>
            <w:r w:rsidRPr="005D326A">
              <w:rPr>
                <w:rFonts w:eastAsia="MS Mincho" w:cs="Calibri"/>
                <w:b/>
                <w:color w:val="FFFFFF"/>
                <w:sz w:val="18"/>
                <w:szCs w:val="18"/>
              </w:rPr>
              <w:t xml:space="preserve">Lead </w:t>
            </w:r>
          </w:p>
        </w:tc>
      </w:tr>
      <w:tr w:rsidR="00597853" w:rsidRPr="00FF2715" w14:paraId="1AE09ACA" w14:textId="77777777" w:rsidTr="004B7B47">
        <w:tc>
          <w:tcPr>
            <w:tcW w:w="7371" w:type="dxa"/>
            <w:tcBorders>
              <w:top w:val="single" w:sz="4" w:space="0" w:color="2C9986"/>
            </w:tcBorders>
          </w:tcPr>
          <w:p w14:paraId="454A9DB8" w14:textId="77777777" w:rsidR="00597853" w:rsidRPr="00FF2715" w:rsidRDefault="00597853" w:rsidP="0043488A">
            <w:pPr>
              <w:pStyle w:val="TableText"/>
              <w:ind w:left="618" w:hanging="618"/>
              <w:rPr>
                <w:rFonts w:eastAsia="MS Mincho"/>
                <w:szCs w:val="18"/>
              </w:rPr>
            </w:pPr>
            <w:r w:rsidRPr="00FF2715">
              <w:rPr>
                <w:rFonts w:eastAsia="MS Mincho"/>
                <w:szCs w:val="18"/>
              </w:rPr>
              <w:t>6.1</w:t>
            </w:r>
            <w:r w:rsidRPr="00FF2715">
              <w:rPr>
                <w:rFonts w:eastAsia="MS Mincho"/>
                <w:szCs w:val="18"/>
              </w:rPr>
              <w:tab/>
              <w:t>Establish the Climate Emergency Response Fund (CERF) to ensure the climate is prioritised in the Budget process.</w:t>
            </w:r>
          </w:p>
        </w:tc>
        <w:tc>
          <w:tcPr>
            <w:tcW w:w="1418" w:type="dxa"/>
            <w:tcBorders>
              <w:top w:val="single" w:sz="4" w:space="0" w:color="2C9986"/>
            </w:tcBorders>
          </w:tcPr>
          <w:p w14:paraId="5A917FCC" w14:textId="77777777" w:rsidR="00597853" w:rsidRPr="00FF2715" w:rsidRDefault="00597853" w:rsidP="00923B82">
            <w:pPr>
              <w:pStyle w:val="TableText"/>
              <w:rPr>
                <w:szCs w:val="18"/>
              </w:rPr>
            </w:pPr>
            <w:r w:rsidRPr="00FF2715">
              <w:rPr>
                <w:szCs w:val="18"/>
              </w:rPr>
              <w:t xml:space="preserve">TSY </w:t>
            </w:r>
          </w:p>
        </w:tc>
      </w:tr>
    </w:tbl>
    <w:p w14:paraId="359EFD84" w14:textId="77777777" w:rsidR="00597853" w:rsidRPr="00CE1A9B" w:rsidRDefault="00597853" w:rsidP="001B74FC">
      <w:pPr>
        <w:pStyle w:val="Heading3"/>
        <w:rPr>
          <w:rFonts w:eastAsia="MS Gothic" w:cs="Times New Roman"/>
          <w:szCs w:val="32"/>
        </w:rPr>
      </w:pPr>
      <w:bookmarkStart w:id="32" w:name="_Toc103156340"/>
      <w:bookmarkStart w:id="33" w:name="_Toc174968291"/>
      <w:bookmarkStart w:id="34" w:name="_Toc181180899"/>
      <w:bookmarkStart w:id="35" w:name="_Toc182202291"/>
      <w:bookmarkStart w:id="36" w:name="_Toc182222056"/>
      <w:bookmarkStart w:id="37" w:name="_Toc182398386"/>
      <w:r w:rsidRPr="00C37C97">
        <w:t>Planning and infrastructure (Chapter 7)</w:t>
      </w:r>
      <w:bookmarkEnd w:id="32"/>
      <w:bookmarkEnd w:id="33"/>
      <w:bookmarkEnd w:id="34"/>
      <w:bookmarkEnd w:id="35"/>
      <w:bookmarkEnd w:id="36"/>
      <w:bookmarkEnd w:id="37"/>
    </w:p>
    <w:tbl>
      <w:tblPr>
        <w:tblStyle w:val="TableGrid"/>
        <w:tblW w:w="4921" w:type="pct"/>
        <w:tblBorders>
          <w:top w:val="single" w:sz="4" w:space="0" w:color="2C9986"/>
          <w:left w:val="none" w:sz="0" w:space="0" w:color="auto"/>
          <w:bottom w:val="single" w:sz="4" w:space="0" w:color="2C9986"/>
          <w:right w:val="none" w:sz="0" w:space="0" w:color="auto"/>
          <w:insideH w:val="single" w:sz="4" w:space="0" w:color="2C9986"/>
          <w:insideV w:val="single" w:sz="4" w:space="0" w:color="2C9986"/>
        </w:tblBorders>
        <w:tblCellMar>
          <w:left w:w="85" w:type="dxa"/>
          <w:right w:w="85" w:type="dxa"/>
        </w:tblCellMar>
        <w:tblLook w:val="04A0" w:firstRow="1" w:lastRow="0" w:firstColumn="1" w:lastColumn="0" w:noHBand="0" w:noVBand="1"/>
      </w:tblPr>
      <w:tblGrid>
        <w:gridCol w:w="7148"/>
        <w:gridCol w:w="1502"/>
      </w:tblGrid>
      <w:tr w:rsidR="00597853" w:rsidRPr="00CE1A9B" w14:paraId="2251B463" w14:textId="77777777" w:rsidTr="004B7B47">
        <w:trPr>
          <w:tblHeader/>
        </w:trPr>
        <w:tc>
          <w:tcPr>
            <w:tcW w:w="4132" w:type="pct"/>
            <w:shd w:val="clear" w:color="auto" w:fill="2C9986"/>
          </w:tcPr>
          <w:p w14:paraId="2F708B65" w14:textId="77777777" w:rsidR="00597853" w:rsidRPr="00CE1A9B" w:rsidRDefault="00597853" w:rsidP="00923B82">
            <w:pPr>
              <w:spacing w:before="40" w:after="40" w:line="240" w:lineRule="auto"/>
              <w:rPr>
                <w:rFonts w:eastAsia="MS Mincho"/>
                <w:b/>
                <w:color w:val="FFFFFF"/>
                <w:sz w:val="18"/>
              </w:rPr>
            </w:pPr>
            <w:r w:rsidRPr="00CE1A9B">
              <w:rPr>
                <w:rFonts w:eastAsia="MS Mincho"/>
                <w:b/>
                <w:color w:val="FFFFFF"/>
                <w:sz w:val="18"/>
              </w:rPr>
              <w:t>Actions for delivery</w:t>
            </w:r>
          </w:p>
        </w:tc>
        <w:tc>
          <w:tcPr>
            <w:tcW w:w="868" w:type="pct"/>
            <w:shd w:val="clear" w:color="auto" w:fill="2C9986"/>
          </w:tcPr>
          <w:p w14:paraId="0BA05E63" w14:textId="77777777" w:rsidR="00597853" w:rsidRPr="00CE1A9B" w:rsidRDefault="00597853" w:rsidP="00923B82">
            <w:pPr>
              <w:spacing w:before="40" w:after="40" w:line="240" w:lineRule="auto"/>
              <w:rPr>
                <w:rFonts w:eastAsia="MS Mincho"/>
                <w:b/>
                <w:color w:val="FFFFFF"/>
                <w:sz w:val="18"/>
              </w:rPr>
            </w:pPr>
            <w:r w:rsidRPr="00CE1A9B">
              <w:rPr>
                <w:rFonts w:eastAsia="MS Mincho"/>
                <w:b/>
                <w:color w:val="FFFFFF"/>
                <w:sz w:val="18"/>
              </w:rPr>
              <w:t>Lead (support)</w:t>
            </w:r>
          </w:p>
        </w:tc>
      </w:tr>
      <w:tr w:rsidR="00597853" w:rsidRPr="00FF2715" w14:paraId="12A59E31" w14:textId="77777777" w:rsidTr="004B7B47">
        <w:tc>
          <w:tcPr>
            <w:tcW w:w="4132" w:type="pct"/>
          </w:tcPr>
          <w:p w14:paraId="33820B30" w14:textId="77777777" w:rsidR="00597853" w:rsidRPr="00FF2715" w:rsidRDefault="00597853" w:rsidP="0043488A">
            <w:pPr>
              <w:pStyle w:val="TableText"/>
              <w:ind w:left="618" w:hanging="618"/>
              <w:rPr>
                <w:rFonts w:asciiTheme="minorHAnsi" w:hAnsiTheme="minorHAnsi" w:cstheme="minorBidi"/>
                <w:szCs w:val="18"/>
              </w:rPr>
            </w:pPr>
            <w:r w:rsidRPr="00FF2715">
              <w:rPr>
                <w:szCs w:val="18"/>
              </w:rPr>
              <w:t>7.5</w:t>
            </w:r>
            <w:r w:rsidRPr="00FF2715">
              <w:rPr>
                <w:szCs w:val="18"/>
              </w:rPr>
              <w:tab/>
              <w:t>Promote innovation in low-emissions, liveable neighbourhoods, through Crown-led urban regeneration projects.</w:t>
            </w:r>
          </w:p>
        </w:tc>
        <w:tc>
          <w:tcPr>
            <w:tcW w:w="868" w:type="pct"/>
          </w:tcPr>
          <w:p w14:paraId="1EF40662" w14:textId="77777777" w:rsidR="00597853" w:rsidRPr="00FF2715" w:rsidRDefault="00597853" w:rsidP="00923B82">
            <w:pPr>
              <w:pStyle w:val="TableText"/>
              <w:spacing w:before="40" w:after="40" w:line="240" w:lineRule="auto"/>
              <w:rPr>
                <w:szCs w:val="18"/>
              </w:rPr>
            </w:pPr>
            <w:r w:rsidRPr="00FF2715">
              <w:rPr>
                <w:szCs w:val="18"/>
              </w:rPr>
              <w:t>Kāinga Ora (HUD, Waka Kotahi, MOT, MfE, Te Waihanga)</w:t>
            </w:r>
          </w:p>
        </w:tc>
      </w:tr>
    </w:tbl>
    <w:p w14:paraId="76B2874D" w14:textId="77777777" w:rsidR="00597853" w:rsidRPr="003C0E0F" w:rsidRDefault="00597853" w:rsidP="001B74FC">
      <w:pPr>
        <w:pStyle w:val="Heading3"/>
        <w:rPr>
          <w:rFonts w:eastAsia="MS Gothic" w:cs="Times New Roman"/>
          <w:szCs w:val="32"/>
        </w:rPr>
      </w:pPr>
      <w:bookmarkStart w:id="38" w:name="_Toc103156341"/>
      <w:bookmarkStart w:id="39" w:name="_Toc174968292"/>
      <w:bookmarkStart w:id="40" w:name="_Toc181180900"/>
      <w:bookmarkStart w:id="41" w:name="_Toc182202292"/>
      <w:bookmarkStart w:id="42" w:name="_Toc182222057"/>
      <w:bookmarkStart w:id="43" w:name="_Toc182398387"/>
      <w:r w:rsidRPr="00C37C97">
        <w:t>Research, science, innovation and technology (Chapter</w:t>
      </w:r>
      <w:r w:rsidRPr="00F36823">
        <w:rPr>
          <w:rFonts w:eastAsia="MS Gothic" w:cs="Times New Roman"/>
          <w:szCs w:val="32"/>
        </w:rPr>
        <w:t> 8)</w:t>
      </w:r>
      <w:bookmarkEnd w:id="38"/>
      <w:bookmarkEnd w:id="39"/>
      <w:bookmarkEnd w:id="40"/>
      <w:bookmarkEnd w:id="41"/>
      <w:bookmarkEnd w:id="42"/>
      <w:bookmarkEnd w:id="43"/>
    </w:p>
    <w:tbl>
      <w:tblPr>
        <w:tblStyle w:val="TableGrid"/>
        <w:tblW w:w="4921" w:type="pct"/>
        <w:tblBorders>
          <w:top w:val="single" w:sz="4" w:space="0" w:color="2C9986"/>
          <w:left w:val="none" w:sz="0" w:space="0" w:color="auto"/>
          <w:bottom w:val="single" w:sz="4" w:space="0" w:color="2C9986"/>
          <w:right w:val="none" w:sz="0" w:space="0" w:color="auto"/>
          <w:insideH w:val="single" w:sz="4" w:space="0" w:color="2C9986"/>
          <w:insideV w:val="single" w:sz="4" w:space="0" w:color="2C9986"/>
        </w:tblBorders>
        <w:tblCellMar>
          <w:right w:w="85" w:type="dxa"/>
        </w:tblCellMar>
        <w:tblLook w:val="04A0" w:firstRow="1" w:lastRow="0" w:firstColumn="1" w:lastColumn="0" w:noHBand="0" w:noVBand="1"/>
      </w:tblPr>
      <w:tblGrid>
        <w:gridCol w:w="7178"/>
        <w:gridCol w:w="1472"/>
      </w:tblGrid>
      <w:tr w:rsidR="00597853" w:rsidRPr="003C0E0F" w14:paraId="0B52059B" w14:textId="77777777" w:rsidTr="004B7B47">
        <w:trPr>
          <w:tblHeader/>
        </w:trPr>
        <w:tc>
          <w:tcPr>
            <w:tcW w:w="4149" w:type="pct"/>
            <w:shd w:val="clear" w:color="auto" w:fill="2C9986"/>
            <w:vAlign w:val="bottom"/>
          </w:tcPr>
          <w:p w14:paraId="39FD9C72" w14:textId="77777777" w:rsidR="00597853" w:rsidRPr="003C0E0F" w:rsidRDefault="00597853" w:rsidP="00923B82">
            <w:pPr>
              <w:spacing w:before="40" w:after="40" w:line="240" w:lineRule="atLeast"/>
              <w:rPr>
                <w:rFonts w:eastAsia="MS Mincho"/>
                <w:b/>
                <w:color w:val="FFFFFF"/>
                <w:sz w:val="18"/>
              </w:rPr>
            </w:pPr>
            <w:r w:rsidRPr="003C0E0F">
              <w:rPr>
                <w:rFonts w:eastAsia="MS Mincho"/>
                <w:b/>
                <w:color w:val="FFFFFF"/>
                <w:sz w:val="18"/>
              </w:rPr>
              <w:t>Actions for delivery</w:t>
            </w:r>
          </w:p>
        </w:tc>
        <w:tc>
          <w:tcPr>
            <w:tcW w:w="851" w:type="pct"/>
            <w:shd w:val="clear" w:color="auto" w:fill="2C9986"/>
            <w:vAlign w:val="bottom"/>
          </w:tcPr>
          <w:p w14:paraId="51678479" w14:textId="77777777" w:rsidR="00597853" w:rsidRPr="003C0E0F" w:rsidRDefault="00597853" w:rsidP="00923B82">
            <w:pPr>
              <w:spacing w:before="40" w:after="40" w:line="240" w:lineRule="atLeast"/>
              <w:rPr>
                <w:rFonts w:eastAsia="MS Mincho"/>
                <w:b/>
                <w:color w:val="FFFFFF"/>
                <w:sz w:val="18"/>
              </w:rPr>
            </w:pPr>
            <w:r w:rsidRPr="003C0E0F">
              <w:rPr>
                <w:rFonts w:eastAsia="MS Mincho"/>
                <w:b/>
                <w:color w:val="FFFFFF"/>
                <w:sz w:val="18"/>
              </w:rPr>
              <w:t>Lead</w:t>
            </w:r>
          </w:p>
        </w:tc>
      </w:tr>
      <w:tr w:rsidR="00597853" w:rsidRPr="005C4D2E" w14:paraId="07017598" w14:textId="77777777" w:rsidTr="004B7B47">
        <w:tc>
          <w:tcPr>
            <w:tcW w:w="4149" w:type="pct"/>
          </w:tcPr>
          <w:p w14:paraId="64ADB125" w14:textId="77777777" w:rsidR="00597853" w:rsidRPr="00A50ACD" w:rsidRDefault="00597853" w:rsidP="00CA4429">
            <w:pPr>
              <w:pStyle w:val="TableText"/>
              <w:ind w:left="618" w:hanging="618"/>
              <w:rPr>
                <w:szCs w:val="18"/>
              </w:rPr>
            </w:pPr>
            <w:r w:rsidRPr="005C4D2E">
              <w:rPr>
                <w:szCs w:val="18"/>
              </w:rPr>
              <w:t>8.1.1</w:t>
            </w:r>
            <w:r w:rsidRPr="005C4D2E">
              <w:rPr>
                <w:szCs w:val="18"/>
              </w:rPr>
              <w:tab/>
              <w:t xml:space="preserve">Establish a portfolio of Climate Innovation Platforms to support and coordinate strategic, effective and innovative initiatives. </w:t>
            </w:r>
          </w:p>
        </w:tc>
        <w:tc>
          <w:tcPr>
            <w:tcW w:w="851" w:type="pct"/>
            <w:shd w:val="clear" w:color="auto" w:fill="auto"/>
          </w:tcPr>
          <w:p w14:paraId="7671CE3A" w14:textId="77777777" w:rsidR="00597853" w:rsidRPr="005C4D2E" w:rsidRDefault="00597853" w:rsidP="00923B82">
            <w:pPr>
              <w:pStyle w:val="TableText"/>
              <w:spacing w:before="40" w:after="40"/>
              <w:rPr>
                <w:szCs w:val="18"/>
              </w:rPr>
            </w:pPr>
            <w:r w:rsidRPr="005C4D2E">
              <w:rPr>
                <w:szCs w:val="18"/>
              </w:rPr>
              <w:t>Cross government</w:t>
            </w:r>
          </w:p>
        </w:tc>
      </w:tr>
      <w:tr w:rsidR="00597853" w:rsidRPr="00C27F90" w14:paraId="55820A01" w14:textId="77777777" w:rsidTr="004B7B47">
        <w:tc>
          <w:tcPr>
            <w:tcW w:w="4149" w:type="pct"/>
          </w:tcPr>
          <w:p w14:paraId="5E08F8B2" w14:textId="77777777" w:rsidR="00597853" w:rsidRPr="00C27F90" w:rsidRDefault="00597853" w:rsidP="00CA4429">
            <w:pPr>
              <w:pStyle w:val="TableText"/>
              <w:ind w:left="618" w:hanging="618"/>
              <w:rPr>
                <w:szCs w:val="18"/>
              </w:rPr>
            </w:pPr>
            <w:r w:rsidRPr="00C27F90">
              <w:rPr>
                <w:szCs w:val="18"/>
              </w:rPr>
              <w:t>8.2</w:t>
            </w:r>
            <w:r w:rsidRPr="00C27F90">
              <w:rPr>
                <w:szCs w:val="18"/>
              </w:rPr>
              <w:tab/>
              <w:t>Te Ara Paerangi Future Pathways science-system reform programme.</w:t>
            </w:r>
          </w:p>
        </w:tc>
        <w:tc>
          <w:tcPr>
            <w:tcW w:w="851" w:type="pct"/>
          </w:tcPr>
          <w:p w14:paraId="1939B283" w14:textId="77777777" w:rsidR="00597853" w:rsidRPr="00C27F90" w:rsidRDefault="00597853" w:rsidP="00923B82">
            <w:pPr>
              <w:pStyle w:val="TableText"/>
              <w:spacing w:before="40" w:after="40"/>
              <w:rPr>
                <w:szCs w:val="18"/>
              </w:rPr>
            </w:pPr>
            <w:r w:rsidRPr="00C27F90">
              <w:rPr>
                <w:szCs w:val="18"/>
              </w:rPr>
              <w:t>MBIE</w:t>
            </w:r>
          </w:p>
        </w:tc>
      </w:tr>
    </w:tbl>
    <w:p w14:paraId="78C6ADF7" w14:textId="77777777" w:rsidR="00597853" w:rsidRPr="009D2E20" w:rsidRDefault="00597853" w:rsidP="001B74FC">
      <w:pPr>
        <w:pStyle w:val="Heading3"/>
      </w:pPr>
      <w:bookmarkStart w:id="44" w:name="_Toc103156342"/>
      <w:bookmarkStart w:id="45" w:name="_Toc174968293"/>
      <w:bookmarkStart w:id="46" w:name="_Toc181180901"/>
      <w:bookmarkStart w:id="47" w:name="_Toc182202293"/>
      <w:bookmarkStart w:id="48" w:name="_Toc182222058"/>
      <w:bookmarkStart w:id="49" w:name="_Toc182398388"/>
      <w:r w:rsidRPr="00C37C97">
        <w:rPr>
          <w:szCs w:val="18"/>
        </w:rPr>
        <w:lastRenderedPageBreak/>
        <w:t>Circular</w:t>
      </w:r>
      <w:r w:rsidRPr="009D2E20">
        <w:t xml:space="preserve"> economy and bioeconomy (Chapter 9)</w:t>
      </w:r>
      <w:bookmarkEnd w:id="44"/>
      <w:bookmarkEnd w:id="45"/>
      <w:bookmarkEnd w:id="46"/>
      <w:bookmarkEnd w:id="47"/>
      <w:bookmarkEnd w:id="48"/>
      <w:bookmarkEnd w:id="49"/>
    </w:p>
    <w:tbl>
      <w:tblPr>
        <w:tblStyle w:val="TableGrid"/>
        <w:tblW w:w="4921" w:type="pct"/>
        <w:tblBorders>
          <w:top w:val="single" w:sz="4" w:space="0" w:color="2C9986"/>
          <w:left w:val="none" w:sz="0" w:space="0" w:color="auto"/>
          <w:bottom w:val="single" w:sz="4" w:space="0" w:color="2C9986"/>
          <w:right w:val="none" w:sz="0" w:space="0" w:color="auto"/>
          <w:insideH w:val="single" w:sz="4" w:space="0" w:color="2C9986"/>
          <w:insideV w:val="single" w:sz="4" w:space="0" w:color="2C9986"/>
        </w:tblBorders>
        <w:tblCellMar>
          <w:right w:w="85" w:type="dxa"/>
        </w:tblCellMar>
        <w:tblLook w:val="04A0" w:firstRow="1" w:lastRow="0" w:firstColumn="1" w:lastColumn="0" w:noHBand="0" w:noVBand="1"/>
      </w:tblPr>
      <w:tblGrid>
        <w:gridCol w:w="7178"/>
        <w:gridCol w:w="1472"/>
      </w:tblGrid>
      <w:tr w:rsidR="00597853" w:rsidRPr="00EA327E" w14:paraId="07731666" w14:textId="77777777" w:rsidTr="004B7B47">
        <w:trPr>
          <w:tblHeader/>
        </w:trPr>
        <w:tc>
          <w:tcPr>
            <w:tcW w:w="4149" w:type="pct"/>
            <w:shd w:val="clear" w:color="auto" w:fill="2C9986"/>
          </w:tcPr>
          <w:p w14:paraId="790CC241" w14:textId="77777777" w:rsidR="00597853" w:rsidRPr="00EA327E" w:rsidRDefault="00597853" w:rsidP="00923B82">
            <w:pPr>
              <w:pStyle w:val="TableTextbold"/>
              <w:rPr>
                <w:color w:val="FFFFFF" w:themeColor="background1"/>
              </w:rPr>
            </w:pPr>
            <w:r w:rsidRPr="00EA327E">
              <w:rPr>
                <w:color w:val="FFFFFF" w:themeColor="background1"/>
              </w:rPr>
              <w:t>Actions for delivery</w:t>
            </w:r>
          </w:p>
        </w:tc>
        <w:tc>
          <w:tcPr>
            <w:tcW w:w="851" w:type="pct"/>
            <w:shd w:val="clear" w:color="auto" w:fill="2C9986"/>
          </w:tcPr>
          <w:p w14:paraId="79853C9C" w14:textId="77777777" w:rsidR="00597853" w:rsidRPr="00EA327E" w:rsidRDefault="00597853" w:rsidP="00923B82">
            <w:pPr>
              <w:pStyle w:val="TableTextbold"/>
              <w:rPr>
                <w:color w:val="FFFFFF" w:themeColor="background1"/>
              </w:rPr>
            </w:pPr>
            <w:r w:rsidRPr="00EA327E">
              <w:rPr>
                <w:color w:val="FFFFFF" w:themeColor="background1"/>
              </w:rPr>
              <w:t>Lead (support)</w:t>
            </w:r>
          </w:p>
        </w:tc>
      </w:tr>
      <w:tr w:rsidR="00597853" w:rsidRPr="0031376D" w14:paraId="03F4890A" w14:textId="77777777" w:rsidTr="004B7B47">
        <w:tc>
          <w:tcPr>
            <w:tcW w:w="4149" w:type="pct"/>
          </w:tcPr>
          <w:p w14:paraId="652F05EB" w14:textId="77777777" w:rsidR="00597853" w:rsidRPr="0031376D" w:rsidRDefault="00597853" w:rsidP="00CA4429">
            <w:pPr>
              <w:pStyle w:val="TableText"/>
              <w:ind w:left="618" w:hanging="618"/>
              <w:rPr>
                <w:szCs w:val="18"/>
              </w:rPr>
            </w:pPr>
            <w:r w:rsidRPr="0031376D">
              <w:rPr>
                <w:szCs w:val="18"/>
              </w:rPr>
              <w:t>9.1</w:t>
            </w:r>
            <w:r>
              <w:rPr>
                <w:szCs w:val="18"/>
              </w:rPr>
              <w:tab/>
            </w:r>
            <w:r w:rsidRPr="0031376D">
              <w:rPr>
                <w:szCs w:val="18"/>
              </w:rPr>
              <w:t>Commence a Circular Economy and Bioeconomy Strategy.</w:t>
            </w:r>
          </w:p>
        </w:tc>
        <w:tc>
          <w:tcPr>
            <w:tcW w:w="851" w:type="pct"/>
            <w:shd w:val="clear" w:color="auto" w:fill="auto"/>
          </w:tcPr>
          <w:p w14:paraId="5802F16B" w14:textId="77777777" w:rsidR="00597853" w:rsidRPr="0031376D" w:rsidRDefault="00597853" w:rsidP="00923B82">
            <w:pPr>
              <w:pStyle w:val="TableText"/>
              <w:rPr>
                <w:szCs w:val="18"/>
              </w:rPr>
            </w:pPr>
            <w:r w:rsidRPr="0031376D">
              <w:rPr>
                <w:szCs w:val="18"/>
              </w:rPr>
              <w:t>MBIE</w:t>
            </w:r>
          </w:p>
        </w:tc>
      </w:tr>
      <w:tr w:rsidR="00597853" w:rsidRPr="00994684" w14:paraId="56FD7EB0" w14:textId="77777777" w:rsidTr="004B7B47">
        <w:tc>
          <w:tcPr>
            <w:tcW w:w="4149" w:type="pct"/>
          </w:tcPr>
          <w:p w14:paraId="5739FF13" w14:textId="77777777" w:rsidR="00597853" w:rsidRPr="00994684" w:rsidRDefault="00597853" w:rsidP="00CA4429">
            <w:pPr>
              <w:pStyle w:val="TableText"/>
              <w:ind w:left="618" w:hanging="618"/>
              <w:rPr>
                <w:rFonts w:eastAsia="MS Mincho" w:cs="Arial"/>
                <w:szCs w:val="18"/>
              </w:rPr>
            </w:pPr>
            <w:r w:rsidRPr="00994684">
              <w:rPr>
                <w:szCs w:val="18"/>
              </w:rPr>
              <w:t>9.4</w:t>
            </w:r>
            <w:r w:rsidRPr="00994684">
              <w:rPr>
                <w:szCs w:val="18"/>
              </w:rPr>
              <w:tab/>
              <w:t>Support businesses moving to circular economy models.</w:t>
            </w:r>
          </w:p>
        </w:tc>
        <w:tc>
          <w:tcPr>
            <w:tcW w:w="851" w:type="pct"/>
          </w:tcPr>
          <w:p w14:paraId="66FB6FD0" w14:textId="77777777" w:rsidR="00597853" w:rsidRPr="00994684" w:rsidRDefault="00597853" w:rsidP="00923B82">
            <w:pPr>
              <w:pStyle w:val="TableText"/>
              <w:rPr>
                <w:szCs w:val="18"/>
              </w:rPr>
            </w:pPr>
            <w:r w:rsidRPr="00994684">
              <w:rPr>
                <w:szCs w:val="18"/>
              </w:rPr>
              <w:t>MBIE</w:t>
            </w:r>
          </w:p>
        </w:tc>
      </w:tr>
    </w:tbl>
    <w:p w14:paraId="55F21701" w14:textId="77777777" w:rsidR="00597853" w:rsidRPr="009D2E20" w:rsidRDefault="00597853" w:rsidP="001B74FC">
      <w:pPr>
        <w:pStyle w:val="Heading3"/>
      </w:pPr>
      <w:bookmarkStart w:id="50" w:name="_Toc98857918"/>
      <w:bookmarkStart w:id="51" w:name="_Toc103156343"/>
      <w:bookmarkStart w:id="52" w:name="_Toc174968294"/>
      <w:bookmarkStart w:id="53" w:name="_Toc181180902"/>
      <w:bookmarkStart w:id="54" w:name="_Toc182202294"/>
      <w:bookmarkStart w:id="55" w:name="_Toc182222059"/>
      <w:bookmarkStart w:id="56" w:name="_Toc182398389"/>
      <w:bookmarkStart w:id="57" w:name="_Toc99544478"/>
      <w:r w:rsidRPr="00C37C97">
        <w:rPr>
          <w:szCs w:val="18"/>
        </w:rPr>
        <w:t>Transport</w:t>
      </w:r>
      <w:bookmarkEnd w:id="50"/>
      <w:r w:rsidRPr="009D2E20">
        <w:t xml:space="preserve"> (Chapter 10)</w:t>
      </w:r>
      <w:bookmarkEnd w:id="51"/>
      <w:bookmarkEnd w:id="52"/>
      <w:bookmarkEnd w:id="53"/>
      <w:bookmarkEnd w:id="54"/>
      <w:bookmarkEnd w:id="55"/>
      <w:bookmarkEnd w:id="56"/>
    </w:p>
    <w:tbl>
      <w:tblPr>
        <w:tblStyle w:val="TableGrid"/>
        <w:tblW w:w="4923" w:type="pct"/>
        <w:tblBorders>
          <w:top w:val="single" w:sz="4" w:space="0" w:color="32809C" w:themeColor="accent2"/>
          <w:left w:val="none" w:sz="0" w:space="0" w:color="auto"/>
          <w:bottom w:val="single" w:sz="4" w:space="0" w:color="32809C" w:themeColor="accent2"/>
          <w:right w:val="none" w:sz="0" w:space="0" w:color="auto"/>
          <w:insideH w:val="single" w:sz="4" w:space="0" w:color="32809C" w:themeColor="accent2"/>
          <w:insideV w:val="single" w:sz="4" w:space="0" w:color="32809C" w:themeColor="accent2"/>
        </w:tblBorders>
        <w:tblCellMar>
          <w:left w:w="85" w:type="dxa"/>
          <w:right w:w="85" w:type="dxa"/>
        </w:tblCellMar>
        <w:tblLook w:val="04A0" w:firstRow="1" w:lastRow="0" w:firstColumn="1" w:lastColumn="0" w:noHBand="0" w:noVBand="1"/>
      </w:tblPr>
      <w:tblGrid>
        <w:gridCol w:w="7270"/>
        <w:gridCol w:w="1374"/>
      </w:tblGrid>
      <w:tr w:rsidR="00597853" w:rsidRPr="00EA327E" w14:paraId="3728D158" w14:textId="77777777" w:rsidTr="004B7B47">
        <w:trPr>
          <w:tblHeader/>
        </w:trPr>
        <w:tc>
          <w:tcPr>
            <w:tcW w:w="4205" w:type="pct"/>
            <w:tcBorders>
              <w:top w:val="single" w:sz="4" w:space="0" w:color="31809C"/>
              <w:left w:val="single" w:sz="4" w:space="0" w:color="31809C"/>
              <w:bottom w:val="single" w:sz="4" w:space="0" w:color="31809C"/>
              <w:right w:val="single" w:sz="4" w:space="0" w:color="31809C"/>
            </w:tcBorders>
            <w:shd w:val="clear" w:color="auto" w:fill="32809C"/>
            <w:vAlign w:val="bottom"/>
            <w:hideMark/>
          </w:tcPr>
          <w:p w14:paraId="43695EE0" w14:textId="77777777" w:rsidR="00597853" w:rsidRPr="00EA327E" w:rsidRDefault="00597853" w:rsidP="00923B82">
            <w:pPr>
              <w:pStyle w:val="TableTextbold"/>
              <w:rPr>
                <w:rFonts w:cs="Calibri"/>
                <w:color w:val="FFFFFF" w:themeColor="background1"/>
                <w:szCs w:val="18"/>
              </w:rPr>
            </w:pPr>
            <w:r w:rsidRPr="00EA327E">
              <w:rPr>
                <w:rFonts w:cs="Calibri"/>
                <w:color w:val="FFFFFF" w:themeColor="background1"/>
                <w:szCs w:val="18"/>
              </w:rPr>
              <w:t>Actions for delivery</w:t>
            </w:r>
          </w:p>
        </w:tc>
        <w:tc>
          <w:tcPr>
            <w:tcW w:w="795" w:type="pct"/>
            <w:tcBorders>
              <w:top w:val="single" w:sz="4" w:space="0" w:color="31809C"/>
              <w:left w:val="single" w:sz="4" w:space="0" w:color="31809C"/>
              <w:bottom w:val="single" w:sz="4" w:space="0" w:color="31809C"/>
              <w:right w:val="single" w:sz="4" w:space="0" w:color="31809C"/>
            </w:tcBorders>
            <w:shd w:val="clear" w:color="auto" w:fill="32809C"/>
            <w:vAlign w:val="bottom"/>
            <w:hideMark/>
          </w:tcPr>
          <w:p w14:paraId="3C69853A" w14:textId="77777777" w:rsidR="00597853" w:rsidRPr="00EA327E" w:rsidRDefault="00597853" w:rsidP="00923B82">
            <w:pPr>
              <w:pStyle w:val="TableTextbold"/>
              <w:rPr>
                <w:rFonts w:cs="Calibri"/>
                <w:color w:val="FFFFFF" w:themeColor="background1"/>
                <w:szCs w:val="18"/>
              </w:rPr>
            </w:pPr>
            <w:r w:rsidRPr="00EA327E">
              <w:rPr>
                <w:rFonts w:cs="Calibri"/>
                <w:color w:val="FFFFFF" w:themeColor="background1"/>
                <w:szCs w:val="18"/>
              </w:rPr>
              <w:t>Lead</w:t>
            </w:r>
          </w:p>
        </w:tc>
      </w:tr>
      <w:tr w:rsidR="00597853" w:rsidRPr="005C0841" w14:paraId="31CA6290" w14:textId="77777777" w:rsidTr="004B7B47">
        <w:tc>
          <w:tcPr>
            <w:tcW w:w="4205" w:type="pct"/>
            <w:tcBorders>
              <w:top w:val="single" w:sz="4" w:space="0" w:color="31809C"/>
              <w:left w:val="nil"/>
              <w:bottom w:val="single" w:sz="4" w:space="0" w:color="31809C"/>
              <w:right w:val="single" w:sz="6" w:space="0" w:color="31809C"/>
            </w:tcBorders>
            <w:hideMark/>
          </w:tcPr>
          <w:p w14:paraId="33F3FD8D" w14:textId="22D0FB5E" w:rsidR="00597853" w:rsidRPr="005C0841" w:rsidRDefault="00597853" w:rsidP="00CA4429">
            <w:pPr>
              <w:pStyle w:val="TableText"/>
              <w:ind w:left="618" w:hanging="618"/>
              <w:rPr>
                <w:szCs w:val="18"/>
              </w:rPr>
            </w:pPr>
            <w:r>
              <w:rPr>
                <w:szCs w:val="18"/>
              </w:rPr>
              <w:t xml:space="preserve">10.1.1.6 </w:t>
            </w:r>
            <w:r w:rsidRPr="005C0841">
              <w:rPr>
                <w:szCs w:val="18"/>
              </w:rPr>
              <w:t xml:space="preserve">Require new investments for transport projects to demonstrate how they will contribute to emissions-reduction objectives and set a high threshold for approving new investments for any transport projects if they are inconsistent with </w:t>
            </w:r>
            <w:r w:rsidR="007B2966">
              <w:rPr>
                <w:szCs w:val="18"/>
              </w:rPr>
              <w:br/>
            </w:r>
            <w:r w:rsidRPr="005C0841">
              <w:rPr>
                <w:szCs w:val="18"/>
              </w:rPr>
              <w:t>emissions-reduction objectives.</w:t>
            </w:r>
          </w:p>
        </w:tc>
        <w:tc>
          <w:tcPr>
            <w:tcW w:w="795" w:type="pct"/>
            <w:tcBorders>
              <w:top w:val="single" w:sz="4" w:space="0" w:color="31809C"/>
              <w:left w:val="single" w:sz="6" w:space="0" w:color="31809C"/>
              <w:bottom w:val="single" w:sz="4" w:space="0" w:color="31809C"/>
              <w:right w:val="nil"/>
            </w:tcBorders>
            <w:hideMark/>
          </w:tcPr>
          <w:p w14:paraId="3252E93C" w14:textId="77777777" w:rsidR="00597853" w:rsidRPr="005C0841" w:rsidRDefault="00597853" w:rsidP="00923B82">
            <w:pPr>
              <w:pStyle w:val="TableText"/>
              <w:rPr>
                <w:szCs w:val="18"/>
              </w:rPr>
            </w:pPr>
            <w:r w:rsidRPr="005C0841">
              <w:rPr>
                <w:szCs w:val="18"/>
              </w:rPr>
              <w:t>MOT</w:t>
            </w:r>
          </w:p>
        </w:tc>
      </w:tr>
      <w:tr w:rsidR="00597853" w:rsidRPr="00BC4E21" w14:paraId="631CFC38" w14:textId="77777777" w:rsidTr="004B7B47">
        <w:tc>
          <w:tcPr>
            <w:tcW w:w="4205" w:type="pct"/>
            <w:tcBorders>
              <w:top w:val="single" w:sz="4" w:space="0" w:color="31809C"/>
              <w:bottom w:val="single" w:sz="4" w:space="0" w:color="31809C"/>
              <w:right w:val="single" w:sz="4" w:space="0" w:color="31809C"/>
            </w:tcBorders>
            <w:hideMark/>
          </w:tcPr>
          <w:p w14:paraId="3C33F7E5" w14:textId="5B43366E" w:rsidR="00597853" w:rsidRPr="00BC4E21" w:rsidRDefault="00597853" w:rsidP="00CA4429">
            <w:pPr>
              <w:pStyle w:val="TableText"/>
              <w:ind w:left="618" w:hanging="618"/>
              <w:rPr>
                <w:szCs w:val="18"/>
              </w:rPr>
            </w:pPr>
            <w:r>
              <w:rPr>
                <w:szCs w:val="18"/>
              </w:rPr>
              <w:t>10.1.2</w:t>
            </w:r>
            <w:r>
              <w:rPr>
                <w:szCs w:val="18"/>
              </w:rPr>
              <w:tab/>
            </w:r>
            <w:r w:rsidRPr="00BC4E21">
              <w:rPr>
                <w:szCs w:val="18"/>
              </w:rPr>
              <w:t>Set sub-national</w:t>
            </w:r>
            <w:r w:rsidR="00AC54F5">
              <w:rPr>
                <w:szCs w:val="18"/>
              </w:rPr>
              <w:t xml:space="preserve"> vehicle kilometres travelled</w:t>
            </w:r>
            <w:r w:rsidR="00B424F5">
              <w:rPr>
                <w:szCs w:val="18"/>
              </w:rPr>
              <w:t>,</w:t>
            </w:r>
            <w:r w:rsidR="00AC54F5">
              <w:rPr>
                <w:szCs w:val="18"/>
              </w:rPr>
              <w:t xml:space="preserve"> </w:t>
            </w:r>
            <w:r w:rsidR="00B424F5">
              <w:rPr>
                <w:szCs w:val="18"/>
              </w:rPr>
              <w:t xml:space="preserve">or </w:t>
            </w:r>
            <w:r w:rsidR="00B424F5" w:rsidRPr="00BC4E21">
              <w:rPr>
                <w:szCs w:val="18"/>
              </w:rPr>
              <w:t>VKT</w:t>
            </w:r>
            <w:r w:rsidR="00B424F5">
              <w:rPr>
                <w:szCs w:val="18"/>
              </w:rPr>
              <w:t>,</w:t>
            </w:r>
            <w:r w:rsidRPr="00BC4E21">
              <w:rPr>
                <w:szCs w:val="18"/>
              </w:rPr>
              <w:t xml:space="preserve"> reduction targets for Aotearoa New Zealand’s major urban areas (Tiers 1 and 2) by the end of 2022.</w:t>
            </w:r>
          </w:p>
        </w:tc>
        <w:tc>
          <w:tcPr>
            <w:tcW w:w="795" w:type="pct"/>
            <w:tcBorders>
              <w:top w:val="single" w:sz="4" w:space="0" w:color="31809C"/>
              <w:left w:val="single" w:sz="4" w:space="0" w:color="31809C"/>
              <w:bottom w:val="single" w:sz="4" w:space="0" w:color="31809C"/>
              <w:right w:val="nil"/>
            </w:tcBorders>
            <w:hideMark/>
          </w:tcPr>
          <w:p w14:paraId="30B9CDE8" w14:textId="77777777" w:rsidR="00597853" w:rsidRPr="00BC4E21" w:rsidRDefault="00597853" w:rsidP="00923B82">
            <w:pPr>
              <w:pStyle w:val="TableText"/>
              <w:rPr>
                <w:szCs w:val="18"/>
              </w:rPr>
            </w:pPr>
            <w:r w:rsidRPr="00BC4E21">
              <w:rPr>
                <w:szCs w:val="18"/>
              </w:rPr>
              <w:t>MOT</w:t>
            </w:r>
          </w:p>
        </w:tc>
      </w:tr>
      <w:tr w:rsidR="00597853" w:rsidRPr="00BC4E21" w14:paraId="62576E69" w14:textId="77777777" w:rsidTr="004B7B47">
        <w:tc>
          <w:tcPr>
            <w:tcW w:w="4205" w:type="pct"/>
            <w:tcBorders>
              <w:top w:val="single" w:sz="4" w:space="0" w:color="31809C"/>
              <w:bottom w:val="single" w:sz="4" w:space="0" w:color="31809C"/>
              <w:right w:val="single" w:sz="4" w:space="0" w:color="31809C"/>
            </w:tcBorders>
            <w:hideMark/>
          </w:tcPr>
          <w:p w14:paraId="6A04E05C" w14:textId="77777777" w:rsidR="00597853" w:rsidRPr="00BC4E21" w:rsidRDefault="00597853" w:rsidP="00CA4429">
            <w:pPr>
              <w:pStyle w:val="TableText"/>
              <w:ind w:left="618" w:hanging="618"/>
              <w:rPr>
                <w:szCs w:val="18"/>
              </w:rPr>
            </w:pPr>
            <w:r>
              <w:rPr>
                <w:szCs w:val="18"/>
              </w:rPr>
              <w:t>10.1.2</w:t>
            </w:r>
            <w:r>
              <w:rPr>
                <w:szCs w:val="18"/>
              </w:rPr>
              <w:tab/>
            </w:r>
            <w:r w:rsidRPr="00BC4E21">
              <w:rPr>
                <w:szCs w:val="18"/>
              </w:rPr>
              <w:t xml:space="preserve">Revise Waka Kotahi’s national mode shift plan (Keeping Cities Moving) to ensure nationally led activities align with the pace and scale of VKT reduction and mode shift required in urban areas. </w:t>
            </w:r>
          </w:p>
        </w:tc>
        <w:tc>
          <w:tcPr>
            <w:tcW w:w="795" w:type="pct"/>
            <w:tcBorders>
              <w:top w:val="single" w:sz="4" w:space="0" w:color="31809C"/>
              <w:left w:val="single" w:sz="4" w:space="0" w:color="31809C"/>
              <w:bottom w:val="single" w:sz="4" w:space="0" w:color="31809C"/>
              <w:right w:val="nil"/>
            </w:tcBorders>
            <w:hideMark/>
          </w:tcPr>
          <w:p w14:paraId="58201877" w14:textId="77777777" w:rsidR="00597853" w:rsidRPr="00BC4E21" w:rsidRDefault="00597853" w:rsidP="00923B82">
            <w:pPr>
              <w:pStyle w:val="TableText"/>
              <w:rPr>
                <w:szCs w:val="18"/>
              </w:rPr>
            </w:pPr>
            <w:r w:rsidRPr="00BC4E21">
              <w:rPr>
                <w:szCs w:val="18"/>
              </w:rPr>
              <w:t>Waka Kotahi</w:t>
            </w:r>
          </w:p>
        </w:tc>
      </w:tr>
      <w:tr w:rsidR="00597853" w:rsidRPr="00BC4E21" w14:paraId="197502D3" w14:textId="77777777" w:rsidTr="004B7B47">
        <w:tc>
          <w:tcPr>
            <w:tcW w:w="4205" w:type="pct"/>
            <w:tcBorders>
              <w:top w:val="single" w:sz="4" w:space="0" w:color="31809C"/>
              <w:bottom w:val="single" w:sz="4" w:space="0" w:color="31809C"/>
              <w:right w:val="single" w:sz="4" w:space="0" w:color="31809C"/>
            </w:tcBorders>
            <w:hideMark/>
          </w:tcPr>
          <w:p w14:paraId="4F33A289" w14:textId="77777777" w:rsidR="00597853" w:rsidRPr="00BC4E21" w:rsidRDefault="00597853" w:rsidP="00923B82">
            <w:pPr>
              <w:pStyle w:val="TableText"/>
              <w:ind w:left="619" w:hanging="619"/>
              <w:rPr>
                <w:szCs w:val="18"/>
              </w:rPr>
            </w:pPr>
            <w:r>
              <w:rPr>
                <w:szCs w:val="18"/>
              </w:rPr>
              <w:t>10.1.2</w:t>
            </w:r>
            <w:r>
              <w:rPr>
                <w:szCs w:val="18"/>
              </w:rPr>
              <w:tab/>
            </w:r>
            <w:r w:rsidRPr="00BC4E21">
              <w:rPr>
                <w:szCs w:val="18"/>
              </w:rPr>
              <w:t>Develop VKT reduction programmes for Aotearoa New Zealand’s major urban areas (Tiers 1 and 2) in partnership with local government, Māori and community representatives.</w:t>
            </w:r>
          </w:p>
        </w:tc>
        <w:tc>
          <w:tcPr>
            <w:tcW w:w="795" w:type="pct"/>
            <w:tcBorders>
              <w:top w:val="single" w:sz="4" w:space="0" w:color="31809C"/>
              <w:left w:val="single" w:sz="4" w:space="0" w:color="31809C"/>
              <w:bottom w:val="single" w:sz="4" w:space="0" w:color="31809C"/>
              <w:right w:val="nil"/>
            </w:tcBorders>
            <w:hideMark/>
          </w:tcPr>
          <w:p w14:paraId="0AEF4D4C" w14:textId="77777777" w:rsidR="00597853" w:rsidRPr="00BC4E21" w:rsidRDefault="00597853" w:rsidP="00923B82">
            <w:pPr>
              <w:pStyle w:val="TableText"/>
              <w:rPr>
                <w:szCs w:val="18"/>
              </w:rPr>
            </w:pPr>
            <w:r w:rsidRPr="00BC4E21">
              <w:rPr>
                <w:szCs w:val="18"/>
              </w:rPr>
              <w:t>Waka Kotahi/local government</w:t>
            </w:r>
          </w:p>
        </w:tc>
      </w:tr>
      <w:tr w:rsidR="00597853" w:rsidRPr="00BC4E21" w14:paraId="4C664824" w14:textId="77777777" w:rsidTr="004B7B47">
        <w:tc>
          <w:tcPr>
            <w:tcW w:w="4205" w:type="pct"/>
            <w:tcBorders>
              <w:top w:val="single" w:sz="4" w:space="0" w:color="31809C"/>
              <w:bottom w:val="single" w:sz="4" w:space="0" w:color="31809C"/>
              <w:right w:val="single" w:sz="4" w:space="0" w:color="31809C"/>
            </w:tcBorders>
          </w:tcPr>
          <w:p w14:paraId="38FA248E" w14:textId="77777777" w:rsidR="00597853" w:rsidRDefault="00597853" w:rsidP="00CA4429">
            <w:pPr>
              <w:pStyle w:val="TableText"/>
              <w:ind w:left="618" w:hanging="618"/>
              <w:rPr>
                <w:szCs w:val="18"/>
              </w:rPr>
            </w:pPr>
            <w:r>
              <w:rPr>
                <w:szCs w:val="18"/>
              </w:rPr>
              <w:t>10.1.2</w:t>
            </w:r>
            <w:r>
              <w:rPr>
                <w:szCs w:val="18"/>
              </w:rPr>
              <w:tab/>
            </w:r>
            <w:r w:rsidRPr="002E50E5">
              <w:rPr>
                <w:szCs w:val="18"/>
              </w:rPr>
              <w:t xml:space="preserve">Support initiatives to increase the uptake of e-bikes. </w:t>
            </w:r>
          </w:p>
        </w:tc>
        <w:tc>
          <w:tcPr>
            <w:tcW w:w="795" w:type="pct"/>
            <w:tcBorders>
              <w:top w:val="single" w:sz="4" w:space="0" w:color="31809C"/>
              <w:left w:val="single" w:sz="4" w:space="0" w:color="31809C"/>
              <w:bottom w:val="single" w:sz="4" w:space="0" w:color="31809C"/>
              <w:right w:val="nil"/>
            </w:tcBorders>
          </w:tcPr>
          <w:p w14:paraId="6F59357F" w14:textId="77777777" w:rsidR="00597853" w:rsidRPr="00BC4E21" w:rsidRDefault="00597853" w:rsidP="00923B82">
            <w:pPr>
              <w:pStyle w:val="TableText"/>
              <w:rPr>
                <w:szCs w:val="18"/>
              </w:rPr>
            </w:pPr>
            <w:r>
              <w:rPr>
                <w:szCs w:val="18"/>
              </w:rPr>
              <w:t>MOT</w:t>
            </w:r>
          </w:p>
        </w:tc>
      </w:tr>
      <w:tr w:rsidR="00597853" w:rsidRPr="00BC4E21" w14:paraId="7DAF08F1" w14:textId="77777777" w:rsidTr="004B7B47">
        <w:tc>
          <w:tcPr>
            <w:tcW w:w="4205" w:type="pct"/>
            <w:tcBorders>
              <w:top w:val="single" w:sz="4" w:space="0" w:color="31809C"/>
              <w:bottom w:val="single" w:sz="4" w:space="0" w:color="31809C"/>
              <w:right w:val="single" w:sz="4" w:space="0" w:color="31809C"/>
            </w:tcBorders>
          </w:tcPr>
          <w:p w14:paraId="0AEA626D" w14:textId="77777777" w:rsidR="00597853" w:rsidRDefault="00597853" w:rsidP="00CA4429">
            <w:pPr>
              <w:pStyle w:val="TableText"/>
              <w:ind w:left="618" w:hanging="618"/>
              <w:rPr>
                <w:szCs w:val="18"/>
              </w:rPr>
            </w:pPr>
            <w:r>
              <w:rPr>
                <w:szCs w:val="18"/>
              </w:rPr>
              <w:t>10.1.4</w:t>
            </w:r>
            <w:r>
              <w:rPr>
                <w:szCs w:val="18"/>
              </w:rPr>
              <w:tab/>
            </w:r>
            <w:r w:rsidRPr="002E50E5">
              <w:rPr>
                <w:szCs w:val="18"/>
              </w:rPr>
              <w:t>Establish a high threshold for new investments to expand roads, including new highway projects, if the expansion is inconsistent with emissions-related objectives.</w:t>
            </w:r>
          </w:p>
        </w:tc>
        <w:tc>
          <w:tcPr>
            <w:tcW w:w="795" w:type="pct"/>
            <w:tcBorders>
              <w:top w:val="single" w:sz="4" w:space="0" w:color="31809C"/>
              <w:left w:val="single" w:sz="4" w:space="0" w:color="31809C"/>
              <w:bottom w:val="single" w:sz="4" w:space="0" w:color="31809C"/>
              <w:right w:val="nil"/>
            </w:tcBorders>
          </w:tcPr>
          <w:p w14:paraId="5CCE9ECD" w14:textId="77777777" w:rsidR="00597853" w:rsidRPr="00BC4E21" w:rsidRDefault="00597853" w:rsidP="00923B82">
            <w:pPr>
              <w:pStyle w:val="TableText"/>
              <w:rPr>
                <w:szCs w:val="18"/>
              </w:rPr>
            </w:pPr>
            <w:r>
              <w:rPr>
                <w:szCs w:val="18"/>
              </w:rPr>
              <w:t>MOT</w:t>
            </w:r>
          </w:p>
        </w:tc>
      </w:tr>
      <w:tr w:rsidR="00597853" w:rsidRPr="00BC4E21" w14:paraId="42B4222D" w14:textId="77777777" w:rsidTr="004B7B47">
        <w:tc>
          <w:tcPr>
            <w:tcW w:w="4205" w:type="pct"/>
            <w:tcBorders>
              <w:top w:val="single" w:sz="4" w:space="0" w:color="31809C"/>
              <w:bottom w:val="single" w:sz="4" w:space="0" w:color="31809C"/>
              <w:right w:val="single" w:sz="4" w:space="0" w:color="31809C"/>
            </w:tcBorders>
          </w:tcPr>
          <w:p w14:paraId="3EF70A06" w14:textId="77777777" w:rsidR="00597853" w:rsidRDefault="00597853" w:rsidP="00CA4429">
            <w:pPr>
              <w:pStyle w:val="TableText"/>
              <w:ind w:left="618" w:hanging="618"/>
              <w:rPr>
                <w:szCs w:val="18"/>
              </w:rPr>
            </w:pPr>
            <w:r>
              <w:rPr>
                <w:szCs w:val="18"/>
              </w:rPr>
              <w:t>10.2.1</w:t>
            </w:r>
            <w:r>
              <w:rPr>
                <w:szCs w:val="18"/>
              </w:rPr>
              <w:tab/>
            </w:r>
            <w:r w:rsidRPr="00DF4079">
              <w:rPr>
                <w:szCs w:val="18"/>
              </w:rPr>
              <w:t>Continue to incentivise the uptake of low- and zero-emissions vehicles through the Clean Vehicle Discount scheme and consider the future of the Road User Charge exemption for light vehicles beyond 2024.</w:t>
            </w:r>
          </w:p>
        </w:tc>
        <w:tc>
          <w:tcPr>
            <w:tcW w:w="795" w:type="pct"/>
            <w:tcBorders>
              <w:top w:val="single" w:sz="4" w:space="0" w:color="31809C"/>
              <w:left w:val="single" w:sz="4" w:space="0" w:color="31809C"/>
              <w:bottom w:val="single" w:sz="4" w:space="0" w:color="31809C"/>
              <w:right w:val="nil"/>
            </w:tcBorders>
          </w:tcPr>
          <w:p w14:paraId="2648676A" w14:textId="77777777" w:rsidR="00597853" w:rsidRPr="00BC4E21" w:rsidRDefault="00597853" w:rsidP="00923B82">
            <w:pPr>
              <w:pStyle w:val="TableText"/>
              <w:rPr>
                <w:szCs w:val="18"/>
              </w:rPr>
            </w:pPr>
            <w:r>
              <w:rPr>
                <w:szCs w:val="18"/>
              </w:rPr>
              <w:t>MOT/Waka Kotahi</w:t>
            </w:r>
          </w:p>
        </w:tc>
      </w:tr>
      <w:tr w:rsidR="00597853" w14:paraId="1938EA5A" w14:textId="77777777" w:rsidTr="004B7B47">
        <w:tc>
          <w:tcPr>
            <w:tcW w:w="4205" w:type="pct"/>
            <w:tcBorders>
              <w:top w:val="single" w:sz="4" w:space="0" w:color="31809C"/>
              <w:bottom w:val="single" w:sz="4" w:space="0" w:color="31809C"/>
              <w:right w:val="single" w:sz="4" w:space="0" w:color="31809C"/>
            </w:tcBorders>
          </w:tcPr>
          <w:p w14:paraId="138FFBEE" w14:textId="77777777" w:rsidR="00597853" w:rsidRDefault="00597853" w:rsidP="00CA4429">
            <w:pPr>
              <w:pStyle w:val="TableText"/>
              <w:ind w:left="618" w:hanging="618"/>
              <w:rPr>
                <w:szCs w:val="18"/>
              </w:rPr>
            </w:pPr>
            <w:r>
              <w:rPr>
                <w:szCs w:val="18"/>
              </w:rPr>
              <w:t>10.2.1</w:t>
            </w:r>
            <w:r>
              <w:rPr>
                <w:szCs w:val="18"/>
              </w:rPr>
              <w:tab/>
            </w:r>
            <w:r w:rsidRPr="006005B5">
              <w:rPr>
                <w:szCs w:val="18"/>
              </w:rPr>
              <w:t>Establish whether the Clean Vehicle Discount can be extended to other vehicle classes.</w:t>
            </w:r>
          </w:p>
        </w:tc>
        <w:tc>
          <w:tcPr>
            <w:tcW w:w="795" w:type="pct"/>
            <w:tcBorders>
              <w:top w:val="single" w:sz="4" w:space="0" w:color="31809C"/>
              <w:left w:val="single" w:sz="4" w:space="0" w:color="31809C"/>
              <w:bottom w:val="single" w:sz="4" w:space="0" w:color="31809C"/>
              <w:right w:val="nil"/>
            </w:tcBorders>
          </w:tcPr>
          <w:p w14:paraId="15C09C4D" w14:textId="77777777" w:rsidR="00597853" w:rsidRDefault="00597853" w:rsidP="00923B82">
            <w:pPr>
              <w:pStyle w:val="TableText"/>
              <w:rPr>
                <w:szCs w:val="18"/>
              </w:rPr>
            </w:pPr>
            <w:r>
              <w:rPr>
                <w:szCs w:val="18"/>
              </w:rPr>
              <w:t>MOT</w:t>
            </w:r>
          </w:p>
        </w:tc>
      </w:tr>
      <w:tr w:rsidR="00597853" w:rsidRPr="00E02668" w14:paraId="40086548" w14:textId="77777777" w:rsidTr="004B7B47">
        <w:tc>
          <w:tcPr>
            <w:tcW w:w="4205" w:type="pct"/>
            <w:tcBorders>
              <w:top w:val="single" w:sz="4" w:space="0" w:color="31809C"/>
              <w:bottom w:val="single" w:sz="4" w:space="0" w:color="31809C"/>
              <w:right w:val="single" w:sz="4" w:space="0" w:color="31809C"/>
            </w:tcBorders>
            <w:hideMark/>
          </w:tcPr>
          <w:p w14:paraId="378330E6" w14:textId="6A642096" w:rsidR="00597853" w:rsidRPr="00E02668" w:rsidRDefault="00597853" w:rsidP="00CA4429">
            <w:pPr>
              <w:pStyle w:val="TableText"/>
              <w:ind w:left="618" w:hanging="618"/>
              <w:rPr>
                <w:szCs w:val="18"/>
              </w:rPr>
            </w:pPr>
            <w:r>
              <w:rPr>
                <w:szCs w:val="18"/>
              </w:rPr>
              <w:t>10.2.2</w:t>
            </w:r>
            <w:r>
              <w:rPr>
                <w:szCs w:val="18"/>
              </w:rPr>
              <w:tab/>
            </w:r>
            <w:r w:rsidRPr="00E02668">
              <w:rPr>
                <w:szCs w:val="18"/>
              </w:rPr>
              <w:t xml:space="preserve">Support social leasing schemes to make access to cleaner vehicles affordable for </w:t>
            </w:r>
            <w:r w:rsidR="007B2966">
              <w:rPr>
                <w:szCs w:val="18"/>
              </w:rPr>
              <w:br/>
            </w:r>
            <w:r w:rsidRPr="00E02668">
              <w:rPr>
                <w:szCs w:val="18"/>
              </w:rPr>
              <w:t>low-income households.</w:t>
            </w:r>
          </w:p>
        </w:tc>
        <w:tc>
          <w:tcPr>
            <w:tcW w:w="795" w:type="pct"/>
            <w:tcBorders>
              <w:top w:val="single" w:sz="4" w:space="0" w:color="31809C"/>
              <w:left w:val="single" w:sz="4" w:space="0" w:color="31809C"/>
              <w:bottom w:val="single" w:sz="4" w:space="0" w:color="31809C"/>
              <w:right w:val="nil"/>
            </w:tcBorders>
            <w:hideMark/>
          </w:tcPr>
          <w:p w14:paraId="3EF7B5DB" w14:textId="77777777" w:rsidR="00597853" w:rsidRPr="00E02668" w:rsidRDefault="00597853" w:rsidP="00923B82">
            <w:pPr>
              <w:pStyle w:val="TableText"/>
              <w:rPr>
                <w:szCs w:val="18"/>
              </w:rPr>
            </w:pPr>
            <w:r w:rsidRPr="00E02668">
              <w:rPr>
                <w:szCs w:val="18"/>
              </w:rPr>
              <w:t>MOT</w:t>
            </w:r>
          </w:p>
        </w:tc>
      </w:tr>
      <w:tr w:rsidR="00597853" w:rsidRPr="00E02668" w14:paraId="11C74655" w14:textId="77777777" w:rsidTr="004B7B47">
        <w:tc>
          <w:tcPr>
            <w:tcW w:w="4205" w:type="pct"/>
            <w:tcBorders>
              <w:top w:val="single" w:sz="4" w:space="0" w:color="31809C"/>
              <w:bottom w:val="single" w:sz="4" w:space="0" w:color="31809C"/>
              <w:right w:val="single" w:sz="4" w:space="0" w:color="31809C"/>
            </w:tcBorders>
            <w:hideMark/>
          </w:tcPr>
          <w:p w14:paraId="1D224304" w14:textId="77777777" w:rsidR="00597853" w:rsidRPr="00E02668" w:rsidRDefault="00597853" w:rsidP="00CA4429">
            <w:pPr>
              <w:pStyle w:val="TableText"/>
              <w:ind w:left="618" w:hanging="618"/>
              <w:rPr>
                <w:szCs w:val="18"/>
              </w:rPr>
            </w:pPr>
            <w:r>
              <w:rPr>
                <w:szCs w:val="18"/>
              </w:rPr>
              <w:t>10.2.2</w:t>
            </w:r>
            <w:r>
              <w:rPr>
                <w:szCs w:val="18"/>
              </w:rPr>
              <w:tab/>
            </w:r>
            <w:r w:rsidRPr="00E02668">
              <w:rPr>
                <w:szCs w:val="18"/>
              </w:rPr>
              <w:t>Implement an equity-oriented vehicle scrap-and-replace scheme to make cleaner vehicles and low-emissions alternatives affordable for low-income households.</w:t>
            </w:r>
          </w:p>
        </w:tc>
        <w:tc>
          <w:tcPr>
            <w:tcW w:w="795" w:type="pct"/>
            <w:tcBorders>
              <w:top w:val="single" w:sz="4" w:space="0" w:color="31809C"/>
              <w:left w:val="single" w:sz="4" w:space="0" w:color="31809C"/>
              <w:bottom w:val="single" w:sz="4" w:space="0" w:color="31809C"/>
              <w:right w:val="nil"/>
            </w:tcBorders>
            <w:hideMark/>
          </w:tcPr>
          <w:p w14:paraId="4671AB59" w14:textId="77777777" w:rsidR="00597853" w:rsidRPr="00E02668" w:rsidRDefault="00597853" w:rsidP="00923B82">
            <w:pPr>
              <w:pStyle w:val="TableText"/>
              <w:rPr>
                <w:szCs w:val="18"/>
              </w:rPr>
            </w:pPr>
            <w:r w:rsidRPr="00E02668">
              <w:rPr>
                <w:szCs w:val="18"/>
              </w:rPr>
              <w:t>MOT</w:t>
            </w:r>
          </w:p>
        </w:tc>
      </w:tr>
      <w:tr w:rsidR="00597853" w:rsidRPr="00E02668" w14:paraId="31032F89" w14:textId="77777777" w:rsidTr="004B7B47">
        <w:tc>
          <w:tcPr>
            <w:tcW w:w="4205" w:type="pct"/>
            <w:tcBorders>
              <w:top w:val="single" w:sz="4" w:space="0" w:color="31809C"/>
              <w:bottom w:val="single" w:sz="4" w:space="0" w:color="31809C"/>
              <w:right w:val="single" w:sz="4" w:space="0" w:color="31809C"/>
            </w:tcBorders>
            <w:hideMark/>
          </w:tcPr>
          <w:p w14:paraId="24E1EBEB" w14:textId="77777777" w:rsidR="00597853" w:rsidRPr="00E02668" w:rsidRDefault="00597853" w:rsidP="00CA4429">
            <w:pPr>
              <w:pStyle w:val="TableText"/>
              <w:ind w:left="618" w:hanging="618"/>
              <w:rPr>
                <w:szCs w:val="18"/>
              </w:rPr>
            </w:pPr>
            <w:r>
              <w:rPr>
                <w:szCs w:val="18"/>
              </w:rPr>
              <w:t>10.2.2</w:t>
            </w:r>
            <w:r>
              <w:rPr>
                <w:szCs w:val="18"/>
              </w:rPr>
              <w:tab/>
            </w:r>
            <w:r w:rsidRPr="00E02668">
              <w:rPr>
                <w:szCs w:val="18"/>
              </w:rPr>
              <w:t>Investigate whether further targeted support is required to make low-emissions vehicles more accessible and affordable for other disadvantaged groups and communities.</w:t>
            </w:r>
          </w:p>
        </w:tc>
        <w:tc>
          <w:tcPr>
            <w:tcW w:w="795" w:type="pct"/>
            <w:tcBorders>
              <w:top w:val="single" w:sz="4" w:space="0" w:color="31809C"/>
              <w:left w:val="single" w:sz="4" w:space="0" w:color="31809C"/>
              <w:bottom w:val="single" w:sz="4" w:space="0" w:color="31809C"/>
              <w:right w:val="nil"/>
            </w:tcBorders>
            <w:hideMark/>
          </w:tcPr>
          <w:p w14:paraId="0A246353" w14:textId="77777777" w:rsidR="00597853" w:rsidRPr="00E02668" w:rsidRDefault="00597853" w:rsidP="00923B82">
            <w:pPr>
              <w:pStyle w:val="TableText"/>
              <w:rPr>
                <w:szCs w:val="18"/>
              </w:rPr>
            </w:pPr>
            <w:r w:rsidRPr="00E02668">
              <w:rPr>
                <w:szCs w:val="18"/>
              </w:rPr>
              <w:t>MOT</w:t>
            </w:r>
          </w:p>
        </w:tc>
      </w:tr>
      <w:tr w:rsidR="00597853" w:rsidRPr="00DE3077" w14:paraId="4EE8F151" w14:textId="77777777" w:rsidTr="004B7B47">
        <w:tc>
          <w:tcPr>
            <w:tcW w:w="4205" w:type="pct"/>
            <w:tcBorders>
              <w:top w:val="single" w:sz="4" w:space="0" w:color="31809C"/>
              <w:bottom w:val="single" w:sz="4" w:space="0" w:color="31809C"/>
              <w:right w:val="single" w:sz="4" w:space="0" w:color="31809C"/>
            </w:tcBorders>
            <w:hideMark/>
          </w:tcPr>
          <w:p w14:paraId="62436014" w14:textId="77777777" w:rsidR="00597853" w:rsidRPr="00DE3077" w:rsidRDefault="00597853" w:rsidP="00CA4429">
            <w:pPr>
              <w:pStyle w:val="TableText"/>
              <w:ind w:left="618" w:hanging="618"/>
              <w:rPr>
                <w:szCs w:val="18"/>
              </w:rPr>
            </w:pPr>
            <w:r>
              <w:rPr>
                <w:szCs w:val="18"/>
              </w:rPr>
              <w:t>10.3.5</w:t>
            </w:r>
            <w:r>
              <w:rPr>
                <w:szCs w:val="18"/>
              </w:rPr>
              <w:tab/>
            </w:r>
            <w:r w:rsidRPr="00DE3077">
              <w:rPr>
                <w:szCs w:val="18"/>
              </w:rPr>
              <w:t>Implement the Sustainable Biofuels Obligation, which requires liable fuel suppliers to reduce the total emissions of the fuels they supply by a set percentage each year through the deployment of biofuels (in blended or neat form).</w:t>
            </w:r>
          </w:p>
        </w:tc>
        <w:tc>
          <w:tcPr>
            <w:tcW w:w="795" w:type="pct"/>
            <w:tcBorders>
              <w:top w:val="single" w:sz="4" w:space="0" w:color="31809C"/>
              <w:left w:val="single" w:sz="4" w:space="0" w:color="31809C"/>
              <w:bottom w:val="single" w:sz="4" w:space="0" w:color="31809C"/>
              <w:right w:val="nil"/>
            </w:tcBorders>
            <w:hideMark/>
          </w:tcPr>
          <w:p w14:paraId="4DC9B9C7" w14:textId="77777777" w:rsidR="00597853" w:rsidRPr="00DE3077" w:rsidRDefault="00597853" w:rsidP="00923B82">
            <w:pPr>
              <w:pStyle w:val="TableText"/>
              <w:spacing w:before="40" w:after="40"/>
              <w:rPr>
                <w:szCs w:val="18"/>
              </w:rPr>
            </w:pPr>
            <w:r w:rsidRPr="00DE3077">
              <w:rPr>
                <w:szCs w:val="18"/>
              </w:rPr>
              <w:t>MOT/MBIE</w:t>
            </w:r>
          </w:p>
        </w:tc>
      </w:tr>
      <w:tr w:rsidR="00597853" w:rsidRPr="00797F3F" w14:paraId="4005DD10" w14:textId="77777777" w:rsidTr="004B7B47">
        <w:tc>
          <w:tcPr>
            <w:tcW w:w="4205" w:type="pct"/>
            <w:tcBorders>
              <w:top w:val="single" w:sz="4" w:space="0" w:color="31809C"/>
              <w:bottom w:val="single" w:sz="4" w:space="0" w:color="31809C"/>
              <w:right w:val="single" w:sz="4" w:space="0" w:color="31809C"/>
            </w:tcBorders>
            <w:hideMark/>
          </w:tcPr>
          <w:p w14:paraId="597E8B16" w14:textId="77777777" w:rsidR="00597853" w:rsidRPr="00797F3F" w:rsidRDefault="00597853" w:rsidP="00CA4429">
            <w:pPr>
              <w:pStyle w:val="TableText"/>
              <w:ind w:left="618" w:hanging="618"/>
              <w:rPr>
                <w:szCs w:val="18"/>
              </w:rPr>
            </w:pPr>
            <w:r>
              <w:rPr>
                <w:szCs w:val="18"/>
              </w:rPr>
              <w:t>10.4.1</w:t>
            </w:r>
            <w:r>
              <w:rPr>
                <w:szCs w:val="18"/>
              </w:rPr>
              <w:tab/>
            </w:r>
            <w:r w:rsidRPr="00797F3F">
              <w:rPr>
                <w:szCs w:val="18"/>
              </w:rPr>
              <w:t>Ensure the next Government Policy Statement on Land Transport (GPS-LT) guides investment consistent with the emissions reduction plan.</w:t>
            </w:r>
          </w:p>
        </w:tc>
        <w:tc>
          <w:tcPr>
            <w:tcW w:w="795" w:type="pct"/>
            <w:tcBorders>
              <w:top w:val="single" w:sz="4" w:space="0" w:color="31809C"/>
              <w:left w:val="single" w:sz="4" w:space="0" w:color="31809C"/>
              <w:bottom w:val="single" w:sz="4" w:space="0" w:color="31809C"/>
              <w:right w:val="nil"/>
            </w:tcBorders>
            <w:hideMark/>
          </w:tcPr>
          <w:p w14:paraId="66AAC2F3" w14:textId="77777777" w:rsidR="00597853" w:rsidRPr="00797F3F" w:rsidRDefault="00597853" w:rsidP="00923B82">
            <w:pPr>
              <w:pStyle w:val="TableText"/>
              <w:spacing w:before="40" w:after="40"/>
              <w:rPr>
                <w:szCs w:val="18"/>
              </w:rPr>
            </w:pPr>
            <w:r w:rsidRPr="00797F3F">
              <w:rPr>
                <w:szCs w:val="18"/>
              </w:rPr>
              <w:t>MOT</w:t>
            </w:r>
          </w:p>
        </w:tc>
      </w:tr>
    </w:tbl>
    <w:p w14:paraId="406BC168" w14:textId="77777777" w:rsidR="00A173FB" w:rsidRDefault="00A173FB" w:rsidP="00A173FB">
      <w:pPr>
        <w:pStyle w:val="BodyText"/>
      </w:pPr>
      <w:bookmarkStart w:id="58" w:name="_Toc103156344"/>
      <w:bookmarkStart w:id="59" w:name="_Toc174968295"/>
      <w:bookmarkStart w:id="60" w:name="_Toc181180903"/>
      <w:bookmarkStart w:id="61" w:name="_Toc182202295"/>
      <w:bookmarkStart w:id="62" w:name="_Toc182222060"/>
      <w:bookmarkStart w:id="63" w:name="_Toc182398390"/>
    </w:p>
    <w:p w14:paraId="74FF1040" w14:textId="77777777" w:rsidR="00A173FB" w:rsidRDefault="00A173FB" w:rsidP="00A173FB">
      <w:pPr>
        <w:pStyle w:val="BodyText"/>
      </w:pPr>
    </w:p>
    <w:p w14:paraId="66092B20" w14:textId="77777777" w:rsidR="00CF3E5B" w:rsidRDefault="00CF3E5B" w:rsidP="00A173FB">
      <w:pPr>
        <w:pStyle w:val="BodyText"/>
      </w:pPr>
    </w:p>
    <w:p w14:paraId="7FA8C5ED" w14:textId="47D48E81" w:rsidR="00597853" w:rsidRPr="0072686D" w:rsidRDefault="00597853" w:rsidP="001B74FC">
      <w:pPr>
        <w:pStyle w:val="Heading3"/>
      </w:pPr>
      <w:r w:rsidRPr="00C37C97">
        <w:lastRenderedPageBreak/>
        <w:t>Energy and industry (Chapter 11)</w:t>
      </w:r>
      <w:bookmarkEnd w:id="58"/>
      <w:bookmarkEnd w:id="59"/>
      <w:bookmarkEnd w:id="60"/>
      <w:bookmarkEnd w:id="61"/>
      <w:bookmarkEnd w:id="62"/>
      <w:bookmarkEnd w:id="63"/>
    </w:p>
    <w:tbl>
      <w:tblPr>
        <w:tblStyle w:val="TableGrid"/>
        <w:tblW w:w="4921" w:type="pct"/>
        <w:tblBorders>
          <w:top w:val="single" w:sz="4" w:space="0" w:color="32809C"/>
          <w:left w:val="none" w:sz="0" w:space="0" w:color="auto"/>
          <w:bottom w:val="single" w:sz="4" w:space="0" w:color="32809C"/>
          <w:right w:val="none" w:sz="0" w:space="0" w:color="auto"/>
          <w:insideH w:val="single" w:sz="4" w:space="0" w:color="32809C"/>
          <w:insideV w:val="single" w:sz="4" w:space="0" w:color="32809C"/>
        </w:tblBorders>
        <w:tblCellMar>
          <w:right w:w="85" w:type="dxa"/>
        </w:tblCellMar>
        <w:tblLook w:val="04A0" w:firstRow="1" w:lastRow="0" w:firstColumn="1" w:lastColumn="0" w:noHBand="0" w:noVBand="1"/>
      </w:tblPr>
      <w:tblGrid>
        <w:gridCol w:w="7280"/>
        <w:gridCol w:w="1370"/>
      </w:tblGrid>
      <w:tr w:rsidR="00597853" w:rsidRPr="00CA7AD4" w14:paraId="54EAF8F7" w14:textId="77777777" w:rsidTr="004B7B47">
        <w:trPr>
          <w:tblHeader/>
        </w:trPr>
        <w:tc>
          <w:tcPr>
            <w:tcW w:w="4208" w:type="pct"/>
            <w:shd w:val="clear" w:color="auto" w:fill="32809C"/>
            <w:vAlign w:val="bottom"/>
          </w:tcPr>
          <w:p w14:paraId="08BE0A97" w14:textId="77777777" w:rsidR="00597853" w:rsidRPr="00CA7AD4" w:rsidRDefault="00597853" w:rsidP="00923B82">
            <w:pPr>
              <w:spacing w:before="60" w:after="60" w:line="240" w:lineRule="atLeast"/>
              <w:rPr>
                <w:rFonts w:eastAsia="MS Mincho" w:cs="Calibri"/>
                <w:b/>
                <w:color w:val="FFFFFF"/>
                <w:sz w:val="18"/>
                <w:szCs w:val="18"/>
              </w:rPr>
            </w:pPr>
            <w:r w:rsidRPr="00CA7AD4">
              <w:rPr>
                <w:rFonts w:eastAsia="MS Mincho" w:cs="Calibri"/>
                <w:b/>
                <w:color w:val="FFFFFF"/>
                <w:sz w:val="18"/>
                <w:szCs w:val="18"/>
              </w:rPr>
              <w:t>Actions for delivery</w:t>
            </w:r>
          </w:p>
        </w:tc>
        <w:tc>
          <w:tcPr>
            <w:tcW w:w="792" w:type="pct"/>
            <w:tcBorders>
              <w:bottom w:val="single" w:sz="4" w:space="0" w:color="31809C"/>
            </w:tcBorders>
            <w:shd w:val="clear" w:color="auto" w:fill="32809C"/>
            <w:vAlign w:val="bottom"/>
          </w:tcPr>
          <w:p w14:paraId="7DA8EF22" w14:textId="77777777" w:rsidR="00597853" w:rsidRPr="00CA7AD4" w:rsidRDefault="00597853" w:rsidP="00923B82">
            <w:pPr>
              <w:spacing w:before="60" w:after="60" w:line="240" w:lineRule="atLeast"/>
              <w:rPr>
                <w:rFonts w:eastAsia="MS Mincho" w:cs="Calibri"/>
                <w:b/>
                <w:color w:val="FFFFFF"/>
                <w:sz w:val="18"/>
                <w:szCs w:val="18"/>
              </w:rPr>
            </w:pPr>
            <w:r w:rsidRPr="00CA7AD4">
              <w:rPr>
                <w:rFonts w:eastAsia="MS Mincho" w:cs="Calibri"/>
                <w:b/>
                <w:color w:val="FFFFFF"/>
                <w:sz w:val="18"/>
                <w:szCs w:val="18"/>
              </w:rPr>
              <w:t>Lead</w:t>
            </w:r>
          </w:p>
        </w:tc>
      </w:tr>
      <w:tr w:rsidR="00597853" w:rsidRPr="00A813E9" w14:paraId="7FBDAD72" w14:textId="77777777" w:rsidTr="004B7B47">
        <w:tblPrEx>
          <w:tblBorders>
            <w:top w:val="single" w:sz="4" w:space="0" w:color="32809C" w:themeColor="accent2"/>
            <w:bottom w:val="single" w:sz="4" w:space="0" w:color="32809C" w:themeColor="accent2"/>
            <w:insideH w:val="single" w:sz="4" w:space="0" w:color="32809C" w:themeColor="accent2"/>
            <w:insideV w:val="single" w:sz="4" w:space="0" w:color="32809C" w:themeColor="accent2"/>
          </w:tblBorders>
        </w:tblPrEx>
        <w:tc>
          <w:tcPr>
            <w:tcW w:w="4208" w:type="pct"/>
            <w:tcBorders>
              <w:top w:val="single" w:sz="4" w:space="0" w:color="31809C"/>
              <w:bottom w:val="single" w:sz="4" w:space="0" w:color="31809C"/>
              <w:right w:val="single" w:sz="4" w:space="0" w:color="31809C"/>
            </w:tcBorders>
          </w:tcPr>
          <w:p w14:paraId="555E0142" w14:textId="77777777" w:rsidR="00597853" w:rsidRPr="00A50ACD" w:rsidRDefault="00597853" w:rsidP="00CA4429">
            <w:pPr>
              <w:pStyle w:val="TableText"/>
              <w:ind w:left="618" w:hanging="618"/>
              <w:rPr>
                <w:szCs w:val="18"/>
              </w:rPr>
            </w:pPr>
            <w:r w:rsidRPr="00A50ACD">
              <w:rPr>
                <w:szCs w:val="18"/>
              </w:rPr>
              <w:t>11.1.1</w:t>
            </w:r>
            <w:r>
              <w:rPr>
                <w:szCs w:val="18"/>
              </w:rPr>
              <w:tab/>
            </w:r>
            <w:r w:rsidRPr="00A50ACD">
              <w:rPr>
                <w:szCs w:val="18"/>
              </w:rPr>
              <w:t>Provide rebates for energy efficient equipment.</w:t>
            </w:r>
          </w:p>
        </w:tc>
        <w:tc>
          <w:tcPr>
            <w:tcW w:w="792" w:type="pct"/>
            <w:tcBorders>
              <w:top w:val="single" w:sz="4" w:space="0" w:color="31809C"/>
              <w:left w:val="single" w:sz="4" w:space="0" w:color="31809C"/>
              <w:bottom w:val="single" w:sz="4" w:space="0" w:color="31809C"/>
              <w:right w:val="nil"/>
            </w:tcBorders>
            <w:shd w:val="clear" w:color="auto" w:fill="auto"/>
          </w:tcPr>
          <w:p w14:paraId="12631F8A" w14:textId="77777777" w:rsidR="00597853" w:rsidRPr="00A813E9" w:rsidRDefault="00597853" w:rsidP="00923B82">
            <w:pPr>
              <w:pStyle w:val="TableText"/>
              <w:rPr>
                <w:szCs w:val="18"/>
              </w:rPr>
            </w:pPr>
            <w:r w:rsidRPr="00A813E9">
              <w:rPr>
                <w:szCs w:val="18"/>
              </w:rPr>
              <w:t>MBIE/EECA</w:t>
            </w:r>
          </w:p>
        </w:tc>
      </w:tr>
      <w:tr w:rsidR="00597853" w:rsidRPr="00EA327E" w14:paraId="7F3C4A92" w14:textId="77777777" w:rsidTr="004B7B47">
        <w:tblPrEx>
          <w:tblBorders>
            <w:top w:val="single" w:sz="4" w:space="0" w:color="32809C" w:themeColor="accent2"/>
            <w:bottom w:val="single" w:sz="4" w:space="0" w:color="32809C" w:themeColor="accent2"/>
            <w:insideH w:val="single" w:sz="4" w:space="0" w:color="32809C" w:themeColor="accent2"/>
            <w:insideV w:val="single" w:sz="4" w:space="0" w:color="32809C" w:themeColor="accent2"/>
          </w:tblBorders>
        </w:tblPrEx>
        <w:tc>
          <w:tcPr>
            <w:tcW w:w="4208" w:type="pct"/>
            <w:tcBorders>
              <w:top w:val="single" w:sz="4" w:space="0" w:color="31809C"/>
              <w:bottom w:val="single" w:sz="4" w:space="0" w:color="31809C"/>
              <w:right w:val="single" w:sz="4" w:space="0" w:color="31809C"/>
            </w:tcBorders>
          </w:tcPr>
          <w:p w14:paraId="2AB3F716" w14:textId="77777777" w:rsidR="00597853" w:rsidRPr="006B6591" w:rsidRDefault="00597853" w:rsidP="00CA4429">
            <w:pPr>
              <w:pStyle w:val="TableText"/>
              <w:ind w:left="618" w:hanging="618"/>
              <w:rPr>
                <w:szCs w:val="18"/>
              </w:rPr>
            </w:pPr>
            <w:r>
              <w:rPr>
                <w:szCs w:val="18"/>
              </w:rPr>
              <w:t>11.2.2</w:t>
            </w:r>
            <w:r>
              <w:rPr>
                <w:szCs w:val="18"/>
              </w:rPr>
              <w:tab/>
            </w:r>
            <w:r w:rsidRPr="006B6591">
              <w:rPr>
                <w:szCs w:val="18"/>
              </w:rPr>
              <w:t>Investigate options for dry-year electricity storage through the New Zealand Battery Project.</w:t>
            </w:r>
          </w:p>
        </w:tc>
        <w:tc>
          <w:tcPr>
            <w:tcW w:w="792" w:type="pct"/>
            <w:tcBorders>
              <w:top w:val="single" w:sz="4" w:space="0" w:color="31809C"/>
              <w:left w:val="single" w:sz="4" w:space="0" w:color="31809C"/>
              <w:bottom w:val="single" w:sz="4" w:space="0" w:color="31809C"/>
              <w:right w:val="nil"/>
            </w:tcBorders>
          </w:tcPr>
          <w:p w14:paraId="551AC675" w14:textId="77777777" w:rsidR="00597853" w:rsidRPr="006B6591" w:rsidRDefault="00597853" w:rsidP="00923B82">
            <w:pPr>
              <w:pStyle w:val="TableText"/>
              <w:rPr>
                <w:szCs w:val="18"/>
              </w:rPr>
            </w:pPr>
            <w:r w:rsidRPr="006B6591">
              <w:rPr>
                <w:szCs w:val="18"/>
              </w:rPr>
              <w:t>MBIE</w:t>
            </w:r>
          </w:p>
        </w:tc>
      </w:tr>
      <w:tr w:rsidR="00597853" w:rsidRPr="00EA327E" w14:paraId="4BB64D93" w14:textId="77777777" w:rsidTr="004B7B47">
        <w:tblPrEx>
          <w:tblBorders>
            <w:top w:val="single" w:sz="4" w:space="0" w:color="32809C" w:themeColor="accent2"/>
            <w:bottom w:val="single" w:sz="4" w:space="0" w:color="32809C" w:themeColor="accent2"/>
            <w:insideH w:val="single" w:sz="4" w:space="0" w:color="32809C" w:themeColor="accent2"/>
            <w:insideV w:val="single" w:sz="4" w:space="0" w:color="32809C" w:themeColor="accent2"/>
          </w:tblBorders>
        </w:tblPrEx>
        <w:tc>
          <w:tcPr>
            <w:tcW w:w="4208" w:type="pct"/>
            <w:tcBorders>
              <w:top w:val="single" w:sz="4" w:space="0" w:color="31809C"/>
              <w:bottom w:val="single" w:sz="4" w:space="0" w:color="31809C"/>
              <w:right w:val="single" w:sz="4" w:space="0" w:color="31809C"/>
            </w:tcBorders>
          </w:tcPr>
          <w:p w14:paraId="4705BB99" w14:textId="77777777" w:rsidR="00597853" w:rsidRPr="00542E29" w:rsidRDefault="00597853" w:rsidP="00CA4429">
            <w:pPr>
              <w:pStyle w:val="TableText"/>
              <w:ind w:left="618" w:hanging="618"/>
              <w:rPr>
                <w:szCs w:val="18"/>
              </w:rPr>
            </w:pPr>
            <w:r>
              <w:rPr>
                <w:szCs w:val="18"/>
              </w:rPr>
              <w:t>11.2.2</w:t>
            </w:r>
            <w:r>
              <w:rPr>
                <w:szCs w:val="18"/>
              </w:rPr>
              <w:tab/>
            </w:r>
            <w:r w:rsidRPr="00542E29">
              <w:rPr>
                <w:szCs w:val="18"/>
              </w:rPr>
              <w:t>Ban new fossil-fuel baseload generation.</w:t>
            </w:r>
          </w:p>
        </w:tc>
        <w:tc>
          <w:tcPr>
            <w:tcW w:w="792" w:type="pct"/>
            <w:tcBorders>
              <w:top w:val="single" w:sz="4" w:space="0" w:color="31809C"/>
              <w:left w:val="single" w:sz="4" w:space="0" w:color="31809C"/>
              <w:bottom w:val="single" w:sz="4" w:space="0" w:color="31809C"/>
              <w:right w:val="nil"/>
            </w:tcBorders>
          </w:tcPr>
          <w:p w14:paraId="41FAC076" w14:textId="77777777" w:rsidR="00597853" w:rsidRPr="00542E29" w:rsidRDefault="00597853" w:rsidP="00923B82">
            <w:pPr>
              <w:pStyle w:val="TableText"/>
              <w:rPr>
                <w:szCs w:val="18"/>
              </w:rPr>
            </w:pPr>
            <w:r w:rsidRPr="00542E29">
              <w:rPr>
                <w:szCs w:val="18"/>
              </w:rPr>
              <w:t>MBIE</w:t>
            </w:r>
          </w:p>
        </w:tc>
      </w:tr>
      <w:tr w:rsidR="00597853" w:rsidRPr="00EA327E" w14:paraId="79196C50" w14:textId="77777777" w:rsidTr="004B7B47">
        <w:tblPrEx>
          <w:tblBorders>
            <w:top w:val="single" w:sz="4" w:space="0" w:color="32809C" w:themeColor="accent2"/>
            <w:bottom w:val="single" w:sz="4" w:space="0" w:color="32809C" w:themeColor="accent2"/>
            <w:insideH w:val="single" w:sz="4" w:space="0" w:color="32809C" w:themeColor="accent2"/>
            <w:insideV w:val="single" w:sz="4" w:space="0" w:color="32809C" w:themeColor="accent2"/>
          </w:tblBorders>
        </w:tblPrEx>
        <w:tc>
          <w:tcPr>
            <w:tcW w:w="4208" w:type="pct"/>
            <w:tcBorders>
              <w:top w:val="single" w:sz="4" w:space="0" w:color="31809C"/>
              <w:bottom w:val="single" w:sz="4" w:space="0" w:color="31809C"/>
              <w:right w:val="single" w:sz="4" w:space="0" w:color="31809C"/>
            </w:tcBorders>
          </w:tcPr>
          <w:p w14:paraId="2BCAF105" w14:textId="77777777" w:rsidR="00597853" w:rsidRPr="00542E29" w:rsidRDefault="00597853" w:rsidP="00CA4429">
            <w:pPr>
              <w:pStyle w:val="TableText"/>
              <w:ind w:left="618" w:hanging="618"/>
              <w:rPr>
                <w:szCs w:val="18"/>
              </w:rPr>
            </w:pPr>
            <w:r>
              <w:rPr>
                <w:szCs w:val="18"/>
              </w:rPr>
              <w:t>11.3.1</w:t>
            </w:r>
            <w:r>
              <w:rPr>
                <w:szCs w:val="18"/>
              </w:rPr>
              <w:tab/>
            </w:r>
            <w:r w:rsidRPr="00542E29">
              <w:rPr>
                <w:szCs w:val="18"/>
              </w:rPr>
              <w:t>Develop a gas transition plan.</w:t>
            </w:r>
          </w:p>
        </w:tc>
        <w:tc>
          <w:tcPr>
            <w:tcW w:w="792" w:type="pct"/>
            <w:tcBorders>
              <w:top w:val="single" w:sz="4" w:space="0" w:color="31809C"/>
              <w:left w:val="single" w:sz="4" w:space="0" w:color="31809C"/>
              <w:bottom w:val="single" w:sz="4" w:space="0" w:color="31809C"/>
              <w:right w:val="nil"/>
            </w:tcBorders>
          </w:tcPr>
          <w:p w14:paraId="238D26E2" w14:textId="77777777" w:rsidR="00597853" w:rsidRPr="00542E29" w:rsidRDefault="00597853" w:rsidP="00923B82">
            <w:pPr>
              <w:pStyle w:val="TableText"/>
              <w:rPr>
                <w:szCs w:val="18"/>
              </w:rPr>
            </w:pPr>
            <w:r w:rsidRPr="00542E29">
              <w:rPr>
                <w:szCs w:val="18"/>
              </w:rPr>
              <w:t>MBIE</w:t>
            </w:r>
          </w:p>
        </w:tc>
      </w:tr>
      <w:tr w:rsidR="00597853" w:rsidRPr="00B22E9F" w14:paraId="6E00FBF5" w14:textId="77777777" w:rsidTr="004B7B47">
        <w:tc>
          <w:tcPr>
            <w:tcW w:w="4208" w:type="pct"/>
          </w:tcPr>
          <w:p w14:paraId="5F5D2C73" w14:textId="77777777" w:rsidR="00597853" w:rsidRPr="00A50ACD" w:rsidRDefault="00597853" w:rsidP="00CA4429">
            <w:pPr>
              <w:pStyle w:val="TableText"/>
              <w:ind w:left="618" w:hanging="618"/>
              <w:rPr>
                <w:szCs w:val="18"/>
              </w:rPr>
            </w:pPr>
            <w:r w:rsidRPr="00A50ACD">
              <w:rPr>
                <w:szCs w:val="18"/>
              </w:rPr>
              <w:t>11.4.1</w:t>
            </w:r>
            <w:r>
              <w:rPr>
                <w:szCs w:val="18"/>
              </w:rPr>
              <w:tab/>
            </w:r>
            <w:r w:rsidRPr="00A50ACD">
              <w:rPr>
                <w:szCs w:val="18"/>
              </w:rPr>
              <w:t xml:space="preserve">Set an action plan for decarbonising the industrial sector. </w:t>
            </w:r>
          </w:p>
        </w:tc>
        <w:tc>
          <w:tcPr>
            <w:tcW w:w="792" w:type="pct"/>
          </w:tcPr>
          <w:p w14:paraId="147F2D7E" w14:textId="77777777" w:rsidR="00597853" w:rsidRPr="00B22E9F" w:rsidRDefault="00597853" w:rsidP="00923B82">
            <w:pPr>
              <w:spacing w:before="60" w:after="60" w:line="240" w:lineRule="atLeast"/>
              <w:jc w:val="left"/>
              <w:rPr>
                <w:rFonts w:eastAsia="MS Mincho"/>
                <w:sz w:val="18"/>
              </w:rPr>
            </w:pPr>
            <w:r w:rsidRPr="00B22E9F">
              <w:rPr>
                <w:rFonts w:eastAsia="MS Mincho"/>
                <w:sz w:val="18"/>
              </w:rPr>
              <w:t>MBIE</w:t>
            </w:r>
          </w:p>
        </w:tc>
      </w:tr>
      <w:tr w:rsidR="00597853" w:rsidRPr="00B22E9F" w14:paraId="70A417D3" w14:textId="77777777" w:rsidTr="004B7B47">
        <w:tc>
          <w:tcPr>
            <w:tcW w:w="4208" w:type="pct"/>
          </w:tcPr>
          <w:p w14:paraId="36CEE742" w14:textId="627CF7DC" w:rsidR="00597853" w:rsidRPr="00A50ACD" w:rsidRDefault="00597853" w:rsidP="00CA4429">
            <w:pPr>
              <w:pStyle w:val="TableText"/>
              <w:ind w:left="618" w:hanging="618"/>
              <w:rPr>
                <w:szCs w:val="18"/>
              </w:rPr>
            </w:pPr>
            <w:r w:rsidRPr="00A50ACD">
              <w:rPr>
                <w:szCs w:val="18"/>
              </w:rPr>
              <w:t>11.4.1</w:t>
            </w:r>
            <w:r>
              <w:rPr>
                <w:szCs w:val="18"/>
              </w:rPr>
              <w:tab/>
            </w:r>
            <w:r w:rsidRPr="00A50ACD">
              <w:rPr>
                <w:szCs w:val="18"/>
              </w:rPr>
              <w:t xml:space="preserve">Continue the roll out of the Government Investment in Decarbonising </w:t>
            </w:r>
            <w:r w:rsidR="0019145D">
              <w:rPr>
                <w:szCs w:val="18"/>
              </w:rPr>
              <w:br/>
            </w:r>
            <w:r w:rsidRPr="00A50ACD">
              <w:rPr>
                <w:szCs w:val="18"/>
              </w:rPr>
              <w:t>Industry (GIDI) fund.</w:t>
            </w:r>
          </w:p>
        </w:tc>
        <w:tc>
          <w:tcPr>
            <w:tcW w:w="792" w:type="pct"/>
          </w:tcPr>
          <w:p w14:paraId="3A8A8F31" w14:textId="77777777" w:rsidR="00597853" w:rsidRPr="00B22E9F" w:rsidRDefault="00597853" w:rsidP="00923B82">
            <w:pPr>
              <w:spacing w:before="60" w:after="60" w:line="240" w:lineRule="atLeast"/>
              <w:jc w:val="left"/>
              <w:rPr>
                <w:rFonts w:eastAsia="MS Mincho"/>
                <w:sz w:val="18"/>
              </w:rPr>
            </w:pPr>
            <w:r w:rsidRPr="00B22E9F">
              <w:rPr>
                <w:rFonts w:eastAsia="MS Mincho"/>
                <w:sz w:val="18"/>
              </w:rPr>
              <w:t>MBIE/EECA</w:t>
            </w:r>
          </w:p>
        </w:tc>
      </w:tr>
      <w:tr w:rsidR="00597853" w:rsidRPr="00B22E9F" w14:paraId="75375FFF" w14:textId="77777777" w:rsidTr="004B7B47">
        <w:tc>
          <w:tcPr>
            <w:tcW w:w="4208" w:type="pct"/>
            <w:tcBorders>
              <w:bottom w:val="single" w:sz="4" w:space="0" w:color="32809C"/>
            </w:tcBorders>
          </w:tcPr>
          <w:p w14:paraId="6232EF5D" w14:textId="77777777" w:rsidR="00597853" w:rsidRPr="00A50ACD" w:rsidRDefault="00597853" w:rsidP="00CA4429">
            <w:pPr>
              <w:pStyle w:val="TableText"/>
              <w:ind w:left="618" w:hanging="618"/>
              <w:rPr>
                <w:szCs w:val="18"/>
              </w:rPr>
            </w:pPr>
            <w:r w:rsidRPr="00A50ACD">
              <w:rPr>
                <w:szCs w:val="18"/>
              </w:rPr>
              <w:t>11.4.1</w:t>
            </w:r>
            <w:r>
              <w:rPr>
                <w:szCs w:val="18"/>
              </w:rPr>
              <w:tab/>
            </w:r>
            <w:r w:rsidRPr="00A50ACD">
              <w:rPr>
                <w:szCs w:val="18"/>
              </w:rPr>
              <w:t>Fund further decarbonisation of industry and heat through expansion of the GIDI.</w:t>
            </w:r>
          </w:p>
        </w:tc>
        <w:tc>
          <w:tcPr>
            <w:tcW w:w="792" w:type="pct"/>
            <w:tcBorders>
              <w:bottom w:val="single" w:sz="4" w:space="0" w:color="32809C"/>
            </w:tcBorders>
          </w:tcPr>
          <w:p w14:paraId="5715AA69" w14:textId="77777777" w:rsidR="00597853" w:rsidRPr="00B22E9F" w:rsidRDefault="00597853" w:rsidP="00923B82">
            <w:pPr>
              <w:spacing w:before="60" w:after="60" w:line="240" w:lineRule="atLeast"/>
              <w:jc w:val="left"/>
              <w:rPr>
                <w:rFonts w:eastAsia="MS Mincho"/>
                <w:sz w:val="18"/>
              </w:rPr>
            </w:pPr>
            <w:r w:rsidRPr="00B22E9F">
              <w:rPr>
                <w:rFonts w:eastAsia="MS Mincho"/>
                <w:sz w:val="18"/>
              </w:rPr>
              <w:t>MBIE/EECA</w:t>
            </w:r>
          </w:p>
        </w:tc>
      </w:tr>
      <w:tr w:rsidR="00597853" w:rsidRPr="004563D5" w14:paraId="129B3917" w14:textId="77777777" w:rsidTr="004B7B47">
        <w:tblPrEx>
          <w:tblBorders>
            <w:top w:val="single" w:sz="4" w:space="0" w:color="32809C" w:themeColor="accent2"/>
            <w:bottom w:val="single" w:sz="4" w:space="0" w:color="32809C" w:themeColor="accent2"/>
            <w:insideH w:val="single" w:sz="4" w:space="0" w:color="32809C" w:themeColor="accent2"/>
            <w:insideV w:val="single" w:sz="4" w:space="0" w:color="32809C" w:themeColor="accent2"/>
          </w:tblBorders>
        </w:tblPrEx>
        <w:tc>
          <w:tcPr>
            <w:tcW w:w="4208" w:type="pct"/>
            <w:tcBorders>
              <w:top w:val="single" w:sz="4" w:space="0" w:color="32809C"/>
              <w:bottom w:val="single" w:sz="4" w:space="0" w:color="32809C"/>
              <w:right w:val="single" w:sz="4" w:space="0" w:color="32809C"/>
            </w:tcBorders>
          </w:tcPr>
          <w:p w14:paraId="686AC261" w14:textId="77777777" w:rsidR="00597853" w:rsidRPr="004563D5" w:rsidRDefault="00597853" w:rsidP="00CA4429">
            <w:pPr>
              <w:pStyle w:val="TableText"/>
              <w:ind w:left="618" w:hanging="618"/>
              <w:rPr>
                <w:szCs w:val="18"/>
              </w:rPr>
            </w:pPr>
            <w:r>
              <w:rPr>
                <w:szCs w:val="18"/>
              </w:rPr>
              <w:t>11.4.1</w:t>
            </w:r>
            <w:r>
              <w:rPr>
                <w:szCs w:val="18"/>
              </w:rPr>
              <w:tab/>
            </w:r>
            <w:r w:rsidRPr="004563D5">
              <w:rPr>
                <w:szCs w:val="18"/>
              </w:rPr>
              <w:t xml:space="preserve">Provide grant funding for commercial space and water heating and high efficiency electrical equipment. </w:t>
            </w:r>
          </w:p>
        </w:tc>
        <w:tc>
          <w:tcPr>
            <w:tcW w:w="792" w:type="pct"/>
            <w:tcBorders>
              <w:top w:val="single" w:sz="4" w:space="0" w:color="32809C"/>
              <w:left w:val="single" w:sz="4" w:space="0" w:color="32809C"/>
              <w:bottom w:val="single" w:sz="4" w:space="0" w:color="32809C"/>
              <w:right w:val="nil"/>
            </w:tcBorders>
          </w:tcPr>
          <w:p w14:paraId="62AFF01B" w14:textId="77777777" w:rsidR="00597853" w:rsidRPr="004563D5" w:rsidRDefault="00597853" w:rsidP="00923B82">
            <w:pPr>
              <w:pStyle w:val="TableText"/>
              <w:rPr>
                <w:szCs w:val="18"/>
              </w:rPr>
            </w:pPr>
            <w:r w:rsidRPr="004563D5">
              <w:rPr>
                <w:szCs w:val="18"/>
              </w:rPr>
              <w:t>MBIE/EECA</w:t>
            </w:r>
          </w:p>
        </w:tc>
      </w:tr>
      <w:tr w:rsidR="00597853" w:rsidRPr="005E1190" w14:paraId="13F087C1" w14:textId="77777777" w:rsidTr="004B7B47">
        <w:tblPrEx>
          <w:tblBorders>
            <w:top w:val="single" w:sz="4" w:space="0" w:color="32809C" w:themeColor="accent2"/>
            <w:bottom w:val="single" w:sz="4" w:space="0" w:color="32809C" w:themeColor="accent2"/>
            <w:insideH w:val="single" w:sz="4" w:space="0" w:color="32809C" w:themeColor="accent2"/>
            <w:insideV w:val="single" w:sz="4" w:space="0" w:color="32809C" w:themeColor="accent2"/>
          </w:tblBorders>
        </w:tblPrEx>
        <w:tc>
          <w:tcPr>
            <w:tcW w:w="4208" w:type="pct"/>
            <w:tcBorders>
              <w:top w:val="single" w:sz="4" w:space="0" w:color="32809C"/>
              <w:bottom w:val="single" w:sz="4" w:space="0" w:color="32809C"/>
              <w:right w:val="single" w:sz="4" w:space="0" w:color="32809C"/>
            </w:tcBorders>
            <w:hideMark/>
          </w:tcPr>
          <w:p w14:paraId="67E9F5CE" w14:textId="77777777" w:rsidR="00597853" w:rsidRPr="005E1190" w:rsidRDefault="00597853" w:rsidP="00CA4429">
            <w:pPr>
              <w:pStyle w:val="TableText"/>
              <w:ind w:left="618" w:hanging="618"/>
              <w:rPr>
                <w:szCs w:val="18"/>
              </w:rPr>
            </w:pPr>
            <w:r>
              <w:rPr>
                <w:szCs w:val="18"/>
              </w:rPr>
              <w:t>11.4.1</w:t>
            </w:r>
            <w:r>
              <w:rPr>
                <w:szCs w:val="18"/>
              </w:rPr>
              <w:tab/>
            </w:r>
            <w:r w:rsidRPr="005E1190">
              <w:rPr>
                <w:szCs w:val="18"/>
              </w:rPr>
              <w:t>Finalise and implement the Advanced Manufacturing Industry Transformation Plan.</w:t>
            </w:r>
          </w:p>
        </w:tc>
        <w:tc>
          <w:tcPr>
            <w:tcW w:w="792" w:type="pct"/>
            <w:tcBorders>
              <w:top w:val="single" w:sz="4" w:space="0" w:color="32809C"/>
              <w:left w:val="single" w:sz="4" w:space="0" w:color="32809C"/>
              <w:bottom w:val="single" w:sz="4" w:space="0" w:color="32809C"/>
              <w:right w:val="nil"/>
            </w:tcBorders>
          </w:tcPr>
          <w:p w14:paraId="1587C07F" w14:textId="77777777" w:rsidR="00597853" w:rsidRPr="005E1190" w:rsidRDefault="00597853" w:rsidP="00923B82">
            <w:pPr>
              <w:pStyle w:val="TableText"/>
              <w:rPr>
                <w:rFonts w:eastAsia="Times New Roman"/>
                <w:szCs w:val="18"/>
              </w:rPr>
            </w:pPr>
            <w:r w:rsidRPr="005E1190">
              <w:rPr>
                <w:rFonts w:eastAsia="Times New Roman"/>
                <w:szCs w:val="18"/>
              </w:rPr>
              <w:t>MBIE</w:t>
            </w:r>
          </w:p>
        </w:tc>
      </w:tr>
      <w:tr w:rsidR="00597853" w:rsidRPr="00D315D1" w14:paraId="6F240E83" w14:textId="77777777" w:rsidTr="004B7B47">
        <w:tblPrEx>
          <w:tblBorders>
            <w:top w:val="single" w:sz="4" w:space="0" w:color="32809C" w:themeColor="accent2"/>
            <w:bottom w:val="single" w:sz="4" w:space="0" w:color="32809C" w:themeColor="accent2"/>
            <w:insideH w:val="single" w:sz="4" w:space="0" w:color="32809C" w:themeColor="accent2"/>
            <w:insideV w:val="single" w:sz="4" w:space="0" w:color="32809C" w:themeColor="accent2"/>
          </w:tblBorders>
        </w:tblPrEx>
        <w:tc>
          <w:tcPr>
            <w:tcW w:w="4208" w:type="pct"/>
            <w:tcBorders>
              <w:top w:val="single" w:sz="4" w:space="0" w:color="32809C"/>
              <w:bottom w:val="single" w:sz="4" w:space="0" w:color="32809C"/>
              <w:right w:val="single" w:sz="4" w:space="0" w:color="32809C"/>
            </w:tcBorders>
            <w:hideMark/>
          </w:tcPr>
          <w:p w14:paraId="0D94B2C2" w14:textId="77777777" w:rsidR="00597853" w:rsidRPr="00D315D1" w:rsidRDefault="00597853" w:rsidP="00CA4429">
            <w:pPr>
              <w:pStyle w:val="TableText"/>
              <w:ind w:left="618" w:hanging="618"/>
              <w:rPr>
                <w:szCs w:val="18"/>
              </w:rPr>
            </w:pPr>
            <w:r>
              <w:rPr>
                <w:szCs w:val="18"/>
              </w:rPr>
              <w:t>11.4.1</w:t>
            </w:r>
            <w:r>
              <w:rPr>
                <w:szCs w:val="18"/>
              </w:rPr>
              <w:tab/>
            </w:r>
            <w:r w:rsidRPr="00D315D1">
              <w:rPr>
                <w:szCs w:val="18"/>
              </w:rPr>
              <w:t>Develop a mandatory energy and emissions reporting scheme.</w:t>
            </w:r>
          </w:p>
        </w:tc>
        <w:tc>
          <w:tcPr>
            <w:tcW w:w="792" w:type="pct"/>
            <w:tcBorders>
              <w:top w:val="single" w:sz="4" w:space="0" w:color="32809C"/>
              <w:left w:val="single" w:sz="4" w:space="0" w:color="32809C"/>
              <w:bottom w:val="single" w:sz="4" w:space="0" w:color="32809C"/>
              <w:right w:val="nil"/>
            </w:tcBorders>
          </w:tcPr>
          <w:p w14:paraId="1C9A866F" w14:textId="77777777" w:rsidR="00597853" w:rsidRPr="00D315D1" w:rsidRDefault="00597853" w:rsidP="00923B82">
            <w:pPr>
              <w:pStyle w:val="TableText"/>
              <w:rPr>
                <w:rFonts w:eastAsia="Times New Roman"/>
                <w:szCs w:val="18"/>
              </w:rPr>
            </w:pPr>
            <w:r w:rsidRPr="00D315D1">
              <w:rPr>
                <w:rFonts w:eastAsia="Times New Roman"/>
                <w:szCs w:val="18"/>
              </w:rPr>
              <w:t>MBIE</w:t>
            </w:r>
          </w:p>
        </w:tc>
      </w:tr>
      <w:tr w:rsidR="00597853" w:rsidRPr="001A64E7" w14:paraId="3A742379" w14:textId="77777777" w:rsidTr="004B7B47">
        <w:tblPrEx>
          <w:tblBorders>
            <w:top w:val="single" w:sz="4" w:space="0" w:color="31809C"/>
            <w:bottom w:val="single" w:sz="4" w:space="0" w:color="31809C"/>
            <w:insideH w:val="single" w:sz="4" w:space="0" w:color="31809C"/>
            <w:insideV w:val="single" w:sz="4" w:space="0" w:color="32809C" w:themeColor="accent2"/>
          </w:tblBorders>
        </w:tblPrEx>
        <w:tc>
          <w:tcPr>
            <w:tcW w:w="4208" w:type="pct"/>
            <w:tcBorders>
              <w:right w:val="single" w:sz="4" w:space="0" w:color="31809C"/>
            </w:tcBorders>
            <w:hideMark/>
          </w:tcPr>
          <w:p w14:paraId="554DAEA6" w14:textId="77777777" w:rsidR="00597853" w:rsidRPr="001A64E7" w:rsidRDefault="00597853" w:rsidP="00CA4429">
            <w:pPr>
              <w:pStyle w:val="TableText"/>
              <w:ind w:left="618" w:hanging="618"/>
              <w:rPr>
                <w:szCs w:val="18"/>
              </w:rPr>
            </w:pPr>
            <w:r>
              <w:rPr>
                <w:szCs w:val="18"/>
              </w:rPr>
              <w:t>11.5.1</w:t>
            </w:r>
            <w:r>
              <w:rPr>
                <w:szCs w:val="18"/>
              </w:rPr>
              <w:tab/>
            </w:r>
            <w:r w:rsidRPr="001A64E7">
              <w:rPr>
                <w:szCs w:val="18"/>
              </w:rPr>
              <w:t>Monitor progress towards the aspirational renewable electricity target.</w:t>
            </w:r>
          </w:p>
        </w:tc>
        <w:tc>
          <w:tcPr>
            <w:tcW w:w="792" w:type="pct"/>
            <w:tcBorders>
              <w:left w:val="single" w:sz="4" w:space="0" w:color="31809C"/>
              <w:right w:val="nil"/>
            </w:tcBorders>
          </w:tcPr>
          <w:p w14:paraId="20320846" w14:textId="77777777" w:rsidR="00597853" w:rsidRPr="001A64E7" w:rsidRDefault="00597853" w:rsidP="00923B82">
            <w:pPr>
              <w:pStyle w:val="TableText"/>
              <w:spacing w:before="40" w:after="40"/>
              <w:rPr>
                <w:rFonts w:eastAsia="MS Mincho"/>
                <w:szCs w:val="18"/>
              </w:rPr>
            </w:pPr>
            <w:r w:rsidRPr="001A64E7">
              <w:rPr>
                <w:rFonts w:eastAsia="MS Mincho"/>
                <w:szCs w:val="18"/>
              </w:rPr>
              <w:t>MBIE</w:t>
            </w:r>
          </w:p>
        </w:tc>
      </w:tr>
    </w:tbl>
    <w:p w14:paraId="14819BB9" w14:textId="77777777" w:rsidR="00597853" w:rsidRPr="00BF71C6" w:rsidRDefault="00597853" w:rsidP="00E3245A">
      <w:pPr>
        <w:pStyle w:val="Heading3"/>
        <w:rPr>
          <w:rFonts w:eastAsia="MS Gothic" w:cs="Times New Roman"/>
          <w:szCs w:val="32"/>
        </w:rPr>
      </w:pPr>
      <w:bookmarkStart w:id="64" w:name="_Toc103156346"/>
      <w:bookmarkStart w:id="65" w:name="_Toc174968296"/>
      <w:bookmarkStart w:id="66" w:name="_Toc181180904"/>
      <w:bookmarkStart w:id="67" w:name="_Toc182202296"/>
      <w:bookmarkStart w:id="68" w:name="_Toc182222061"/>
      <w:bookmarkStart w:id="69" w:name="_Toc182398391"/>
      <w:bookmarkEnd w:id="57"/>
      <w:r w:rsidRPr="00C37C97">
        <w:t>Agriculture (Chapter 13)</w:t>
      </w:r>
      <w:bookmarkEnd w:id="64"/>
      <w:bookmarkEnd w:id="65"/>
      <w:bookmarkEnd w:id="66"/>
      <w:bookmarkEnd w:id="67"/>
      <w:bookmarkEnd w:id="68"/>
      <w:bookmarkEnd w:id="69"/>
    </w:p>
    <w:tbl>
      <w:tblPr>
        <w:tblStyle w:val="TableGrid"/>
        <w:tblW w:w="8789" w:type="dxa"/>
        <w:tblBorders>
          <w:top w:val="single" w:sz="4" w:space="0" w:color="32809C"/>
          <w:left w:val="none" w:sz="0" w:space="0" w:color="auto"/>
          <w:bottom w:val="single" w:sz="4" w:space="0" w:color="32809C"/>
          <w:right w:val="none" w:sz="0" w:space="0" w:color="auto"/>
          <w:insideH w:val="single" w:sz="4" w:space="0" w:color="32809C"/>
          <w:insideV w:val="single" w:sz="4" w:space="0" w:color="32809C"/>
        </w:tblBorders>
        <w:tblLayout w:type="fixed"/>
        <w:tblLook w:val="04A0" w:firstRow="1" w:lastRow="0" w:firstColumn="1" w:lastColumn="0" w:noHBand="0" w:noVBand="1"/>
      </w:tblPr>
      <w:tblGrid>
        <w:gridCol w:w="7371"/>
        <w:gridCol w:w="1418"/>
      </w:tblGrid>
      <w:tr w:rsidR="00597853" w:rsidRPr="00BF71C6" w14:paraId="06B89B23" w14:textId="77777777" w:rsidTr="004B7B47">
        <w:trPr>
          <w:tblHeader/>
        </w:trPr>
        <w:tc>
          <w:tcPr>
            <w:tcW w:w="7371" w:type="dxa"/>
            <w:shd w:val="clear" w:color="auto" w:fill="32809C"/>
            <w:vAlign w:val="bottom"/>
          </w:tcPr>
          <w:p w14:paraId="4B3FB59D" w14:textId="77777777" w:rsidR="00597853" w:rsidRPr="00BF71C6" w:rsidRDefault="00597853" w:rsidP="00923B82">
            <w:pPr>
              <w:spacing w:before="60" w:after="60" w:line="240" w:lineRule="atLeast"/>
              <w:rPr>
                <w:rFonts w:eastAsia="MS Mincho"/>
                <w:b/>
                <w:color w:val="FFFFFF"/>
                <w:sz w:val="18"/>
              </w:rPr>
            </w:pPr>
            <w:r w:rsidRPr="00BF71C6">
              <w:rPr>
                <w:rFonts w:eastAsia="MS Mincho"/>
                <w:b/>
                <w:color w:val="FFFFFF"/>
                <w:sz w:val="18"/>
              </w:rPr>
              <w:t>Actions for delivery</w:t>
            </w:r>
          </w:p>
        </w:tc>
        <w:tc>
          <w:tcPr>
            <w:tcW w:w="1418" w:type="dxa"/>
            <w:shd w:val="clear" w:color="auto" w:fill="32809C"/>
            <w:vAlign w:val="bottom"/>
          </w:tcPr>
          <w:p w14:paraId="662724B8" w14:textId="77777777" w:rsidR="00597853" w:rsidRPr="00BF71C6" w:rsidRDefault="00597853" w:rsidP="00923B82">
            <w:pPr>
              <w:spacing w:before="60" w:after="60" w:line="240" w:lineRule="atLeast"/>
              <w:rPr>
                <w:rFonts w:eastAsia="MS Mincho"/>
                <w:b/>
                <w:color w:val="FFFFFF"/>
                <w:sz w:val="18"/>
              </w:rPr>
            </w:pPr>
            <w:r w:rsidRPr="00BF71C6">
              <w:rPr>
                <w:rFonts w:eastAsia="MS Mincho"/>
                <w:b/>
                <w:color w:val="FFFFFF"/>
                <w:sz w:val="18"/>
              </w:rPr>
              <w:t>Lead</w:t>
            </w:r>
          </w:p>
        </w:tc>
      </w:tr>
      <w:tr w:rsidR="00597853" w:rsidRPr="00A60B18" w14:paraId="6CC80EBE" w14:textId="77777777" w:rsidTr="004B7B47">
        <w:tc>
          <w:tcPr>
            <w:tcW w:w="7371" w:type="dxa"/>
          </w:tcPr>
          <w:p w14:paraId="73243D97" w14:textId="769877B5" w:rsidR="00597853" w:rsidRPr="00CA4429" w:rsidRDefault="00597853" w:rsidP="00CA4429">
            <w:pPr>
              <w:pStyle w:val="TableText"/>
              <w:ind w:left="618" w:hanging="618"/>
              <w:rPr>
                <w:szCs w:val="18"/>
              </w:rPr>
            </w:pPr>
            <w:r w:rsidRPr="00CA4429">
              <w:rPr>
                <w:szCs w:val="18"/>
              </w:rPr>
              <w:t>13.1.1</w:t>
            </w:r>
            <w:r w:rsidRPr="00CA4429">
              <w:rPr>
                <w:szCs w:val="18"/>
              </w:rPr>
              <w:tab/>
              <w:t>An emissions pricing mechanism is developed, and agricultural emissions are priced by 1 January 2025.</w:t>
            </w:r>
          </w:p>
        </w:tc>
        <w:tc>
          <w:tcPr>
            <w:tcW w:w="1418" w:type="dxa"/>
            <w:shd w:val="clear" w:color="auto" w:fill="auto"/>
          </w:tcPr>
          <w:p w14:paraId="505BCCAE" w14:textId="77777777" w:rsidR="00597853" w:rsidRPr="00A60B18" w:rsidRDefault="00597853" w:rsidP="00923B82">
            <w:pPr>
              <w:pStyle w:val="TableText"/>
              <w:rPr>
                <w:szCs w:val="18"/>
              </w:rPr>
            </w:pPr>
            <w:r w:rsidRPr="00A60B18">
              <w:rPr>
                <w:szCs w:val="18"/>
              </w:rPr>
              <w:t>MPI</w:t>
            </w:r>
          </w:p>
        </w:tc>
      </w:tr>
      <w:tr w:rsidR="00597853" w:rsidRPr="00A60B18" w14:paraId="498C2001" w14:textId="77777777" w:rsidTr="004B7B47">
        <w:tc>
          <w:tcPr>
            <w:tcW w:w="7371" w:type="dxa"/>
          </w:tcPr>
          <w:p w14:paraId="51EA7F91" w14:textId="31A2CC56" w:rsidR="00597853" w:rsidRPr="00CA4429" w:rsidRDefault="00597853" w:rsidP="00CA4429">
            <w:pPr>
              <w:pStyle w:val="TableText"/>
              <w:ind w:left="618" w:hanging="618"/>
              <w:rPr>
                <w:szCs w:val="18"/>
              </w:rPr>
            </w:pPr>
            <w:r w:rsidRPr="00CA4429">
              <w:rPr>
                <w:szCs w:val="18"/>
              </w:rPr>
              <w:t>13.1.2</w:t>
            </w:r>
            <w:r w:rsidRPr="00CA4429">
              <w:rPr>
                <w:szCs w:val="18"/>
              </w:rPr>
              <w:tab/>
              <w:t xml:space="preserve">All producers will have emissions reports by the end of 2022 and a farm plan in place </w:t>
            </w:r>
            <w:r w:rsidR="0019145D">
              <w:rPr>
                <w:szCs w:val="18"/>
              </w:rPr>
              <w:br/>
            </w:r>
            <w:r w:rsidRPr="00CA4429">
              <w:rPr>
                <w:szCs w:val="18"/>
              </w:rPr>
              <w:t>by 2025.</w:t>
            </w:r>
          </w:p>
        </w:tc>
        <w:tc>
          <w:tcPr>
            <w:tcW w:w="1418" w:type="dxa"/>
            <w:shd w:val="clear" w:color="auto" w:fill="auto"/>
          </w:tcPr>
          <w:p w14:paraId="2C2CB0EC" w14:textId="77777777" w:rsidR="00597853" w:rsidRPr="00A60B18" w:rsidRDefault="00597853" w:rsidP="00923B82">
            <w:pPr>
              <w:pStyle w:val="TableText"/>
              <w:rPr>
                <w:szCs w:val="18"/>
              </w:rPr>
            </w:pPr>
            <w:r w:rsidRPr="00A60B18">
              <w:rPr>
                <w:szCs w:val="18"/>
              </w:rPr>
              <w:t>MPI</w:t>
            </w:r>
          </w:p>
        </w:tc>
      </w:tr>
      <w:tr w:rsidR="00597853" w:rsidRPr="00324E66" w14:paraId="79E234FD" w14:textId="77777777" w:rsidTr="004B7B47">
        <w:tc>
          <w:tcPr>
            <w:tcW w:w="7371" w:type="dxa"/>
          </w:tcPr>
          <w:p w14:paraId="1FB4B123" w14:textId="3EF57461" w:rsidR="00597853" w:rsidRPr="00324E66" w:rsidRDefault="00597853" w:rsidP="00CA4429">
            <w:pPr>
              <w:pStyle w:val="TableText"/>
              <w:ind w:left="618" w:hanging="618"/>
              <w:rPr>
                <w:szCs w:val="18"/>
              </w:rPr>
            </w:pPr>
            <w:r w:rsidRPr="00324E66">
              <w:rPr>
                <w:szCs w:val="18"/>
              </w:rPr>
              <w:t>13.3.1</w:t>
            </w:r>
            <w:r w:rsidRPr="00324E66">
              <w:rPr>
                <w:szCs w:val="18"/>
              </w:rPr>
              <w:tab/>
              <w:t>Develop further climate-focused extension and advisory services.</w:t>
            </w:r>
          </w:p>
        </w:tc>
        <w:tc>
          <w:tcPr>
            <w:tcW w:w="1418" w:type="dxa"/>
            <w:shd w:val="clear" w:color="auto" w:fill="auto"/>
          </w:tcPr>
          <w:p w14:paraId="71FC5F55" w14:textId="77777777" w:rsidR="00597853" w:rsidRPr="00324E66" w:rsidRDefault="00597853" w:rsidP="00923B82">
            <w:pPr>
              <w:pStyle w:val="TableText"/>
              <w:rPr>
                <w:szCs w:val="18"/>
              </w:rPr>
            </w:pPr>
            <w:r w:rsidRPr="00324E66">
              <w:rPr>
                <w:szCs w:val="18"/>
              </w:rPr>
              <w:t>MPI</w:t>
            </w:r>
          </w:p>
        </w:tc>
      </w:tr>
    </w:tbl>
    <w:p w14:paraId="7617CA83" w14:textId="77777777" w:rsidR="00597853" w:rsidRPr="00EF043B" w:rsidRDefault="00597853" w:rsidP="00E3245A">
      <w:pPr>
        <w:pStyle w:val="Heading3"/>
        <w:rPr>
          <w:rFonts w:eastAsia="MS Gothic" w:cs="Times New Roman"/>
          <w:szCs w:val="32"/>
        </w:rPr>
      </w:pPr>
      <w:bookmarkStart w:id="70" w:name="_Toc103156347"/>
      <w:bookmarkStart w:id="71" w:name="_Toc174968297"/>
      <w:bookmarkStart w:id="72" w:name="_Toc181180905"/>
      <w:bookmarkStart w:id="73" w:name="_Toc182202297"/>
      <w:bookmarkStart w:id="74" w:name="_Toc182222062"/>
      <w:bookmarkStart w:id="75" w:name="_Toc182398392"/>
      <w:r w:rsidRPr="00C37C97">
        <w:t>Forestry (Chapter 14)</w:t>
      </w:r>
      <w:bookmarkEnd w:id="70"/>
      <w:bookmarkEnd w:id="71"/>
      <w:bookmarkEnd w:id="72"/>
      <w:bookmarkEnd w:id="73"/>
      <w:bookmarkEnd w:id="74"/>
      <w:bookmarkEnd w:id="75"/>
    </w:p>
    <w:tbl>
      <w:tblPr>
        <w:tblW w:w="8789" w:type="dxa"/>
        <w:tblBorders>
          <w:top w:val="single" w:sz="4" w:space="0" w:color="32809C"/>
          <w:bottom w:val="single" w:sz="4" w:space="0" w:color="32809C"/>
          <w:insideH w:val="single" w:sz="4" w:space="0" w:color="32809C"/>
          <w:insideV w:val="single" w:sz="4" w:space="0" w:color="32809C"/>
        </w:tblBorders>
        <w:tblLayout w:type="fixed"/>
        <w:tblLook w:val="04A0" w:firstRow="1" w:lastRow="0" w:firstColumn="1" w:lastColumn="0" w:noHBand="0" w:noVBand="1"/>
      </w:tblPr>
      <w:tblGrid>
        <w:gridCol w:w="7371"/>
        <w:gridCol w:w="1418"/>
      </w:tblGrid>
      <w:tr w:rsidR="00597853" w:rsidRPr="00160C1D" w14:paraId="4B8C2A32" w14:textId="77777777" w:rsidTr="004B7B47">
        <w:trPr>
          <w:tblHeader/>
        </w:trPr>
        <w:tc>
          <w:tcPr>
            <w:tcW w:w="7371" w:type="dxa"/>
            <w:shd w:val="clear" w:color="auto" w:fill="32809C"/>
            <w:vAlign w:val="bottom"/>
          </w:tcPr>
          <w:p w14:paraId="09C1067E" w14:textId="77777777" w:rsidR="00597853" w:rsidRPr="00160C1D" w:rsidRDefault="00597853" w:rsidP="00923B82">
            <w:pPr>
              <w:spacing w:before="60" w:after="60" w:line="240" w:lineRule="atLeast"/>
              <w:rPr>
                <w:rFonts w:eastAsia="MS Mincho" w:cs="Arial"/>
                <w:b/>
                <w:color w:val="FFFFFF"/>
                <w:sz w:val="18"/>
              </w:rPr>
            </w:pPr>
            <w:r w:rsidRPr="00160C1D">
              <w:rPr>
                <w:rFonts w:eastAsia="MS Mincho" w:cs="Arial"/>
                <w:b/>
                <w:color w:val="FFFFFF"/>
                <w:sz w:val="18"/>
              </w:rPr>
              <w:t>Actions for delivery</w:t>
            </w:r>
          </w:p>
        </w:tc>
        <w:tc>
          <w:tcPr>
            <w:tcW w:w="1418" w:type="dxa"/>
            <w:shd w:val="clear" w:color="auto" w:fill="32809C"/>
            <w:vAlign w:val="bottom"/>
          </w:tcPr>
          <w:p w14:paraId="4D22CFD6" w14:textId="77777777" w:rsidR="00597853" w:rsidRPr="00160C1D" w:rsidRDefault="00597853" w:rsidP="00923B82">
            <w:pPr>
              <w:spacing w:before="60" w:after="60" w:line="240" w:lineRule="atLeast"/>
              <w:rPr>
                <w:rFonts w:eastAsia="MS Mincho" w:cs="Arial"/>
                <w:b/>
                <w:color w:val="FFFFFF"/>
                <w:sz w:val="18"/>
              </w:rPr>
            </w:pPr>
            <w:r w:rsidRPr="00160C1D">
              <w:rPr>
                <w:rFonts w:eastAsia="MS Mincho" w:cs="Arial"/>
                <w:b/>
                <w:color w:val="FFFFFF"/>
                <w:sz w:val="18"/>
              </w:rPr>
              <w:t>Lead (support)</w:t>
            </w:r>
          </w:p>
        </w:tc>
      </w:tr>
      <w:tr w:rsidR="00597853" w:rsidRPr="003E0B71" w14:paraId="77D1CBF0" w14:textId="77777777" w:rsidTr="004B7B47">
        <w:trPr>
          <w:trHeight w:val="429"/>
        </w:trPr>
        <w:tc>
          <w:tcPr>
            <w:tcW w:w="7371" w:type="dxa"/>
            <w:hideMark/>
          </w:tcPr>
          <w:p w14:paraId="5B3B97C1" w14:textId="77777777" w:rsidR="00597853" w:rsidRPr="00CA4429" w:rsidRDefault="00597853" w:rsidP="00CA4429">
            <w:pPr>
              <w:pStyle w:val="TableText"/>
              <w:ind w:left="618" w:hanging="618"/>
              <w:rPr>
                <w:rFonts w:cs="Times New Roman"/>
                <w:szCs w:val="18"/>
              </w:rPr>
            </w:pPr>
            <w:r w:rsidRPr="00CA4429">
              <w:rPr>
                <w:szCs w:val="18"/>
              </w:rPr>
              <w:t>14.1.1a Ensure regulatory settings deliver the right type and scale of forests, in the right place.</w:t>
            </w:r>
          </w:p>
        </w:tc>
        <w:tc>
          <w:tcPr>
            <w:tcW w:w="1418" w:type="dxa"/>
            <w:hideMark/>
          </w:tcPr>
          <w:p w14:paraId="1839ADEB" w14:textId="77777777" w:rsidR="00597853" w:rsidRPr="003E0B71" w:rsidRDefault="00597853" w:rsidP="00923B82">
            <w:pPr>
              <w:pStyle w:val="TableText"/>
              <w:rPr>
                <w:szCs w:val="18"/>
              </w:rPr>
            </w:pPr>
            <w:r w:rsidRPr="003E0B71">
              <w:rPr>
                <w:szCs w:val="18"/>
              </w:rPr>
              <w:t>MPI (MfE)</w:t>
            </w:r>
          </w:p>
        </w:tc>
      </w:tr>
      <w:tr w:rsidR="00597853" w:rsidRPr="008313AB" w14:paraId="0A5A2C7B" w14:textId="77777777" w:rsidTr="004B7B47">
        <w:trPr>
          <w:trHeight w:val="519"/>
        </w:trPr>
        <w:tc>
          <w:tcPr>
            <w:tcW w:w="7371" w:type="dxa"/>
            <w:hideMark/>
          </w:tcPr>
          <w:p w14:paraId="46899F89" w14:textId="77777777" w:rsidR="00597853" w:rsidRPr="00CA4429" w:rsidRDefault="00597853" w:rsidP="00CA4429">
            <w:pPr>
              <w:pStyle w:val="TableText"/>
              <w:ind w:left="618" w:hanging="618"/>
              <w:rPr>
                <w:rFonts w:cs="Times New Roman"/>
                <w:szCs w:val="18"/>
              </w:rPr>
            </w:pPr>
            <w:r w:rsidRPr="008313AB">
              <w:rPr>
                <w:szCs w:val="18"/>
              </w:rPr>
              <w:t>14.4.1</w:t>
            </w:r>
            <w:r w:rsidRPr="008313AB">
              <w:rPr>
                <w:szCs w:val="18"/>
              </w:rPr>
              <w:tab/>
            </w:r>
            <w:r w:rsidRPr="00CA4429">
              <w:rPr>
                <w:szCs w:val="18"/>
              </w:rPr>
              <w:t xml:space="preserve">Develop </w:t>
            </w:r>
            <w:r w:rsidRPr="008313AB">
              <w:rPr>
                <w:szCs w:val="18"/>
              </w:rPr>
              <w:t>forestry and wood processing industry transformation plan</w:t>
            </w:r>
            <w:r w:rsidRPr="00CA4429">
              <w:rPr>
                <w:szCs w:val="18"/>
              </w:rPr>
              <w:t xml:space="preserve"> (ITP).</w:t>
            </w:r>
          </w:p>
        </w:tc>
        <w:tc>
          <w:tcPr>
            <w:tcW w:w="1418" w:type="dxa"/>
            <w:hideMark/>
          </w:tcPr>
          <w:p w14:paraId="28BA3399" w14:textId="77777777" w:rsidR="00597853" w:rsidRPr="008313AB" w:rsidRDefault="00597853" w:rsidP="00923B82">
            <w:pPr>
              <w:pStyle w:val="TableText"/>
              <w:rPr>
                <w:rFonts w:eastAsia="Times New Roman"/>
                <w:szCs w:val="18"/>
              </w:rPr>
            </w:pPr>
            <w:r w:rsidRPr="008313AB">
              <w:rPr>
                <w:rFonts w:eastAsia="Times New Roman"/>
                <w:szCs w:val="18"/>
              </w:rPr>
              <w:t>MPI</w:t>
            </w:r>
          </w:p>
        </w:tc>
      </w:tr>
    </w:tbl>
    <w:p w14:paraId="0D0C4952" w14:textId="2F1C98F7" w:rsidR="003A3024" w:rsidRDefault="003A3024" w:rsidP="006634FB"/>
    <w:p w14:paraId="77250B60" w14:textId="77777777" w:rsidR="003A3024" w:rsidRDefault="003A3024">
      <w:pPr>
        <w:spacing w:before="0" w:after="200" w:line="276" w:lineRule="auto"/>
        <w:jc w:val="left"/>
      </w:pPr>
      <w:r>
        <w:br w:type="page"/>
      </w:r>
    </w:p>
    <w:p w14:paraId="70C4206B" w14:textId="73CEB8D1" w:rsidR="00D009D8" w:rsidRDefault="00D7146B" w:rsidP="00B35BAF">
      <w:pPr>
        <w:pStyle w:val="Heading1"/>
      </w:pPr>
      <w:bookmarkStart w:id="76" w:name="_Toc182398393"/>
      <w:r>
        <w:lastRenderedPageBreak/>
        <w:t xml:space="preserve">Appendix 2: </w:t>
      </w:r>
      <w:r w:rsidR="00952D44">
        <w:t xml:space="preserve">New Zealand’s domestic climate change </w:t>
      </w:r>
      <w:r>
        <w:t>framework</w:t>
      </w:r>
      <w:bookmarkEnd w:id="76"/>
    </w:p>
    <w:p w14:paraId="7F218E04" w14:textId="7525C396" w:rsidR="00D7146B" w:rsidRDefault="00D7146B" w:rsidP="00D7146B">
      <w:pPr>
        <w:pStyle w:val="BodyText"/>
      </w:pPr>
      <w:r>
        <w:t>The Climate Change Response Act 2002 (the Act) provides the framework by which</w:t>
      </w:r>
      <w:r w:rsidR="005664B9">
        <w:br/>
      </w:r>
      <w:r>
        <w:t xml:space="preserve">New Zealand develops and implements clear and stable policies that contribute to global efforts to limit </w:t>
      </w:r>
      <w:r w:rsidR="00D2750A">
        <w:t>the</w:t>
      </w:r>
      <w:r>
        <w:t xml:space="preserve"> increase</w:t>
      </w:r>
      <w:r w:rsidR="007D73D6">
        <w:t xml:space="preserve"> in </w:t>
      </w:r>
      <w:r>
        <w:t>global average temperature</w:t>
      </w:r>
      <w:r w:rsidR="007D73D6">
        <w:t>s</w:t>
      </w:r>
      <w:r>
        <w:t>. The framework also provides for how New Zealand can prepare for, and adapt to</w:t>
      </w:r>
      <w:r w:rsidR="007D73D6">
        <w:t>,</w:t>
      </w:r>
      <w:r>
        <w:t xml:space="preserve"> the effects of climate change. </w:t>
      </w:r>
    </w:p>
    <w:p w14:paraId="455239D8" w14:textId="066302AB" w:rsidR="00D7146B" w:rsidRDefault="00D7146B" w:rsidP="00D7146B">
      <w:pPr>
        <w:pStyle w:val="BodyText"/>
      </w:pPr>
      <w:r>
        <w:t>The Act sets New Zealand’s domestic long-term emissions reductions targets to 2050:</w:t>
      </w:r>
      <w:r w:rsidR="00DB2D76">
        <w:t xml:space="preserve"> </w:t>
      </w:r>
    </w:p>
    <w:p w14:paraId="7E820030" w14:textId="47CBCECB" w:rsidR="00D7146B" w:rsidRDefault="00D7146B" w:rsidP="001511D7">
      <w:pPr>
        <w:pStyle w:val="Bullet"/>
      </w:pPr>
      <w:r>
        <w:t>reduce net emissions of all greenhouse gases (except biogenic methane) to zero</w:t>
      </w:r>
      <w:r w:rsidR="007D73D6">
        <w:br/>
      </w:r>
      <w:r>
        <w:t>by 2050</w:t>
      </w:r>
    </w:p>
    <w:p w14:paraId="5C4E20C8" w14:textId="77777777" w:rsidR="00D7146B" w:rsidRDefault="00D7146B" w:rsidP="001511D7">
      <w:pPr>
        <w:pStyle w:val="Bullet"/>
      </w:pPr>
      <w:r>
        <w:t>reduce emissions of biogenic methane to 24–47 per cent below 2017 levels by 2050, including to 10 per cent below 2017 levels by 2030.</w:t>
      </w:r>
    </w:p>
    <w:p w14:paraId="3C4C6F80" w14:textId="68ECC73E" w:rsidR="00D7146B" w:rsidRDefault="00D7146B" w:rsidP="00D7146B">
      <w:pPr>
        <w:pStyle w:val="Bullet"/>
        <w:numPr>
          <w:ilvl w:val="0"/>
          <w:numId w:val="0"/>
        </w:numPr>
      </w:pPr>
      <w:r>
        <w:t xml:space="preserve">The framework then provides for a series of interim targets, or five-year emissions budgets, to be set as ‘stepping stones’ towards the 2050 target. Table </w:t>
      </w:r>
      <w:r w:rsidR="00AE13ED">
        <w:t>2</w:t>
      </w:r>
      <w:r>
        <w:t xml:space="preserve"> sets out New Zealand’s first three emissions budgets, as stepping stones towards the 2050 target (expressed in megatonnes of carbon dioxide equivalent (Mt CO</w:t>
      </w:r>
      <w:r w:rsidRPr="00D1122F">
        <w:rPr>
          <w:vertAlign w:val="subscript"/>
        </w:rPr>
        <w:t>2</w:t>
      </w:r>
      <w:r>
        <w:t>-e).</w:t>
      </w:r>
    </w:p>
    <w:p w14:paraId="5B5E48FB" w14:textId="21E3FB12" w:rsidR="00D7146B" w:rsidRPr="00B92BA5" w:rsidRDefault="00D7146B" w:rsidP="00D7146B">
      <w:pPr>
        <w:pStyle w:val="Tableheading"/>
      </w:pPr>
      <w:bookmarkStart w:id="77" w:name="_Toc182490790"/>
      <w:r w:rsidRPr="00B92BA5">
        <w:t xml:space="preserve">Table </w:t>
      </w:r>
      <w:r w:rsidR="00AE13ED">
        <w:t>2</w:t>
      </w:r>
      <w:r w:rsidRPr="00B92BA5">
        <w:t>:</w:t>
      </w:r>
      <w:r w:rsidRPr="00B92BA5">
        <w:tab/>
        <w:t>New Zealand’s first three emissions budgets</w:t>
      </w:r>
      <w:bookmarkEnd w:id="77"/>
      <w:r w:rsidR="00CE7C54">
        <w:t xml:space="preserve"> (</w:t>
      </w:r>
      <w:r w:rsidR="00CE7C54" w:rsidRPr="007B1459">
        <w:t>Mt CO</w:t>
      </w:r>
      <w:r w:rsidR="00CE7C54" w:rsidRPr="00B35D04">
        <w:rPr>
          <w:vertAlign w:val="subscript"/>
        </w:rPr>
        <w:t>2</w:t>
      </w:r>
      <w:r w:rsidR="00CE7C54">
        <w:t>-</w:t>
      </w:r>
      <w:r w:rsidR="00CE7C54" w:rsidRPr="007B1459">
        <w:t>e</w:t>
      </w:r>
      <w:r w:rsidR="00CE7C54">
        <w:t>)</w:t>
      </w:r>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2200"/>
        <w:gridCol w:w="2197"/>
        <w:gridCol w:w="2195"/>
        <w:gridCol w:w="2197"/>
      </w:tblGrid>
      <w:tr w:rsidR="00D7146B" w:rsidRPr="006B77BB" w14:paraId="210E6079" w14:textId="77777777" w:rsidTr="004B7B47">
        <w:trPr>
          <w:tblHeader/>
        </w:trPr>
        <w:tc>
          <w:tcPr>
            <w:tcW w:w="1251" w:type="pct"/>
            <w:shd w:val="clear" w:color="auto" w:fill="1B556B"/>
          </w:tcPr>
          <w:p w14:paraId="4B22A9F6" w14:textId="77777777" w:rsidR="00D7146B" w:rsidRPr="006B77BB" w:rsidRDefault="00D7146B">
            <w:pPr>
              <w:pStyle w:val="TableTextbold"/>
              <w:rPr>
                <w:color w:val="FFFFFF" w:themeColor="background1"/>
              </w:rPr>
            </w:pPr>
            <w:r>
              <w:rPr>
                <w:color w:val="FFFFFF" w:themeColor="background1"/>
              </w:rPr>
              <w:t>Budget period</w:t>
            </w:r>
          </w:p>
        </w:tc>
        <w:tc>
          <w:tcPr>
            <w:tcW w:w="1250" w:type="pct"/>
            <w:shd w:val="clear" w:color="auto" w:fill="1B556B"/>
          </w:tcPr>
          <w:p w14:paraId="0BDF27F9" w14:textId="77777777" w:rsidR="00D7146B" w:rsidRPr="006B77BB" w:rsidRDefault="00D7146B">
            <w:pPr>
              <w:pStyle w:val="TableTextbold"/>
              <w:rPr>
                <w:color w:val="FFFFFF" w:themeColor="background1"/>
              </w:rPr>
            </w:pPr>
            <w:r>
              <w:rPr>
                <w:color w:val="FFFFFF" w:themeColor="background1"/>
              </w:rPr>
              <w:t>2022–25</w:t>
            </w:r>
          </w:p>
        </w:tc>
        <w:tc>
          <w:tcPr>
            <w:tcW w:w="1249" w:type="pct"/>
            <w:shd w:val="clear" w:color="auto" w:fill="1B556B"/>
          </w:tcPr>
          <w:p w14:paraId="0B0D3AA0" w14:textId="77777777" w:rsidR="00D7146B" w:rsidRPr="006B77BB" w:rsidRDefault="00D7146B">
            <w:pPr>
              <w:pStyle w:val="TableTextbold"/>
              <w:rPr>
                <w:color w:val="FFFFFF" w:themeColor="background1"/>
              </w:rPr>
            </w:pPr>
            <w:r>
              <w:rPr>
                <w:color w:val="FFFFFF" w:themeColor="background1"/>
              </w:rPr>
              <w:t>2026–30</w:t>
            </w:r>
          </w:p>
        </w:tc>
        <w:tc>
          <w:tcPr>
            <w:tcW w:w="1250" w:type="pct"/>
            <w:shd w:val="clear" w:color="auto" w:fill="1B556B"/>
          </w:tcPr>
          <w:p w14:paraId="158EC453" w14:textId="77777777" w:rsidR="00D7146B" w:rsidRPr="006B77BB" w:rsidRDefault="00D7146B">
            <w:pPr>
              <w:pStyle w:val="TableTextbold"/>
              <w:rPr>
                <w:color w:val="FFFFFF" w:themeColor="background1"/>
              </w:rPr>
            </w:pPr>
            <w:r>
              <w:rPr>
                <w:color w:val="FFFFFF" w:themeColor="background1"/>
              </w:rPr>
              <w:t>2031–35</w:t>
            </w:r>
          </w:p>
        </w:tc>
      </w:tr>
      <w:tr w:rsidR="00D7146B" w:rsidRPr="006B77BB" w14:paraId="4F8E2817" w14:textId="77777777" w:rsidTr="004B7B47">
        <w:tc>
          <w:tcPr>
            <w:tcW w:w="1251" w:type="pct"/>
            <w:shd w:val="clear" w:color="auto" w:fill="auto"/>
          </w:tcPr>
          <w:p w14:paraId="3F97BDE6" w14:textId="77777777" w:rsidR="00D7146B" w:rsidRPr="006B77BB" w:rsidRDefault="00D7146B">
            <w:pPr>
              <w:pStyle w:val="TableText"/>
            </w:pPr>
            <w:r w:rsidRPr="007B1459">
              <w:t>All gases, net (AR5)</w:t>
            </w:r>
            <w:r w:rsidRPr="007B1459">
              <w:rPr>
                <w:rFonts w:ascii="Arial" w:hAnsi="Arial" w:cs="Arial"/>
              </w:rPr>
              <w:t> </w:t>
            </w:r>
          </w:p>
        </w:tc>
        <w:tc>
          <w:tcPr>
            <w:tcW w:w="1250" w:type="pct"/>
          </w:tcPr>
          <w:p w14:paraId="3B5D0662" w14:textId="0B326B81" w:rsidR="00D7146B" w:rsidRPr="006B77BB" w:rsidRDefault="00D7146B">
            <w:pPr>
              <w:pStyle w:val="TableText"/>
            </w:pPr>
            <w:r w:rsidRPr="007B1459">
              <w:t xml:space="preserve">290 </w:t>
            </w:r>
          </w:p>
        </w:tc>
        <w:tc>
          <w:tcPr>
            <w:tcW w:w="1249" w:type="pct"/>
          </w:tcPr>
          <w:p w14:paraId="7ACAB1AB" w14:textId="15DAB3D0" w:rsidR="00D7146B" w:rsidRPr="006B77BB" w:rsidRDefault="00D7146B">
            <w:pPr>
              <w:pStyle w:val="TableText"/>
            </w:pPr>
            <w:r w:rsidRPr="007B1459">
              <w:t xml:space="preserve">305 </w:t>
            </w:r>
          </w:p>
        </w:tc>
        <w:tc>
          <w:tcPr>
            <w:tcW w:w="1250" w:type="pct"/>
            <w:shd w:val="clear" w:color="auto" w:fill="auto"/>
          </w:tcPr>
          <w:p w14:paraId="4D0EE5AE" w14:textId="282CD7F4" w:rsidR="00D7146B" w:rsidRPr="006B77BB" w:rsidRDefault="00D7146B">
            <w:pPr>
              <w:pStyle w:val="TableText"/>
            </w:pPr>
            <w:r w:rsidRPr="007B1459">
              <w:t xml:space="preserve">240 </w:t>
            </w:r>
          </w:p>
        </w:tc>
      </w:tr>
      <w:tr w:rsidR="00D7146B" w:rsidRPr="006B77BB" w14:paraId="015C5882" w14:textId="77777777" w:rsidTr="004B7B47">
        <w:tc>
          <w:tcPr>
            <w:tcW w:w="1251" w:type="pct"/>
            <w:shd w:val="clear" w:color="auto" w:fill="auto"/>
          </w:tcPr>
          <w:p w14:paraId="1BA4D911" w14:textId="77777777" w:rsidR="00D7146B" w:rsidRPr="006B77BB" w:rsidRDefault="00D7146B">
            <w:pPr>
              <w:pStyle w:val="TableText"/>
            </w:pPr>
            <w:r w:rsidRPr="007B1459">
              <w:t>Annual average</w:t>
            </w:r>
          </w:p>
        </w:tc>
        <w:tc>
          <w:tcPr>
            <w:tcW w:w="1250" w:type="pct"/>
          </w:tcPr>
          <w:p w14:paraId="1E282B6F" w14:textId="717A2397" w:rsidR="00D7146B" w:rsidRPr="006B77BB" w:rsidRDefault="00D7146B">
            <w:pPr>
              <w:pStyle w:val="TableText"/>
            </w:pPr>
            <w:r w:rsidRPr="007B1459">
              <w:t xml:space="preserve">72.5 </w:t>
            </w:r>
          </w:p>
        </w:tc>
        <w:tc>
          <w:tcPr>
            <w:tcW w:w="1249" w:type="pct"/>
          </w:tcPr>
          <w:p w14:paraId="0616F507" w14:textId="1193DEAE" w:rsidR="00D7146B" w:rsidRPr="006B77BB" w:rsidRDefault="00D7146B">
            <w:pPr>
              <w:pStyle w:val="TableText"/>
            </w:pPr>
            <w:r w:rsidRPr="007B1459">
              <w:t xml:space="preserve">61 </w:t>
            </w:r>
          </w:p>
        </w:tc>
        <w:tc>
          <w:tcPr>
            <w:tcW w:w="1250" w:type="pct"/>
            <w:shd w:val="clear" w:color="auto" w:fill="auto"/>
          </w:tcPr>
          <w:p w14:paraId="39C2CDC2" w14:textId="2C360063" w:rsidR="00D7146B" w:rsidRPr="006B77BB" w:rsidRDefault="00D7146B">
            <w:pPr>
              <w:pStyle w:val="TableText"/>
            </w:pPr>
            <w:r w:rsidRPr="007B1459">
              <w:t xml:space="preserve">48 </w:t>
            </w:r>
          </w:p>
        </w:tc>
      </w:tr>
    </w:tbl>
    <w:p w14:paraId="61CB9A30" w14:textId="55263E44" w:rsidR="00724565" w:rsidRDefault="00D7146B" w:rsidP="00D7146B">
      <w:pPr>
        <w:pStyle w:val="BodyText"/>
      </w:pPr>
      <w:r>
        <w:t xml:space="preserve">For each emissions budget period, the Act requires an emissions reduction plan to be in place setting out the policies and strategies to meet the emissions budget. </w:t>
      </w:r>
      <w:r w:rsidR="00724565">
        <w:t>The Act provides for those plans to be amended during the emissions budget period to maintain their currency.</w:t>
      </w:r>
      <w:r w:rsidR="00DB2D76">
        <w:t xml:space="preserve"> </w:t>
      </w:r>
    </w:p>
    <w:p w14:paraId="4EBC1C36" w14:textId="1A05ADD7" w:rsidR="00D7146B" w:rsidRDefault="00D7146B" w:rsidP="00D7146B">
      <w:pPr>
        <w:pStyle w:val="BodyText"/>
      </w:pPr>
      <w:r>
        <w:t>T</w:t>
      </w:r>
      <w:r w:rsidRPr="007E48B4">
        <w:t xml:space="preserve">he </w:t>
      </w:r>
      <w:r>
        <w:t>first emissions reduction plan was published in May 2022</w:t>
      </w:r>
      <w:r w:rsidR="002F66A1">
        <w:t>. It</w:t>
      </w:r>
      <w:r w:rsidRPr="007E48B4">
        <w:t xml:space="preserve"> </w:t>
      </w:r>
      <w:r>
        <w:t>focuse</w:t>
      </w:r>
      <w:r w:rsidR="00BC7222">
        <w:t>s</w:t>
      </w:r>
      <w:r>
        <w:t xml:space="preserve"> on </w:t>
      </w:r>
      <w:r w:rsidRPr="007E48B4">
        <w:t>meeting the first emissions budget</w:t>
      </w:r>
      <w:r>
        <w:t xml:space="preserve"> that limits net emissions to 290 Mt CO</w:t>
      </w:r>
      <w:r w:rsidRPr="00D1122F">
        <w:rPr>
          <w:vertAlign w:val="subscript"/>
        </w:rPr>
        <w:t>2</w:t>
      </w:r>
      <w:r>
        <w:t xml:space="preserve">-e for the period 2022 to 2025. </w:t>
      </w:r>
    </w:p>
    <w:p w14:paraId="44D9F600" w14:textId="77777777" w:rsidR="00D009D8" w:rsidRPr="006B77BB" w:rsidRDefault="00D009D8" w:rsidP="006634FB"/>
    <w:sectPr w:rsidR="00D009D8" w:rsidRPr="006B77BB" w:rsidSect="004B7B47">
      <w:footerReference w:type="even" r:id="rId27"/>
      <w:footerReference w:type="default" r:id="rId28"/>
      <w:pgSz w:w="11907" w:h="16840" w:code="9"/>
      <w:pgMar w:top="1134" w:right="1417"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DA5E6" w14:textId="77777777" w:rsidR="00EB79B6" w:rsidRDefault="00EB79B6" w:rsidP="0080531E">
      <w:pPr>
        <w:spacing w:before="0" w:after="0" w:line="240" w:lineRule="auto"/>
      </w:pPr>
      <w:r>
        <w:separator/>
      </w:r>
    </w:p>
    <w:p w14:paraId="74524B9B" w14:textId="77777777" w:rsidR="00EB79B6" w:rsidRDefault="00EB79B6"/>
  </w:endnote>
  <w:endnote w:type="continuationSeparator" w:id="0">
    <w:p w14:paraId="639F1FCD" w14:textId="77777777" w:rsidR="00EB79B6" w:rsidRDefault="00EB79B6" w:rsidP="0080531E">
      <w:pPr>
        <w:spacing w:before="0" w:after="0" w:line="240" w:lineRule="auto"/>
      </w:pPr>
      <w:r>
        <w:continuationSeparator/>
      </w:r>
    </w:p>
    <w:p w14:paraId="6A93D862" w14:textId="77777777" w:rsidR="00EB79B6" w:rsidRDefault="00EB79B6"/>
  </w:endnote>
  <w:endnote w:type="continuationNotice" w:id="1">
    <w:p w14:paraId="085A0E35" w14:textId="77777777" w:rsidR="00EB79B6" w:rsidRDefault="00EB79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FF7B" w14:textId="77777777" w:rsidR="00E5210B" w:rsidRDefault="00E5210B" w:rsidP="009F1D7F">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FD7D" w14:textId="77777777" w:rsidR="00E5210B" w:rsidRPr="00C25038" w:rsidRDefault="00014CDB" w:rsidP="00C25038">
    <w:pPr>
      <w:pStyle w:val="Footereven"/>
    </w:pPr>
    <w:r w:rsidRPr="004F458A">
      <w:rPr>
        <w:b/>
      </w:rPr>
      <w:fldChar w:fldCharType="begin"/>
    </w:r>
    <w:r w:rsidRPr="004F458A">
      <w:instrText xml:space="preserve"> PAGE </w:instrText>
    </w:r>
    <w:r w:rsidRPr="004F458A">
      <w:rPr>
        <w:b/>
      </w:rPr>
      <w:fldChar w:fldCharType="separate"/>
    </w:r>
    <w:r>
      <w:rPr>
        <w:b/>
      </w:rPr>
      <w:t>6</w:t>
    </w:r>
    <w:r w:rsidRPr="004F458A">
      <w:rPr>
        <w:b/>
      </w:rPr>
      <w:fldChar w:fldCharType="end"/>
    </w:r>
    <w:r w:rsidR="00C25038">
      <w:tab/>
      <w:t>New Zealand’s first emissions reduction plan: Amendment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882173"/>
      <w:docPartObj>
        <w:docPartGallery w:val="Page Numbers (Bottom of Page)"/>
        <w:docPartUnique/>
      </w:docPartObj>
    </w:sdtPr>
    <w:sdtEndPr>
      <w:rPr>
        <w:noProof/>
        <w:sz w:val="16"/>
        <w:szCs w:val="16"/>
      </w:rPr>
    </w:sdtEndPr>
    <w:sdtContent>
      <w:p w14:paraId="7C81919F" w14:textId="720446BC" w:rsidR="00E5210B" w:rsidRPr="0032688F" w:rsidRDefault="0032688F" w:rsidP="005F3600">
        <w:pPr>
          <w:pStyle w:val="Footer"/>
          <w:ind w:firstLine="3573"/>
          <w:jc w:val="right"/>
        </w:pPr>
        <w:r w:rsidRPr="0032688F">
          <w:rPr>
            <w:sz w:val="16"/>
            <w:szCs w:val="16"/>
          </w:rPr>
          <w:t>New Zealand’s first emissions reduction plan: Amendment 2024</w:t>
        </w:r>
        <w:r>
          <w:tab/>
        </w:r>
        <w:r w:rsidR="005F3600">
          <w:tab/>
        </w:r>
        <w:r w:rsidRPr="005F3600">
          <w:rPr>
            <w:sz w:val="16"/>
            <w:szCs w:val="16"/>
          </w:rPr>
          <w:fldChar w:fldCharType="begin"/>
        </w:r>
        <w:r w:rsidRPr="005F3600">
          <w:rPr>
            <w:sz w:val="16"/>
            <w:szCs w:val="16"/>
          </w:rPr>
          <w:instrText xml:space="preserve"> PAGE   \* MERGEFORMAT </w:instrText>
        </w:r>
        <w:r w:rsidRPr="005F3600">
          <w:rPr>
            <w:sz w:val="16"/>
            <w:szCs w:val="16"/>
          </w:rPr>
          <w:fldChar w:fldCharType="separate"/>
        </w:r>
        <w:r w:rsidRPr="005F3600">
          <w:rPr>
            <w:noProof/>
            <w:sz w:val="16"/>
            <w:szCs w:val="16"/>
          </w:rPr>
          <w:t>2</w:t>
        </w:r>
        <w:r w:rsidRPr="005F3600">
          <w:rPr>
            <w:noProof/>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848861"/>
      <w:docPartObj>
        <w:docPartGallery w:val="Page Numbers (Bottom of Page)"/>
        <w:docPartUnique/>
      </w:docPartObj>
    </w:sdtPr>
    <w:sdtEndPr>
      <w:rPr>
        <w:noProof/>
        <w:sz w:val="16"/>
        <w:szCs w:val="16"/>
      </w:rPr>
    </w:sdtEndPr>
    <w:sdtContent>
      <w:p w14:paraId="468419D0" w14:textId="146BE330" w:rsidR="00597853" w:rsidRPr="00090561" w:rsidRDefault="005F3600" w:rsidP="005F3600">
        <w:pPr>
          <w:pStyle w:val="Footer"/>
          <w:ind w:firstLine="3573"/>
          <w:jc w:val="right"/>
        </w:pPr>
        <w:r w:rsidRPr="0032688F">
          <w:rPr>
            <w:sz w:val="16"/>
            <w:szCs w:val="16"/>
          </w:rPr>
          <w:t>New Zealand’s first emissions reduction plan: Amendment 2024</w:t>
        </w:r>
        <w:r>
          <w:tab/>
        </w:r>
        <w:r>
          <w:tab/>
        </w:r>
        <w:r w:rsidRPr="005F3600">
          <w:rPr>
            <w:sz w:val="16"/>
            <w:szCs w:val="16"/>
          </w:rPr>
          <w:fldChar w:fldCharType="begin"/>
        </w:r>
        <w:r w:rsidRPr="005F3600">
          <w:rPr>
            <w:sz w:val="16"/>
            <w:szCs w:val="16"/>
          </w:rPr>
          <w:instrText xml:space="preserve"> PAGE   \* MERGEFORMAT </w:instrText>
        </w:r>
        <w:r w:rsidRPr="005F3600">
          <w:rPr>
            <w:sz w:val="16"/>
            <w:szCs w:val="16"/>
          </w:rPr>
          <w:fldChar w:fldCharType="separate"/>
        </w:r>
        <w:r>
          <w:rPr>
            <w:sz w:val="16"/>
            <w:szCs w:val="16"/>
          </w:rPr>
          <w:t>3</w:t>
        </w:r>
        <w:r w:rsidRPr="005F3600">
          <w:rPr>
            <w:noProof/>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93707" w14:textId="6956F89D"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597853">
      <w:t>New Zealand’s first emissions reduction plan: Amendment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9569" w14:textId="63BD6194" w:rsidR="00E453AB" w:rsidRDefault="00AE0512" w:rsidP="006829D2">
    <w:pPr>
      <w:pStyle w:val="Footerodd"/>
      <w:tabs>
        <w:tab w:val="clear" w:pos="7938"/>
        <w:tab w:val="left" w:pos="3544"/>
      </w:tabs>
    </w:pPr>
    <w:r>
      <w:tab/>
    </w:r>
    <w:r w:rsidR="00597853">
      <w:t>New Zealand’s first emissions reduction plan: Amendment 2024</w:t>
    </w:r>
    <w:r w:rsidR="006832BB">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94DBC" w14:textId="77777777" w:rsidR="00EB79B6" w:rsidRDefault="00EB79B6" w:rsidP="00CB5C5F">
      <w:pPr>
        <w:spacing w:before="0" w:after="80" w:line="240" w:lineRule="auto"/>
      </w:pPr>
      <w:r>
        <w:separator/>
      </w:r>
    </w:p>
  </w:footnote>
  <w:footnote w:type="continuationSeparator" w:id="0">
    <w:p w14:paraId="21D30D66" w14:textId="77777777" w:rsidR="00EB79B6" w:rsidRDefault="00EB79B6" w:rsidP="0080531E">
      <w:pPr>
        <w:spacing w:before="0" w:after="0" w:line="240" w:lineRule="auto"/>
      </w:pPr>
      <w:r>
        <w:continuationSeparator/>
      </w:r>
    </w:p>
    <w:p w14:paraId="38B5D29A" w14:textId="77777777" w:rsidR="00EB79B6" w:rsidRDefault="00EB79B6"/>
  </w:footnote>
  <w:footnote w:type="continuationNotice" w:id="1">
    <w:p w14:paraId="3EB5FA3C" w14:textId="77777777" w:rsidR="00EB79B6" w:rsidRDefault="00EB79B6">
      <w:pPr>
        <w:spacing w:before="0" w:after="0" w:line="240" w:lineRule="auto"/>
      </w:pPr>
    </w:p>
  </w:footnote>
  <w:footnote w:id="2">
    <w:p w14:paraId="5F6445C2" w14:textId="5B114DD8" w:rsidR="00C91843" w:rsidRPr="00E73023" w:rsidRDefault="00C91843" w:rsidP="003B22E6">
      <w:pPr>
        <w:pStyle w:val="FootnoteText"/>
        <w:ind w:left="426" w:hanging="426"/>
        <w:rPr>
          <w:sz w:val="18"/>
          <w:szCs w:val="18"/>
        </w:rPr>
      </w:pPr>
      <w:r w:rsidRPr="00E73023">
        <w:rPr>
          <w:rStyle w:val="FootnoteReference"/>
          <w:sz w:val="18"/>
          <w:szCs w:val="18"/>
        </w:rPr>
        <w:footnoteRef/>
      </w:r>
      <w:r w:rsidRPr="00E73023">
        <w:rPr>
          <w:sz w:val="18"/>
          <w:szCs w:val="18"/>
        </w:rPr>
        <w:t xml:space="preserve"> </w:t>
      </w:r>
      <w:r w:rsidR="00990745" w:rsidRPr="00E73023">
        <w:rPr>
          <w:sz w:val="18"/>
          <w:szCs w:val="18"/>
        </w:rPr>
        <w:tab/>
      </w:r>
      <w:r w:rsidRPr="00E73023">
        <w:rPr>
          <w:sz w:val="18"/>
          <w:szCs w:val="18"/>
        </w:rPr>
        <w:t>‘</w:t>
      </w:r>
      <w:r w:rsidR="0083548A" w:rsidRPr="00E73023">
        <w:rPr>
          <w:sz w:val="18"/>
          <w:szCs w:val="18"/>
        </w:rPr>
        <w:t>C</w:t>
      </w:r>
      <w:r w:rsidRPr="00E73023">
        <w:rPr>
          <w:sz w:val="18"/>
          <w:szCs w:val="18"/>
        </w:rPr>
        <w:t>ost</w:t>
      </w:r>
      <w:r w:rsidR="00C27231" w:rsidRPr="00E73023">
        <w:rPr>
          <w:sz w:val="18"/>
          <w:szCs w:val="18"/>
        </w:rPr>
        <w:t>-effective</w:t>
      </w:r>
      <w:r w:rsidRPr="00E73023">
        <w:rPr>
          <w:sz w:val="18"/>
          <w:szCs w:val="18"/>
        </w:rPr>
        <w:t xml:space="preserve">’ refers to minimising the overall cost to the nation of reducing emissions and shifting to net zero by 2050. The costs considered include </w:t>
      </w:r>
      <w:r w:rsidR="00990745" w:rsidRPr="00E73023">
        <w:rPr>
          <w:sz w:val="18"/>
          <w:szCs w:val="18"/>
        </w:rPr>
        <w:t xml:space="preserve">those </w:t>
      </w:r>
      <w:r w:rsidR="00EF4EB1" w:rsidRPr="00E73023">
        <w:rPr>
          <w:sz w:val="18"/>
          <w:szCs w:val="18"/>
        </w:rPr>
        <w:t>associated with</w:t>
      </w:r>
      <w:r w:rsidRPr="00E73023">
        <w:rPr>
          <w:sz w:val="18"/>
          <w:szCs w:val="18"/>
        </w:rPr>
        <w:t xml:space="preserve"> businesses and households investing in gross emissions reduction, fiscal costs to the Government, and the wider costs or benefits from changes to the things people value, such as clean air.</w:t>
      </w:r>
    </w:p>
  </w:footnote>
  <w:footnote w:id="3">
    <w:p w14:paraId="45396EBC" w14:textId="74906CE8" w:rsidR="005B601F" w:rsidRDefault="005B601F" w:rsidP="00E73023">
      <w:pPr>
        <w:pStyle w:val="FootnoteText"/>
      </w:pPr>
      <w:r>
        <w:rPr>
          <w:rStyle w:val="FootnoteReference"/>
        </w:rPr>
        <w:footnoteRef/>
      </w:r>
      <w:r>
        <w:t xml:space="preserve"> </w:t>
      </w:r>
      <w:r w:rsidR="00DB2B83">
        <w:tab/>
      </w:r>
      <w:hyperlink r:id="rId1" w:history="1">
        <w:r w:rsidRPr="005B601F">
          <w:rPr>
            <w:rStyle w:val="Hyperlink"/>
          </w:rPr>
          <w:t>The Government’s climate strategy | Ministry for the Environment</w:t>
        </w:r>
      </w:hyperlink>
    </w:p>
  </w:footnote>
  <w:footnote w:id="4">
    <w:p w14:paraId="5DD05564" w14:textId="020B99A7" w:rsidR="00182AEC" w:rsidRPr="004F6AAE" w:rsidRDefault="00182AEC" w:rsidP="00521955">
      <w:pPr>
        <w:pStyle w:val="FootnoteText"/>
        <w:tabs>
          <w:tab w:val="left" w:pos="426"/>
        </w:tabs>
        <w:ind w:left="426" w:hanging="426"/>
        <w:rPr>
          <w:sz w:val="18"/>
          <w:szCs w:val="18"/>
        </w:rPr>
      </w:pPr>
      <w:r w:rsidRPr="004F6AAE">
        <w:rPr>
          <w:rStyle w:val="FootnoteReference"/>
          <w:sz w:val="18"/>
          <w:szCs w:val="18"/>
        </w:rPr>
        <w:footnoteRef/>
      </w:r>
      <w:r w:rsidRPr="004F6AAE">
        <w:rPr>
          <w:sz w:val="18"/>
          <w:szCs w:val="18"/>
        </w:rPr>
        <w:t xml:space="preserve"> </w:t>
      </w:r>
      <w:r w:rsidR="00D42384">
        <w:rPr>
          <w:sz w:val="18"/>
          <w:szCs w:val="18"/>
        </w:rPr>
        <w:tab/>
      </w:r>
      <w:r w:rsidRPr="004F6AAE">
        <w:rPr>
          <w:sz w:val="18"/>
          <w:szCs w:val="18"/>
        </w:rPr>
        <w:t>‘Central estimate’ refers to the value believed to be most likely</w:t>
      </w:r>
      <w:r w:rsidR="005D63F9">
        <w:rPr>
          <w:sz w:val="18"/>
          <w:szCs w:val="18"/>
        </w:rPr>
        <w:t>,</w:t>
      </w:r>
      <w:r w:rsidRPr="004F6AAE">
        <w:rPr>
          <w:sz w:val="18"/>
          <w:szCs w:val="18"/>
        </w:rPr>
        <w:t xml:space="preserve"> based on </w:t>
      </w:r>
      <w:r w:rsidR="00130E7C">
        <w:rPr>
          <w:sz w:val="18"/>
          <w:szCs w:val="18"/>
        </w:rPr>
        <w:t xml:space="preserve">a </w:t>
      </w:r>
      <w:r w:rsidR="00130E7C" w:rsidRPr="002E07BA">
        <w:rPr>
          <w:sz w:val="18"/>
          <w:szCs w:val="18"/>
        </w:rPr>
        <w:t>spectrum of emissions scenarios</w:t>
      </w:r>
      <w:r w:rsidRPr="004F6AAE">
        <w:rPr>
          <w:sz w:val="18"/>
          <w:szCs w:val="18"/>
        </w:rPr>
        <w:t>.</w:t>
      </w:r>
    </w:p>
  </w:footnote>
  <w:footnote w:id="5">
    <w:p w14:paraId="731C145D" w14:textId="12B07960" w:rsidR="001C508E" w:rsidRDefault="001C508E" w:rsidP="00E73023">
      <w:pPr>
        <w:pStyle w:val="FootnoteText"/>
        <w:ind w:left="425" w:hanging="425"/>
      </w:pPr>
      <w:r>
        <w:rPr>
          <w:rStyle w:val="FootnoteReference"/>
        </w:rPr>
        <w:footnoteRef/>
      </w:r>
      <w:r>
        <w:t xml:space="preserve"> </w:t>
      </w:r>
      <w:r>
        <w:tab/>
      </w:r>
      <w:r w:rsidRPr="001C6D04">
        <w:rPr>
          <w:sz w:val="18"/>
          <w:szCs w:val="18"/>
        </w:rPr>
        <w:t>One tonne of carbon dioxide equivalent is 1,000 kg of emissions. One megatonne is 1 million tonnes of emissions. For scale: one tonne of emissions is roughly equal to nine trips from Auckland to Wellington in the average car (total of 5,847 km). One megatonne is this multiplied by one million.</w:t>
      </w:r>
    </w:p>
  </w:footnote>
  <w:footnote w:id="6">
    <w:p w14:paraId="0FD4623D" w14:textId="21AA8FC3" w:rsidR="00CC0A22" w:rsidRPr="00EF6632" w:rsidRDefault="00A87F7C" w:rsidP="00E73023">
      <w:pPr>
        <w:pStyle w:val="IEBheading3"/>
        <w:tabs>
          <w:tab w:val="left" w:pos="426"/>
        </w:tabs>
        <w:spacing w:before="0" w:after="60" w:line="240" w:lineRule="atLeast"/>
        <w:ind w:left="426" w:hanging="426"/>
        <w:rPr>
          <w:rFonts w:asciiTheme="minorHAnsi" w:eastAsia="Arial" w:hAnsiTheme="minorHAnsi" w:cstheme="minorHAnsi"/>
          <w:b w:val="0"/>
          <w:color w:val="auto"/>
          <w:kern w:val="0"/>
          <w:sz w:val="18"/>
          <w:szCs w:val="18"/>
          <w14:ligatures w14:val="none"/>
        </w:rPr>
      </w:pPr>
      <w:r w:rsidRPr="004F6AAE">
        <w:rPr>
          <w:rStyle w:val="FootnoteReference"/>
          <w:rFonts w:asciiTheme="minorHAnsi" w:hAnsiTheme="minorHAnsi" w:cstheme="minorHAnsi"/>
          <w:b w:val="0"/>
          <w:sz w:val="18"/>
          <w:szCs w:val="18"/>
        </w:rPr>
        <w:footnoteRef/>
      </w:r>
      <w:r w:rsidRPr="004F6AAE">
        <w:rPr>
          <w:rFonts w:asciiTheme="minorHAnsi" w:hAnsiTheme="minorHAnsi" w:cstheme="minorHAnsi"/>
          <w:b w:val="0"/>
          <w:color w:val="auto"/>
          <w:sz w:val="18"/>
          <w:szCs w:val="18"/>
        </w:rPr>
        <w:t xml:space="preserve"> </w:t>
      </w:r>
      <w:r w:rsidR="00D42384">
        <w:rPr>
          <w:rFonts w:asciiTheme="minorHAnsi" w:hAnsiTheme="minorHAnsi" w:cstheme="minorHAnsi"/>
          <w:b w:val="0"/>
          <w:color w:val="auto"/>
          <w:sz w:val="18"/>
          <w:szCs w:val="18"/>
        </w:rPr>
        <w:tab/>
      </w:r>
      <w:r w:rsidRPr="004F6AAE">
        <w:rPr>
          <w:rFonts w:asciiTheme="minorHAnsi" w:eastAsia="Arial" w:hAnsiTheme="minorHAnsi" w:cstheme="minorHAnsi"/>
          <w:b w:val="0"/>
          <w:color w:val="auto"/>
          <w:kern w:val="0"/>
          <w:sz w:val="18"/>
          <w:szCs w:val="18"/>
          <w14:ligatures w14:val="none"/>
        </w:rPr>
        <w:t>Our projections are impacted by three key factors: changes to underlying</w:t>
      </w:r>
      <w:r w:rsidR="00D42384">
        <w:rPr>
          <w:rFonts w:asciiTheme="minorHAnsi" w:eastAsia="Arial" w:hAnsiTheme="minorHAnsi" w:cstheme="minorHAnsi"/>
          <w:b w:val="0"/>
          <w:color w:val="auto"/>
          <w:kern w:val="0"/>
          <w:sz w:val="18"/>
          <w:szCs w:val="18"/>
          <w14:ligatures w14:val="none"/>
        </w:rPr>
        <w:t xml:space="preserve"> and</w:t>
      </w:r>
      <w:r w:rsidRPr="004F6AAE">
        <w:rPr>
          <w:rFonts w:asciiTheme="minorHAnsi" w:eastAsia="Arial" w:hAnsiTheme="minorHAnsi" w:cstheme="minorHAnsi"/>
          <w:b w:val="0"/>
          <w:color w:val="auto"/>
          <w:kern w:val="0"/>
          <w:sz w:val="18"/>
          <w:szCs w:val="18"/>
          <w14:ligatures w14:val="none"/>
        </w:rPr>
        <w:t>/</w:t>
      </w:r>
      <w:r w:rsidR="00D42384">
        <w:rPr>
          <w:rFonts w:asciiTheme="minorHAnsi" w:eastAsia="Arial" w:hAnsiTheme="minorHAnsi" w:cstheme="minorHAnsi"/>
          <w:b w:val="0"/>
          <w:color w:val="auto"/>
          <w:kern w:val="0"/>
          <w:sz w:val="18"/>
          <w:szCs w:val="18"/>
          <w14:ligatures w14:val="none"/>
        </w:rPr>
        <w:t xml:space="preserve">or </w:t>
      </w:r>
      <w:r w:rsidRPr="004F6AAE">
        <w:rPr>
          <w:rFonts w:asciiTheme="minorHAnsi" w:eastAsia="Arial" w:hAnsiTheme="minorHAnsi" w:cstheme="minorHAnsi"/>
          <w:b w:val="0"/>
          <w:color w:val="auto"/>
          <w:kern w:val="0"/>
          <w:sz w:val="18"/>
          <w:szCs w:val="18"/>
          <w14:ligatures w14:val="none"/>
        </w:rPr>
        <w:t xml:space="preserve">external factors such as population growth and GDP, </w:t>
      </w:r>
      <w:r w:rsidR="00272820">
        <w:rPr>
          <w:rFonts w:asciiTheme="minorHAnsi" w:eastAsia="Arial" w:hAnsiTheme="minorHAnsi" w:cstheme="minorHAnsi"/>
          <w:b w:val="0"/>
          <w:color w:val="auto"/>
          <w:kern w:val="0"/>
          <w:sz w:val="18"/>
          <w:szCs w:val="18"/>
          <w14:ligatures w14:val="none"/>
        </w:rPr>
        <w:t xml:space="preserve">and </w:t>
      </w:r>
      <w:r w:rsidRPr="004F6AAE">
        <w:rPr>
          <w:rFonts w:asciiTheme="minorHAnsi" w:eastAsia="Arial" w:hAnsiTheme="minorHAnsi" w:cstheme="minorHAnsi"/>
          <w:b w:val="0"/>
          <w:color w:val="auto"/>
          <w:kern w:val="0"/>
          <w:sz w:val="18"/>
          <w:szCs w:val="18"/>
          <w14:ligatures w14:val="none"/>
        </w:rPr>
        <w:t xml:space="preserve">rainfall levels; methodological improvements such as the science and how emissions are measured; and policy design and implementation. External factors and methodological changes can drive substantive shifts in how we are tracking towards emissions budgets. </w:t>
      </w:r>
    </w:p>
  </w:footnote>
  <w:footnote w:id="7">
    <w:p w14:paraId="079DBA43" w14:textId="77777777" w:rsidR="00A24624" w:rsidRPr="00186623" w:rsidRDefault="00A24624" w:rsidP="00E73023">
      <w:pPr>
        <w:pStyle w:val="FootnoteText"/>
        <w:ind w:left="425" w:hanging="425"/>
        <w:rPr>
          <w:sz w:val="18"/>
          <w:szCs w:val="18"/>
        </w:rPr>
      </w:pPr>
      <w:r w:rsidRPr="00186623">
        <w:rPr>
          <w:rStyle w:val="FootnoteReference"/>
          <w:sz w:val="18"/>
          <w:szCs w:val="18"/>
        </w:rPr>
        <w:footnoteRef/>
      </w:r>
      <w:r w:rsidRPr="00186623">
        <w:rPr>
          <w:sz w:val="18"/>
          <w:szCs w:val="18"/>
        </w:rPr>
        <w:t xml:space="preserve"> </w:t>
      </w:r>
      <w:r w:rsidRPr="00186623">
        <w:rPr>
          <w:sz w:val="18"/>
          <w:szCs w:val="18"/>
        </w:rPr>
        <w:tab/>
        <w:t xml:space="preserve">Ministry for the Environment. 2025. </w:t>
      </w:r>
      <w:hyperlink r:id="rId2" w:history="1">
        <w:r w:rsidRPr="00186623">
          <w:rPr>
            <w:rStyle w:val="Hyperlink"/>
            <w:i/>
            <w:iCs/>
            <w:sz w:val="18"/>
            <w:szCs w:val="18"/>
          </w:rPr>
          <w:t>New Zealand’s second emissions plan</w:t>
        </w:r>
        <w:r w:rsidRPr="00186623">
          <w:rPr>
            <w:rStyle w:val="Hyperlink"/>
            <w:sz w:val="18"/>
            <w:szCs w:val="18"/>
          </w:rPr>
          <w:t>:</w:t>
        </w:r>
        <w:r w:rsidRPr="00186623">
          <w:rPr>
            <w:rStyle w:val="Hyperlink"/>
            <w:i/>
            <w:iCs/>
            <w:sz w:val="18"/>
            <w:szCs w:val="18"/>
          </w:rPr>
          <w:t xml:space="preserve"> 2026–30</w:t>
        </w:r>
      </w:hyperlink>
      <w:r w:rsidRPr="00186623">
        <w:rPr>
          <w:sz w:val="18"/>
          <w:szCs w:val="18"/>
        </w:rPr>
        <w:t>. Wellington: Ministry for the Environment.</w:t>
      </w:r>
    </w:p>
  </w:footnote>
  <w:footnote w:id="8">
    <w:p w14:paraId="1AD02214" w14:textId="5CCF7459" w:rsidR="00597853" w:rsidRPr="00E73023" w:rsidRDefault="00597853" w:rsidP="00E73023">
      <w:pPr>
        <w:pStyle w:val="FootnoteText"/>
        <w:ind w:left="425" w:hanging="426"/>
        <w:rPr>
          <w:sz w:val="18"/>
          <w:szCs w:val="18"/>
        </w:rPr>
      </w:pPr>
      <w:r w:rsidRPr="00E73023">
        <w:rPr>
          <w:rStyle w:val="FootnoteReference"/>
          <w:sz w:val="18"/>
          <w:szCs w:val="18"/>
        </w:rPr>
        <w:footnoteRef/>
      </w:r>
      <w:r w:rsidRPr="00E73023">
        <w:rPr>
          <w:sz w:val="18"/>
          <w:szCs w:val="18"/>
        </w:rPr>
        <w:t xml:space="preserve"> </w:t>
      </w:r>
      <w:r w:rsidR="00891A23" w:rsidRPr="00E73023">
        <w:rPr>
          <w:sz w:val="18"/>
          <w:szCs w:val="18"/>
        </w:rPr>
        <w:tab/>
      </w:r>
      <w:hyperlink r:id="rId3" w:history="1">
        <w:r w:rsidRPr="00E73023">
          <w:rPr>
            <w:rStyle w:val="Hyperlink"/>
            <w:sz w:val="18"/>
            <w:szCs w:val="18"/>
          </w:rPr>
          <w:t>Aotearoa New Zealand's first emissions reduction plan (environment.govt.nz)</w:t>
        </w:r>
      </w:hyperlink>
    </w:p>
    <w:p w14:paraId="3DB81EBA" w14:textId="77777777" w:rsidR="00597853" w:rsidRPr="00E73023" w:rsidRDefault="00597853" w:rsidP="00E73023">
      <w:pPr>
        <w:pStyle w:val="FootnoteText"/>
        <w:ind w:left="425" w:hanging="29"/>
        <w:rPr>
          <w:rStyle w:val="Hyperlink"/>
          <w:sz w:val="18"/>
          <w:szCs w:val="18"/>
        </w:rPr>
      </w:pPr>
      <w:hyperlink r:id="rId4" w:history="1">
        <w:r w:rsidRPr="00E73023">
          <w:rPr>
            <w:rStyle w:val="Hyperlink"/>
            <w:sz w:val="18"/>
            <w:szCs w:val="18"/>
          </w:rPr>
          <w:t>Aotearoa New Zealand's first emissions reduction plan: Table of actions (environment.govt.nz)</w:t>
        </w:r>
      </w:hyperlink>
    </w:p>
    <w:p w14:paraId="19BFFD04" w14:textId="331D7869" w:rsidR="00154073" w:rsidRPr="00E73023" w:rsidRDefault="00154073" w:rsidP="00E73023">
      <w:pPr>
        <w:pStyle w:val="FootnoteText"/>
        <w:ind w:left="425" w:hanging="29"/>
        <w:rPr>
          <w:sz w:val="18"/>
          <w:szCs w:val="18"/>
        </w:rPr>
      </w:pPr>
      <w:hyperlink r:id="rId5" w:history="1">
        <w:r w:rsidRPr="00E73023">
          <w:rPr>
            <w:rStyle w:val="Hyperlink"/>
            <w:sz w:val="18"/>
            <w:szCs w:val="18"/>
          </w:rPr>
          <w:t>The Government’s climate strategy | Ministry for the Environment</w:t>
        </w:r>
      </w:hyperlink>
    </w:p>
  </w:footnote>
  <w:footnote w:id="9">
    <w:p w14:paraId="72CB1E0B" w14:textId="791B5A4C" w:rsidR="000D3AAF" w:rsidRDefault="000D3AAF" w:rsidP="00E73023">
      <w:pPr>
        <w:pStyle w:val="FootnoteText"/>
        <w:ind w:left="425" w:hanging="426"/>
      </w:pPr>
      <w:r w:rsidRPr="00E73023">
        <w:rPr>
          <w:rStyle w:val="FootnoteReference"/>
          <w:sz w:val="18"/>
          <w:szCs w:val="18"/>
        </w:rPr>
        <w:footnoteRef/>
      </w:r>
      <w:r w:rsidRPr="00E73023">
        <w:rPr>
          <w:sz w:val="18"/>
          <w:szCs w:val="18"/>
        </w:rPr>
        <w:t xml:space="preserve"> </w:t>
      </w:r>
      <w:r w:rsidR="00891A23" w:rsidRPr="00E73023">
        <w:rPr>
          <w:sz w:val="18"/>
          <w:szCs w:val="18"/>
        </w:rPr>
        <w:tab/>
      </w:r>
      <w:r w:rsidRPr="00E73023">
        <w:rPr>
          <w:sz w:val="18"/>
          <w:szCs w:val="18"/>
        </w:rPr>
        <w:t>Climate Change Response Act 2002 section 5ZI(3)(a) provides that, when an amendment is undertaken, and that amendment is more than minor or technical, the same process as that of preparing an emissions reduction plan is followed.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4AF9" w14:textId="77777777" w:rsidR="00DE7BF8" w:rsidRPr="00DE7BF8" w:rsidRDefault="00DE7BF8" w:rsidP="009F1D7F">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0718" w14:textId="77777777" w:rsidR="00E5210B" w:rsidRDefault="00E52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D083" w14:textId="77777777" w:rsidR="00E5210B" w:rsidRPr="00DE7BF8" w:rsidRDefault="00E5210B" w:rsidP="009F1D7F">
    <w:pPr>
      <w:pStyle w:val="Header"/>
      <w:jc w:val="lef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1996"/>
    <w:multiLevelType w:val="hybridMultilevel"/>
    <w:tmpl w:val="736ED0F2"/>
    <w:lvl w:ilvl="0" w:tplc="839A09D0">
      <w:numFmt w:val="bullet"/>
      <w:lvlText w:val=""/>
      <w:lvlJc w:val="left"/>
      <w:pPr>
        <w:ind w:left="386" w:hanging="284"/>
      </w:pPr>
      <w:rPr>
        <w:rFonts w:ascii="Symbol" w:eastAsia="Symbol" w:hAnsi="Symbol" w:cs="Symbol" w:hint="default"/>
        <w:b w:val="0"/>
        <w:bCs w:val="0"/>
        <w:i w:val="0"/>
        <w:iCs w:val="0"/>
        <w:spacing w:val="0"/>
        <w:w w:val="100"/>
        <w:sz w:val="16"/>
        <w:szCs w:val="16"/>
        <w:lang w:val="en-US" w:eastAsia="en-US" w:bidi="ar-SA"/>
      </w:rPr>
    </w:lvl>
    <w:lvl w:ilvl="1" w:tplc="CF5EF858">
      <w:numFmt w:val="bullet"/>
      <w:lvlText w:val="•"/>
      <w:lvlJc w:val="left"/>
      <w:pPr>
        <w:ind w:left="865" w:hanging="284"/>
      </w:pPr>
      <w:rPr>
        <w:rFonts w:hint="default"/>
        <w:lang w:val="en-US" w:eastAsia="en-US" w:bidi="ar-SA"/>
      </w:rPr>
    </w:lvl>
    <w:lvl w:ilvl="2" w:tplc="00BA4554">
      <w:numFmt w:val="bullet"/>
      <w:lvlText w:val="•"/>
      <w:lvlJc w:val="left"/>
      <w:pPr>
        <w:ind w:left="1351" w:hanging="284"/>
      </w:pPr>
      <w:rPr>
        <w:rFonts w:hint="default"/>
        <w:lang w:val="en-US" w:eastAsia="en-US" w:bidi="ar-SA"/>
      </w:rPr>
    </w:lvl>
    <w:lvl w:ilvl="3" w:tplc="29FAD11A">
      <w:numFmt w:val="bullet"/>
      <w:lvlText w:val="•"/>
      <w:lvlJc w:val="left"/>
      <w:pPr>
        <w:ind w:left="1836" w:hanging="284"/>
      </w:pPr>
      <w:rPr>
        <w:rFonts w:hint="default"/>
        <w:lang w:val="en-US" w:eastAsia="en-US" w:bidi="ar-SA"/>
      </w:rPr>
    </w:lvl>
    <w:lvl w:ilvl="4" w:tplc="7B32BC38">
      <w:numFmt w:val="bullet"/>
      <w:lvlText w:val="•"/>
      <w:lvlJc w:val="left"/>
      <w:pPr>
        <w:ind w:left="2322" w:hanging="284"/>
      </w:pPr>
      <w:rPr>
        <w:rFonts w:hint="default"/>
        <w:lang w:val="en-US" w:eastAsia="en-US" w:bidi="ar-SA"/>
      </w:rPr>
    </w:lvl>
    <w:lvl w:ilvl="5" w:tplc="59F0C21E">
      <w:numFmt w:val="bullet"/>
      <w:lvlText w:val="•"/>
      <w:lvlJc w:val="left"/>
      <w:pPr>
        <w:ind w:left="2807" w:hanging="284"/>
      </w:pPr>
      <w:rPr>
        <w:rFonts w:hint="default"/>
        <w:lang w:val="en-US" w:eastAsia="en-US" w:bidi="ar-SA"/>
      </w:rPr>
    </w:lvl>
    <w:lvl w:ilvl="6" w:tplc="9B689134">
      <w:numFmt w:val="bullet"/>
      <w:lvlText w:val="•"/>
      <w:lvlJc w:val="left"/>
      <w:pPr>
        <w:ind w:left="3293" w:hanging="284"/>
      </w:pPr>
      <w:rPr>
        <w:rFonts w:hint="default"/>
        <w:lang w:val="en-US" w:eastAsia="en-US" w:bidi="ar-SA"/>
      </w:rPr>
    </w:lvl>
    <w:lvl w:ilvl="7" w:tplc="1A8E13DE">
      <w:numFmt w:val="bullet"/>
      <w:lvlText w:val="•"/>
      <w:lvlJc w:val="left"/>
      <w:pPr>
        <w:ind w:left="3778" w:hanging="284"/>
      </w:pPr>
      <w:rPr>
        <w:rFonts w:hint="default"/>
        <w:lang w:val="en-US" w:eastAsia="en-US" w:bidi="ar-SA"/>
      </w:rPr>
    </w:lvl>
    <w:lvl w:ilvl="8" w:tplc="8792694E">
      <w:numFmt w:val="bullet"/>
      <w:lvlText w:val="•"/>
      <w:lvlJc w:val="left"/>
      <w:pPr>
        <w:ind w:left="4264" w:hanging="284"/>
      </w:pPr>
      <w:rPr>
        <w:rFonts w:hint="default"/>
        <w:lang w:val="en-US" w:eastAsia="en-US" w:bidi="ar-SA"/>
      </w:rPr>
    </w:lvl>
  </w:abstractNum>
  <w:abstractNum w:abstractNumId="1"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C7335E"/>
    <w:multiLevelType w:val="hybridMultilevel"/>
    <w:tmpl w:val="B4D4BC50"/>
    <w:lvl w:ilvl="0" w:tplc="BA7EE3CC">
      <w:start w:val="1"/>
      <w:numFmt w:val="bullet"/>
      <w:lvlText w:val=""/>
      <w:lvlJc w:val="left"/>
      <w:pPr>
        <w:ind w:left="1440" w:hanging="360"/>
      </w:pPr>
      <w:rPr>
        <w:rFonts w:ascii="Symbol" w:hAnsi="Symbol"/>
      </w:rPr>
    </w:lvl>
    <w:lvl w:ilvl="1" w:tplc="93B4D476">
      <w:start w:val="1"/>
      <w:numFmt w:val="bullet"/>
      <w:lvlText w:val=""/>
      <w:lvlJc w:val="left"/>
      <w:pPr>
        <w:ind w:left="1440" w:hanging="360"/>
      </w:pPr>
      <w:rPr>
        <w:rFonts w:ascii="Symbol" w:hAnsi="Symbol"/>
      </w:rPr>
    </w:lvl>
    <w:lvl w:ilvl="2" w:tplc="4EFA4D96">
      <w:start w:val="1"/>
      <w:numFmt w:val="bullet"/>
      <w:lvlText w:val=""/>
      <w:lvlJc w:val="left"/>
      <w:pPr>
        <w:ind w:left="1440" w:hanging="360"/>
      </w:pPr>
      <w:rPr>
        <w:rFonts w:ascii="Symbol" w:hAnsi="Symbol"/>
      </w:rPr>
    </w:lvl>
    <w:lvl w:ilvl="3" w:tplc="CEFAF0F8">
      <w:start w:val="1"/>
      <w:numFmt w:val="bullet"/>
      <w:lvlText w:val=""/>
      <w:lvlJc w:val="left"/>
      <w:pPr>
        <w:ind w:left="1440" w:hanging="360"/>
      </w:pPr>
      <w:rPr>
        <w:rFonts w:ascii="Symbol" w:hAnsi="Symbol"/>
      </w:rPr>
    </w:lvl>
    <w:lvl w:ilvl="4" w:tplc="20025CF4">
      <w:start w:val="1"/>
      <w:numFmt w:val="bullet"/>
      <w:lvlText w:val=""/>
      <w:lvlJc w:val="left"/>
      <w:pPr>
        <w:ind w:left="1440" w:hanging="360"/>
      </w:pPr>
      <w:rPr>
        <w:rFonts w:ascii="Symbol" w:hAnsi="Symbol"/>
      </w:rPr>
    </w:lvl>
    <w:lvl w:ilvl="5" w:tplc="5D96B2A8">
      <w:start w:val="1"/>
      <w:numFmt w:val="bullet"/>
      <w:lvlText w:val=""/>
      <w:lvlJc w:val="left"/>
      <w:pPr>
        <w:ind w:left="1440" w:hanging="360"/>
      </w:pPr>
      <w:rPr>
        <w:rFonts w:ascii="Symbol" w:hAnsi="Symbol"/>
      </w:rPr>
    </w:lvl>
    <w:lvl w:ilvl="6" w:tplc="61325526">
      <w:start w:val="1"/>
      <w:numFmt w:val="bullet"/>
      <w:lvlText w:val=""/>
      <w:lvlJc w:val="left"/>
      <w:pPr>
        <w:ind w:left="1440" w:hanging="360"/>
      </w:pPr>
      <w:rPr>
        <w:rFonts w:ascii="Symbol" w:hAnsi="Symbol"/>
      </w:rPr>
    </w:lvl>
    <w:lvl w:ilvl="7" w:tplc="F1A87DBE">
      <w:start w:val="1"/>
      <w:numFmt w:val="bullet"/>
      <w:lvlText w:val=""/>
      <w:lvlJc w:val="left"/>
      <w:pPr>
        <w:ind w:left="1440" w:hanging="360"/>
      </w:pPr>
      <w:rPr>
        <w:rFonts w:ascii="Symbol" w:hAnsi="Symbol"/>
      </w:rPr>
    </w:lvl>
    <w:lvl w:ilvl="8" w:tplc="78D61CF2">
      <w:start w:val="1"/>
      <w:numFmt w:val="bullet"/>
      <w:lvlText w:val=""/>
      <w:lvlJc w:val="left"/>
      <w:pPr>
        <w:ind w:left="1440" w:hanging="360"/>
      </w:pPr>
      <w:rPr>
        <w:rFonts w:ascii="Symbol" w:hAnsi="Symbol"/>
      </w:rPr>
    </w:lvl>
  </w:abstractNum>
  <w:abstractNum w:abstractNumId="6" w15:restartNumberingAfterBreak="0">
    <w:nsid w:val="19CF5CF7"/>
    <w:multiLevelType w:val="hybridMultilevel"/>
    <w:tmpl w:val="60D42F86"/>
    <w:lvl w:ilvl="0" w:tplc="A896241E">
      <w:numFmt w:val="bullet"/>
      <w:lvlText w:val=""/>
      <w:lvlJc w:val="left"/>
      <w:pPr>
        <w:ind w:left="386" w:hanging="284"/>
      </w:pPr>
      <w:rPr>
        <w:rFonts w:ascii="Symbol" w:eastAsia="Symbol" w:hAnsi="Symbol" w:cs="Symbol" w:hint="default"/>
        <w:b w:val="0"/>
        <w:bCs w:val="0"/>
        <w:i w:val="0"/>
        <w:iCs w:val="0"/>
        <w:spacing w:val="0"/>
        <w:w w:val="100"/>
        <w:sz w:val="16"/>
        <w:szCs w:val="16"/>
        <w:lang w:val="en-US" w:eastAsia="en-US" w:bidi="ar-SA"/>
      </w:rPr>
    </w:lvl>
    <w:lvl w:ilvl="1" w:tplc="18B2D9C8">
      <w:numFmt w:val="bullet"/>
      <w:lvlText w:val=""/>
      <w:lvlJc w:val="left"/>
      <w:pPr>
        <w:ind w:left="669" w:hanging="284"/>
      </w:pPr>
      <w:rPr>
        <w:rFonts w:ascii="Symbol" w:eastAsia="Symbol" w:hAnsi="Symbol" w:cs="Symbol" w:hint="default"/>
        <w:b w:val="0"/>
        <w:bCs w:val="0"/>
        <w:i w:val="0"/>
        <w:iCs w:val="0"/>
        <w:spacing w:val="0"/>
        <w:w w:val="100"/>
        <w:sz w:val="16"/>
        <w:szCs w:val="16"/>
        <w:lang w:val="en-US" w:eastAsia="en-US" w:bidi="ar-SA"/>
      </w:rPr>
    </w:lvl>
    <w:lvl w:ilvl="2" w:tplc="68CA96DC">
      <w:numFmt w:val="bullet"/>
      <w:lvlText w:val="•"/>
      <w:lvlJc w:val="left"/>
      <w:pPr>
        <w:ind w:left="1215" w:hanging="284"/>
      </w:pPr>
      <w:rPr>
        <w:rFonts w:hint="default"/>
        <w:lang w:val="en-US" w:eastAsia="en-US" w:bidi="ar-SA"/>
      </w:rPr>
    </w:lvl>
    <w:lvl w:ilvl="3" w:tplc="F24CF3B4">
      <w:numFmt w:val="bullet"/>
      <w:lvlText w:val="•"/>
      <w:lvlJc w:val="left"/>
      <w:pPr>
        <w:ind w:left="1771" w:hanging="284"/>
      </w:pPr>
      <w:rPr>
        <w:rFonts w:hint="default"/>
        <w:lang w:val="en-US" w:eastAsia="en-US" w:bidi="ar-SA"/>
      </w:rPr>
    </w:lvl>
    <w:lvl w:ilvl="4" w:tplc="F45887D0">
      <w:numFmt w:val="bullet"/>
      <w:lvlText w:val="•"/>
      <w:lvlJc w:val="left"/>
      <w:pPr>
        <w:ind w:left="2326" w:hanging="284"/>
      </w:pPr>
      <w:rPr>
        <w:rFonts w:hint="default"/>
        <w:lang w:val="en-US" w:eastAsia="en-US" w:bidi="ar-SA"/>
      </w:rPr>
    </w:lvl>
    <w:lvl w:ilvl="5" w:tplc="CAB40C78">
      <w:numFmt w:val="bullet"/>
      <w:lvlText w:val="•"/>
      <w:lvlJc w:val="left"/>
      <w:pPr>
        <w:ind w:left="2882" w:hanging="284"/>
      </w:pPr>
      <w:rPr>
        <w:rFonts w:hint="default"/>
        <w:lang w:val="en-US" w:eastAsia="en-US" w:bidi="ar-SA"/>
      </w:rPr>
    </w:lvl>
    <w:lvl w:ilvl="6" w:tplc="B72EDBCC">
      <w:numFmt w:val="bullet"/>
      <w:lvlText w:val="•"/>
      <w:lvlJc w:val="left"/>
      <w:pPr>
        <w:ind w:left="3437" w:hanging="284"/>
      </w:pPr>
      <w:rPr>
        <w:rFonts w:hint="default"/>
        <w:lang w:val="en-US" w:eastAsia="en-US" w:bidi="ar-SA"/>
      </w:rPr>
    </w:lvl>
    <w:lvl w:ilvl="7" w:tplc="B75CBC68">
      <w:numFmt w:val="bullet"/>
      <w:lvlText w:val="•"/>
      <w:lvlJc w:val="left"/>
      <w:pPr>
        <w:ind w:left="3993" w:hanging="284"/>
      </w:pPr>
      <w:rPr>
        <w:rFonts w:hint="default"/>
        <w:lang w:val="en-US" w:eastAsia="en-US" w:bidi="ar-SA"/>
      </w:rPr>
    </w:lvl>
    <w:lvl w:ilvl="8" w:tplc="7C20371A">
      <w:numFmt w:val="bullet"/>
      <w:lvlText w:val="•"/>
      <w:lvlJc w:val="left"/>
      <w:pPr>
        <w:ind w:left="4548" w:hanging="284"/>
      </w:pPr>
      <w:rPr>
        <w:rFonts w:hint="default"/>
        <w:lang w:val="en-US" w:eastAsia="en-US" w:bidi="ar-SA"/>
      </w:rPr>
    </w:lvl>
  </w:abstractNum>
  <w:abstractNum w:abstractNumId="7"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8"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1"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722C93"/>
    <w:multiLevelType w:val="hybridMultilevel"/>
    <w:tmpl w:val="626C6192"/>
    <w:lvl w:ilvl="0" w:tplc="14090001">
      <w:start w:val="1"/>
      <w:numFmt w:val="bullet"/>
      <w:lvlText w:val=""/>
      <w:lvlJc w:val="left"/>
      <w:pPr>
        <w:ind w:left="757" w:hanging="360"/>
      </w:pPr>
      <w:rPr>
        <w:rFonts w:ascii="Symbol" w:hAnsi="Symbol" w:hint="default"/>
      </w:rPr>
    </w:lvl>
    <w:lvl w:ilvl="1" w:tplc="14090003" w:tentative="1">
      <w:start w:val="1"/>
      <w:numFmt w:val="bullet"/>
      <w:lvlText w:val="o"/>
      <w:lvlJc w:val="left"/>
      <w:pPr>
        <w:ind w:left="1477" w:hanging="360"/>
      </w:pPr>
      <w:rPr>
        <w:rFonts w:ascii="Courier New" w:hAnsi="Courier New" w:cs="Courier New" w:hint="default"/>
      </w:rPr>
    </w:lvl>
    <w:lvl w:ilvl="2" w:tplc="14090005" w:tentative="1">
      <w:start w:val="1"/>
      <w:numFmt w:val="bullet"/>
      <w:lvlText w:val=""/>
      <w:lvlJc w:val="left"/>
      <w:pPr>
        <w:ind w:left="2197" w:hanging="360"/>
      </w:pPr>
      <w:rPr>
        <w:rFonts w:ascii="Wingdings" w:hAnsi="Wingdings" w:hint="default"/>
      </w:rPr>
    </w:lvl>
    <w:lvl w:ilvl="3" w:tplc="14090001" w:tentative="1">
      <w:start w:val="1"/>
      <w:numFmt w:val="bullet"/>
      <w:lvlText w:val=""/>
      <w:lvlJc w:val="left"/>
      <w:pPr>
        <w:ind w:left="2917" w:hanging="360"/>
      </w:pPr>
      <w:rPr>
        <w:rFonts w:ascii="Symbol" w:hAnsi="Symbol" w:hint="default"/>
      </w:rPr>
    </w:lvl>
    <w:lvl w:ilvl="4" w:tplc="14090003" w:tentative="1">
      <w:start w:val="1"/>
      <w:numFmt w:val="bullet"/>
      <w:lvlText w:val="o"/>
      <w:lvlJc w:val="left"/>
      <w:pPr>
        <w:ind w:left="3637" w:hanging="360"/>
      </w:pPr>
      <w:rPr>
        <w:rFonts w:ascii="Courier New" w:hAnsi="Courier New" w:cs="Courier New" w:hint="default"/>
      </w:rPr>
    </w:lvl>
    <w:lvl w:ilvl="5" w:tplc="14090005" w:tentative="1">
      <w:start w:val="1"/>
      <w:numFmt w:val="bullet"/>
      <w:lvlText w:val=""/>
      <w:lvlJc w:val="left"/>
      <w:pPr>
        <w:ind w:left="4357" w:hanging="360"/>
      </w:pPr>
      <w:rPr>
        <w:rFonts w:ascii="Wingdings" w:hAnsi="Wingdings" w:hint="default"/>
      </w:rPr>
    </w:lvl>
    <w:lvl w:ilvl="6" w:tplc="14090001" w:tentative="1">
      <w:start w:val="1"/>
      <w:numFmt w:val="bullet"/>
      <w:lvlText w:val=""/>
      <w:lvlJc w:val="left"/>
      <w:pPr>
        <w:ind w:left="5077" w:hanging="360"/>
      </w:pPr>
      <w:rPr>
        <w:rFonts w:ascii="Symbol" w:hAnsi="Symbol" w:hint="default"/>
      </w:rPr>
    </w:lvl>
    <w:lvl w:ilvl="7" w:tplc="14090003" w:tentative="1">
      <w:start w:val="1"/>
      <w:numFmt w:val="bullet"/>
      <w:lvlText w:val="o"/>
      <w:lvlJc w:val="left"/>
      <w:pPr>
        <w:ind w:left="5797" w:hanging="360"/>
      </w:pPr>
      <w:rPr>
        <w:rFonts w:ascii="Courier New" w:hAnsi="Courier New" w:cs="Courier New" w:hint="default"/>
      </w:rPr>
    </w:lvl>
    <w:lvl w:ilvl="8" w:tplc="14090005" w:tentative="1">
      <w:start w:val="1"/>
      <w:numFmt w:val="bullet"/>
      <w:lvlText w:val=""/>
      <w:lvlJc w:val="left"/>
      <w:pPr>
        <w:ind w:left="6517" w:hanging="360"/>
      </w:pPr>
      <w:rPr>
        <w:rFonts w:ascii="Wingdings" w:hAnsi="Wingdings" w:hint="default"/>
      </w:rPr>
    </w:lvl>
  </w:abstractNum>
  <w:abstractNum w:abstractNumId="14"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7" w15:restartNumberingAfterBreak="0">
    <w:nsid w:val="2E6F201E"/>
    <w:multiLevelType w:val="multilevel"/>
    <w:tmpl w:val="C7440BB4"/>
    <w:numStyleLink w:val="Style2"/>
  </w:abstractNum>
  <w:abstractNum w:abstractNumId="18"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9"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2A68AC"/>
    <w:multiLevelType w:val="hybridMultilevel"/>
    <w:tmpl w:val="0EEE448A"/>
    <w:lvl w:ilvl="0" w:tplc="4FD88404">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8"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0"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B5A644A"/>
    <w:multiLevelType w:val="hybridMultilevel"/>
    <w:tmpl w:val="517C5D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FDD5DE4"/>
    <w:multiLevelType w:val="hybridMultilevel"/>
    <w:tmpl w:val="5B6A484C"/>
    <w:lvl w:ilvl="0" w:tplc="E408B218">
      <w:numFmt w:val="bullet"/>
      <w:lvlText w:val=""/>
      <w:lvlJc w:val="left"/>
      <w:pPr>
        <w:ind w:left="386" w:hanging="284"/>
      </w:pPr>
      <w:rPr>
        <w:rFonts w:ascii="Symbol" w:eastAsia="Symbol" w:hAnsi="Symbol" w:cs="Symbol" w:hint="default"/>
        <w:b w:val="0"/>
        <w:bCs w:val="0"/>
        <w:i w:val="0"/>
        <w:iCs w:val="0"/>
        <w:spacing w:val="0"/>
        <w:w w:val="100"/>
        <w:sz w:val="16"/>
        <w:szCs w:val="16"/>
        <w:lang w:val="en-US" w:eastAsia="en-US" w:bidi="ar-SA"/>
      </w:rPr>
    </w:lvl>
    <w:lvl w:ilvl="1" w:tplc="F0383890">
      <w:numFmt w:val="bullet"/>
      <w:lvlText w:val="•"/>
      <w:lvlJc w:val="left"/>
      <w:pPr>
        <w:ind w:left="908" w:hanging="284"/>
      </w:pPr>
      <w:rPr>
        <w:rFonts w:hint="default"/>
        <w:lang w:val="en-US" w:eastAsia="en-US" w:bidi="ar-SA"/>
      </w:rPr>
    </w:lvl>
    <w:lvl w:ilvl="2" w:tplc="358A443E">
      <w:numFmt w:val="bullet"/>
      <w:lvlText w:val="•"/>
      <w:lvlJc w:val="left"/>
      <w:pPr>
        <w:ind w:left="1436" w:hanging="284"/>
      </w:pPr>
      <w:rPr>
        <w:rFonts w:hint="default"/>
        <w:lang w:val="en-US" w:eastAsia="en-US" w:bidi="ar-SA"/>
      </w:rPr>
    </w:lvl>
    <w:lvl w:ilvl="3" w:tplc="68B2D81A">
      <w:numFmt w:val="bullet"/>
      <w:lvlText w:val="•"/>
      <w:lvlJc w:val="left"/>
      <w:pPr>
        <w:ind w:left="1964" w:hanging="284"/>
      </w:pPr>
      <w:rPr>
        <w:rFonts w:hint="default"/>
        <w:lang w:val="en-US" w:eastAsia="en-US" w:bidi="ar-SA"/>
      </w:rPr>
    </w:lvl>
    <w:lvl w:ilvl="4" w:tplc="0D14059E">
      <w:numFmt w:val="bullet"/>
      <w:lvlText w:val="•"/>
      <w:lvlJc w:val="left"/>
      <w:pPr>
        <w:ind w:left="2492" w:hanging="284"/>
      </w:pPr>
      <w:rPr>
        <w:rFonts w:hint="default"/>
        <w:lang w:val="en-US" w:eastAsia="en-US" w:bidi="ar-SA"/>
      </w:rPr>
    </w:lvl>
    <w:lvl w:ilvl="5" w:tplc="01C070DC">
      <w:numFmt w:val="bullet"/>
      <w:lvlText w:val="•"/>
      <w:lvlJc w:val="left"/>
      <w:pPr>
        <w:ind w:left="3020" w:hanging="284"/>
      </w:pPr>
      <w:rPr>
        <w:rFonts w:hint="default"/>
        <w:lang w:val="en-US" w:eastAsia="en-US" w:bidi="ar-SA"/>
      </w:rPr>
    </w:lvl>
    <w:lvl w:ilvl="6" w:tplc="2F0AFA54">
      <w:numFmt w:val="bullet"/>
      <w:lvlText w:val="•"/>
      <w:lvlJc w:val="left"/>
      <w:pPr>
        <w:ind w:left="3548" w:hanging="284"/>
      </w:pPr>
      <w:rPr>
        <w:rFonts w:hint="default"/>
        <w:lang w:val="en-US" w:eastAsia="en-US" w:bidi="ar-SA"/>
      </w:rPr>
    </w:lvl>
    <w:lvl w:ilvl="7" w:tplc="21202996">
      <w:numFmt w:val="bullet"/>
      <w:lvlText w:val="•"/>
      <w:lvlJc w:val="left"/>
      <w:pPr>
        <w:ind w:left="4076" w:hanging="284"/>
      </w:pPr>
      <w:rPr>
        <w:rFonts w:hint="default"/>
        <w:lang w:val="en-US" w:eastAsia="en-US" w:bidi="ar-SA"/>
      </w:rPr>
    </w:lvl>
    <w:lvl w:ilvl="8" w:tplc="E4088CA2">
      <w:numFmt w:val="bullet"/>
      <w:lvlText w:val="•"/>
      <w:lvlJc w:val="left"/>
      <w:pPr>
        <w:ind w:left="4604" w:hanging="284"/>
      </w:pPr>
      <w:rPr>
        <w:rFonts w:hint="default"/>
        <w:lang w:val="en-US" w:eastAsia="en-US" w:bidi="ar-SA"/>
      </w:rPr>
    </w:lvl>
  </w:abstractNum>
  <w:abstractNum w:abstractNumId="34"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0D25B3"/>
    <w:multiLevelType w:val="hybridMultilevel"/>
    <w:tmpl w:val="1B4EE31A"/>
    <w:lvl w:ilvl="0" w:tplc="D9005E5C">
      <w:start w:val="1"/>
      <w:numFmt w:val="bullet"/>
      <w:lvlText w:val=""/>
      <w:lvlJc w:val="left"/>
      <w:pPr>
        <w:ind w:left="1440" w:hanging="360"/>
      </w:pPr>
      <w:rPr>
        <w:rFonts w:ascii="Symbol" w:hAnsi="Symbol"/>
      </w:rPr>
    </w:lvl>
    <w:lvl w:ilvl="1" w:tplc="65F03CCC">
      <w:start w:val="1"/>
      <w:numFmt w:val="bullet"/>
      <w:lvlText w:val=""/>
      <w:lvlJc w:val="left"/>
      <w:pPr>
        <w:ind w:left="1440" w:hanging="360"/>
      </w:pPr>
      <w:rPr>
        <w:rFonts w:ascii="Symbol" w:hAnsi="Symbol"/>
      </w:rPr>
    </w:lvl>
    <w:lvl w:ilvl="2" w:tplc="ECD8BA54">
      <w:start w:val="1"/>
      <w:numFmt w:val="bullet"/>
      <w:lvlText w:val=""/>
      <w:lvlJc w:val="left"/>
      <w:pPr>
        <w:ind w:left="1440" w:hanging="360"/>
      </w:pPr>
      <w:rPr>
        <w:rFonts w:ascii="Symbol" w:hAnsi="Symbol"/>
      </w:rPr>
    </w:lvl>
    <w:lvl w:ilvl="3" w:tplc="B0761608">
      <w:start w:val="1"/>
      <w:numFmt w:val="bullet"/>
      <w:lvlText w:val=""/>
      <w:lvlJc w:val="left"/>
      <w:pPr>
        <w:ind w:left="1440" w:hanging="360"/>
      </w:pPr>
      <w:rPr>
        <w:rFonts w:ascii="Symbol" w:hAnsi="Symbol"/>
      </w:rPr>
    </w:lvl>
    <w:lvl w:ilvl="4" w:tplc="96BE7F98">
      <w:start w:val="1"/>
      <w:numFmt w:val="bullet"/>
      <w:lvlText w:val=""/>
      <w:lvlJc w:val="left"/>
      <w:pPr>
        <w:ind w:left="1440" w:hanging="360"/>
      </w:pPr>
      <w:rPr>
        <w:rFonts w:ascii="Symbol" w:hAnsi="Symbol"/>
      </w:rPr>
    </w:lvl>
    <w:lvl w:ilvl="5" w:tplc="5432956A">
      <w:start w:val="1"/>
      <w:numFmt w:val="bullet"/>
      <w:lvlText w:val=""/>
      <w:lvlJc w:val="left"/>
      <w:pPr>
        <w:ind w:left="1440" w:hanging="360"/>
      </w:pPr>
      <w:rPr>
        <w:rFonts w:ascii="Symbol" w:hAnsi="Symbol"/>
      </w:rPr>
    </w:lvl>
    <w:lvl w:ilvl="6" w:tplc="A5A8B52E">
      <w:start w:val="1"/>
      <w:numFmt w:val="bullet"/>
      <w:lvlText w:val=""/>
      <w:lvlJc w:val="left"/>
      <w:pPr>
        <w:ind w:left="1440" w:hanging="360"/>
      </w:pPr>
      <w:rPr>
        <w:rFonts w:ascii="Symbol" w:hAnsi="Symbol"/>
      </w:rPr>
    </w:lvl>
    <w:lvl w:ilvl="7" w:tplc="35243584">
      <w:start w:val="1"/>
      <w:numFmt w:val="bullet"/>
      <w:lvlText w:val=""/>
      <w:lvlJc w:val="left"/>
      <w:pPr>
        <w:ind w:left="1440" w:hanging="360"/>
      </w:pPr>
      <w:rPr>
        <w:rFonts w:ascii="Symbol" w:hAnsi="Symbol"/>
      </w:rPr>
    </w:lvl>
    <w:lvl w:ilvl="8" w:tplc="6AFEEE30">
      <w:start w:val="1"/>
      <w:numFmt w:val="bullet"/>
      <w:lvlText w:val=""/>
      <w:lvlJc w:val="left"/>
      <w:pPr>
        <w:ind w:left="1440" w:hanging="360"/>
      </w:pPr>
      <w:rPr>
        <w:rFonts w:ascii="Symbol" w:hAnsi="Symbol"/>
      </w:rPr>
    </w:lvl>
  </w:abstractNum>
  <w:abstractNum w:abstractNumId="36"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7"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42717"/>
    <w:multiLevelType w:val="multilevel"/>
    <w:tmpl w:val="DCDEB9D0"/>
    <w:numStyleLink w:val="Style1"/>
  </w:abstractNum>
  <w:abstractNum w:abstractNumId="39"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1" w15:restartNumberingAfterBreak="0">
    <w:nsid w:val="6FE61418"/>
    <w:multiLevelType w:val="hybridMultilevel"/>
    <w:tmpl w:val="1A06A824"/>
    <w:lvl w:ilvl="0" w:tplc="08560E38">
      <w:start w:val="1"/>
      <w:numFmt w:val="bullet"/>
      <w:lvlText w:val=""/>
      <w:lvlJc w:val="left"/>
      <w:pPr>
        <w:ind w:left="1440" w:hanging="360"/>
      </w:pPr>
      <w:rPr>
        <w:rFonts w:ascii="Symbol" w:hAnsi="Symbol"/>
      </w:rPr>
    </w:lvl>
    <w:lvl w:ilvl="1" w:tplc="BADC37F2">
      <w:start w:val="1"/>
      <w:numFmt w:val="bullet"/>
      <w:lvlText w:val=""/>
      <w:lvlJc w:val="left"/>
      <w:pPr>
        <w:ind w:left="1440" w:hanging="360"/>
      </w:pPr>
      <w:rPr>
        <w:rFonts w:ascii="Symbol" w:hAnsi="Symbol"/>
      </w:rPr>
    </w:lvl>
    <w:lvl w:ilvl="2" w:tplc="BB148E82">
      <w:start w:val="1"/>
      <w:numFmt w:val="bullet"/>
      <w:lvlText w:val=""/>
      <w:lvlJc w:val="left"/>
      <w:pPr>
        <w:ind w:left="1440" w:hanging="360"/>
      </w:pPr>
      <w:rPr>
        <w:rFonts w:ascii="Symbol" w:hAnsi="Symbol"/>
      </w:rPr>
    </w:lvl>
    <w:lvl w:ilvl="3" w:tplc="93FA451C">
      <w:start w:val="1"/>
      <w:numFmt w:val="bullet"/>
      <w:lvlText w:val=""/>
      <w:lvlJc w:val="left"/>
      <w:pPr>
        <w:ind w:left="1440" w:hanging="360"/>
      </w:pPr>
      <w:rPr>
        <w:rFonts w:ascii="Symbol" w:hAnsi="Symbol"/>
      </w:rPr>
    </w:lvl>
    <w:lvl w:ilvl="4" w:tplc="C73CC172">
      <w:start w:val="1"/>
      <w:numFmt w:val="bullet"/>
      <w:lvlText w:val=""/>
      <w:lvlJc w:val="left"/>
      <w:pPr>
        <w:ind w:left="1440" w:hanging="360"/>
      </w:pPr>
      <w:rPr>
        <w:rFonts w:ascii="Symbol" w:hAnsi="Symbol"/>
      </w:rPr>
    </w:lvl>
    <w:lvl w:ilvl="5" w:tplc="D49056E6">
      <w:start w:val="1"/>
      <w:numFmt w:val="bullet"/>
      <w:lvlText w:val=""/>
      <w:lvlJc w:val="left"/>
      <w:pPr>
        <w:ind w:left="1440" w:hanging="360"/>
      </w:pPr>
      <w:rPr>
        <w:rFonts w:ascii="Symbol" w:hAnsi="Symbol"/>
      </w:rPr>
    </w:lvl>
    <w:lvl w:ilvl="6" w:tplc="274A9EF8">
      <w:start w:val="1"/>
      <w:numFmt w:val="bullet"/>
      <w:lvlText w:val=""/>
      <w:lvlJc w:val="left"/>
      <w:pPr>
        <w:ind w:left="1440" w:hanging="360"/>
      </w:pPr>
      <w:rPr>
        <w:rFonts w:ascii="Symbol" w:hAnsi="Symbol"/>
      </w:rPr>
    </w:lvl>
    <w:lvl w:ilvl="7" w:tplc="FCEEF5DE">
      <w:start w:val="1"/>
      <w:numFmt w:val="bullet"/>
      <w:lvlText w:val=""/>
      <w:lvlJc w:val="left"/>
      <w:pPr>
        <w:ind w:left="1440" w:hanging="360"/>
      </w:pPr>
      <w:rPr>
        <w:rFonts w:ascii="Symbol" w:hAnsi="Symbol"/>
      </w:rPr>
    </w:lvl>
    <w:lvl w:ilvl="8" w:tplc="EB0CDD76">
      <w:start w:val="1"/>
      <w:numFmt w:val="bullet"/>
      <w:lvlText w:val=""/>
      <w:lvlJc w:val="left"/>
      <w:pPr>
        <w:ind w:left="1440" w:hanging="360"/>
      </w:pPr>
      <w:rPr>
        <w:rFonts w:ascii="Symbol" w:hAnsi="Symbol"/>
      </w:rPr>
    </w:lvl>
  </w:abstractNum>
  <w:abstractNum w:abstractNumId="42"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315E6F"/>
    <w:multiLevelType w:val="hybridMultilevel"/>
    <w:tmpl w:val="2488C27E"/>
    <w:lvl w:ilvl="0" w:tplc="17F8FBDE">
      <w:numFmt w:val="bullet"/>
      <w:lvlText w:val=""/>
      <w:lvlJc w:val="left"/>
      <w:pPr>
        <w:ind w:left="386" w:hanging="284"/>
      </w:pPr>
      <w:rPr>
        <w:rFonts w:ascii="Symbol" w:eastAsia="Symbol" w:hAnsi="Symbol" w:cs="Symbol" w:hint="default"/>
        <w:b w:val="0"/>
        <w:bCs w:val="0"/>
        <w:i w:val="0"/>
        <w:iCs w:val="0"/>
        <w:spacing w:val="0"/>
        <w:w w:val="100"/>
        <w:sz w:val="16"/>
        <w:szCs w:val="16"/>
        <w:lang w:val="en-US" w:eastAsia="en-US" w:bidi="ar-SA"/>
      </w:rPr>
    </w:lvl>
    <w:lvl w:ilvl="1" w:tplc="170689BA">
      <w:numFmt w:val="bullet"/>
      <w:lvlText w:val="•"/>
      <w:lvlJc w:val="left"/>
      <w:pPr>
        <w:ind w:left="865" w:hanging="284"/>
      </w:pPr>
      <w:rPr>
        <w:rFonts w:hint="default"/>
        <w:lang w:val="en-US" w:eastAsia="en-US" w:bidi="ar-SA"/>
      </w:rPr>
    </w:lvl>
    <w:lvl w:ilvl="2" w:tplc="1080740A">
      <w:numFmt w:val="bullet"/>
      <w:lvlText w:val="•"/>
      <w:lvlJc w:val="left"/>
      <w:pPr>
        <w:ind w:left="1351" w:hanging="284"/>
      </w:pPr>
      <w:rPr>
        <w:rFonts w:hint="default"/>
        <w:lang w:val="en-US" w:eastAsia="en-US" w:bidi="ar-SA"/>
      </w:rPr>
    </w:lvl>
    <w:lvl w:ilvl="3" w:tplc="3606F058">
      <w:numFmt w:val="bullet"/>
      <w:lvlText w:val="•"/>
      <w:lvlJc w:val="left"/>
      <w:pPr>
        <w:ind w:left="1836" w:hanging="284"/>
      </w:pPr>
      <w:rPr>
        <w:rFonts w:hint="default"/>
        <w:lang w:val="en-US" w:eastAsia="en-US" w:bidi="ar-SA"/>
      </w:rPr>
    </w:lvl>
    <w:lvl w:ilvl="4" w:tplc="E99A7CAC">
      <w:numFmt w:val="bullet"/>
      <w:lvlText w:val="•"/>
      <w:lvlJc w:val="left"/>
      <w:pPr>
        <w:ind w:left="2322" w:hanging="284"/>
      </w:pPr>
      <w:rPr>
        <w:rFonts w:hint="default"/>
        <w:lang w:val="en-US" w:eastAsia="en-US" w:bidi="ar-SA"/>
      </w:rPr>
    </w:lvl>
    <w:lvl w:ilvl="5" w:tplc="3F1801E6">
      <w:numFmt w:val="bullet"/>
      <w:lvlText w:val="•"/>
      <w:lvlJc w:val="left"/>
      <w:pPr>
        <w:ind w:left="2807" w:hanging="284"/>
      </w:pPr>
      <w:rPr>
        <w:rFonts w:hint="default"/>
        <w:lang w:val="en-US" w:eastAsia="en-US" w:bidi="ar-SA"/>
      </w:rPr>
    </w:lvl>
    <w:lvl w:ilvl="6" w:tplc="343EA5DA">
      <w:numFmt w:val="bullet"/>
      <w:lvlText w:val="•"/>
      <w:lvlJc w:val="left"/>
      <w:pPr>
        <w:ind w:left="3293" w:hanging="284"/>
      </w:pPr>
      <w:rPr>
        <w:rFonts w:hint="default"/>
        <w:lang w:val="en-US" w:eastAsia="en-US" w:bidi="ar-SA"/>
      </w:rPr>
    </w:lvl>
    <w:lvl w:ilvl="7" w:tplc="3F6A5AFA">
      <w:numFmt w:val="bullet"/>
      <w:lvlText w:val="•"/>
      <w:lvlJc w:val="left"/>
      <w:pPr>
        <w:ind w:left="3778" w:hanging="284"/>
      </w:pPr>
      <w:rPr>
        <w:rFonts w:hint="default"/>
        <w:lang w:val="en-US" w:eastAsia="en-US" w:bidi="ar-SA"/>
      </w:rPr>
    </w:lvl>
    <w:lvl w:ilvl="8" w:tplc="C2EC4868">
      <w:numFmt w:val="bullet"/>
      <w:lvlText w:val="•"/>
      <w:lvlJc w:val="left"/>
      <w:pPr>
        <w:ind w:left="4264" w:hanging="284"/>
      </w:pPr>
      <w:rPr>
        <w:rFonts w:hint="default"/>
        <w:lang w:val="en-US" w:eastAsia="en-US" w:bidi="ar-SA"/>
      </w:rPr>
    </w:lvl>
  </w:abstractNum>
  <w:abstractNum w:abstractNumId="4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8"/>
  </w:num>
  <w:num w:numId="2" w16cid:durableId="1287734805">
    <w:abstractNumId w:val="29"/>
  </w:num>
  <w:num w:numId="3" w16cid:durableId="1538541818">
    <w:abstractNumId w:val="45"/>
  </w:num>
  <w:num w:numId="4" w16cid:durableId="550508225">
    <w:abstractNumId w:val="24"/>
  </w:num>
  <w:num w:numId="5" w16cid:durableId="745567648">
    <w:abstractNumId w:val="16"/>
  </w:num>
  <w:num w:numId="6" w16cid:durableId="2076933510">
    <w:abstractNumId w:val="10"/>
  </w:num>
  <w:num w:numId="7" w16cid:durableId="1899433097">
    <w:abstractNumId w:val="27"/>
  </w:num>
  <w:num w:numId="8" w16cid:durableId="1088233813">
    <w:abstractNumId w:val="26"/>
  </w:num>
  <w:num w:numId="9" w16cid:durableId="394550804">
    <w:abstractNumId w:val="43"/>
  </w:num>
  <w:num w:numId="10" w16cid:durableId="1709380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2"/>
  </w:num>
  <w:num w:numId="12" w16cid:durableId="1912157551">
    <w:abstractNumId w:val="36"/>
  </w:num>
  <w:num w:numId="13" w16cid:durableId="797454537">
    <w:abstractNumId w:val="15"/>
  </w:num>
  <w:num w:numId="14" w16cid:durableId="284310654">
    <w:abstractNumId w:val="38"/>
  </w:num>
  <w:num w:numId="15" w16cid:durableId="1819420646">
    <w:abstractNumId w:val="25"/>
  </w:num>
  <w:num w:numId="16" w16cid:durableId="1770615197">
    <w:abstractNumId w:val="14"/>
  </w:num>
  <w:num w:numId="17" w16cid:durableId="1658604841">
    <w:abstractNumId w:val="37"/>
  </w:num>
  <w:num w:numId="18" w16cid:durableId="905535034">
    <w:abstractNumId w:val="30"/>
  </w:num>
  <w:num w:numId="19" w16cid:durableId="1465346826">
    <w:abstractNumId w:val="39"/>
  </w:num>
  <w:num w:numId="20" w16cid:durableId="676690097">
    <w:abstractNumId w:val="17"/>
  </w:num>
  <w:num w:numId="21" w16cid:durableId="2031447556">
    <w:abstractNumId w:val="31"/>
  </w:num>
  <w:num w:numId="22" w16cid:durableId="752623358">
    <w:abstractNumId w:val="7"/>
  </w:num>
  <w:num w:numId="23" w16cid:durableId="867841801">
    <w:abstractNumId w:val="28"/>
  </w:num>
  <w:num w:numId="24" w16cid:durableId="720790089">
    <w:abstractNumId w:val="19"/>
  </w:num>
  <w:num w:numId="25" w16cid:durableId="222520331">
    <w:abstractNumId w:val="42"/>
  </w:num>
  <w:num w:numId="26" w16cid:durableId="717584311">
    <w:abstractNumId w:val="34"/>
  </w:num>
  <w:num w:numId="27" w16cid:durableId="779765061">
    <w:abstractNumId w:val="1"/>
  </w:num>
  <w:num w:numId="28" w16cid:durableId="342437984">
    <w:abstractNumId w:val="21"/>
  </w:num>
  <w:num w:numId="29" w16cid:durableId="86079989">
    <w:abstractNumId w:val="11"/>
  </w:num>
  <w:num w:numId="30" w16cid:durableId="190724435">
    <w:abstractNumId w:val="4"/>
  </w:num>
  <w:num w:numId="31" w16cid:durableId="180439593">
    <w:abstractNumId w:val="3"/>
  </w:num>
  <w:num w:numId="32" w16cid:durableId="2007590403">
    <w:abstractNumId w:val="8"/>
  </w:num>
  <w:num w:numId="33" w16cid:durableId="1951621493">
    <w:abstractNumId w:val="12"/>
  </w:num>
  <w:num w:numId="34" w16cid:durableId="1425766684">
    <w:abstractNumId w:val="22"/>
  </w:num>
  <w:num w:numId="35" w16cid:durableId="11616712">
    <w:abstractNumId w:val="20"/>
  </w:num>
  <w:num w:numId="36" w16cid:durableId="1911882459">
    <w:abstractNumId w:val="9"/>
  </w:num>
  <w:num w:numId="37" w16cid:durableId="1044714646">
    <w:abstractNumId w:val="40"/>
  </w:num>
  <w:num w:numId="38" w16cid:durableId="1995259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4128756">
    <w:abstractNumId w:val="44"/>
  </w:num>
  <w:num w:numId="40" w16cid:durableId="1939361953">
    <w:abstractNumId w:val="0"/>
  </w:num>
  <w:num w:numId="41" w16cid:durableId="1705517772">
    <w:abstractNumId w:val="6"/>
  </w:num>
  <w:num w:numId="42" w16cid:durableId="618032732">
    <w:abstractNumId w:val="33"/>
  </w:num>
  <w:num w:numId="43" w16cid:durableId="2083211172">
    <w:abstractNumId w:val="23"/>
  </w:num>
  <w:num w:numId="44" w16cid:durableId="685594289">
    <w:abstractNumId w:val="35"/>
  </w:num>
  <w:num w:numId="45" w16cid:durableId="1645112544">
    <w:abstractNumId w:val="5"/>
  </w:num>
  <w:num w:numId="46" w16cid:durableId="821777404">
    <w:abstractNumId w:val="13"/>
  </w:num>
  <w:num w:numId="47" w16cid:durableId="644236685">
    <w:abstractNumId w:val="22"/>
  </w:num>
  <w:num w:numId="48" w16cid:durableId="1218587577">
    <w:abstractNumId w:val="41"/>
  </w:num>
  <w:num w:numId="49" w16cid:durableId="72780662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NDEwNTM2MjUwMDRR0lEKTi0uzszPAykwrAUABi0l1SwAAAA="/>
  </w:docVars>
  <w:rsids>
    <w:rsidRoot w:val="00121283"/>
    <w:rsid w:val="000004E8"/>
    <w:rsid w:val="00000792"/>
    <w:rsid w:val="00000F04"/>
    <w:rsid w:val="00003C4F"/>
    <w:rsid w:val="00004E0A"/>
    <w:rsid w:val="00004F86"/>
    <w:rsid w:val="00004FD3"/>
    <w:rsid w:val="00006DF5"/>
    <w:rsid w:val="00006F95"/>
    <w:rsid w:val="00007023"/>
    <w:rsid w:val="0000709F"/>
    <w:rsid w:val="000071D6"/>
    <w:rsid w:val="00007F2D"/>
    <w:rsid w:val="00007FAC"/>
    <w:rsid w:val="000100AB"/>
    <w:rsid w:val="00010A9C"/>
    <w:rsid w:val="00010ABA"/>
    <w:rsid w:val="00010E15"/>
    <w:rsid w:val="00010F57"/>
    <w:rsid w:val="0001100C"/>
    <w:rsid w:val="00011188"/>
    <w:rsid w:val="00012555"/>
    <w:rsid w:val="0001303C"/>
    <w:rsid w:val="00014236"/>
    <w:rsid w:val="000146E4"/>
    <w:rsid w:val="000148F6"/>
    <w:rsid w:val="00014CDB"/>
    <w:rsid w:val="00015217"/>
    <w:rsid w:val="000159D2"/>
    <w:rsid w:val="00016264"/>
    <w:rsid w:val="00016993"/>
    <w:rsid w:val="000169EE"/>
    <w:rsid w:val="00016CAB"/>
    <w:rsid w:val="00016E5B"/>
    <w:rsid w:val="00017101"/>
    <w:rsid w:val="0001749B"/>
    <w:rsid w:val="00017D75"/>
    <w:rsid w:val="00017FE5"/>
    <w:rsid w:val="00021910"/>
    <w:rsid w:val="000223EF"/>
    <w:rsid w:val="00022D0C"/>
    <w:rsid w:val="00022E8D"/>
    <w:rsid w:val="00023340"/>
    <w:rsid w:val="0002348A"/>
    <w:rsid w:val="000235B5"/>
    <w:rsid w:val="00023BDA"/>
    <w:rsid w:val="00024708"/>
    <w:rsid w:val="00024EE7"/>
    <w:rsid w:val="00025F96"/>
    <w:rsid w:val="00025FAB"/>
    <w:rsid w:val="00026E89"/>
    <w:rsid w:val="000275A3"/>
    <w:rsid w:val="000303EA"/>
    <w:rsid w:val="00030558"/>
    <w:rsid w:val="00030699"/>
    <w:rsid w:val="00030725"/>
    <w:rsid w:val="00030DB8"/>
    <w:rsid w:val="00031A83"/>
    <w:rsid w:val="0003213A"/>
    <w:rsid w:val="00032A81"/>
    <w:rsid w:val="000333AF"/>
    <w:rsid w:val="00033816"/>
    <w:rsid w:val="000340D8"/>
    <w:rsid w:val="0003427D"/>
    <w:rsid w:val="000342F6"/>
    <w:rsid w:val="00034DFA"/>
    <w:rsid w:val="000357ED"/>
    <w:rsid w:val="00035E15"/>
    <w:rsid w:val="0003640E"/>
    <w:rsid w:val="0003688A"/>
    <w:rsid w:val="000368FC"/>
    <w:rsid w:val="00036A0D"/>
    <w:rsid w:val="00036DA3"/>
    <w:rsid w:val="00037843"/>
    <w:rsid w:val="000379BF"/>
    <w:rsid w:val="00037BEC"/>
    <w:rsid w:val="000400D9"/>
    <w:rsid w:val="0004035C"/>
    <w:rsid w:val="00040860"/>
    <w:rsid w:val="00040CED"/>
    <w:rsid w:val="00040DAF"/>
    <w:rsid w:val="00040EA1"/>
    <w:rsid w:val="00041D05"/>
    <w:rsid w:val="00041D37"/>
    <w:rsid w:val="0004205F"/>
    <w:rsid w:val="000420E2"/>
    <w:rsid w:val="000423C6"/>
    <w:rsid w:val="00042EDB"/>
    <w:rsid w:val="00044A50"/>
    <w:rsid w:val="00044C65"/>
    <w:rsid w:val="00044D6A"/>
    <w:rsid w:val="000453D2"/>
    <w:rsid w:val="00045527"/>
    <w:rsid w:val="000458C7"/>
    <w:rsid w:val="00045991"/>
    <w:rsid w:val="00045E5C"/>
    <w:rsid w:val="00046158"/>
    <w:rsid w:val="00046288"/>
    <w:rsid w:val="00046499"/>
    <w:rsid w:val="00047941"/>
    <w:rsid w:val="00050A22"/>
    <w:rsid w:val="00050E27"/>
    <w:rsid w:val="0005125A"/>
    <w:rsid w:val="0005144F"/>
    <w:rsid w:val="00051AF1"/>
    <w:rsid w:val="00051D42"/>
    <w:rsid w:val="00051FE1"/>
    <w:rsid w:val="000538A1"/>
    <w:rsid w:val="00053ABF"/>
    <w:rsid w:val="0005471C"/>
    <w:rsid w:val="00054D65"/>
    <w:rsid w:val="00055375"/>
    <w:rsid w:val="00056319"/>
    <w:rsid w:val="000564E7"/>
    <w:rsid w:val="00056770"/>
    <w:rsid w:val="00057386"/>
    <w:rsid w:val="00057E98"/>
    <w:rsid w:val="00057EEF"/>
    <w:rsid w:val="000608AD"/>
    <w:rsid w:val="000619CB"/>
    <w:rsid w:val="00061F25"/>
    <w:rsid w:val="00062387"/>
    <w:rsid w:val="000640F0"/>
    <w:rsid w:val="0006434D"/>
    <w:rsid w:val="000643A1"/>
    <w:rsid w:val="00064679"/>
    <w:rsid w:val="00064978"/>
    <w:rsid w:val="00064A13"/>
    <w:rsid w:val="00064AF4"/>
    <w:rsid w:val="00064D87"/>
    <w:rsid w:val="00064DB1"/>
    <w:rsid w:val="00065BA3"/>
    <w:rsid w:val="00065D3B"/>
    <w:rsid w:val="000667E9"/>
    <w:rsid w:val="00066DEC"/>
    <w:rsid w:val="00067128"/>
    <w:rsid w:val="000675CD"/>
    <w:rsid w:val="00067872"/>
    <w:rsid w:val="000678AC"/>
    <w:rsid w:val="00070095"/>
    <w:rsid w:val="000703B2"/>
    <w:rsid w:val="00070FBF"/>
    <w:rsid w:val="000711EE"/>
    <w:rsid w:val="0007180E"/>
    <w:rsid w:val="00071AE4"/>
    <w:rsid w:val="00071CB5"/>
    <w:rsid w:val="00071CCB"/>
    <w:rsid w:val="00071D03"/>
    <w:rsid w:val="0007232B"/>
    <w:rsid w:val="000735A2"/>
    <w:rsid w:val="0007517E"/>
    <w:rsid w:val="0007536B"/>
    <w:rsid w:val="00075FE1"/>
    <w:rsid w:val="00076667"/>
    <w:rsid w:val="00076BA3"/>
    <w:rsid w:val="00077473"/>
    <w:rsid w:val="00077481"/>
    <w:rsid w:val="000776F9"/>
    <w:rsid w:val="00077EE0"/>
    <w:rsid w:val="000802F9"/>
    <w:rsid w:val="00080BED"/>
    <w:rsid w:val="0008145A"/>
    <w:rsid w:val="0008162D"/>
    <w:rsid w:val="000831C8"/>
    <w:rsid w:val="00083F5E"/>
    <w:rsid w:val="000841A4"/>
    <w:rsid w:val="00084B6E"/>
    <w:rsid w:val="00084FDB"/>
    <w:rsid w:val="0008505C"/>
    <w:rsid w:val="00085C46"/>
    <w:rsid w:val="0008686A"/>
    <w:rsid w:val="00087175"/>
    <w:rsid w:val="00087D35"/>
    <w:rsid w:val="000907BE"/>
    <w:rsid w:val="0009132D"/>
    <w:rsid w:val="00091796"/>
    <w:rsid w:val="00091BA2"/>
    <w:rsid w:val="00091CB0"/>
    <w:rsid w:val="00094344"/>
    <w:rsid w:val="000953C6"/>
    <w:rsid w:val="000953F4"/>
    <w:rsid w:val="0009551F"/>
    <w:rsid w:val="0009590C"/>
    <w:rsid w:val="000959E7"/>
    <w:rsid w:val="00095C45"/>
    <w:rsid w:val="00095E7D"/>
    <w:rsid w:val="000964DE"/>
    <w:rsid w:val="0009656E"/>
    <w:rsid w:val="000972AB"/>
    <w:rsid w:val="00097B40"/>
    <w:rsid w:val="00097D0E"/>
    <w:rsid w:val="00097E51"/>
    <w:rsid w:val="000A0D45"/>
    <w:rsid w:val="000A109B"/>
    <w:rsid w:val="000A17EA"/>
    <w:rsid w:val="000A1B98"/>
    <w:rsid w:val="000A1C7A"/>
    <w:rsid w:val="000A2018"/>
    <w:rsid w:val="000A2345"/>
    <w:rsid w:val="000A2394"/>
    <w:rsid w:val="000A3117"/>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630D"/>
    <w:rsid w:val="000A7658"/>
    <w:rsid w:val="000A7F0F"/>
    <w:rsid w:val="000A7F4C"/>
    <w:rsid w:val="000B02BC"/>
    <w:rsid w:val="000B0498"/>
    <w:rsid w:val="000B0F36"/>
    <w:rsid w:val="000B1942"/>
    <w:rsid w:val="000B1BED"/>
    <w:rsid w:val="000B1C0B"/>
    <w:rsid w:val="000B2240"/>
    <w:rsid w:val="000B2477"/>
    <w:rsid w:val="000B2600"/>
    <w:rsid w:val="000B2F43"/>
    <w:rsid w:val="000B36F9"/>
    <w:rsid w:val="000B4074"/>
    <w:rsid w:val="000B4732"/>
    <w:rsid w:val="000B4BCD"/>
    <w:rsid w:val="000B4C39"/>
    <w:rsid w:val="000B4D8B"/>
    <w:rsid w:val="000B53AC"/>
    <w:rsid w:val="000B66DC"/>
    <w:rsid w:val="000B6D1F"/>
    <w:rsid w:val="000B74C1"/>
    <w:rsid w:val="000C062F"/>
    <w:rsid w:val="000C074E"/>
    <w:rsid w:val="000C17E7"/>
    <w:rsid w:val="000C21E1"/>
    <w:rsid w:val="000C3270"/>
    <w:rsid w:val="000C577E"/>
    <w:rsid w:val="000D0317"/>
    <w:rsid w:val="000D04BA"/>
    <w:rsid w:val="000D0B6E"/>
    <w:rsid w:val="000D0D65"/>
    <w:rsid w:val="000D12E0"/>
    <w:rsid w:val="000D1944"/>
    <w:rsid w:val="000D1DD9"/>
    <w:rsid w:val="000D2172"/>
    <w:rsid w:val="000D293C"/>
    <w:rsid w:val="000D2BC1"/>
    <w:rsid w:val="000D337B"/>
    <w:rsid w:val="000D385A"/>
    <w:rsid w:val="000D38C2"/>
    <w:rsid w:val="000D3AAF"/>
    <w:rsid w:val="000D3B64"/>
    <w:rsid w:val="000D3CA7"/>
    <w:rsid w:val="000D5B16"/>
    <w:rsid w:val="000D5FD6"/>
    <w:rsid w:val="000D6201"/>
    <w:rsid w:val="000D6488"/>
    <w:rsid w:val="000D7088"/>
    <w:rsid w:val="000D770B"/>
    <w:rsid w:val="000D7807"/>
    <w:rsid w:val="000D788E"/>
    <w:rsid w:val="000D7C32"/>
    <w:rsid w:val="000E12B0"/>
    <w:rsid w:val="000E1BC8"/>
    <w:rsid w:val="000E1D32"/>
    <w:rsid w:val="000E20E1"/>
    <w:rsid w:val="000E236C"/>
    <w:rsid w:val="000E26D8"/>
    <w:rsid w:val="000E27B9"/>
    <w:rsid w:val="000E2B94"/>
    <w:rsid w:val="000E3156"/>
    <w:rsid w:val="000E326A"/>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3DA0"/>
    <w:rsid w:val="000F4463"/>
    <w:rsid w:val="000F4D73"/>
    <w:rsid w:val="000F5285"/>
    <w:rsid w:val="000F52E0"/>
    <w:rsid w:val="000F53A9"/>
    <w:rsid w:val="000F54CF"/>
    <w:rsid w:val="000F6464"/>
    <w:rsid w:val="000F6628"/>
    <w:rsid w:val="000F6946"/>
    <w:rsid w:val="000F6C25"/>
    <w:rsid w:val="000F76EB"/>
    <w:rsid w:val="000F78AE"/>
    <w:rsid w:val="000F7E25"/>
    <w:rsid w:val="001007EE"/>
    <w:rsid w:val="00100F76"/>
    <w:rsid w:val="0010148E"/>
    <w:rsid w:val="001018BB"/>
    <w:rsid w:val="0010253C"/>
    <w:rsid w:val="00102BD1"/>
    <w:rsid w:val="0010375E"/>
    <w:rsid w:val="0010486A"/>
    <w:rsid w:val="00104882"/>
    <w:rsid w:val="00104EF2"/>
    <w:rsid w:val="0010561C"/>
    <w:rsid w:val="00105C0F"/>
    <w:rsid w:val="00105E39"/>
    <w:rsid w:val="001064BD"/>
    <w:rsid w:val="00106561"/>
    <w:rsid w:val="00106AA0"/>
    <w:rsid w:val="00106D63"/>
    <w:rsid w:val="001075F3"/>
    <w:rsid w:val="00107A01"/>
    <w:rsid w:val="00107C23"/>
    <w:rsid w:val="00110307"/>
    <w:rsid w:val="0011088E"/>
    <w:rsid w:val="00110C7F"/>
    <w:rsid w:val="00110EE2"/>
    <w:rsid w:val="00111A7A"/>
    <w:rsid w:val="00111A88"/>
    <w:rsid w:val="0011221A"/>
    <w:rsid w:val="001131B5"/>
    <w:rsid w:val="00113283"/>
    <w:rsid w:val="00113788"/>
    <w:rsid w:val="001137AE"/>
    <w:rsid w:val="00113B20"/>
    <w:rsid w:val="00113DB1"/>
    <w:rsid w:val="001147B3"/>
    <w:rsid w:val="001148F7"/>
    <w:rsid w:val="001149B2"/>
    <w:rsid w:val="00114C2D"/>
    <w:rsid w:val="00115125"/>
    <w:rsid w:val="001152F2"/>
    <w:rsid w:val="001157D7"/>
    <w:rsid w:val="00116382"/>
    <w:rsid w:val="00116484"/>
    <w:rsid w:val="00116ACF"/>
    <w:rsid w:val="00116D5C"/>
    <w:rsid w:val="00116D9F"/>
    <w:rsid w:val="001172B2"/>
    <w:rsid w:val="00117A30"/>
    <w:rsid w:val="00117F9B"/>
    <w:rsid w:val="001201AD"/>
    <w:rsid w:val="00121211"/>
    <w:rsid w:val="00121283"/>
    <w:rsid w:val="00121628"/>
    <w:rsid w:val="0012167D"/>
    <w:rsid w:val="00122189"/>
    <w:rsid w:val="00122280"/>
    <w:rsid w:val="00122D42"/>
    <w:rsid w:val="00123345"/>
    <w:rsid w:val="00123C46"/>
    <w:rsid w:val="0012470B"/>
    <w:rsid w:val="00125C75"/>
    <w:rsid w:val="00125C7E"/>
    <w:rsid w:val="001264B4"/>
    <w:rsid w:val="00127509"/>
    <w:rsid w:val="00127945"/>
    <w:rsid w:val="00127C8F"/>
    <w:rsid w:val="00127D94"/>
    <w:rsid w:val="00127E90"/>
    <w:rsid w:val="0013014D"/>
    <w:rsid w:val="001302C1"/>
    <w:rsid w:val="001306D3"/>
    <w:rsid w:val="00130A41"/>
    <w:rsid w:val="00130E4B"/>
    <w:rsid w:val="00130E7C"/>
    <w:rsid w:val="001310BF"/>
    <w:rsid w:val="0013382B"/>
    <w:rsid w:val="00133E73"/>
    <w:rsid w:val="00133FDB"/>
    <w:rsid w:val="00134F4A"/>
    <w:rsid w:val="001351CB"/>
    <w:rsid w:val="00135E4E"/>
    <w:rsid w:val="00136246"/>
    <w:rsid w:val="001364D4"/>
    <w:rsid w:val="00136BE9"/>
    <w:rsid w:val="001371C8"/>
    <w:rsid w:val="001372ED"/>
    <w:rsid w:val="00137EC6"/>
    <w:rsid w:val="00140FEF"/>
    <w:rsid w:val="00142095"/>
    <w:rsid w:val="00142B50"/>
    <w:rsid w:val="00143873"/>
    <w:rsid w:val="001439E9"/>
    <w:rsid w:val="00143C55"/>
    <w:rsid w:val="00144C6F"/>
    <w:rsid w:val="00145089"/>
    <w:rsid w:val="001451E7"/>
    <w:rsid w:val="001462E3"/>
    <w:rsid w:val="0014720C"/>
    <w:rsid w:val="001472C2"/>
    <w:rsid w:val="00147458"/>
    <w:rsid w:val="00147E21"/>
    <w:rsid w:val="001503D5"/>
    <w:rsid w:val="00150BA8"/>
    <w:rsid w:val="00150D19"/>
    <w:rsid w:val="001511D7"/>
    <w:rsid w:val="0015181B"/>
    <w:rsid w:val="00151A9F"/>
    <w:rsid w:val="00152B87"/>
    <w:rsid w:val="00153A96"/>
    <w:rsid w:val="00153D1C"/>
    <w:rsid w:val="00154073"/>
    <w:rsid w:val="001543E2"/>
    <w:rsid w:val="00155B43"/>
    <w:rsid w:val="00155BCC"/>
    <w:rsid w:val="001565A2"/>
    <w:rsid w:val="001567C3"/>
    <w:rsid w:val="00156A12"/>
    <w:rsid w:val="0015762B"/>
    <w:rsid w:val="001576AC"/>
    <w:rsid w:val="00157B3F"/>
    <w:rsid w:val="00157F8A"/>
    <w:rsid w:val="001602FD"/>
    <w:rsid w:val="001604B1"/>
    <w:rsid w:val="00160C3D"/>
    <w:rsid w:val="001611A5"/>
    <w:rsid w:val="00161B24"/>
    <w:rsid w:val="00161C41"/>
    <w:rsid w:val="00161DD5"/>
    <w:rsid w:val="00162D92"/>
    <w:rsid w:val="001633A4"/>
    <w:rsid w:val="001634D6"/>
    <w:rsid w:val="001639CF"/>
    <w:rsid w:val="001648DD"/>
    <w:rsid w:val="00164AC5"/>
    <w:rsid w:val="00165469"/>
    <w:rsid w:val="00165705"/>
    <w:rsid w:val="00166389"/>
    <w:rsid w:val="00166D18"/>
    <w:rsid w:val="00166E03"/>
    <w:rsid w:val="001674F7"/>
    <w:rsid w:val="00167E4C"/>
    <w:rsid w:val="00171449"/>
    <w:rsid w:val="0017199C"/>
    <w:rsid w:val="00171C7E"/>
    <w:rsid w:val="00171F35"/>
    <w:rsid w:val="00172552"/>
    <w:rsid w:val="00172873"/>
    <w:rsid w:val="00172CF7"/>
    <w:rsid w:val="0017319E"/>
    <w:rsid w:val="00173A1F"/>
    <w:rsid w:val="00173BC3"/>
    <w:rsid w:val="00173D33"/>
    <w:rsid w:val="00174128"/>
    <w:rsid w:val="0017417B"/>
    <w:rsid w:val="00174778"/>
    <w:rsid w:val="00175C34"/>
    <w:rsid w:val="00175F9A"/>
    <w:rsid w:val="001767AD"/>
    <w:rsid w:val="00176E98"/>
    <w:rsid w:val="00177996"/>
    <w:rsid w:val="00180417"/>
    <w:rsid w:val="00180B3F"/>
    <w:rsid w:val="00180C83"/>
    <w:rsid w:val="00180CE5"/>
    <w:rsid w:val="0018175B"/>
    <w:rsid w:val="001820A3"/>
    <w:rsid w:val="00182AEC"/>
    <w:rsid w:val="0018332A"/>
    <w:rsid w:val="0018345F"/>
    <w:rsid w:val="00183D80"/>
    <w:rsid w:val="001842C8"/>
    <w:rsid w:val="00185044"/>
    <w:rsid w:val="001850DB"/>
    <w:rsid w:val="0018599C"/>
    <w:rsid w:val="00186623"/>
    <w:rsid w:val="001869EE"/>
    <w:rsid w:val="00186D00"/>
    <w:rsid w:val="00187178"/>
    <w:rsid w:val="0018743A"/>
    <w:rsid w:val="00187450"/>
    <w:rsid w:val="00190A57"/>
    <w:rsid w:val="00190B3F"/>
    <w:rsid w:val="00191117"/>
    <w:rsid w:val="0019122C"/>
    <w:rsid w:val="0019145D"/>
    <w:rsid w:val="00191908"/>
    <w:rsid w:val="00192DF3"/>
    <w:rsid w:val="0019301F"/>
    <w:rsid w:val="00193286"/>
    <w:rsid w:val="001937B8"/>
    <w:rsid w:val="00193927"/>
    <w:rsid w:val="00193E4B"/>
    <w:rsid w:val="00194BB7"/>
    <w:rsid w:val="00194CC5"/>
    <w:rsid w:val="001951B2"/>
    <w:rsid w:val="0019565D"/>
    <w:rsid w:val="00196706"/>
    <w:rsid w:val="00197564"/>
    <w:rsid w:val="00197EC2"/>
    <w:rsid w:val="00197ECE"/>
    <w:rsid w:val="001A014D"/>
    <w:rsid w:val="001A0F8A"/>
    <w:rsid w:val="001A1CB2"/>
    <w:rsid w:val="001A1CED"/>
    <w:rsid w:val="001A279B"/>
    <w:rsid w:val="001A2981"/>
    <w:rsid w:val="001A2C3D"/>
    <w:rsid w:val="001A2DC3"/>
    <w:rsid w:val="001A2E87"/>
    <w:rsid w:val="001A3869"/>
    <w:rsid w:val="001A38C2"/>
    <w:rsid w:val="001A561B"/>
    <w:rsid w:val="001A65C8"/>
    <w:rsid w:val="001A674D"/>
    <w:rsid w:val="001A732E"/>
    <w:rsid w:val="001A7552"/>
    <w:rsid w:val="001A7F30"/>
    <w:rsid w:val="001B06E2"/>
    <w:rsid w:val="001B103A"/>
    <w:rsid w:val="001B103D"/>
    <w:rsid w:val="001B1513"/>
    <w:rsid w:val="001B1767"/>
    <w:rsid w:val="001B1F3A"/>
    <w:rsid w:val="001B2099"/>
    <w:rsid w:val="001B2453"/>
    <w:rsid w:val="001B2775"/>
    <w:rsid w:val="001B3D48"/>
    <w:rsid w:val="001B4E75"/>
    <w:rsid w:val="001B5551"/>
    <w:rsid w:val="001B5AF9"/>
    <w:rsid w:val="001B6600"/>
    <w:rsid w:val="001B6B9B"/>
    <w:rsid w:val="001B6C27"/>
    <w:rsid w:val="001B7144"/>
    <w:rsid w:val="001B74FC"/>
    <w:rsid w:val="001B75A2"/>
    <w:rsid w:val="001B7B3D"/>
    <w:rsid w:val="001B7E91"/>
    <w:rsid w:val="001C004B"/>
    <w:rsid w:val="001C147E"/>
    <w:rsid w:val="001C151B"/>
    <w:rsid w:val="001C19E5"/>
    <w:rsid w:val="001C1C70"/>
    <w:rsid w:val="001C2835"/>
    <w:rsid w:val="001C3666"/>
    <w:rsid w:val="001C3800"/>
    <w:rsid w:val="001C3C7B"/>
    <w:rsid w:val="001C508E"/>
    <w:rsid w:val="001C6122"/>
    <w:rsid w:val="001C61B6"/>
    <w:rsid w:val="001C6587"/>
    <w:rsid w:val="001C69BE"/>
    <w:rsid w:val="001C6D04"/>
    <w:rsid w:val="001C6DB5"/>
    <w:rsid w:val="001C71AC"/>
    <w:rsid w:val="001C7316"/>
    <w:rsid w:val="001C73EB"/>
    <w:rsid w:val="001C7E5C"/>
    <w:rsid w:val="001D00CC"/>
    <w:rsid w:val="001D02B8"/>
    <w:rsid w:val="001D0494"/>
    <w:rsid w:val="001D0625"/>
    <w:rsid w:val="001D07B7"/>
    <w:rsid w:val="001D1719"/>
    <w:rsid w:val="001D171B"/>
    <w:rsid w:val="001D1732"/>
    <w:rsid w:val="001D1E2E"/>
    <w:rsid w:val="001D2203"/>
    <w:rsid w:val="001D255C"/>
    <w:rsid w:val="001D2DEF"/>
    <w:rsid w:val="001D30BB"/>
    <w:rsid w:val="001D314D"/>
    <w:rsid w:val="001D3E7D"/>
    <w:rsid w:val="001D4277"/>
    <w:rsid w:val="001D45F1"/>
    <w:rsid w:val="001D488C"/>
    <w:rsid w:val="001D4CDF"/>
    <w:rsid w:val="001D4F88"/>
    <w:rsid w:val="001D578D"/>
    <w:rsid w:val="001D5818"/>
    <w:rsid w:val="001D653A"/>
    <w:rsid w:val="001D6BE0"/>
    <w:rsid w:val="001D7DEE"/>
    <w:rsid w:val="001E02CB"/>
    <w:rsid w:val="001E02EB"/>
    <w:rsid w:val="001E0F22"/>
    <w:rsid w:val="001E14FD"/>
    <w:rsid w:val="001E180F"/>
    <w:rsid w:val="001E1C64"/>
    <w:rsid w:val="001E1CEC"/>
    <w:rsid w:val="001E2AB8"/>
    <w:rsid w:val="001E2ECB"/>
    <w:rsid w:val="001E390C"/>
    <w:rsid w:val="001E3BF3"/>
    <w:rsid w:val="001E4B64"/>
    <w:rsid w:val="001E552A"/>
    <w:rsid w:val="001E57B9"/>
    <w:rsid w:val="001E6A5C"/>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3FE"/>
    <w:rsid w:val="001F69FC"/>
    <w:rsid w:val="001F6D62"/>
    <w:rsid w:val="001F7675"/>
    <w:rsid w:val="00200FAE"/>
    <w:rsid w:val="00201019"/>
    <w:rsid w:val="0020102D"/>
    <w:rsid w:val="002010E2"/>
    <w:rsid w:val="0020184A"/>
    <w:rsid w:val="00201B73"/>
    <w:rsid w:val="00202119"/>
    <w:rsid w:val="00202517"/>
    <w:rsid w:val="002025E8"/>
    <w:rsid w:val="00202ADB"/>
    <w:rsid w:val="00202BB7"/>
    <w:rsid w:val="0020435B"/>
    <w:rsid w:val="00204533"/>
    <w:rsid w:val="00204F2D"/>
    <w:rsid w:val="00205252"/>
    <w:rsid w:val="00205566"/>
    <w:rsid w:val="002063AA"/>
    <w:rsid w:val="00206411"/>
    <w:rsid w:val="002064BC"/>
    <w:rsid w:val="00210549"/>
    <w:rsid w:val="0021069E"/>
    <w:rsid w:val="00210804"/>
    <w:rsid w:val="0021088F"/>
    <w:rsid w:val="00210A48"/>
    <w:rsid w:val="002113FE"/>
    <w:rsid w:val="002114FA"/>
    <w:rsid w:val="00211737"/>
    <w:rsid w:val="0021181B"/>
    <w:rsid w:val="00212035"/>
    <w:rsid w:val="0021230F"/>
    <w:rsid w:val="002125B0"/>
    <w:rsid w:val="002125F6"/>
    <w:rsid w:val="00212A82"/>
    <w:rsid w:val="0021388B"/>
    <w:rsid w:val="002146CA"/>
    <w:rsid w:val="00214EA2"/>
    <w:rsid w:val="002155F2"/>
    <w:rsid w:val="00215C5D"/>
    <w:rsid w:val="002160FA"/>
    <w:rsid w:val="002166DD"/>
    <w:rsid w:val="002168A2"/>
    <w:rsid w:val="00216AC3"/>
    <w:rsid w:val="00217240"/>
    <w:rsid w:val="00217867"/>
    <w:rsid w:val="002205E4"/>
    <w:rsid w:val="00220756"/>
    <w:rsid w:val="00220D67"/>
    <w:rsid w:val="002215F3"/>
    <w:rsid w:val="002215F8"/>
    <w:rsid w:val="00221F80"/>
    <w:rsid w:val="0022273A"/>
    <w:rsid w:val="00222D28"/>
    <w:rsid w:val="00223CF4"/>
    <w:rsid w:val="00224220"/>
    <w:rsid w:val="00224398"/>
    <w:rsid w:val="00224A81"/>
    <w:rsid w:val="00224E91"/>
    <w:rsid w:val="00225B4C"/>
    <w:rsid w:val="00225E1E"/>
    <w:rsid w:val="00226129"/>
    <w:rsid w:val="0022614D"/>
    <w:rsid w:val="002265AD"/>
    <w:rsid w:val="0022696D"/>
    <w:rsid w:val="00226AA2"/>
    <w:rsid w:val="00227218"/>
    <w:rsid w:val="002273F5"/>
    <w:rsid w:val="0022770A"/>
    <w:rsid w:val="00227BEE"/>
    <w:rsid w:val="00227FB4"/>
    <w:rsid w:val="0023057E"/>
    <w:rsid w:val="002312BC"/>
    <w:rsid w:val="002325F4"/>
    <w:rsid w:val="00233334"/>
    <w:rsid w:val="002337E5"/>
    <w:rsid w:val="00233C06"/>
    <w:rsid w:val="00233E84"/>
    <w:rsid w:val="00233F24"/>
    <w:rsid w:val="00234BBB"/>
    <w:rsid w:val="002356F4"/>
    <w:rsid w:val="002357E5"/>
    <w:rsid w:val="00235F02"/>
    <w:rsid w:val="00236612"/>
    <w:rsid w:val="00236D28"/>
    <w:rsid w:val="0023728F"/>
    <w:rsid w:val="00237E45"/>
    <w:rsid w:val="00237FE4"/>
    <w:rsid w:val="00240656"/>
    <w:rsid w:val="00240B42"/>
    <w:rsid w:val="00241610"/>
    <w:rsid w:val="002417CC"/>
    <w:rsid w:val="00241AED"/>
    <w:rsid w:val="0024248B"/>
    <w:rsid w:val="00243182"/>
    <w:rsid w:val="002438E5"/>
    <w:rsid w:val="00243928"/>
    <w:rsid w:val="00243946"/>
    <w:rsid w:val="00243BC5"/>
    <w:rsid w:val="00243C7D"/>
    <w:rsid w:val="00243E9A"/>
    <w:rsid w:val="00244371"/>
    <w:rsid w:val="00244A7E"/>
    <w:rsid w:val="00244AF8"/>
    <w:rsid w:val="00244BC5"/>
    <w:rsid w:val="00244E68"/>
    <w:rsid w:val="002456C5"/>
    <w:rsid w:val="00245ABE"/>
    <w:rsid w:val="00245C0B"/>
    <w:rsid w:val="002469A8"/>
    <w:rsid w:val="00246EAE"/>
    <w:rsid w:val="00247116"/>
    <w:rsid w:val="002471E5"/>
    <w:rsid w:val="002503E7"/>
    <w:rsid w:val="002513C9"/>
    <w:rsid w:val="002517A8"/>
    <w:rsid w:val="00251EEE"/>
    <w:rsid w:val="00252564"/>
    <w:rsid w:val="00253177"/>
    <w:rsid w:val="002538B8"/>
    <w:rsid w:val="0025396F"/>
    <w:rsid w:val="00254319"/>
    <w:rsid w:val="002546A4"/>
    <w:rsid w:val="0025539F"/>
    <w:rsid w:val="00256388"/>
    <w:rsid w:val="00256E44"/>
    <w:rsid w:val="00256F2E"/>
    <w:rsid w:val="002578C7"/>
    <w:rsid w:val="002605BF"/>
    <w:rsid w:val="00260919"/>
    <w:rsid w:val="00260B19"/>
    <w:rsid w:val="002612FD"/>
    <w:rsid w:val="002613DC"/>
    <w:rsid w:val="00261668"/>
    <w:rsid w:val="00261755"/>
    <w:rsid w:val="00261AAA"/>
    <w:rsid w:val="00262097"/>
    <w:rsid w:val="00262D20"/>
    <w:rsid w:val="002634AB"/>
    <w:rsid w:val="002638E0"/>
    <w:rsid w:val="00263C19"/>
    <w:rsid w:val="00263E9F"/>
    <w:rsid w:val="00264386"/>
    <w:rsid w:val="00264F03"/>
    <w:rsid w:val="00264F8F"/>
    <w:rsid w:val="002655AE"/>
    <w:rsid w:val="0026591F"/>
    <w:rsid w:val="00265A65"/>
    <w:rsid w:val="002660F0"/>
    <w:rsid w:val="002665B5"/>
    <w:rsid w:val="00266FBD"/>
    <w:rsid w:val="002674F6"/>
    <w:rsid w:val="002675B6"/>
    <w:rsid w:val="00267A99"/>
    <w:rsid w:val="00270271"/>
    <w:rsid w:val="00272174"/>
    <w:rsid w:val="002721A6"/>
    <w:rsid w:val="002722E0"/>
    <w:rsid w:val="0027237D"/>
    <w:rsid w:val="00272820"/>
    <w:rsid w:val="002730EC"/>
    <w:rsid w:val="00273100"/>
    <w:rsid w:val="002735CC"/>
    <w:rsid w:val="00274588"/>
    <w:rsid w:val="00274A67"/>
    <w:rsid w:val="00274AA2"/>
    <w:rsid w:val="00274AE2"/>
    <w:rsid w:val="002756EF"/>
    <w:rsid w:val="00275708"/>
    <w:rsid w:val="00276051"/>
    <w:rsid w:val="002768CF"/>
    <w:rsid w:val="00276F82"/>
    <w:rsid w:val="002774D9"/>
    <w:rsid w:val="002775D2"/>
    <w:rsid w:val="002805DF"/>
    <w:rsid w:val="0028092D"/>
    <w:rsid w:val="00280AD8"/>
    <w:rsid w:val="002815D9"/>
    <w:rsid w:val="00282317"/>
    <w:rsid w:val="00282795"/>
    <w:rsid w:val="00282D25"/>
    <w:rsid w:val="00282DF9"/>
    <w:rsid w:val="00283A44"/>
    <w:rsid w:val="0028427C"/>
    <w:rsid w:val="0028529F"/>
    <w:rsid w:val="00285687"/>
    <w:rsid w:val="00286BA8"/>
    <w:rsid w:val="00287649"/>
    <w:rsid w:val="00287867"/>
    <w:rsid w:val="00287DAB"/>
    <w:rsid w:val="00287FB6"/>
    <w:rsid w:val="002900C5"/>
    <w:rsid w:val="002901E0"/>
    <w:rsid w:val="0029075B"/>
    <w:rsid w:val="00290BB1"/>
    <w:rsid w:val="00291BC1"/>
    <w:rsid w:val="002933CA"/>
    <w:rsid w:val="002934AF"/>
    <w:rsid w:val="00293A8F"/>
    <w:rsid w:val="0029491C"/>
    <w:rsid w:val="00295155"/>
    <w:rsid w:val="00295D51"/>
    <w:rsid w:val="00296203"/>
    <w:rsid w:val="00296281"/>
    <w:rsid w:val="00296428"/>
    <w:rsid w:val="0029643D"/>
    <w:rsid w:val="00296C71"/>
    <w:rsid w:val="0029706A"/>
    <w:rsid w:val="002972EE"/>
    <w:rsid w:val="00297F01"/>
    <w:rsid w:val="002A052D"/>
    <w:rsid w:val="002A0DF8"/>
    <w:rsid w:val="002A1928"/>
    <w:rsid w:val="002A1CCF"/>
    <w:rsid w:val="002A1F1F"/>
    <w:rsid w:val="002A1FC6"/>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1CF"/>
    <w:rsid w:val="002B3ED7"/>
    <w:rsid w:val="002B4778"/>
    <w:rsid w:val="002B48DC"/>
    <w:rsid w:val="002B5113"/>
    <w:rsid w:val="002B6A99"/>
    <w:rsid w:val="002B75B2"/>
    <w:rsid w:val="002B79B7"/>
    <w:rsid w:val="002B7B6B"/>
    <w:rsid w:val="002C141D"/>
    <w:rsid w:val="002C19C0"/>
    <w:rsid w:val="002C2485"/>
    <w:rsid w:val="002C25E0"/>
    <w:rsid w:val="002C2A2D"/>
    <w:rsid w:val="002C36C0"/>
    <w:rsid w:val="002C3928"/>
    <w:rsid w:val="002C3B33"/>
    <w:rsid w:val="002C435E"/>
    <w:rsid w:val="002C43BB"/>
    <w:rsid w:val="002C44AB"/>
    <w:rsid w:val="002C4F78"/>
    <w:rsid w:val="002C5E39"/>
    <w:rsid w:val="002C5FA2"/>
    <w:rsid w:val="002C6283"/>
    <w:rsid w:val="002C6C3E"/>
    <w:rsid w:val="002C7A02"/>
    <w:rsid w:val="002C7BD4"/>
    <w:rsid w:val="002D0107"/>
    <w:rsid w:val="002D0428"/>
    <w:rsid w:val="002D0553"/>
    <w:rsid w:val="002D062E"/>
    <w:rsid w:val="002D0D43"/>
    <w:rsid w:val="002D15C2"/>
    <w:rsid w:val="002D2B10"/>
    <w:rsid w:val="002D3842"/>
    <w:rsid w:val="002D386A"/>
    <w:rsid w:val="002D3DF7"/>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803"/>
    <w:rsid w:val="002E23A9"/>
    <w:rsid w:val="002E272B"/>
    <w:rsid w:val="002E29F8"/>
    <w:rsid w:val="002E2C52"/>
    <w:rsid w:val="002E342B"/>
    <w:rsid w:val="002E3B81"/>
    <w:rsid w:val="002E3D08"/>
    <w:rsid w:val="002E3E1D"/>
    <w:rsid w:val="002E3EEA"/>
    <w:rsid w:val="002E4D08"/>
    <w:rsid w:val="002E4DA5"/>
    <w:rsid w:val="002E4FD3"/>
    <w:rsid w:val="002E500B"/>
    <w:rsid w:val="002E52B8"/>
    <w:rsid w:val="002E5DBF"/>
    <w:rsid w:val="002E5E01"/>
    <w:rsid w:val="002E60F5"/>
    <w:rsid w:val="002E6536"/>
    <w:rsid w:val="002E6687"/>
    <w:rsid w:val="002E69F5"/>
    <w:rsid w:val="002E6CAA"/>
    <w:rsid w:val="002E732D"/>
    <w:rsid w:val="002E73EC"/>
    <w:rsid w:val="002E78B2"/>
    <w:rsid w:val="002F023D"/>
    <w:rsid w:val="002F10EC"/>
    <w:rsid w:val="002F1136"/>
    <w:rsid w:val="002F1231"/>
    <w:rsid w:val="002F1521"/>
    <w:rsid w:val="002F15EE"/>
    <w:rsid w:val="002F342E"/>
    <w:rsid w:val="002F3632"/>
    <w:rsid w:val="002F3A86"/>
    <w:rsid w:val="002F3AFB"/>
    <w:rsid w:val="002F3C41"/>
    <w:rsid w:val="002F44B9"/>
    <w:rsid w:val="002F4C8E"/>
    <w:rsid w:val="002F5076"/>
    <w:rsid w:val="002F5839"/>
    <w:rsid w:val="002F617A"/>
    <w:rsid w:val="002F64D9"/>
    <w:rsid w:val="002F651D"/>
    <w:rsid w:val="002F6648"/>
    <w:rsid w:val="002F66A1"/>
    <w:rsid w:val="002F6BB0"/>
    <w:rsid w:val="002F6E44"/>
    <w:rsid w:val="002F74FD"/>
    <w:rsid w:val="002F787B"/>
    <w:rsid w:val="002F7974"/>
    <w:rsid w:val="002F7AEE"/>
    <w:rsid w:val="002F7D01"/>
    <w:rsid w:val="0030005C"/>
    <w:rsid w:val="00300369"/>
    <w:rsid w:val="003018DB"/>
    <w:rsid w:val="00301D0A"/>
    <w:rsid w:val="003027B8"/>
    <w:rsid w:val="0030288F"/>
    <w:rsid w:val="0030293F"/>
    <w:rsid w:val="00302947"/>
    <w:rsid w:val="00302C50"/>
    <w:rsid w:val="003031C2"/>
    <w:rsid w:val="00303861"/>
    <w:rsid w:val="003049B1"/>
    <w:rsid w:val="00304DD0"/>
    <w:rsid w:val="00304FFF"/>
    <w:rsid w:val="00305557"/>
    <w:rsid w:val="0030561F"/>
    <w:rsid w:val="00305CA3"/>
    <w:rsid w:val="00306E5C"/>
    <w:rsid w:val="00306F84"/>
    <w:rsid w:val="00307C19"/>
    <w:rsid w:val="0031024B"/>
    <w:rsid w:val="00310732"/>
    <w:rsid w:val="00310BC9"/>
    <w:rsid w:val="00310CE1"/>
    <w:rsid w:val="00311762"/>
    <w:rsid w:val="00311E98"/>
    <w:rsid w:val="00312215"/>
    <w:rsid w:val="0031249C"/>
    <w:rsid w:val="003125C3"/>
    <w:rsid w:val="00312896"/>
    <w:rsid w:val="00313093"/>
    <w:rsid w:val="00313EAC"/>
    <w:rsid w:val="003142F4"/>
    <w:rsid w:val="0031454E"/>
    <w:rsid w:val="00315B12"/>
    <w:rsid w:val="0031611F"/>
    <w:rsid w:val="00317A33"/>
    <w:rsid w:val="00317B64"/>
    <w:rsid w:val="00320339"/>
    <w:rsid w:val="0032096E"/>
    <w:rsid w:val="00320C3A"/>
    <w:rsid w:val="00321214"/>
    <w:rsid w:val="003213D5"/>
    <w:rsid w:val="00323737"/>
    <w:rsid w:val="00323AD6"/>
    <w:rsid w:val="00323F27"/>
    <w:rsid w:val="00324251"/>
    <w:rsid w:val="003242EF"/>
    <w:rsid w:val="00324D76"/>
    <w:rsid w:val="00325339"/>
    <w:rsid w:val="003255AA"/>
    <w:rsid w:val="0032688F"/>
    <w:rsid w:val="003270BB"/>
    <w:rsid w:val="003272DA"/>
    <w:rsid w:val="00327A8A"/>
    <w:rsid w:val="00327B10"/>
    <w:rsid w:val="00330CB9"/>
    <w:rsid w:val="003314B6"/>
    <w:rsid w:val="00331A20"/>
    <w:rsid w:val="00331A23"/>
    <w:rsid w:val="00331E65"/>
    <w:rsid w:val="00333107"/>
    <w:rsid w:val="0033343B"/>
    <w:rsid w:val="0033393C"/>
    <w:rsid w:val="00333FA0"/>
    <w:rsid w:val="003357EE"/>
    <w:rsid w:val="00336E24"/>
    <w:rsid w:val="00337368"/>
    <w:rsid w:val="00337B4D"/>
    <w:rsid w:val="003407A9"/>
    <w:rsid w:val="00340BA3"/>
    <w:rsid w:val="00340BAF"/>
    <w:rsid w:val="00340C2B"/>
    <w:rsid w:val="00340F9A"/>
    <w:rsid w:val="00341018"/>
    <w:rsid w:val="00341723"/>
    <w:rsid w:val="00342065"/>
    <w:rsid w:val="003420D9"/>
    <w:rsid w:val="003423E0"/>
    <w:rsid w:val="0034250A"/>
    <w:rsid w:val="0034265C"/>
    <w:rsid w:val="0034301A"/>
    <w:rsid w:val="00343D76"/>
    <w:rsid w:val="0034442B"/>
    <w:rsid w:val="00344DFD"/>
    <w:rsid w:val="003451D3"/>
    <w:rsid w:val="00345B64"/>
    <w:rsid w:val="00345E16"/>
    <w:rsid w:val="00346631"/>
    <w:rsid w:val="003467E5"/>
    <w:rsid w:val="00346AAD"/>
    <w:rsid w:val="00346D96"/>
    <w:rsid w:val="003472EE"/>
    <w:rsid w:val="0034736A"/>
    <w:rsid w:val="0034747C"/>
    <w:rsid w:val="003476BE"/>
    <w:rsid w:val="00347B6C"/>
    <w:rsid w:val="0035151C"/>
    <w:rsid w:val="00351AE1"/>
    <w:rsid w:val="00352208"/>
    <w:rsid w:val="00352254"/>
    <w:rsid w:val="003522A3"/>
    <w:rsid w:val="0035247D"/>
    <w:rsid w:val="003525D2"/>
    <w:rsid w:val="003529C8"/>
    <w:rsid w:val="00353929"/>
    <w:rsid w:val="00353F9E"/>
    <w:rsid w:val="003540D1"/>
    <w:rsid w:val="003545BF"/>
    <w:rsid w:val="0035586A"/>
    <w:rsid w:val="0035611A"/>
    <w:rsid w:val="00356924"/>
    <w:rsid w:val="00356C3D"/>
    <w:rsid w:val="00356E56"/>
    <w:rsid w:val="00360B75"/>
    <w:rsid w:val="0036151C"/>
    <w:rsid w:val="00361A9B"/>
    <w:rsid w:val="003622E3"/>
    <w:rsid w:val="00362CCF"/>
    <w:rsid w:val="00362F4C"/>
    <w:rsid w:val="003631DB"/>
    <w:rsid w:val="00364524"/>
    <w:rsid w:val="00364DD2"/>
    <w:rsid w:val="0036513A"/>
    <w:rsid w:val="00365237"/>
    <w:rsid w:val="0036559C"/>
    <w:rsid w:val="0036587E"/>
    <w:rsid w:val="003660CD"/>
    <w:rsid w:val="003665D4"/>
    <w:rsid w:val="00366AC2"/>
    <w:rsid w:val="00366B08"/>
    <w:rsid w:val="00367496"/>
    <w:rsid w:val="003678BE"/>
    <w:rsid w:val="00367F6F"/>
    <w:rsid w:val="003700F8"/>
    <w:rsid w:val="003706BA"/>
    <w:rsid w:val="00370949"/>
    <w:rsid w:val="00370FD7"/>
    <w:rsid w:val="0037243B"/>
    <w:rsid w:val="0037251C"/>
    <w:rsid w:val="00372540"/>
    <w:rsid w:val="0037272C"/>
    <w:rsid w:val="00372B9A"/>
    <w:rsid w:val="003731BF"/>
    <w:rsid w:val="00373D49"/>
    <w:rsid w:val="00373F00"/>
    <w:rsid w:val="00375287"/>
    <w:rsid w:val="00375791"/>
    <w:rsid w:val="00375826"/>
    <w:rsid w:val="00375994"/>
    <w:rsid w:val="00375C59"/>
    <w:rsid w:val="00375E05"/>
    <w:rsid w:val="00376946"/>
    <w:rsid w:val="00376BB7"/>
    <w:rsid w:val="00376EEE"/>
    <w:rsid w:val="00377BA1"/>
    <w:rsid w:val="00377FF0"/>
    <w:rsid w:val="00380489"/>
    <w:rsid w:val="00380616"/>
    <w:rsid w:val="00381022"/>
    <w:rsid w:val="003814B8"/>
    <w:rsid w:val="00382909"/>
    <w:rsid w:val="00382EE1"/>
    <w:rsid w:val="00384046"/>
    <w:rsid w:val="00384258"/>
    <w:rsid w:val="00385004"/>
    <w:rsid w:val="00385131"/>
    <w:rsid w:val="00385AD8"/>
    <w:rsid w:val="0038620B"/>
    <w:rsid w:val="00387647"/>
    <w:rsid w:val="00387863"/>
    <w:rsid w:val="0038791A"/>
    <w:rsid w:val="00390056"/>
    <w:rsid w:val="0039055C"/>
    <w:rsid w:val="0039063D"/>
    <w:rsid w:val="00390718"/>
    <w:rsid w:val="00390767"/>
    <w:rsid w:val="00390883"/>
    <w:rsid w:val="003909A6"/>
    <w:rsid w:val="0039132F"/>
    <w:rsid w:val="00391470"/>
    <w:rsid w:val="00392090"/>
    <w:rsid w:val="003920C4"/>
    <w:rsid w:val="00392184"/>
    <w:rsid w:val="00392652"/>
    <w:rsid w:val="003929E0"/>
    <w:rsid w:val="00392B40"/>
    <w:rsid w:val="00392B41"/>
    <w:rsid w:val="00392FA2"/>
    <w:rsid w:val="0039456F"/>
    <w:rsid w:val="003945C8"/>
    <w:rsid w:val="0039480D"/>
    <w:rsid w:val="00394840"/>
    <w:rsid w:val="00395446"/>
    <w:rsid w:val="00396725"/>
    <w:rsid w:val="00397A28"/>
    <w:rsid w:val="00397E94"/>
    <w:rsid w:val="00397F05"/>
    <w:rsid w:val="003A0442"/>
    <w:rsid w:val="003A0899"/>
    <w:rsid w:val="003A1183"/>
    <w:rsid w:val="003A1512"/>
    <w:rsid w:val="003A1EB7"/>
    <w:rsid w:val="003A23F3"/>
    <w:rsid w:val="003A2D82"/>
    <w:rsid w:val="003A3024"/>
    <w:rsid w:val="003A337C"/>
    <w:rsid w:val="003A36DA"/>
    <w:rsid w:val="003A38F1"/>
    <w:rsid w:val="003A3D1B"/>
    <w:rsid w:val="003A3F39"/>
    <w:rsid w:val="003A4296"/>
    <w:rsid w:val="003A4549"/>
    <w:rsid w:val="003A49B3"/>
    <w:rsid w:val="003A55B4"/>
    <w:rsid w:val="003A55EE"/>
    <w:rsid w:val="003A61B6"/>
    <w:rsid w:val="003A623F"/>
    <w:rsid w:val="003A71AD"/>
    <w:rsid w:val="003A7416"/>
    <w:rsid w:val="003A7810"/>
    <w:rsid w:val="003A7D1D"/>
    <w:rsid w:val="003B1688"/>
    <w:rsid w:val="003B1FA4"/>
    <w:rsid w:val="003B1FE6"/>
    <w:rsid w:val="003B22E6"/>
    <w:rsid w:val="003B25FC"/>
    <w:rsid w:val="003B3106"/>
    <w:rsid w:val="003B3974"/>
    <w:rsid w:val="003B39E0"/>
    <w:rsid w:val="003B3D3F"/>
    <w:rsid w:val="003B3DAB"/>
    <w:rsid w:val="003B404D"/>
    <w:rsid w:val="003B4B34"/>
    <w:rsid w:val="003B4CDA"/>
    <w:rsid w:val="003B4F2D"/>
    <w:rsid w:val="003B4FA6"/>
    <w:rsid w:val="003B5063"/>
    <w:rsid w:val="003B5787"/>
    <w:rsid w:val="003B5BD9"/>
    <w:rsid w:val="003B64A3"/>
    <w:rsid w:val="003B6DB8"/>
    <w:rsid w:val="003B72B9"/>
    <w:rsid w:val="003C0887"/>
    <w:rsid w:val="003C08AF"/>
    <w:rsid w:val="003C18DE"/>
    <w:rsid w:val="003C29B8"/>
    <w:rsid w:val="003C2EDD"/>
    <w:rsid w:val="003C313D"/>
    <w:rsid w:val="003C3220"/>
    <w:rsid w:val="003C350B"/>
    <w:rsid w:val="003C35E2"/>
    <w:rsid w:val="003C3A47"/>
    <w:rsid w:val="003C3A79"/>
    <w:rsid w:val="003C403B"/>
    <w:rsid w:val="003C48F2"/>
    <w:rsid w:val="003C4C74"/>
    <w:rsid w:val="003C4FF8"/>
    <w:rsid w:val="003C5177"/>
    <w:rsid w:val="003C52B0"/>
    <w:rsid w:val="003C5911"/>
    <w:rsid w:val="003C5CDB"/>
    <w:rsid w:val="003C6465"/>
    <w:rsid w:val="003C65E4"/>
    <w:rsid w:val="003C7712"/>
    <w:rsid w:val="003C7862"/>
    <w:rsid w:val="003C7ECD"/>
    <w:rsid w:val="003D007D"/>
    <w:rsid w:val="003D0145"/>
    <w:rsid w:val="003D01A1"/>
    <w:rsid w:val="003D04D6"/>
    <w:rsid w:val="003D04F6"/>
    <w:rsid w:val="003D18CC"/>
    <w:rsid w:val="003D3583"/>
    <w:rsid w:val="003D35A1"/>
    <w:rsid w:val="003D3826"/>
    <w:rsid w:val="003D391E"/>
    <w:rsid w:val="003D3B6F"/>
    <w:rsid w:val="003D40E8"/>
    <w:rsid w:val="003D455E"/>
    <w:rsid w:val="003D461F"/>
    <w:rsid w:val="003D47FB"/>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3801"/>
    <w:rsid w:val="003E39AE"/>
    <w:rsid w:val="003E4E74"/>
    <w:rsid w:val="003E5F7D"/>
    <w:rsid w:val="003E6520"/>
    <w:rsid w:val="003E6571"/>
    <w:rsid w:val="003E67E7"/>
    <w:rsid w:val="003E6B25"/>
    <w:rsid w:val="003E6B3C"/>
    <w:rsid w:val="003E6B95"/>
    <w:rsid w:val="003E6EE4"/>
    <w:rsid w:val="003E70FF"/>
    <w:rsid w:val="003E7F1B"/>
    <w:rsid w:val="003F0B41"/>
    <w:rsid w:val="003F0F8C"/>
    <w:rsid w:val="003F1150"/>
    <w:rsid w:val="003F17E5"/>
    <w:rsid w:val="003F185F"/>
    <w:rsid w:val="003F1E39"/>
    <w:rsid w:val="003F202B"/>
    <w:rsid w:val="003F229D"/>
    <w:rsid w:val="003F25F0"/>
    <w:rsid w:val="003F29E5"/>
    <w:rsid w:val="003F2D5B"/>
    <w:rsid w:val="003F3282"/>
    <w:rsid w:val="003F3750"/>
    <w:rsid w:val="003F3F97"/>
    <w:rsid w:val="003F4D40"/>
    <w:rsid w:val="003F5AD2"/>
    <w:rsid w:val="003F5CA4"/>
    <w:rsid w:val="003F66EF"/>
    <w:rsid w:val="003F6D50"/>
    <w:rsid w:val="003F7006"/>
    <w:rsid w:val="003F7507"/>
    <w:rsid w:val="003F7C72"/>
    <w:rsid w:val="003F7D10"/>
    <w:rsid w:val="00401000"/>
    <w:rsid w:val="004016C6"/>
    <w:rsid w:val="0040179A"/>
    <w:rsid w:val="00401856"/>
    <w:rsid w:val="004028A2"/>
    <w:rsid w:val="00402FEB"/>
    <w:rsid w:val="0040327F"/>
    <w:rsid w:val="00403344"/>
    <w:rsid w:val="00403C82"/>
    <w:rsid w:val="00404157"/>
    <w:rsid w:val="0040497E"/>
    <w:rsid w:val="00404C44"/>
    <w:rsid w:val="00404C94"/>
    <w:rsid w:val="00404D94"/>
    <w:rsid w:val="00404EE8"/>
    <w:rsid w:val="0040510D"/>
    <w:rsid w:val="0040512D"/>
    <w:rsid w:val="0040602F"/>
    <w:rsid w:val="004061DD"/>
    <w:rsid w:val="00406AFB"/>
    <w:rsid w:val="00407283"/>
    <w:rsid w:val="00407382"/>
    <w:rsid w:val="004073E7"/>
    <w:rsid w:val="0040791B"/>
    <w:rsid w:val="00411958"/>
    <w:rsid w:val="00411B2A"/>
    <w:rsid w:val="00411F9E"/>
    <w:rsid w:val="00412973"/>
    <w:rsid w:val="004129E6"/>
    <w:rsid w:val="00412D42"/>
    <w:rsid w:val="00412DA4"/>
    <w:rsid w:val="00412EB6"/>
    <w:rsid w:val="0041351F"/>
    <w:rsid w:val="004137C8"/>
    <w:rsid w:val="00413BF9"/>
    <w:rsid w:val="00413C25"/>
    <w:rsid w:val="00414148"/>
    <w:rsid w:val="00414EA9"/>
    <w:rsid w:val="00414F0D"/>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5A8"/>
    <w:rsid w:val="004255B4"/>
    <w:rsid w:val="00426766"/>
    <w:rsid w:val="004267D0"/>
    <w:rsid w:val="004279CA"/>
    <w:rsid w:val="00427A82"/>
    <w:rsid w:val="00427EA2"/>
    <w:rsid w:val="00430115"/>
    <w:rsid w:val="00430A4B"/>
    <w:rsid w:val="00431C46"/>
    <w:rsid w:val="004327E6"/>
    <w:rsid w:val="004329DC"/>
    <w:rsid w:val="00432AC6"/>
    <w:rsid w:val="00432D5B"/>
    <w:rsid w:val="00433AAE"/>
    <w:rsid w:val="004341C6"/>
    <w:rsid w:val="0043488A"/>
    <w:rsid w:val="00434C5E"/>
    <w:rsid w:val="0043509F"/>
    <w:rsid w:val="00435650"/>
    <w:rsid w:val="00435765"/>
    <w:rsid w:val="004360B6"/>
    <w:rsid w:val="004362E5"/>
    <w:rsid w:val="00436356"/>
    <w:rsid w:val="00436752"/>
    <w:rsid w:val="004406CF"/>
    <w:rsid w:val="00440722"/>
    <w:rsid w:val="004411D1"/>
    <w:rsid w:val="004421CC"/>
    <w:rsid w:val="004425D9"/>
    <w:rsid w:val="00443244"/>
    <w:rsid w:val="00444AF6"/>
    <w:rsid w:val="0044519D"/>
    <w:rsid w:val="00445544"/>
    <w:rsid w:val="00445C0B"/>
    <w:rsid w:val="00446195"/>
    <w:rsid w:val="004467CF"/>
    <w:rsid w:val="00446C12"/>
    <w:rsid w:val="00447CD0"/>
    <w:rsid w:val="00447FC2"/>
    <w:rsid w:val="004502F4"/>
    <w:rsid w:val="004506F4"/>
    <w:rsid w:val="004509D1"/>
    <w:rsid w:val="00450A42"/>
    <w:rsid w:val="00450E98"/>
    <w:rsid w:val="004513A5"/>
    <w:rsid w:val="00451D50"/>
    <w:rsid w:val="00452390"/>
    <w:rsid w:val="00452EC4"/>
    <w:rsid w:val="00453014"/>
    <w:rsid w:val="00453340"/>
    <w:rsid w:val="00453775"/>
    <w:rsid w:val="00453890"/>
    <w:rsid w:val="00454380"/>
    <w:rsid w:val="0045470C"/>
    <w:rsid w:val="004552C8"/>
    <w:rsid w:val="0045536C"/>
    <w:rsid w:val="00455A07"/>
    <w:rsid w:val="00455AEB"/>
    <w:rsid w:val="00455FF7"/>
    <w:rsid w:val="0045603C"/>
    <w:rsid w:val="00456053"/>
    <w:rsid w:val="00456068"/>
    <w:rsid w:val="004565DD"/>
    <w:rsid w:val="00456896"/>
    <w:rsid w:val="00456ADA"/>
    <w:rsid w:val="00456B0D"/>
    <w:rsid w:val="00456E90"/>
    <w:rsid w:val="00457135"/>
    <w:rsid w:val="0045770D"/>
    <w:rsid w:val="0045790F"/>
    <w:rsid w:val="00457D63"/>
    <w:rsid w:val="00457E21"/>
    <w:rsid w:val="0046007E"/>
    <w:rsid w:val="0046024B"/>
    <w:rsid w:val="00460E36"/>
    <w:rsid w:val="00460EAD"/>
    <w:rsid w:val="00461155"/>
    <w:rsid w:val="004611E6"/>
    <w:rsid w:val="0046218C"/>
    <w:rsid w:val="004623D4"/>
    <w:rsid w:val="00462E56"/>
    <w:rsid w:val="00463202"/>
    <w:rsid w:val="004634B4"/>
    <w:rsid w:val="00463944"/>
    <w:rsid w:val="0046512A"/>
    <w:rsid w:val="00465233"/>
    <w:rsid w:val="00465234"/>
    <w:rsid w:val="00465B24"/>
    <w:rsid w:val="00465C0E"/>
    <w:rsid w:val="00465E13"/>
    <w:rsid w:val="00466542"/>
    <w:rsid w:val="00466858"/>
    <w:rsid w:val="00466D0F"/>
    <w:rsid w:val="00467544"/>
    <w:rsid w:val="004676BA"/>
    <w:rsid w:val="0046784C"/>
    <w:rsid w:val="00467ECB"/>
    <w:rsid w:val="004710C3"/>
    <w:rsid w:val="00471459"/>
    <w:rsid w:val="00471BA7"/>
    <w:rsid w:val="00472274"/>
    <w:rsid w:val="004722D4"/>
    <w:rsid w:val="004723FC"/>
    <w:rsid w:val="00472AD0"/>
    <w:rsid w:val="00472D9C"/>
    <w:rsid w:val="0047389C"/>
    <w:rsid w:val="00473B60"/>
    <w:rsid w:val="004759F5"/>
    <w:rsid w:val="00475AFF"/>
    <w:rsid w:val="00475D30"/>
    <w:rsid w:val="004765F4"/>
    <w:rsid w:val="004769C2"/>
    <w:rsid w:val="00476B4D"/>
    <w:rsid w:val="00476CBC"/>
    <w:rsid w:val="00476E6C"/>
    <w:rsid w:val="00477282"/>
    <w:rsid w:val="00477451"/>
    <w:rsid w:val="00477947"/>
    <w:rsid w:val="00480C69"/>
    <w:rsid w:val="00480FA1"/>
    <w:rsid w:val="00481FD7"/>
    <w:rsid w:val="0048256D"/>
    <w:rsid w:val="00482DE5"/>
    <w:rsid w:val="00483266"/>
    <w:rsid w:val="0048352E"/>
    <w:rsid w:val="004836A9"/>
    <w:rsid w:val="00483B23"/>
    <w:rsid w:val="004840D7"/>
    <w:rsid w:val="004846F4"/>
    <w:rsid w:val="00484D1F"/>
    <w:rsid w:val="004850D2"/>
    <w:rsid w:val="00485C26"/>
    <w:rsid w:val="00485EC0"/>
    <w:rsid w:val="00486A51"/>
    <w:rsid w:val="004875E1"/>
    <w:rsid w:val="00487B37"/>
    <w:rsid w:val="00490636"/>
    <w:rsid w:val="00490FF0"/>
    <w:rsid w:val="004910FE"/>
    <w:rsid w:val="00491198"/>
    <w:rsid w:val="004917E0"/>
    <w:rsid w:val="00491BF6"/>
    <w:rsid w:val="00491E0F"/>
    <w:rsid w:val="00491FED"/>
    <w:rsid w:val="00492B80"/>
    <w:rsid w:val="00492F82"/>
    <w:rsid w:val="00493A49"/>
    <w:rsid w:val="004940A5"/>
    <w:rsid w:val="004943C2"/>
    <w:rsid w:val="00494918"/>
    <w:rsid w:val="00494C65"/>
    <w:rsid w:val="00494F0C"/>
    <w:rsid w:val="00495034"/>
    <w:rsid w:val="00495557"/>
    <w:rsid w:val="0049618D"/>
    <w:rsid w:val="004965EF"/>
    <w:rsid w:val="0049676B"/>
    <w:rsid w:val="0049719D"/>
    <w:rsid w:val="00497386"/>
    <w:rsid w:val="00497FCD"/>
    <w:rsid w:val="004A095C"/>
    <w:rsid w:val="004A0D1E"/>
    <w:rsid w:val="004A0E66"/>
    <w:rsid w:val="004A0EEC"/>
    <w:rsid w:val="004A130F"/>
    <w:rsid w:val="004A17EF"/>
    <w:rsid w:val="004A1BDA"/>
    <w:rsid w:val="004A22DA"/>
    <w:rsid w:val="004A2700"/>
    <w:rsid w:val="004A322C"/>
    <w:rsid w:val="004A36C8"/>
    <w:rsid w:val="004A3721"/>
    <w:rsid w:val="004A3742"/>
    <w:rsid w:val="004A37B8"/>
    <w:rsid w:val="004A3CC2"/>
    <w:rsid w:val="004A3ED3"/>
    <w:rsid w:val="004A47BC"/>
    <w:rsid w:val="004A4AC6"/>
    <w:rsid w:val="004A6834"/>
    <w:rsid w:val="004A68DD"/>
    <w:rsid w:val="004B1199"/>
    <w:rsid w:val="004B16C4"/>
    <w:rsid w:val="004B1867"/>
    <w:rsid w:val="004B2A64"/>
    <w:rsid w:val="004B41DA"/>
    <w:rsid w:val="004B470D"/>
    <w:rsid w:val="004B4764"/>
    <w:rsid w:val="004B4846"/>
    <w:rsid w:val="004B5394"/>
    <w:rsid w:val="004B54C4"/>
    <w:rsid w:val="004B5A8E"/>
    <w:rsid w:val="004B5BDD"/>
    <w:rsid w:val="004B6E9E"/>
    <w:rsid w:val="004B6F83"/>
    <w:rsid w:val="004B7B47"/>
    <w:rsid w:val="004B7C29"/>
    <w:rsid w:val="004C06E5"/>
    <w:rsid w:val="004C1B7D"/>
    <w:rsid w:val="004C1E3C"/>
    <w:rsid w:val="004C25F0"/>
    <w:rsid w:val="004C26DD"/>
    <w:rsid w:val="004C2B5D"/>
    <w:rsid w:val="004C2D68"/>
    <w:rsid w:val="004C2F56"/>
    <w:rsid w:val="004C339D"/>
    <w:rsid w:val="004C33E8"/>
    <w:rsid w:val="004C35A9"/>
    <w:rsid w:val="004C4307"/>
    <w:rsid w:val="004C4309"/>
    <w:rsid w:val="004C49E3"/>
    <w:rsid w:val="004C4E8A"/>
    <w:rsid w:val="004C4F1B"/>
    <w:rsid w:val="004C50FD"/>
    <w:rsid w:val="004C514A"/>
    <w:rsid w:val="004C645A"/>
    <w:rsid w:val="004C6572"/>
    <w:rsid w:val="004C6D4F"/>
    <w:rsid w:val="004C7541"/>
    <w:rsid w:val="004D1E71"/>
    <w:rsid w:val="004D22BD"/>
    <w:rsid w:val="004D2CDF"/>
    <w:rsid w:val="004D2F39"/>
    <w:rsid w:val="004D33CE"/>
    <w:rsid w:val="004D4AAE"/>
    <w:rsid w:val="004D664E"/>
    <w:rsid w:val="004D7C86"/>
    <w:rsid w:val="004D7E19"/>
    <w:rsid w:val="004E0197"/>
    <w:rsid w:val="004E08FE"/>
    <w:rsid w:val="004E09D1"/>
    <w:rsid w:val="004E1122"/>
    <w:rsid w:val="004E1409"/>
    <w:rsid w:val="004E1A87"/>
    <w:rsid w:val="004E1B32"/>
    <w:rsid w:val="004E1BB0"/>
    <w:rsid w:val="004E3030"/>
    <w:rsid w:val="004E3311"/>
    <w:rsid w:val="004E38EC"/>
    <w:rsid w:val="004E3933"/>
    <w:rsid w:val="004E4238"/>
    <w:rsid w:val="004E4549"/>
    <w:rsid w:val="004E48CD"/>
    <w:rsid w:val="004E4C83"/>
    <w:rsid w:val="004E4D53"/>
    <w:rsid w:val="004E4D84"/>
    <w:rsid w:val="004E4EBC"/>
    <w:rsid w:val="004E5104"/>
    <w:rsid w:val="004E5769"/>
    <w:rsid w:val="004E5B06"/>
    <w:rsid w:val="004E5FA8"/>
    <w:rsid w:val="004E6582"/>
    <w:rsid w:val="004E684C"/>
    <w:rsid w:val="004E6FF1"/>
    <w:rsid w:val="004E71D0"/>
    <w:rsid w:val="004E76DB"/>
    <w:rsid w:val="004F1F90"/>
    <w:rsid w:val="004F2401"/>
    <w:rsid w:val="004F2A44"/>
    <w:rsid w:val="004F2BF2"/>
    <w:rsid w:val="004F2DAD"/>
    <w:rsid w:val="004F34F7"/>
    <w:rsid w:val="004F46BB"/>
    <w:rsid w:val="004F55D6"/>
    <w:rsid w:val="004F565A"/>
    <w:rsid w:val="004F571B"/>
    <w:rsid w:val="004F64EB"/>
    <w:rsid w:val="004F65C1"/>
    <w:rsid w:val="004F6AAE"/>
    <w:rsid w:val="004F7A74"/>
    <w:rsid w:val="00500250"/>
    <w:rsid w:val="00500264"/>
    <w:rsid w:val="00500824"/>
    <w:rsid w:val="00500DAB"/>
    <w:rsid w:val="00501144"/>
    <w:rsid w:val="005013EF"/>
    <w:rsid w:val="005016CC"/>
    <w:rsid w:val="005019E0"/>
    <w:rsid w:val="00501FED"/>
    <w:rsid w:val="0050211F"/>
    <w:rsid w:val="005022E7"/>
    <w:rsid w:val="00502A93"/>
    <w:rsid w:val="00504957"/>
    <w:rsid w:val="00506083"/>
    <w:rsid w:val="005068D6"/>
    <w:rsid w:val="00506B86"/>
    <w:rsid w:val="00506EEC"/>
    <w:rsid w:val="00506FD4"/>
    <w:rsid w:val="005107FF"/>
    <w:rsid w:val="00510CBC"/>
    <w:rsid w:val="0051102D"/>
    <w:rsid w:val="005112A5"/>
    <w:rsid w:val="00511F48"/>
    <w:rsid w:val="00512448"/>
    <w:rsid w:val="0051253A"/>
    <w:rsid w:val="0051266C"/>
    <w:rsid w:val="00513878"/>
    <w:rsid w:val="00513B72"/>
    <w:rsid w:val="00513FE4"/>
    <w:rsid w:val="00515277"/>
    <w:rsid w:val="005158C2"/>
    <w:rsid w:val="005166D0"/>
    <w:rsid w:val="0051690E"/>
    <w:rsid w:val="005169DE"/>
    <w:rsid w:val="00516B18"/>
    <w:rsid w:val="0051754D"/>
    <w:rsid w:val="0051785D"/>
    <w:rsid w:val="00517913"/>
    <w:rsid w:val="0052005F"/>
    <w:rsid w:val="00520200"/>
    <w:rsid w:val="00520E2D"/>
    <w:rsid w:val="00520F04"/>
    <w:rsid w:val="00521717"/>
    <w:rsid w:val="00521955"/>
    <w:rsid w:val="00522425"/>
    <w:rsid w:val="005224B2"/>
    <w:rsid w:val="00523B23"/>
    <w:rsid w:val="00523DFA"/>
    <w:rsid w:val="00524146"/>
    <w:rsid w:val="00524488"/>
    <w:rsid w:val="005246E4"/>
    <w:rsid w:val="0052514E"/>
    <w:rsid w:val="005254BC"/>
    <w:rsid w:val="005256FC"/>
    <w:rsid w:val="00525F29"/>
    <w:rsid w:val="00526C27"/>
    <w:rsid w:val="00526DFF"/>
    <w:rsid w:val="00527473"/>
    <w:rsid w:val="0052784C"/>
    <w:rsid w:val="00527EF9"/>
    <w:rsid w:val="005305FF"/>
    <w:rsid w:val="00530C9B"/>
    <w:rsid w:val="00530FBA"/>
    <w:rsid w:val="00532334"/>
    <w:rsid w:val="005324AF"/>
    <w:rsid w:val="0053402C"/>
    <w:rsid w:val="00534090"/>
    <w:rsid w:val="00534ABA"/>
    <w:rsid w:val="00535FFF"/>
    <w:rsid w:val="0053616F"/>
    <w:rsid w:val="005368AD"/>
    <w:rsid w:val="00536D01"/>
    <w:rsid w:val="00536DEE"/>
    <w:rsid w:val="005370BC"/>
    <w:rsid w:val="00537B35"/>
    <w:rsid w:val="00537DE7"/>
    <w:rsid w:val="00537EC4"/>
    <w:rsid w:val="00537FE4"/>
    <w:rsid w:val="0054027D"/>
    <w:rsid w:val="00541222"/>
    <w:rsid w:val="00541A8D"/>
    <w:rsid w:val="00544B29"/>
    <w:rsid w:val="00544DA0"/>
    <w:rsid w:val="005454BD"/>
    <w:rsid w:val="005454F1"/>
    <w:rsid w:val="005457E4"/>
    <w:rsid w:val="00545874"/>
    <w:rsid w:val="00546C49"/>
    <w:rsid w:val="005477FA"/>
    <w:rsid w:val="00547EF5"/>
    <w:rsid w:val="0055010B"/>
    <w:rsid w:val="00550914"/>
    <w:rsid w:val="00550D59"/>
    <w:rsid w:val="0055110D"/>
    <w:rsid w:val="00551F81"/>
    <w:rsid w:val="0055210F"/>
    <w:rsid w:val="00552A6F"/>
    <w:rsid w:val="00552CD7"/>
    <w:rsid w:val="00552D82"/>
    <w:rsid w:val="005533BE"/>
    <w:rsid w:val="005536B7"/>
    <w:rsid w:val="00554B30"/>
    <w:rsid w:val="00554FFB"/>
    <w:rsid w:val="00556623"/>
    <w:rsid w:val="005568DE"/>
    <w:rsid w:val="00557C50"/>
    <w:rsid w:val="005606B6"/>
    <w:rsid w:val="005608D6"/>
    <w:rsid w:val="00560F19"/>
    <w:rsid w:val="00561E6B"/>
    <w:rsid w:val="005621D2"/>
    <w:rsid w:val="005621E0"/>
    <w:rsid w:val="00562D90"/>
    <w:rsid w:val="00563317"/>
    <w:rsid w:val="005638B5"/>
    <w:rsid w:val="00563A23"/>
    <w:rsid w:val="00563A5A"/>
    <w:rsid w:val="00563C61"/>
    <w:rsid w:val="00563ECB"/>
    <w:rsid w:val="00563F47"/>
    <w:rsid w:val="005640BB"/>
    <w:rsid w:val="00564C23"/>
    <w:rsid w:val="00565406"/>
    <w:rsid w:val="00565570"/>
    <w:rsid w:val="005657DD"/>
    <w:rsid w:val="00565B29"/>
    <w:rsid w:val="005664B9"/>
    <w:rsid w:val="005664CC"/>
    <w:rsid w:val="0056664B"/>
    <w:rsid w:val="00566886"/>
    <w:rsid w:val="005672BE"/>
    <w:rsid w:val="00567588"/>
    <w:rsid w:val="00567992"/>
    <w:rsid w:val="00567C3C"/>
    <w:rsid w:val="005702F8"/>
    <w:rsid w:val="00570590"/>
    <w:rsid w:val="00571231"/>
    <w:rsid w:val="00571767"/>
    <w:rsid w:val="00571E44"/>
    <w:rsid w:val="005721DD"/>
    <w:rsid w:val="0057258C"/>
    <w:rsid w:val="0057398C"/>
    <w:rsid w:val="00573E61"/>
    <w:rsid w:val="0057411B"/>
    <w:rsid w:val="00574525"/>
    <w:rsid w:val="00574778"/>
    <w:rsid w:val="0057498F"/>
    <w:rsid w:val="00574DE9"/>
    <w:rsid w:val="00575578"/>
    <w:rsid w:val="00575DF4"/>
    <w:rsid w:val="00576C52"/>
    <w:rsid w:val="0057765D"/>
    <w:rsid w:val="005777FC"/>
    <w:rsid w:val="005807CE"/>
    <w:rsid w:val="005808EB"/>
    <w:rsid w:val="00580D37"/>
    <w:rsid w:val="00581FA0"/>
    <w:rsid w:val="0058258C"/>
    <w:rsid w:val="00582B90"/>
    <w:rsid w:val="00582E02"/>
    <w:rsid w:val="00583134"/>
    <w:rsid w:val="005831A7"/>
    <w:rsid w:val="00583321"/>
    <w:rsid w:val="0058341E"/>
    <w:rsid w:val="00584F3A"/>
    <w:rsid w:val="005853AB"/>
    <w:rsid w:val="00585748"/>
    <w:rsid w:val="005859C5"/>
    <w:rsid w:val="00585C79"/>
    <w:rsid w:val="00585FD0"/>
    <w:rsid w:val="00586144"/>
    <w:rsid w:val="00587785"/>
    <w:rsid w:val="0058788D"/>
    <w:rsid w:val="00587899"/>
    <w:rsid w:val="00587CDD"/>
    <w:rsid w:val="00587E29"/>
    <w:rsid w:val="00587FE6"/>
    <w:rsid w:val="0059040D"/>
    <w:rsid w:val="00591698"/>
    <w:rsid w:val="0059211E"/>
    <w:rsid w:val="00593A7F"/>
    <w:rsid w:val="00593B87"/>
    <w:rsid w:val="00593C1C"/>
    <w:rsid w:val="00593E94"/>
    <w:rsid w:val="00594143"/>
    <w:rsid w:val="00594543"/>
    <w:rsid w:val="00594612"/>
    <w:rsid w:val="00595873"/>
    <w:rsid w:val="00595CDD"/>
    <w:rsid w:val="005964BB"/>
    <w:rsid w:val="00596A70"/>
    <w:rsid w:val="00596BD3"/>
    <w:rsid w:val="00596BE7"/>
    <w:rsid w:val="00596C3E"/>
    <w:rsid w:val="005976D7"/>
    <w:rsid w:val="005977DD"/>
    <w:rsid w:val="00597853"/>
    <w:rsid w:val="005A04BD"/>
    <w:rsid w:val="005A0A3F"/>
    <w:rsid w:val="005A114F"/>
    <w:rsid w:val="005A1F49"/>
    <w:rsid w:val="005A2364"/>
    <w:rsid w:val="005A2480"/>
    <w:rsid w:val="005A2B2C"/>
    <w:rsid w:val="005A2D6B"/>
    <w:rsid w:val="005A3252"/>
    <w:rsid w:val="005A335A"/>
    <w:rsid w:val="005A338E"/>
    <w:rsid w:val="005A33F7"/>
    <w:rsid w:val="005A3A51"/>
    <w:rsid w:val="005A40CF"/>
    <w:rsid w:val="005A4A9C"/>
    <w:rsid w:val="005A4BAE"/>
    <w:rsid w:val="005A4F39"/>
    <w:rsid w:val="005A574D"/>
    <w:rsid w:val="005A5B5C"/>
    <w:rsid w:val="005A6E93"/>
    <w:rsid w:val="005A707A"/>
    <w:rsid w:val="005A7340"/>
    <w:rsid w:val="005A7B06"/>
    <w:rsid w:val="005A7F93"/>
    <w:rsid w:val="005B07EA"/>
    <w:rsid w:val="005B0B20"/>
    <w:rsid w:val="005B0BD6"/>
    <w:rsid w:val="005B0EFB"/>
    <w:rsid w:val="005B1060"/>
    <w:rsid w:val="005B12B9"/>
    <w:rsid w:val="005B17C1"/>
    <w:rsid w:val="005B1CA4"/>
    <w:rsid w:val="005B1E86"/>
    <w:rsid w:val="005B1F9C"/>
    <w:rsid w:val="005B33D7"/>
    <w:rsid w:val="005B3737"/>
    <w:rsid w:val="005B3A42"/>
    <w:rsid w:val="005B5053"/>
    <w:rsid w:val="005B5D40"/>
    <w:rsid w:val="005B5EFC"/>
    <w:rsid w:val="005B601F"/>
    <w:rsid w:val="005B6412"/>
    <w:rsid w:val="005B6698"/>
    <w:rsid w:val="005B68A7"/>
    <w:rsid w:val="005B6AC3"/>
    <w:rsid w:val="005C055E"/>
    <w:rsid w:val="005C0FA1"/>
    <w:rsid w:val="005C12E6"/>
    <w:rsid w:val="005C1615"/>
    <w:rsid w:val="005C1D98"/>
    <w:rsid w:val="005C1DA5"/>
    <w:rsid w:val="005C2559"/>
    <w:rsid w:val="005C2873"/>
    <w:rsid w:val="005C2FBB"/>
    <w:rsid w:val="005C2FE5"/>
    <w:rsid w:val="005C34FC"/>
    <w:rsid w:val="005C3B5C"/>
    <w:rsid w:val="005C3C7F"/>
    <w:rsid w:val="005C5143"/>
    <w:rsid w:val="005C5639"/>
    <w:rsid w:val="005C5742"/>
    <w:rsid w:val="005C59E7"/>
    <w:rsid w:val="005C6125"/>
    <w:rsid w:val="005C6CA5"/>
    <w:rsid w:val="005C6E7D"/>
    <w:rsid w:val="005C760E"/>
    <w:rsid w:val="005C7E9E"/>
    <w:rsid w:val="005D0695"/>
    <w:rsid w:val="005D18C9"/>
    <w:rsid w:val="005D1B72"/>
    <w:rsid w:val="005D2471"/>
    <w:rsid w:val="005D25A3"/>
    <w:rsid w:val="005D2779"/>
    <w:rsid w:val="005D27B7"/>
    <w:rsid w:val="005D3242"/>
    <w:rsid w:val="005D3A6A"/>
    <w:rsid w:val="005D610C"/>
    <w:rsid w:val="005D63F9"/>
    <w:rsid w:val="005D74E7"/>
    <w:rsid w:val="005D75A8"/>
    <w:rsid w:val="005D7C64"/>
    <w:rsid w:val="005D7F7B"/>
    <w:rsid w:val="005E3BCD"/>
    <w:rsid w:val="005E4A87"/>
    <w:rsid w:val="005E4C0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00"/>
    <w:rsid w:val="005F3690"/>
    <w:rsid w:val="005F3986"/>
    <w:rsid w:val="005F4C57"/>
    <w:rsid w:val="005F6774"/>
    <w:rsid w:val="005F6F7B"/>
    <w:rsid w:val="005F79AA"/>
    <w:rsid w:val="005F7CDD"/>
    <w:rsid w:val="0060044B"/>
    <w:rsid w:val="006013D7"/>
    <w:rsid w:val="006014DB"/>
    <w:rsid w:val="00601587"/>
    <w:rsid w:val="00602079"/>
    <w:rsid w:val="006022F3"/>
    <w:rsid w:val="00602579"/>
    <w:rsid w:val="00602BA4"/>
    <w:rsid w:val="00602DA2"/>
    <w:rsid w:val="00602F9C"/>
    <w:rsid w:val="00602FF4"/>
    <w:rsid w:val="00603228"/>
    <w:rsid w:val="00603C44"/>
    <w:rsid w:val="00604842"/>
    <w:rsid w:val="00604ACD"/>
    <w:rsid w:val="00604C15"/>
    <w:rsid w:val="00604DC2"/>
    <w:rsid w:val="006060C4"/>
    <w:rsid w:val="00607C35"/>
    <w:rsid w:val="00607E8A"/>
    <w:rsid w:val="0061051A"/>
    <w:rsid w:val="006110C4"/>
    <w:rsid w:val="00611777"/>
    <w:rsid w:val="0061189F"/>
    <w:rsid w:val="0061219B"/>
    <w:rsid w:val="00612D05"/>
    <w:rsid w:val="00613034"/>
    <w:rsid w:val="00613FB6"/>
    <w:rsid w:val="006140C6"/>
    <w:rsid w:val="00614134"/>
    <w:rsid w:val="00614241"/>
    <w:rsid w:val="0061428D"/>
    <w:rsid w:val="0061530C"/>
    <w:rsid w:val="00615411"/>
    <w:rsid w:val="0061583F"/>
    <w:rsid w:val="0061599E"/>
    <w:rsid w:val="00615AC7"/>
    <w:rsid w:val="006162E6"/>
    <w:rsid w:val="006171A5"/>
    <w:rsid w:val="0062005A"/>
    <w:rsid w:val="00620309"/>
    <w:rsid w:val="0062159D"/>
    <w:rsid w:val="00621680"/>
    <w:rsid w:val="00621EC5"/>
    <w:rsid w:val="006223E0"/>
    <w:rsid w:val="006224D0"/>
    <w:rsid w:val="006225BB"/>
    <w:rsid w:val="006226A3"/>
    <w:rsid w:val="00622BCE"/>
    <w:rsid w:val="00622E29"/>
    <w:rsid w:val="00623643"/>
    <w:rsid w:val="00624018"/>
    <w:rsid w:val="006240C4"/>
    <w:rsid w:val="006247DE"/>
    <w:rsid w:val="00624B3C"/>
    <w:rsid w:val="006252C2"/>
    <w:rsid w:val="00625304"/>
    <w:rsid w:val="00625408"/>
    <w:rsid w:val="0062581B"/>
    <w:rsid w:val="00625CFE"/>
    <w:rsid w:val="006261F4"/>
    <w:rsid w:val="0063164E"/>
    <w:rsid w:val="0063191D"/>
    <w:rsid w:val="00631EDD"/>
    <w:rsid w:val="0063275F"/>
    <w:rsid w:val="00632D91"/>
    <w:rsid w:val="00633488"/>
    <w:rsid w:val="00633581"/>
    <w:rsid w:val="006339AF"/>
    <w:rsid w:val="00633C47"/>
    <w:rsid w:val="00634690"/>
    <w:rsid w:val="006348F7"/>
    <w:rsid w:val="0063512D"/>
    <w:rsid w:val="006351CF"/>
    <w:rsid w:val="006358FB"/>
    <w:rsid w:val="00635AE2"/>
    <w:rsid w:val="00635E1E"/>
    <w:rsid w:val="0063677C"/>
    <w:rsid w:val="00636972"/>
    <w:rsid w:val="00636B69"/>
    <w:rsid w:val="00636BC2"/>
    <w:rsid w:val="00636F2B"/>
    <w:rsid w:val="0063734B"/>
    <w:rsid w:val="006403B9"/>
    <w:rsid w:val="006404B1"/>
    <w:rsid w:val="006404D1"/>
    <w:rsid w:val="0064067C"/>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3CE"/>
    <w:rsid w:val="00647B32"/>
    <w:rsid w:val="00647C27"/>
    <w:rsid w:val="00650367"/>
    <w:rsid w:val="0065114C"/>
    <w:rsid w:val="006519E6"/>
    <w:rsid w:val="00651CDE"/>
    <w:rsid w:val="00652326"/>
    <w:rsid w:val="006524F6"/>
    <w:rsid w:val="00652907"/>
    <w:rsid w:val="00652E06"/>
    <w:rsid w:val="00653FC4"/>
    <w:rsid w:val="00654F91"/>
    <w:rsid w:val="006551E7"/>
    <w:rsid w:val="00655361"/>
    <w:rsid w:val="00655923"/>
    <w:rsid w:val="00655B6B"/>
    <w:rsid w:val="00656253"/>
    <w:rsid w:val="00656799"/>
    <w:rsid w:val="00656B77"/>
    <w:rsid w:val="00656E72"/>
    <w:rsid w:val="006578A1"/>
    <w:rsid w:val="006579E5"/>
    <w:rsid w:val="00657E12"/>
    <w:rsid w:val="00660309"/>
    <w:rsid w:val="006610E2"/>
    <w:rsid w:val="0066137B"/>
    <w:rsid w:val="0066174E"/>
    <w:rsid w:val="00661BBB"/>
    <w:rsid w:val="00661E57"/>
    <w:rsid w:val="006629E4"/>
    <w:rsid w:val="006634FB"/>
    <w:rsid w:val="0066352E"/>
    <w:rsid w:val="00663783"/>
    <w:rsid w:val="00663DFE"/>
    <w:rsid w:val="00663E47"/>
    <w:rsid w:val="00663EF9"/>
    <w:rsid w:val="006644A7"/>
    <w:rsid w:val="00664ABA"/>
    <w:rsid w:val="00664BDE"/>
    <w:rsid w:val="0066565B"/>
    <w:rsid w:val="0066581D"/>
    <w:rsid w:val="00665863"/>
    <w:rsid w:val="00665C44"/>
    <w:rsid w:val="00665D59"/>
    <w:rsid w:val="00666284"/>
    <w:rsid w:val="006667F3"/>
    <w:rsid w:val="00666D54"/>
    <w:rsid w:val="00667AEA"/>
    <w:rsid w:val="006704FA"/>
    <w:rsid w:val="00670687"/>
    <w:rsid w:val="00670DC5"/>
    <w:rsid w:val="00671652"/>
    <w:rsid w:val="00671FAA"/>
    <w:rsid w:val="006730D2"/>
    <w:rsid w:val="006739BA"/>
    <w:rsid w:val="006756C9"/>
    <w:rsid w:val="00675DA5"/>
    <w:rsid w:val="00680482"/>
    <w:rsid w:val="006808DC"/>
    <w:rsid w:val="006816B6"/>
    <w:rsid w:val="006820EB"/>
    <w:rsid w:val="00682128"/>
    <w:rsid w:val="0068220C"/>
    <w:rsid w:val="006829D2"/>
    <w:rsid w:val="00682AB1"/>
    <w:rsid w:val="00682E9F"/>
    <w:rsid w:val="00683252"/>
    <w:rsid w:val="006832BB"/>
    <w:rsid w:val="0068343A"/>
    <w:rsid w:val="006834D4"/>
    <w:rsid w:val="00683A13"/>
    <w:rsid w:val="0068413D"/>
    <w:rsid w:val="006844BA"/>
    <w:rsid w:val="006845A2"/>
    <w:rsid w:val="00684BF8"/>
    <w:rsid w:val="00684C30"/>
    <w:rsid w:val="00684C65"/>
    <w:rsid w:val="00684D9B"/>
    <w:rsid w:val="006852E2"/>
    <w:rsid w:val="006858AA"/>
    <w:rsid w:val="00685BCF"/>
    <w:rsid w:val="006860F9"/>
    <w:rsid w:val="00686492"/>
    <w:rsid w:val="006865A7"/>
    <w:rsid w:val="006871D0"/>
    <w:rsid w:val="0068751F"/>
    <w:rsid w:val="006900D1"/>
    <w:rsid w:val="00690297"/>
    <w:rsid w:val="00690485"/>
    <w:rsid w:val="00690777"/>
    <w:rsid w:val="0069115A"/>
    <w:rsid w:val="006912F1"/>
    <w:rsid w:val="00691387"/>
    <w:rsid w:val="006919A0"/>
    <w:rsid w:val="006927F2"/>
    <w:rsid w:val="006931E1"/>
    <w:rsid w:val="00693E3A"/>
    <w:rsid w:val="00694310"/>
    <w:rsid w:val="006946BC"/>
    <w:rsid w:val="00694700"/>
    <w:rsid w:val="00694803"/>
    <w:rsid w:val="00694CE8"/>
    <w:rsid w:val="0069569E"/>
    <w:rsid w:val="006956C6"/>
    <w:rsid w:val="00696980"/>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13A"/>
    <w:rsid w:val="006A54FE"/>
    <w:rsid w:val="006A561D"/>
    <w:rsid w:val="006A5A0C"/>
    <w:rsid w:val="006A5BA0"/>
    <w:rsid w:val="006A5BB1"/>
    <w:rsid w:val="006A5F88"/>
    <w:rsid w:val="006A760B"/>
    <w:rsid w:val="006A7D95"/>
    <w:rsid w:val="006B00E4"/>
    <w:rsid w:val="006B0A73"/>
    <w:rsid w:val="006B120D"/>
    <w:rsid w:val="006B13C1"/>
    <w:rsid w:val="006B2CC7"/>
    <w:rsid w:val="006B3AF9"/>
    <w:rsid w:val="006B42B1"/>
    <w:rsid w:val="006B4324"/>
    <w:rsid w:val="006B44C5"/>
    <w:rsid w:val="006B5472"/>
    <w:rsid w:val="006B555F"/>
    <w:rsid w:val="006B5854"/>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2A57"/>
    <w:rsid w:val="006C2FA0"/>
    <w:rsid w:val="006C3031"/>
    <w:rsid w:val="006C3607"/>
    <w:rsid w:val="006C3902"/>
    <w:rsid w:val="006C3990"/>
    <w:rsid w:val="006C3DE1"/>
    <w:rsid w:val="006C3ED2"/>
    <w:rsid w:val="006C4233"/>
    <w:rsid w:val="006C42E7"/>
    <w:rsid w:val="006C4422"/>
    <w:rsid w:val="006C51CD"/>
    <w:rsid w:val="006C5CCA"/>
    <w:rsid w:val="006C625F"/>
    <w:rsid w:val="006C75FB"/>
    <w:rsid w:val="006C78A6"/>
    <w:rsid w:val="006C7AB4"/>
    <w:rsid w:val="006D006B"/>
    <w:rsid w:val="006D08FB"/>
    <w:rsid w:val="006D105C"/>
    <w:rsid w:val="006D1C3F"/>
    <w:rsid w:val="006D30E7"/>
    <w:rsid w:val="006D424C"/>
    <w:rsid w:val="006D42A2"/>
    <w:rsid w:val="006D48E7"/>
    <w:rsid w:val="006D4947"/>
    <w:rsid w:val="006D5F16"/>
    <w:rsid w:val="006D6123"/>
    <w:rsid w:val="006D63AD"/>
    <w:rsid w:val="006D6764"/>
    <w:rsid w:val="006D67D9"/>
    <w:rsid w:val="006D6866"/>
    <w:rsid w:val="006D68D8"/>
    <w:rsid w:val="006D6C93"/>
    <w:rsid w:val="006D7197"/>
    <w:rsid w:val="006D7573"/>
    <w:rsid w:val="006E0340"/>
    <w:rsid w:val="006E06F9"/>
    <w:rsid w:val="006E07A9"/>
    <w:rsid w:val="006E0D91"/>
    <w:rsid w:val="006E15A6"/>
    <w:rsid w:val="006E1706"/>
    <w:rsid w:val="006E2104"/>
    <w:rsid w:val="006E2E06"/>
    <w:rsid w:val="006E3CB2"/>
    <w:rsid w:val="006E3DA8"/>
    <w:rsid w:val="006E3FF8"/>
    <w:rsid w:val="006E4F6A"/>
    <w:rsid w:val="006E5DAA"/>
    <w:rsid w:val="006E7006"/>
    <w:rsid w:val="006E7BBF"/>
    <w:rsid w:val="006F00E7"/>
    <w:rsid w:val="006F07B7"/>
    <w:rsid w:val="006F0F6E"/>
    <w:rsid w:val="006F1B22"/>
    <w:rsid w:val="006F1BA4"/>
    <w:rsid w:val="006F2259"/>
    <w:rsid w:val="006F23E1"/>
    <w:rsid w:val="006F2F8F"/>
    <w:rsid w:val="006F2FDA"/>
    <w:rsid w:val="006F2FE5"/>
    <w:rsid w:val="006F3460"/>
    <w:rsid w:val="006F34FE"/>
    <w:rsid w:val="006F3615"/>
    <w:rsid w:val="006F3FA3"/>
    <w:rsid w:val="006F42F8"/>
    <w:rsid w:val="006F4556"/>
    <w:rsid w:val="006F48BA"/>
    <w:rsid w:val="006F4AF9"/>
    <w:rsid w:val="006F54EB"/>
    <w:rsid w:val="006F5CC1"/>
    <w:rsid w:val="006F646F"/>
    <w:rsid w:val="006F67A5"/>
    <w:rsid w:val="006F762D"/>
    <w:rsid w:val="00700492"/>
    <w:rsid w:val="007009AC"/>
    <w:rsid w:val="00700F0B"/>
    <w:rsid w:val="0070167E"/>
    <w:rsid w:val="00701E1B"/>
    <w:rsid w:val="00702ED0"/>
    <w:rsid w:val="00703357"/>
    <w:rsid w:val="00703669"/>
    <w:rsid w:val="00703C09"/>
    <w:rsid w:val="0070434A"/>
    <w:rsid w:val="007048C4"/>
    <w:rsid w:val="00704CC4"/>
    <w:rsid w:val="00705345"/>
    <w:rsid w:val="0070638D"/>
    <w:rsid w:val="007063B8"/>
    <w:rsid w:val="00706DBF"/>
    <w:rsid w:val="00707A59"/>
    <w:rsid w:val="0071046B"/>
    <w:rsid w:val="00710AC6"/>
    <w:rsid w:val="00710C1D"/>
    <w:rsid w:val="007110A3"/>
    <w:rsid w:val="00711108"/>
    <w:rsid w:val="00711213"/>
    <w:rsid w:val="007112A1"/>
    <w:rsid w:val="00711996"/>
    <w:rsid w:val="00711B3B"/>
    <w:rsid w:val="00711BA3"/>
    <w:rsid w:val="00711C9D"/>
    <w:rsid w:val="0071216A"/>
    <w:rsid w:val="00712B71"/>
    <w:rsid w:val="00712E55"/>
    <w:rsid w:val="00712EDE"/>
    <w:rsid w:val="00712FB6"/>
    <w:rsid w:val="00713023"/>
    <w:rsid w:val="0071322C"/>
    <w:rsid w:val="00713779"/>
    <w:rsid w:val="00713989"/>
    <w:rsid w:val="00713DCF"/>
    <w:rsid w:val="00714004"/>
    <w:rsid w:val="00714144"/>
    <w:rsid w:val="0071458E"/>
    <w:rsid w:val="007145C9"/>
    <w:rsid w:val="00714631"/>
    <w:rsid w:val="00714B6E"/>
    <w:rsid w:val="0071512F"/>
    <w:rsid w:val="00715B43"/>
    <w:rsid w:val="007169AC"/>
    <w:rsid w:val="007169DD"/>
    <w:rsid w:val="00717679"/>
    <w:rsid w:val="00717B67"/>
    <w:rsid w:val="007206A2"/>
    <w:rsid w:val="00720B38"/>
    <w:rsid w:val="00720CA7"/>
    <w:rsid w:val="0072147B"/>
    <w:rsid w:val="0072181E"/>
    <w:rsid w:val="00721E74"/>
    <w:rsid w:val="00722267"/>
    <w:rsid w:val="0072285E"/>
    <w:rsid w:val="00722C62"/>
    <w:rsid w:val="00722C63"/>
    <w:rsid w:val="0072321F"/>
    <w:rsid w:val="00723295"/>
    <w:rsid w:val="007232D9"/>
    <w:rsid w:val="007238E2"/>
    <w:rsid w:val="007239B4"/>
    <w:rsid w:val="00724446"/>
    <w:rsid w:val="00724565"/>
    <w:rsid w:val="00724584"/>
    <w:rsid w:val="00724AA1"/>
    <w:rsid w:val="00724D39"/>
    <w:rsid w:val="007253D6"/>
    <w:rsid w:val="00725A19"/>
    <w:rsid w:val="00726356"/>
    <w:rsid w:val="0072686D"/>
    <w:rsid w:val="007268C7"/>
    <w:rsid w:val="00726AAB"/>
    <w:rsid w:val="00727077"/>
    <w:rsid w:val="00730EA6"/>
    <w:rsid w:val="007319B0"/>
    <w:rsid w:val="00731C15"/>
    <w:rsid w:val="00732045"/>
    <w:rsid w:val="007322A0"/>
    <w:rsid w:val="007324A4"/>
    <w:rsid w:val="00732C1A"/>
    <w:rsid w:val="00733CDC"/>
    <w:rsid w:val="00734B9A"/>
    <w:rsid w:val="00734FD6"/>
    <w:rsid w:val="00735695"/>
    <w:rsid w:val="007360CB"/>
    <w:rsid w:val="00737566"/>
    <w:rsid w:val="00741BA2"/>
    <w:rsid w:val="00741CF4"/>
    <w:rsid w:val="00741DCC"/>
    <w:rsid w:val="00741DE2"/>
    <w:rsid w:val="007421A1"/>
    <w:rsid w:val="007426C0"/>
    <w:rsid w:val="007427FE"/>
    <w:rsid w:val="00742C51"/>
    <w:rsid w:val="00743445"/>
    <w:rsid w:val="00744553"/>
    <w:rsid w:val="00745E01"/>
    <w:rsid w:val="007463E8"/>
    <w:rsid w:val="0074666B"/>
    <w:rsid w:val="007468D6"/>
    <w:rsid w:val="0074690E"/>
    <w:rsid w:val="00746BFF"/>
    <w:rsid w:val="007473E1"/>
    <w:rsid w:val="00747897"/>
    <w:rsid w:val="00747E47"/>
    <w:rsid w:val="007500E8"/>
    <w:rsid w:val="00750192"/>
    <w:rsid w:val="007504E1"/>
    <w:rsid w:val="00750544"/>
    <w:rsid w:val="00750804"/>
    <w:rsid w:val="007509AB"/>
    <w:rsid w:val="00751689"/>
    <w:rsid w:val="007524AA"/>
    <w:rsid w:val="0075293F"/>
    <w:rsid w:val="00753744"/>
    <w:rsid w:val="00753A93"/>
    <w:rsid w:val="00755663"/>
    <w:rsid w:val="00756386"/>
    <w:rsid w:val="00756603"/>
    <w:rsid w:val="007575BE"/>
    <w:rsid w:val="007575C0"/>
    <w:rsid w:val="00757D2F"/>
    <w:rsid w:val="0076000E"/>
    <w:rsid w:val="00760B3D"/>
    <w:rsid w:val="00760C00"/>
    <w:rsid w:val="007610E9"/>
    <w:rsid w:val="00761728"/>
    <w:rsid w:val="00761C6C"/>
    <w:rsid w:val="00762665"/>
    <w:rsid w:val="0076293D"/>
    <w:rsid w:val="00762B72"/>
    <w:rsid w:val="00763CCB"/>
    <w:rsid w:val="00763E13"/>
    <w:rsid w:val="007642B4"/>
    <w:rsid w:val="00764C45"/>
    <w:rsid w:val="00764C7F"/>
    <w:rsid w:val="00766277"/>
    <w:rsid w:val="0076656A"/>
    <w:rsid w:val="00766701"/>
    <w:rsid w:val="00766911"/>
    <w:rsid w:val="00767793"/>
    <w:rsid w:val="007679D8"/>
    <w:rsid w:val="00767E9B"/>
    <w:rsid w:val="00770803"/>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70F9"/>
    <w:rsid w:val="00777179"/>
    <w:rsid w:val="00777945"/>
    <w:rsid w:val="00777D40"/>
    <w:rsid w:val="007802DE"/>
    <w:rsid w:val="00780B8D"/>
    <w:rsid w:val="00780B8E"/>
    <w:rsid w:val="00781199"/>
    <w:rsid w:val="00781649"/>
    <w:rsid w:val="007817EA"/>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786"/>
    <w:rsid w:val="00791D85"/>
    <w:rsid w:val="00791DAF"/>
    <w:rsid w:val="007924CA"/>
    <w:rsid w:val="00794CBF"/>
    <w:rsid w:val="00795365"/>
    <w:rsid w:val="0079567E"/>
    <w:rsid w:val="007961D5"/>
    <w:rsid w:val="00796A6F"/>
    <w:rsid w:val="00796BB9"/>
    <w:rsid w:val="00796C5D"/>
    <w:rsid w:val="007973FC"/>
    <w:rsid w:val="00797B06"/>
    <w:rsid w:val="00797B9C"/>
    <w:rsid w:val="00797E23"/>
    <w:rsid w:val="007A0483"/>
    <w:rsid w:val="007A1065"/>
    <w:rsid w:val="007A1D86"/>
    <w:rsid w:val="007A2A97"/>
    <w:rsid w:val="007A2CDC"/>
    <w:rsid w:val="007A2F1E"/>
    <w:rsid w:val="007A371B"/>
    <w:rsid w:val="007A3832"/>
    <w:rsid w:val="007A3A0F"/>
    <w:rsid w:val="007A3E60"/>
    <w:rsid w:val="007A407D"/>
    <w:rsid w:val="007A42C3"/>
    <w:rsid w:val="007A464F"/>
    <w:rsid w:val="007A6196"/>
    <w:rsid w:val="007A63D5"/>
    <w:rsid w:val="007A6441"/>
    <w:rsid w:val="007A689A"/>
    <w:rsid w:val="007A68EA"/>
    <w:rsid w:val="007A69E6"/>
    <w:rsid w:val="007A6B7D"/>
    <w:rsid w:val="007A7629"/>
    <w:rsid w:val="007A7E26"/>
    <w:rsid w:val="007B0B8A"/>
    <w:rsid w:val="007B1027"/>
    <w:rsid w:val="007B1691"/>
    <w:rsid w:val="007B174F"/>
    <w:rsid w:val="007B1863"/>
    <w:rsid w:val="007B199C"/>
    <w:rsid w:val="007B19CA"/>
    <w:rsid w:val="007B22E0"/>
    <w:rsid w:val="007B28CA"/>
    <w:rsid w:val="007B2903"/>
    <w:rsid w:val="007B2966"/>
    <w:rsid w:val="007B358D"/>
    <w:rsid w:val="007B5401"/>
    <w:rsid w:val="007B5FB4"/>
    <w:rsid w:val="007B6B2B"/>
    <w:rsid w:val="007B6B47"/>
    <w:rsid w:val="007B70AA"/>
    <w:rsid w:val="007B7949"/>
    <w:rsid w:val="007B7D30"/>
    <w:rsid w:val="007C0FA9"/>
    <w:rsid w:val="007C14C0"/>
    <w:rsid w:val="007C14D0"/>
    <w:rsid w:val="007C19D6"/>
    <w:rsid w:val="007C2413"/>
    <w:rsid w:val="007C25AE"/>
    <w:rsid w:val="007C3152"/>
    <w:rsid w:val="007C333B"/>
    <w:rsid w:val="007C3914"/>
    <w:rsid w:val="007C3CEA"/>
    <w:rsid w:val="007C3D92"/>
    <w:rsid w:val="007C3E98"/>
    <w:rsid w:val="007C45EA"/>
    <w:rsid w:val="007C4D77"/>
    <w:rsid w:val="007C5A8F"/>
    <w:rsid w:val="007C5B38"/>
    <w:rsid w:val="007C7268"/>
    <w:rsid w:val="007C76E8"/>
    <w:rsid w:val="007D01E6"/>
    <w:rsid w:val="007D035E"/>
    <w:rsid w:val="007D0396"/>
    <w:rsid w:val="007D0644"/>
    <w:rsid w:val="007D1801"/>
    <w:rsid w:val="007D1B3F"/>
    <w:rsid w:val="007D1FE0"/>
    <w:rsid w:val="007D20BB"/>
    <w:rsid w:val="007D261E"/>
    <w:rsid w:val="007D2F61"/>
    <w:rsid w:val="007D3004"/>
    <w:rsid w:val="007D3D0E"/>
    <w:rsid w:val="007D3D33"/>
    <w:rsid w:val="007D41C2"/>
    <w:rsid w:val="007D4F02"/>
    <w:rsid w:val="007D6433"/>
    <w:rsid w:val="007D674C"/>
    <w:rsid w:val="007D6B7B"/>
    <w:rsid w:val="007D6CF1"/>
    <w:rsid w:val="007D70EE"/>
    <w:rsid w:val="007D7131"/>
    <w:rsid w:val="007D7181"/>
    <w:rsid w:val="007D73D6"/>
    <w:rsid w:val="007D7BEC"/>
    <w:rsid w:val="007D7CE3"/>
    <w:rsid w:val="007D7F93"/>
    <w:rsid w:val="007E051A"/>
    <w:rsid w:val="007E0798"/>
    <w:rsid w:val="007E0E19"/>
    <w:rsid w:val="007E1B72"/>
    <w:rsid w:val="007E2C16"/>
    <w:rsid w:val="007E3EE3"/>
    <w:rsid w:val="007E57DE"/>
    <w:rsid w:val="007E5902"/>
    <w:rsid w:val="007E6719"/>
    <w:rsid w:val="007E68ED"/>
    <w:rsid w:val="007E69ED"/>
    <w:rsid w:val="007E7B2D"/>
    <w:rsid w:val="007F0221"/>
    <w:rsid w:val="007F034B"/>
    <w:rsid w:val="007F07B9"/>
    <w:rsid w:val="007F0928"/>
    <w:rsid w:val="007F12E7"/>
    <w:rsid w:val="007F15CE"/>
    <w:rsid w:val="007F1E88"/>
    <w:rsid w:val="007F1FD8"/>
    <w:rsid w:val="007F2997"/>
    <w:rsid w:val="007F29D3"/>
    <w:rsid w:val="007F2CD7"/>
    <w:rsid w:val="007F3568"/>
    <w:rsid w:val="007F38AF"/>
    <w:rsid w:val="007F422D"/>
    <w:rsid w:val="007F449E"/>
    <w:rsid w:val="007F4DBA"/>
    <w:rsid w:val="007F519C"/>
    <w:rsid w:val="007F534D"/>
    <w:rsid w:val="007F54A2"/>
    <w:rsid w:val="007F54FE"/>
    <w:rsid w:val="007F5535"/>
    <w:rsid w:val="007F5D32"/>
    <w:rsid w:val="007F72DC"/>
    <w:rsid w:val="007F795F"/>
    <w:rsid w:val="008000DE"/>
    <w:rsid w:val="0080069C"/>
    <w:rsid w:val="008006FD"/>
    <w:rsid w:val="00801335"/>
    <w:rsid w:val="0080148D"/>
    <w:rsid w:val="0080156B"/>
    <w:rsid w:val="00801A3A"/>
    <w:rsid w:val="00803C22"/>
    <w:rsid w:val="00804114"/>
    <w:rsid w:val="00804634"/>
    <w:rsid w:val="008047E8"/>
    <w:rsid w:val="0080531E"/>
    <w:rsid w:val="00805C3D"/>
    <w:rsid w:val="00805D29"/>
    <w:rsid w:val="0080652A"/>
    <w:rsid w:val="00806F1D"/>
    <w:rsid w:val="008077ED"/>
    <w:rsid w:val="00807B6F"/>
    <w:rsid w:val="00807E93"/>
    <w:rsid w:val="00810172"/>
    <w:rsid w:val="00810762"/>
    <w:rsid w:val="00810858"/>
    <w:rsid w:val="00810E95"/>
    <w:rsid w:val="00810EFF"/>
    <w:rsid w:val="00811314"/>
    <w:rsid w:val="00811A39"/>
    <w:rsid w:val="0081291B"/>
    <w:rsid w:val="00813622"/>
    <w:rsid w:val="00813DCF"/>
    <w:rsid w:val="00813FAB"/>
    <w:rsid w:val="0081498C"/>
    <w:rsid w:val="00814AE1"/>
    <w:rsid w:val="0081561B"/>
    <w:rsid w:val="00815D31"/>
    <w:rsid w:val="0081601F"/>
    <w:rsid w:val="00816064"/>
    <w:rsid w:val="008173A1"/>
    <w:rsid w:val="008174B2"/>
    <w:rsid w:val="00817CFF"/>
    <w:rsid w:val="0082000D"/>
    <w:rsid w:val="00820176"/>
    <w:rsid w:val="0082037E"/>
    <w:rsid w:val="00820C9C"/>
    <w:rsid w:val="00820F55"/>
    <w:rsid w:val="00821572"/>
    <w:rsid w:val="00822310"/>
    <w:rsid w:val="0082370C"/>
    <w:rsid w:val="00823794"/>
    <w:rsid w:val="008237F4"/>
    <w:rsid w:val="00823F67"/>
    <w:rsid w:val="00824022"/>
    <w:rsid w:val="0082482B"/>
    <w:rsid w:val="0082483A"/>
    <w:rsid w:val="00824A81"/>
    <w:rsid w:val="008257B8"/>
    <w:rsid w:val="008260ED"/>
    <w:rsid w:val="0082699D"/>
    <w:rsid w:val="00826E6B"/>
    <w:rsid w:val="008275FD"/>
    <w:rsid w:val="00830BA1"/>
    <w:rsid w:val="00830EB2"/>
    <w:rsid w:val="00831457"/>
    <w:rsid w:val="00831652"/>
    <w:rsid w:val="0083202E"/>
    <w:rsid w:val="008329E6"/>
    <w:rsid w:val="0083304F"/>
    <w:rsid w:val="008334C9"/>
    <w:rsid w:val="00834122"/>
    <w:rsid w:val="0083413D"/>
    <w:rsid w:val="0083504A"/>
    <w:rsid w:val="008352C5"/>
    <w:rsid w:val="0083548A"/>
    <w:rsid w:val="008358A6"/>
    <w:rsid w:val="008359FB"/>
    <w:rsid w:val="00835C56"/>
    <w:rsid w:val="008360FC"/>
    <w:rsid w:val="008368CE"/>
    <w:rsid w:val="00836E81"/>
    <w:rsid w:val="00837795"/>
    <w:rsid w:val="008377C1"/>
    <w:rsid w:val="00837C1B"/>
    <w:rsid w:val="00837C90"/>
    <w:rsid w:val="00837EB1"/>
    <w:rsid w:val="0084042B"/>
    <w:rsid w:val="008409BB"/>
    <w:rsid w:val="00841034"/>
    <w:rsid w:val="00841691"/>
    <w:rsid w:val="0084184A"/>
    <w:rsid w:val="00841B6E"/>
    <w:rsid w:val="008423F2"/>
    <w:rsid w:val="008425B4"/>
    <w:rsid w:val="00842A30"/>
    <w:rsid w:val="00842F71"/>
    <w:rsid w:val="00843179"/>
    <w:rsid w:val="0084386A"/>
    <w:rsid w:val="00843E0E"/>
    <w:rsid w:val="008442EA"/>
    <w:rsid w:val="00844589"/>
    <w:rsid w:val="00844794"/>
    <w:rsid w:val="00844839"/>
    <w:rsid w:val="00844FE7"/>
    <w:rsid w:val="00845103"/>
    <w:rsid w:val="00845969"/>
    <w:rsid w:val="00845F37"/>
    <w:rsid w:val="00845FB3"/>
    <w:rsid w:val="00845FF5"/>
    <w:rsid w:val="00846001"/>
    <w:rsid w:val="0084615D"/>
    <w:rsid w:val="0084642A"/>
    <w:rsid w:val="008465C4"/>
    <w:rsid w:val="00846710"/>
    <w:rsid w:val="00846EF3"/>
    <w:rsid w:val="008478ED"/>
    <w:rsid w:val="0085087F"/>
    <w:rsid w:val="00850ECA"/>
    <w:rsid w:val="00851728"/>
    <w:rsid w:val="00851DFF"/>
    <w:rsid w:val="0085288F"/>
    <w:rsid w:val="00853084"/>
    <w:rsid w:val="00853142"/>
    <w:rsid w:val="008540A6"/>
    <w:rsid w:val="00854420"/>
    <w:rsid w:val="00854481"/>
    <w:rsid w:val="00854B0E"/>
    <w:rsid w:val="008555EF"/>
    <w:rsid w:val="008557B2"/>
    <w:rsid w:val="00857591"/>
    <w:rsid w:val="00857E88"/>
    <w:rsid w:val="008612DB"/>
    <w:rsid w:val="00861B57"/>
    <w:rsid w:val="0086273D"/>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014D"/>
    <w:rsid w:val="00870C94"/>
    <w:rsid w:val="008713D6"/>
    <w:rsid w:val="00871643"/>
    <w:rsid w:val="0087281D"/>
    <w:rsid w:val="00872B1E"/>
    <w:rsid w:val="00872E6E"/>
    <w:rsid w:val="008732D8"/>
    <w:rsid w:val="00873377"/>
    <w:rsid w:val="00873487"/>
    <w:rsid w:val="00873577"/>
    <w:rsid w:val="0087409F"/>
    <w:rsid w:val="008740BA"/>
    <w:rsid w:val="008747AE"/>
    <w:rsid w:val="008747B8"/>
    <w:rsid w:val="00874D58"/>
    <w:rsid w:val="008750D2"/>
    <w:rsid w:val="00875982"/>
    <w:rsid w:val="00875AB5"/>
    <w:rsid w:val="00875C91"/>
    <w:rsid w:val="00875F85"/>
    <w:rsid w:val="00876C6B"/>
    <w:rsid w:val="00876DC9"/>
    <w:rsid w:val="00877125"/>
    <w:rsid w:val="008777C2"/>
    <w:rsid w:val="00880084"/>
    <w:rsid w:val="0088056D"/>
    <w:rsid w:val="0088063B"/>
    <w:rsid w:val="00881511"/>
    <w:rsid w:val="0088210E"/>
    <w:rsid w:val="00882448"/>
    <w:rsid w:val="00882F1D"/>
    <w:rsid w:val="00883A4D"/>
    <w:rsid w:val="00883B21"/>
    <w:rsid w:val="00883E71"/>
    <w:rsid w:val="00883F8F"/>
    <w:rsid w:val="00884235"/>
    <w:rsid w:val="00885285"/>
    <w:rsid w:val="00885380"/>
    <w:rsid w:val="00885985"/>
    <w:rsid w:val="00886699"/>
    <w:rsid w:val="0088709A"/>
    <w:rsid w:val="008901BB"/>
    <w:rsid w:val="0089199F"/>
    <w:rsid w:val="00891A23"/>
    <w:rsid w:val="00891C32"/>
    <w:rsid w:val="00891D7F"/>
    <w:rsid w:val="00891EBD"/>
    <w:rsid w:val="00892265"/>
    <w:rsid w:val="0089233E"/>
    <w:rsid w:val="00892D6F"/>
    <w:rsid w:val="0089330E"/>
    <w:rsid w:val="00893A8E"/>
    <w:rsid w:val="00893B20"/>
    <w:rsid w:val="00893E27"/>
    <w:rsid w:val="0089438A"/>
    <w:rsid w:val="008945F7"/>
    <w:rsid w:val="0089463D"/>
    <w:rsid w:val="0089554F"/>
    <w:rsid w:val="008955E6"/>
    <w:rsid w:val="00895B5F"/>
    <w:rsid w:val="0089637C"/>
    <w:rsid w:val="008963D3"/>
    <w:rsid w:val="00896712"/>
    <w:rsid w:val="00896870"/>
    <w:rsid w:val="008969BD"/>
    <w:rsid w:val="008A13BD"/>
    <w:rsid w:val="008A1596"/>
    <w:rsid w:val="008A1EDF"/>
    <w:rsid w:val="008A2695"/>
    <w:rsid w:val="008A2A55"/>
    <w:rsid w:val="008A2DC9"/>
    <w:rsid w:val="008A2FF1"/>
    <w:rsid w:val="008A32D4"/>
    <w:rsid w:val="008A3319"/>
    <w:rsid w:val="008A33FD"/>
    <w:rsid w:val="008A367F"/>
    <w:rsid w:val="008A37AF"/>
    <w:rsid w:val="008A3D62"/>
    <w:rsid w:val="008A448D"/>
    <w:rsid w:val="008A4A55"/>
    <w:rsid w:val="008A506F"/>
    <w:rsid w:val="008A528A"/>
    <w:rsid w:val="008A5298"/>
    <w:rsid w:val="008A535A"/>
    <w:rsid w:val="008A6843"/>
    <w:rsid w:val="008A720F"/>
    <w:rsid w:val="008A7498"/>
    <w:rsid w:val="008A7C72"/>
    <w:rsid w:val="008B04F2"/>
    <w:rsid w:val="008B0D0E"/>
    <w:rsid w:val="008B12BB"/>
    <w:rsid w:val="008B1411"/>
    <w:rsid w:val="008B17A2"/>
    <w:rsid w:val="008B25F2"/>
    <w:rsid w:val="008B2643"/>
    <w:rsid w:val="008B2FAE"/>
    <w:rsid w:val="008B3317"/>
    <w:rsid w:val="008B3C36"/>
    <w:rsid w:val="008B414B"/>
    <w:rsid w:val="008B4E0E"/>
    <w:rsid w:val="008B4FB9"/>
    <w:rsid w:val="008B5715"/>
    <w:rsid w:val="008B5A2D"/>
    <w:rsid w:val="008B5BC2"/>
    <w:rsid w:val="008B5E54"/>
    <w:rsid w:val="008B60BB"/>
    <w:rsid w:val="008B6732"/>
    <w:rsid w:val="008B68EC"/>
    <w:rsid w:val="008B711E"/>
    <w:rsid w:val="008B794D"/>
    <w:rsid w:val="008C042F"/>
    <w:rsid w:val="008C057B"/>
    <w:rsid w:val="008C096B"/>
    <w:rsid w:val="008C0CAC"/>
    <w:rsid w:val="008C13B4"/>
    <w:rsid w:val="008C1557"/>
    <w:rsid w:val="008C1B8C"/>
    <w:rsid w:val="008C201A"/>
    <w:rsid w:val="008C2306"/>
    <w:rsid w:val="008C26D1"/>
    <w:rsid w:val="008C2B7F"/>
    <w:rsid w:val="008C36AC"/>
    <w:rsid w:val="008C36D5"/>
    <w:rsid w:val="008C4953"/>
    <w:rsid w:val="008C4E44"/>
    <w:rsid w:val="008C5D6D"/>
    <w:rsid w:val="008C6255"/>
    <w:rsid w:val="008C684B"/>
    <w:rsid w:val="008C6ABD"/>
    <w:rsid w:val="008C6B8F"/>
    <w:rsid w:val="008C6F18"/>
    <w:rsid w:val="008C7685"/>
    <w:rsid w:val="008C77E2"/>
    <w:rsid w:val="008C7D2F"/>
    <w:rsid w:val="008D007A"/>
    <w:rsid w:val="008D0249"/>
    <w:rsid w:val="008D07DE"/>
    <w:rsid w:val="008D0831"/>
    <w:rsid w:val="008D0DBF"/>
    <w:rsid w:val="008D0E2F"/>
    <w:rsid w:val="008D0E40"/>
    <w:rsid w:val="008D0E66"/>
    <w:rsid w:val="008D1B0D"/>
    <w:rsid w:val="008D1E7F"/>
    <w:rsid w:val="008D1F8F"/>
    <w:rsid w:val="008D1FA2"/>
    <w:rsid w:val="008D2367"/>
    <w:rsid w:val="008D427A"/>
    <w:rsid w:val="008D4866"/>
    <w:rsid w:val="008D4DD5"/>
    <w:rsid w:val="008D5657"/>
    <w:rsid w:val="008D6752"/>
    <w:rsid w:val="008D69E7"/>
    <w:rsid w:val="008D6FC1"/>
    <w:rsid w:val="008E0140"/>
    <w:rsid w:val="008E0688"/>
    <w:rsid w:val="008E0BEF"/>
    <w:rsid w:val="008E103C"/>
    <w:rsid w:val="008E266D"/>
    <w:rsid w:val="008E2E99"/>
    <w:rsid w:val="008E2F0C"/>
    <w:rsid w:val="008E3345"/>
    <w:rsid w:val="008E3E23"/>
    <w:rsid w:val="008E547B"/>
    <w:rsid w:val="008E5C1D"/>
    <w:rsid w:val="008E5DF8"/>
    <w:rsid w:val="008E694E"/>
    <w:rsid w:val="008F01F0"/>
    <w:rsid w:val="008F0250"/>
    <w:rsid w:val="008F11F4"/>
    <w:rsid w:val="008F1952"/>
    <w:rsid w:val="008F254D"/>
    <w:rsid w:val="008F28F8"/>
    <w:rsid w:val="008F30AC"/>
    <w:rsid w:val="008F310B"/>
    <w:rsid w:val="008F322B"/>
    <w:rsid w:val="008F34CB"/>
    <w:rsid w:val="008F3519"/>
    <w:rsid w:val="008F3AD3"/>
    <w:rsid w:val="008F3CA7"/>
    <w:rsid w:val="008F3DAF"/>
    <w:rsid w:val="008F443F"/>
    <w:rsid w:val="008F481A"/>
    <w:rsid w:val="008F5411"/>
    <w:rsid w:val="008F5DE5"/>
    <w:rsid w:val="008F5E42"/>
    <w:rsid w:val="008F63B1"/>
    <w:rsid w:val="008F6973"/>
    <w:rsid w:val="008F6E6A"/>
    <w:rsid w:val="008F7AA7"/>
    <w:rsid w:val="008F7DB9"/>
    <w:rsid w:val="008F7F94"/>
    <w:rsid w:val="00900947"/>
    <w:rsid w:val="00900EB8"/>
    <w:rsid w:val="00900FBA"/>
    <w:rsid w:val="00901EFD"/>
    <w:rsid w:val="0090240E"/>
    <w:rsid w:val="00902E53"/>
    <w:rsid w:val="00902E5B"/>
    <w:rsid w:val="00903FD9"/>
    <w:rsid w:val="009042D7"/>
    <w:rsid w:val="00904CF5"/>
    <w:rsid w:val="00905259"/>
    <w:rsid w:val="009052CB"/>
    <w:rsid w:val="0090556C"/>
    <w:rsid w:val="00905633"/>
    <w:rsid w:val="00905EAE"/>
    <w:rsid w:val="009060AE"/>
    <w:rsid w:val="009060C4"/>
    <w:rsid w:val="00906C91"/>
    <w:rsid w:val="00906C95"/>
    <w:rsid w:val="00907656"/>
    <w:rsid w:val="00907D95"/>
    <w:rsid w:val="00907E47"/>
    <w:rsid w:val="009108C5"/>
    <w:rsid w:val="00910904"/>
    <w:rsid w:val="00910AD5"/>
    <w:rsid w:val="009115EF"/>
    <w:rsid w:val="009116DD"/>
    <w:rsid w:val="00912D1C"/>
    <w:rsid w:val="00913019"/>
    <w:rsid w:val="00913F1E"/>
    <w:rsid w:val="00913FB2"/>
    <w:rsid w:val="009140C4"/>
    <w:rsid w:val="009143C8"/>
    <w:rsid w:val="00914448"/>
    <w:rsid w:val="009144A9"/>
    <w:rsid w:val="009144D3"/>
    <w:rsid w:val="0091468B"/>
    <w:rsid w:val="0091526F"/>
    <w:rsid w:val="009153D2"/>
    <w:rsid w:val="00915B3E"/>
    <w:rsid w:val="00915E16"/>
    <w:rsid w:val="00916286"/>
    <w:rsid w:val="00916595"/>
    <w:rsid w:val="00916C47"/>
    <w:rsid w:val="00916FD9"/>
    <w:rsid w:val="009171AD"/>
    <w:rsid w:val="00917569"/>
    <w:rsid w:val="00920174"/>
    <w:rsid w:val="009203DD"/>
    <w:rsid w:val="0092163E"/>
    <w:rsid w:val="009219D2"/>
    <w:rsid w:val="00921A4E"/>
    <w:rsid w:val="00921E37"/>
    <w:rsid w:val="00922511"/>
    <w:rsid w:val="00922F07"/>
    <w:rsid w:val="00923463"/>
    <w:rsid w:val="00923B82"/>
    <w:rsid w:val="00925238"/>
    <w:rsid w:val="00925ACF"/>
    <w:rsid w:val="0092615D"/>
    <w:rsid w:val="0092626B"/>
    <w:rsid w:val="00926546"/>
    <w:rsid w:val="009265A1"/>
    <w:rsid w:val="00927700"/>
    <w:rsid w:val="0093036E"/>
    <w:rsid w:val="00931224"/>
    <w:rsid w:val="0093264C"/>
    <w:rsid w:val="009329B6"/>
    <w:rsid w:val="009333D3"/>
    <w:rsid w:val="009339B6"/>
    <w:rsid w:val="00933B4C"/>
    <w:rsid w:val="00933DC4"/>
    <w:rsid w:val="0093431B"/>
    <w:rsid w:val="009346D6"/>
    <w:rsid w:val="00934743"/>
    <w:rsid w:val="0093487E"/>
    <w:rsid w:val="00934CB3"/>
    <w:rsid w:val="00934FFE"/>
    <w:rsid w:val="00935BEF"/>
    <w:rsid w:val="00936405"/>
    <w:rsid w:val="00936B64"/>
    <w:rsid w:val="00937464"/>
    <w:rsid w:val="009379C4"/>
    <w:rsid w:val="0094041A"/>
    <w:rsid w:val="00940D32"/>
    <w:rsid w:val="009411B9"/>
    <w:rsid w:val="0094125D"/>
    <w:rsid w:val="0094190D"/>
    <w:rsid w:val="00941F90"/>
    <w:rsid w:val="00942354"/>
    <w:rsid w:val="00942681"/>
    <w:rsid w:val="00943A7E"/>
    <w:rsid w:val="00943E42"/>
    <w:rsid w:val="00943E5D"/>
    <w:rsid w:val="00944336"/>
    <w:rsid w:val="00944728"/>
    <w:rsid w:val="009453E8"/>
    <w:rsid w:val="00945664"/>
    <w:rsid w:val="00945AD1"/>
    <w:rsid w:val="00946ECB"/>
    <w:rsid w:val="00947156"/>
    <w:rsid w:val="00947268"/>
    <w:rsid w:val="0094750E"/>
    <w:rsid w:val="00947522"/>
    <w:rsid w:val="00947A4F"/>
    <w:rsid w:val="00947C94"/>
    <w:rsid w:val="00950441"/>
    <w:rsid w:val="009507C8"/>
    <w:rsid w:val="0095115E"/>
    <w:rsid w:val="0095118A"/>
    <w:rsid w:val="00952468"/>
    <w:rsid w:val="00952D44"/>
    <w:rsid w:val="0095413D"/>
    <w:rsid w:val="00954767"/>
    <w:rsid w:val="0095487A"/>
    <w:rsid w:val="009548FB"/>
    <w:rsid w:val="0095538B"/>
    <w:rsid w:val="00957278"/>
    <w:rsid w:val="00957552"/>
    <w:rsid w:val="009575B9"/>
    <w:rsid w:val="00957AF7"/>
    <w:rsid w:val="00960ACA"/>
    <w:rsid w:val="00960B84"/>
    <w:rsid w:val="00960C4F"/>
    <w:rsid w:val="009612DA"/>
    <w:rsid w:val="0096217C"/>
    <w:rsid w:val="00962441"/>
    <w:rsid w:val="00962C43"/>
    <w:rsid w:val="00963277"/>
    <w:rsid w:val="00964B53"/>
    <w:rsid w:val="00964C3F"/>
    <w:rsid w:val="00964C6C"/>
    <w:rsid w:val="00965176"/>
    <w:rsid w:val="00965240"/>
    <w:rsid w:val="00965371"/>
    <w:rsid w:val="009654D7"/>
    <w:rsid w:val="00965847"/>
    <w:rsid w:val="00965A3E"/>
    <w:rsid w:val="00965C48"/>
    <w:rsid w:val="00966B38"/>
    <w:rsid w:val="00966D9D"/>
    <w:rsid w:val="00966E4A"/>
    <w:rsid w:val="00967041"/>
    <w:rsid w:val="00970918"/>
    <w:rsid w:val="0097099E"/>
    <w:rsid w:val="00971761"/>
    <w:rsid w:val="0097216F"/>
    <w:rsid w:val="00972C3B"/>
    <w:rsid w:val="00973057"/>
    <w:rsid w:val="00973AA1"/>
    <w:rsid w:val="00974266"/>
    <w:rsid w:val="00974D42"/>
    <w:rsid w:val="00974D50"/>
    <w:rsid w:val="00974EB0"/>
    <w:rsid w:val="009751AF"/>
    <w:rsid w:val="00975326"/>
    <w:rsid w:val="00975DEA"/>
    <w:rsid w:val="00976A8B"/>
    <w:rsid w:val="00977CDF"/>
    <w:rsid w:val="0098043F"/>
    <w:rsid w:val="0098069C"/>
    <w:rsid w:val="00981008"/>
    <w:rsid w:val="00981038"/>
    <w:rsid w:val="0098106E"/>
    <w:rsid w:val="00981511"/>
    <w:rsid w:val="00981C6A"/>
    <w:rsid w:val="00981D1C"/>
    <w:rsid w:val="00981E1C"/>
    <w:rsid w:val="00982118"/>
    <w:rsid w:val="009824E7"/>
    <w:rsid w:val="00982C62"/>
    <w:rsid w:val="00982C91"/>
    <w:rsid w:val="00982F76"/>
    <w:rsid w:val="00982FA3"/>
    <w:rsid w:val="0098361B"/>
    <w:rsid w:val="009840FD"/>
    <w:rsid w:val="009846D0"/>
    <w:rsid w:val="00984701"/>
    <w:rsid w:val="00984847"/>
    <w:rsid w:val="00984BEC"/>
    <w:rsid w:val="00985046"/>
    <w:rsid w:val="00985CF1"/>
    <w:rsid w:val="00985EB8"/>
    <w:rsid w:val="00985FB3"/>
    <w:rsid w:val="00986566"/>
    <w:rsid w:val="00986CC1"/>
    <w:rsid w:val="00986F4E"/>
    <w:rsid w:val="00987191"/>
    <w:rsid w:val="00987A5A"/>
    <w:rsid w:val="00987CB4"/>
    <w:rsid w:val="00990745"/>
    <w:rsid w:val="0099097E"/>
    <w:rsid w:val="00991834"/>
    <w:rsid w:val="009921FC"/>
    <w:rsid w:val="009924F6"/>
    <w:rsid w:val="0099272B"/>
    <w:rsid w:val="00992A0E"/>
    <w:rsid w:val="0099399E"/>
    <w:rsid w:val="0099413C"/>
    <w:rsid w:val="00994155"/>
    <w:rsid w:val="00994230"/>
    <w:rsid w:val="0099479E"/>
    <w:rsid w:val="009948E8"/>
    <w:rsid w:val="00994A05"/>
    <w:rsid w:val="009951D8"/>
    <w:rsid w:val="00995299"/>
    <w:rsid w:val="00995355"/>
    <w:rsid w:val="0099586F"/>
    <w:rsid w:val="0099650C"/>
    <w:rsid w:val="00996CB5"/>
    <w:rsid w:val="0099719E"/>
    <w:rsid w:val="009A0169"/>
    <w:rsid w:val="009A16B3"/>
    <w:rsid w:val="009A1B56"/>
    <w:rsid w:val="009A2A8A"/>
    <w:rsid w:val="009A3C93"/>
    <w:rsid w:val="009A3FD0"/>
    <w:rsid w:val="009A4435"/>
    <w:rsid w:val="009A51C7"/>
    <w:rsid w:val="009A59EC"/>
    <w:rsid w:val="009A5C56"/>
    <w:rsid w:val="009A5CA8"/>
    <w:rsid w:val="009A6383"/>
    <w:rsid w:val="009A6ED0"/>
    <w:rsid w:val="009A706A"/>
    <w:rsid w:val="009A71AB"/>
    <w:rsid w:val="009A7745"/>
    <w:rsid w:val="009A7C3D"/>
    <w:rsid w:val="009B0138"/>
    <w:rsid w:val="009B0156"/>
    <w:rsid w:val="009B0295"/>
    <w:rsid w:val="009B05BA"/>
    <w:rsid w:val="009B0D2B"/>
    <w:rsid w:val="009B1B0E"/>
    <w:rsid w:val="009B245A"/>
    <w:rsid w:val="009B2596"/>
    <w:rsid w:val="009B3EA0"/>
    <w:rsid w:val="009B42B6"/>
    <w:rsid w:val="009B42CC"/>
    <w:rsid w:val="009B43D6"/>
    <w:rsid w:val="009B49FD"/>
    <w:rsid w:val="009B5081"/>
    <w:rsid w:val="009B6985"/>
    <w:rsid w:val="009B69B3"/>
    <w:rsid w:val="009B7011"/>
    <w:rsid w:val="009B71E4"/>
    <w:rsid w:val="009C04EE"/>
    <w:rsid w:val="009C0CD4"/>
    <w:rsid w:val="009C15E7"/>
    <w:rsid w:val="009C17C8"/>
    <w:rsid w:val="009C21E2"/>
    <w:rsid w:val="009C27A5"/>
    <w:rsid w:val="009C385B"/>
    <w:rsid w:val="009C3E3C"/>
    <w:rsid w:val="009C4353"/>
    <w:rsid w:val="009C493B"/>
    <w:rsid w:val="009C49C2"/>
    <w:rsid w:val="009C4E2D"/>
    <w:rsid w:val="009C539B"/>
    <w:rsid w:val="009C62C0"/>
    <w:rsid w:val="009C6A88"/>
    <w:rsid w:val="009C765D"/>
    <w:rsid w:val="009C7ADA"/>
    <w:rsid w:val="009D000A"/>
    <w:rsid w:val="009D01C3"/>
    <w:rsid w:val="009D1A86"/>
    <w:rsid w:val="009D1E12"/>
    <w:rsid w:val="009D2036"/>
    <w:rsid w:val="009D2DA9"/>
    <w:rsid w:val="009D2E93"/>
    <w:rsid w:val="009D2EA9"/>
    <w:rsid w:val="009D3038"/>
    <w:rsid w:val="009D34C0"/>
    <w:rsid w:val="009D35FB"/>
    <w:rsid w:val="009D3C64"/>
    <w:rsid w:val="009D3F95"/>
    <w:rsid w:val="009D4BBE"/>
    <w:rsid w:val="009D4E16"/>
    <w:rsid w:val="009D5893"/>
    <w:rsid w:val="009D6620"/>
    <w:rsid w:val="009D6C54"/>
    <w:rsid w:val="009D72B0"/>
    <w:rsid w:val="009D77CE"/>
    <w:rsid w:val="009D7CA5"/>
    <w:rsid w:val="009D7CBD"/>
    <w:rsid w:val="009D7DE3"/>
    <w:rsid w:val="009E004A"/>
    <w:rsid w:val="009E066B"/>
    <w:rsid w:val="009E0AFE"/>
    <w:rsid w:val="009E1515"/>
    <w:rsid w:val="009E1CFF"/>
    <w:rsid w:val="009E1FEE"/>
    <w:rsid w:val="009E23EA"/>
    <w:rsid w:val="009E2906"/>
    <w:rsid w:val="009E2D24"/>
    <w:rsid w:val="009E2EA0"/>
    <w:rsid w:val="009E305F"/>
    <w:rsid w:val="009E36FF"/>
    <w:rsid w:val="009E37D3"/>
    <w:rsid w:val="009E4996"/>
    <w:rsid w:val="009E5028"/>
    <w:rsid w:val="009E50FB"/>
    <w:rsid w:val="009E5280"/>
    <w:rsid w:val="009E5386"/>
    <w:rsid w:val="009E5DD1"/>
    <w:rsid w:val="009E60AD"/>
    <w:rsid w:val="009E68C8"/>
    <w:rsid w:val="009E6AB5"/>
    <w:rsid w:val="009E6DAB"/>
    <w:rsid w:val="009E6F4B"/>
    <w:rsid w:val="009E703C"/>
    <w:rsid w:val="009E7E4C"/>
    <w:rsid w:val="009F063E"/>
    <w:rsid w:val="009F08F5"/>
    <w:rsid w:val="009F0956"/>
    <w:rsid w:val="009F0EE5"/>
    <w:rsid w:val="009F1264"/>
    <w:rsid w:val="009F1C12"/>
    <w:rsid w:val="009F1D7F"/>
    <w:rsid w:val="009F245B"/>
    <w:rsid w:val="009F25E6"/>
    <w:rsid w:val="009F2BE8"/>
    <w:rsid w:val="009F2F09"/>
    <w:rsid w:val="009F382E"/>
    <w:rsid w:val="009F39A7"/>
    <w:rsid w:val="009F3E2F"/>
    <w:rsid w:val="009F40B7"/>
    <w:rsid w:val="009F4188"/>
    <w:rsid w:val="009F4302"/>
    <w:rsid w:val="009F4393"/>
    <w:rsid w:val="009F447D"/>
    <w:rsid w:val="009F4658"/>
    <w:rsid w:val="009F4BE9"/>
    <w:rsid w:val="009F4C8C"/>
    <w:rsid w:val="009F62D3"/>
    <w:rsid w:val="009F66C0"/>
    <w:rsid w:val="009F6CBA"/>
    <w:rsid w:val="009F6E58"/>
    <w:rsid w:val="00A00112"/>
    <w:rsid w:val="00A008B5"/>
    <w:rsid w:val="00A011E2"/>
    <w:rsid w:val="00A017B4"/>
    <w:rsid w:val="00A01C53"/>
    <w:rsid w:val="00A01D38"/>
    <w:rsid w:val="00A02414"/>
    <w:rsid w:val="00A025B9"/>
    <w:rsid w:val="00A0355C"/>
    <w:rsid w:val="00A03A13"/>
    <w:rsid w:val="00A040CD"/>
    <w:rsid w:val="00A04429"/>
    <w:rsid w:val="00A053CB"/>
    <w:rsid w:val="00A05AF7"/>
    <w:rsid w:val="00A06446"/>
    <w:rsid w:val="00A06697"/>
    <w:rsid w:val="00A06C40"/>
    <w:rsid w:val="00A101F4"/>
    <w:rsid w:val="00A10586"/>
    <w:rsid w:val="00A10A48"/>
    <w:rsid w:val="00A10C42"/>
    <w:rsid w:val="00A110DA"/>
    <w:rsid w:val="00A1132B"/>
    <w:rsid w:val="00A11930"/>
    <w:rsid w:val="00A11B54"/>
    <w:rsid w:val="00A11CDC"/>
    <w:rsid w:val="00A122B2"/>
    <w:rsid w:val="00A1238C"/>
    <w:rsid w:val="00A1263D"/>
    <w:rsid w:val="00A12AF2"/>
    <w:rsid w:val="00A12BF3"/>
    <w:rsid w:val="00A12D8A"/>
    <w:rsid w:val="00A12E6C"/>
    <w:rsid w:val="00A136D0"/>
    <w:rsid w:val="00A13D1A"/>
    <w:rsid w:val="00A14DC2"/>
    <w:rsid w:val="00A14DD6"/>
    <w:rsid w:val="00A154AB"/>
    <w:rsid w:val="00A155C8"/>
    <w:rsid w:val="00A15D5E"/>
    <w:rsid w:val="00A161F8"/>
    <w:rsid w:val="00A1671D"/>
    <w:rsid w:val="00A169FA"/>
    <w:rsid w:val="00A170AC"/>
    <w:rsid w:val="00A173FB"/>
    <w:rsid w:val="00A174D5"/>
    <w:rsid w:val="00A1766A"/>
    <w:rsid w:val="00A200F4"/>
    <w:rsid w:val="00A206C9"/>
    <w:rsid w:val="00A20C27"/>
    <w:rsid w:val="00A20E7D"/>
    <w:rsid w:val="00A2104D"/>
    <w:rsid w:val="00A216BC"/>
    <w:rsid w:val="00A23931"/>
    <w:rsid w:val="00A23FD6"/>
    <w:rsid w:val="00A24624"/>
    <w:rsid w:val="00A24CAD"/>
    <w:rsid w:val="00A25317"/>
    <w:rsid w:val="00A2558E"/>
    <w:rsid w:val="00A25706"/>
    <w:rsid w:val="00A25D84"/>
    <w:rsid w:val="00A26029"/>
    <w:rsid w:val="00A262E4"/>
    <w:rsid w:val="00A268EA"/>
    <w:rsid w:val="00A31CE0"/>
    <w:rsid w:val="00A31FA9"/>
    <w:rsid w:val="00A333BF"/>
    <w:rsid w:val="00A33825"/>
    <w:rsid w:val="00A3398F"/>
    <w:rsid w:val="00A35583"/>
    <w:rsid w:val="00A363EF"/>
    <w:rsid w:val="00A36596"/>
    <w:rsid w:val="00A36DFE"/>
    <w:rsid w:val="00A36E02"/>
    <w:rsid w:val="00A370FD"/>
    <w:rsid w:val="00A3798C"/>
    <w:rsid w:val="00A37DD9"/>
    <w:rsid w:val="00A4018B"/>
    <w:rsid w:val="00A405E8"/>
    <w:rsid w:val="00A40ED7"/>
    <w:rsid w:val="00A40F83"/>
    <w:rsid w:val="00A41016"/>
    <w:rsid w:val="00A4122C"/>
    <w:rsid w:val="00A412BA"/>
    <w:rsid w:val="00A41416"/>
    <w:rsid w:val="00A4200D"/>
    <w:rsid w:val="00A424BF"/>
    <w:rsid w:val="00A4258E"/>
    <w:rsid w:val="00A432D1"/>
    <w:rsid w:val="00A43716"/>
    <w:rsid w:val="00A442C5"/>
    <w:rsid w:val="00A44712"/>
    <w:rsid w:val="00A44AF5"/>
    <w:rsid w:val="00A44B8B"/>
    <w:rsid w:val="00A45050"/>
    <w:rsid w:val="00A4516C"/>
    <w:rsid w:val="00A45EC4"/>
    <w:rsid w:val="00A4703B"/>
    <w:rsid w:val="00A47212"/>
    <w:rsid w:val="00A474EA"/>
    <w:rsid w:val="00A501B2"/>
    <w:rsid w:val="00A5034A"/>
    <w:rsid w:val="00A50FFA"/>
    <w:rsid w:val="00A5144E"/>
    <w:rsid w:val="00A52109"/>
    <w:rsid w:val="00A522BB"/>
    <w:rsid w:val="00A539D1"/>
    <w:rsid w:val="00A54DAE"/>
    <w:rsid w:val="00A54DD2"/>
    <w:rsid w:val="00A56D3B"/>
    <w:rsid w:val="00A57322"/>
    <w:rsid w:val="00A57450"/>
    <w:rsid w:val="00A57479"/>
    <w:rsid w:val="00A57725"/>
    <w:rsid w:val="00A57C08"/>
    <w:rsid w:val="00A57D8B"/>
    <w:rsid w:val="00A600D9"/>
    <w:rsid w:val="00A604CD"/>
    <w:rsid w:val="00A60D84"/>
    <w:rsid w:val="00A62C7F"/>
    <w:rsid w:val="00A63014"/>
    <w:rsid w:val="00A637A0"/>
    <w:rsid w:val="00A63ECD"/>
    <w:rsid w:val="00A64093"/>
    <w:rsid w:val="00A640EB"/>
    <w:rsid w:val="00A64815"/>
    <w:rsid w:val="00A64C23"/>
    <w:rsid w:val="00A65043"/>
    <w:rsid w:val="00A66AAD"/>
    <w:rsid w:val="00A66DF9"/>
    <w:rsid w:val="00A704E4"/>
    <w:rsid w:val="00A7136A"/>
    <w:rsid w:val="00A71C44"/>
    <w:rsid w:val="00A71F9C"/>
    <w:rsid w:val="00A72296"/>
    <w:rsid w:val="00A7324C"/>
    <w:rsid w:val="00A7388E"/>
    <w:rsid w:val="00A74544"/>
    <w:rsid w:val="00A74548"/>
    <w:rsid w:val="00A74DF2"/>
    <w:rsid w:val="00A74E4D"/>
    <w:rsid w:val="00A75633"/>
    <w:rsid w:val="00A7592E"/>
    <w:rsid w:val="00A75C96"/>
    <w:rsid w:val="00A7691D"/>
    <w:rsid w:val="00A76C1F"/>
    <w:rsid w:val="00A7706B"/>
    <w:rsid w:val="00A77421"/>
    <w:rsid w:val="00A803FC"/>
    <w:rsid w:val="00A8071A"/>
    <w:rsid w:val="00A80DD9"/>
    <w:rsid w:val="00A80FCA"/>
    <w:rsid w:val="00A81CBC"/>
    <w:rsid w:val="00A82506"/>
    <w:rsid w:val="00A828DD"/>
    <w:rsid w:val="00A837CE"/>
    <w:rsid w:val="00A83DB5"/>
    <w:rsid w:val="00A83FBA"/>
    <w:rsid w:val="00A84012"/>
    <w:rsid w:val="00A84636"/>
    <w:rsid w:val="00A847EA"/>
    <w:rsid w:val="00A84FE1"/>
    <w:rsid w:val="00A85080"/>
    <w:rsid w:val="00A85337"/>
    <w:rsid w:val="00A8537A"/>
    <w:rsid w:val="00A854FC"/>
    <w:rsid w:val="00A8626D"/>
    <w:rsid w:val="00A86406"/>
    <w:rsid w:val="00A86853"/>
    <w:rsid w:val="00A86B75"/>
    <w:rsid w:val="00A86E75"/>
    <w:rsid w:val="00A86F33"/>
    <w:rsid w:val="00A871D6"/>
    <w:rsid w:val="00A87AE5"/>
    <w:rsid w:val="00A87AF0"/>
    <w:rsid w:val="00A87F7C"/>
    <w:rsid w:val="00A9065F"/>
    <w:rsid w:val="00A90B0E"/>
    <w:rsid w:val="00A91AA1"/>
    <w:rsid w:val="00A91C8C"/>
    <w:rsid w:val="00A91F0D"/>
    <w:rsid w:val="00A9235A"/>
    <w:rsid w:val="00A92FF7"/>
    <w:rsid w:val="00A93069"/>
    <w:rsid w:val="00A93A5E"/>
    <w:rsid w:val="00A9423C"/>
    <w:rsid w:val="00A9427C"/>
    <w:rsid w:val="00A9468F"/>
    <w:rsid w:val="00A9498D"/>
    <w:rsid w:val="00A95335"/>
    <w:rsid w:val="00A9566B"/>
    <w:rsid w:val="00A95E6E"/>
    <w:rsid w:val="00A9657F"/>
    <w:rsid w:val="00A9797D"/>
    <w:rsid w:val="00AA015F"/>
    <w:rsid w:val="00AA0C3A"/>
    <w:rsid w:val="00AA1723"/>
    <w:rsid w:val="00AA1746"/>
    <w:rsid w:val="00AA190D"/>
    <w:rsid w:val="00AA1FDD"/>
    <w:rsid w:val="00AA22C3"/>
    <w:rsid w:val="00AA230D"/>
    <w:rsid w:val="00AA4941"/>
    <w:rsid w:val="00AA49E9"/>
    <w:rsid w:val="00AA5475"/>
    <w:rsid w:val="00AA5584"/>
    <w:rsid w:val="00AA5876"/>
    <w:rsid w:val="00AA6A8A"/>
    <w:rsid w:val="00AA6DD8"/>
    <w:rsid w:val="00AA6FA3"/>
    <w:rsid w:val="00AA70BB"/>
    <w:rsid w:val="00AA7355"/>
    <w:rsid w:val="00AA757C"/>
    <w:rsid w:val="00AA7C1E"/>
    <w:rsid w:val="00AA7F10"/>
    <w:rsid w:val="00AB0391"/>
    <w:rsid w:val="00AB15CF"/>
    <w:rsid w:val="00AB2078"/>
    <w:rsid w:val="00AB2112"/>
    <w:rsid w:val="00AB2151"/>
    <w:rsid w:val="00AB2208"/>
    <w:rsid w:val="00AB2C59"/>
    <w:rsid w:val="00AB2C8A"/>
    <w:rsid w:val="00AB33A0"/>
    <w:rsid w:val="00AB3509"/>
    <w:rsid w:val="00AB42B6"/>
    <w:rsid w:val="00AB4ABA"/>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050"/>
    <w:rsid w:val="00AC350D"/>
    <w:rsid w:val="00AC3568"/>
    <w:rsid w:val="00AC3CF2"/>
    <w:rsid w:val="00AC47EC"/>
    <w:rsid w:val="00AC4E5D"/>
    <w:rsid w:val="00AC5069"/>
    <w:rsid w:val="00AC54F5"/>
    <w:rsid w:val="00AC6C53"/>
    <w:rsid w:val="00AC6E85"/>
    <w:rsid w:val="00AC7284"/>
    <w:rsid w:val="00AC7CE6"/>
    <w:rsid w:val="00AD0828"/>
    <w:rsid w:val="00AD0B13"/>
    <w:rsid w:val="00AD0E69"/>
    <w:rsid w:val="00AD103D"/>
    <w:rsid w:val="00AD159C"/>
    <w:rsid w:val="00AD17FA"/>
    <w:rsid w:val="00AD19EC"/>
    <w:rsid w:val="00AD20D9"/>
    <w:rsid w:val="00AD23DD"/>
    <w:rsid w:val="00AD2717"/>
    <w:rsid w:val="00AD3DC4"/>
    <w:rsid w:val="00AD4FF4"/>
    <w:rsid w:val="00AD531D"/>
    <w:rsid w:val="00AD600C"/>
    <w:rsid w:val="00AD63D6"/>
    <w:rsid w:val="00AD6CD5"/>
    <w:rsid w:val="00AD733B"/>
    <w:rsid w:val="00AD7A3A"/>
    <w:rsid w:val="00AD7CA7"/>
    <w:rsid w:val="00AE0040"/>
    <w:rsid w:val="00AE0512"/>
    <w:rsid w:val="00AE13ED"/>
    <w:rsid w:val="00AE184D"/>
    <w:rsid w:val="00AE1C03"/>
    <w:rsid w:val="00AE1EB3"/>
    <w:rsid w:val="00AE230F"/>
    <w:rsid w:val="00AE23E3"/>
    <w:rsid w:val="00AE2F65"/>
    <w:rsid w:val="00AE317E"/>
    <w:rsid w:val="00AE35A5"/>
    <w:rsid w:val="00AE4E2A"/>
    <w:rsid w:val="00AE5CF9"/>
    <w:rsid w:val="00AE5DB6"/>
    <w:rsid w:val="00AE6BFE"/>
    <w:rsid w:val="00AE6C3C"/>
    <w:rsid w:val="00AE702E"/>
    <w:rsid w:val="00AE730E"/>
    <w:rsid w:val="00AE73E0"/>
    <w:rsid w:val="00AE7CD2"/>
    <w:rsid w:val="00AF03C0"/>
    <w:rsid w:val="00AF166F"/>
    <w:rsid w:val="00AF1C03"/>
    <w:rsid w:val="00AF39AF"/>
    <w:rsid w:val="00AF3E3B"/>
    <w:rsid w:val="00AF3E5A"/>
    <w:rsid w:val="00AF40D6"/>
    <w:rsid w:val="00AF46FE"/>
    <w:rsid w:val="00AF486F"/>
    <w:rsid w:val="00AF5372"/>
    <w:rsid w:val="00AF548B"/>
    <w:rsid w:val="00AF55E0"/>
    <w:rsid w:val="00AF5666"/>
    <w:rsid w:val="00AF5870"/>
    <w:rsid w:val="00AF5D6D"/>
    <w:rsid w:val="00AF6619"/>
    <w:rsid w:val="00AF6888"/>
    <w:rsid w:val="00AF6AD5"/>
    <w:rsid w:val="00AF6CFD"/>
    <w:rsid w:val="00AF7DC1"/>
    <w:rsid w:val="00B000AE"/>
    <w:rsid w:val="00B0040B"/>
    <w:rsid w:val="00B00830"/>
    <w:rsid w:val="00B00AB5"/>
    <w:rsid w:val="00B00CC0"/>
    <w:rsid w:val="00B00F5C"/>
    <w:rsid w:val="00B01111"/>
    <w:rsid w:val="00B019C1"/>
    <w:rsid w:val="00B0236E"/>
    <w:rsid w:val="00B02506"/>
    <w:rsid w:val="00B02ACE"/>
    <w:rsid w:val="00B035B0"/>
    <w:rsid w:val="00B03913"/>
    <w:rsid w:val="00B04035"/>
    <w:rsid w:val="00B04CEA"/>
    <w:rsid w:val="00B05607"/>
    <w:rsid w:val="00B05A08"/>
    <w:rsid w:val="00B05F14"/>
    <w:rsid w:val="00B06737"/>
    <w:rsid w:val="00B0784C"/>
    <w:rsid w:val="00B07CE9"/>
    <w:rsid w:val="00B1008C"/>
    <w:rsid w:val="00B101D5"/>
    <w:rsid w:val="00B10633"/>
    <w:rsid w:val="00B10B08"/>
    <w:rsid w:val="00B11A78"/>
    <w:rsid w:val="00B11CFB"/>
    <w:rsid w:val="00B12111"/>
    <w:rsid w:val="00B124DB"/>
    <w:rsid w:val="00B124F9"/>
    <w:rsid w:val="00B13E18"/>
    <w:rsid w:val="00B14109"/>
    <w:rsid w:val="00B14209"/>
    <w:rsid w:val="00B14410"/>
    <w:rsid w:val="00B1486D"/>
    <w:rsid w:val="00B150D6"/>
    <w:rsid w:val="00B15373"/>
    <w:rsid w:val="00B15571"/>
    <w:rsid w:val="00B15639"/>
    <w:rsid w:val="00B15D15"/>
    <w:rsid w:val="00B15E42"/>
    <w:rsid w:val="00B15EEE"/>
    <w:rsid w:val="00B15F70"/>
    <w:rsid w:val="00B16198"/>
    <w:rsid w:val="00B16A2C"/>
    <w:rsid w:val="00B16F21"/>
    <w:rsid w:val="00B16FB6"/>
    <w:rsid w:val="00B17022"/>
    <w:rsid w:val="00B21736"/>
    <w:rsid w:val="00B218B1"/>
    <w:rsid w:val="00B21A33"/>
    <w:rsid w:val="00B22272"/>
    <w:rsid w:val="00B224AA"/>
    <w:rsid w:val="00B22998"/>
    <w:rsid w:val="00B229FE"/>
    <w:rsid w:val="00B2302B"/>
    <w:rsid w:val="00B24363"/>
    <w:rsid w:val="00B2456E"/>
    <w:rsid w:val="00B24979"/>
    <w:rsid w:val="00B250A5"/>
    <w:rsid w:val="00B25651"/>
    <w:rsid w:val="00B26309"/>
    <w:rsid w:val="00B263D2"/>
    <w:rsid w:val="00B26937"/>
    <w:rsid w:val="00B26E69"/>
    <w:rsid w:val="00B30243"/>
    <w:rsid w:val="00B30421"/>
    <w:rsid w:val="00B30BFF"/>
    <w:rsid w:val="00B30DC8"/>
    <w:rsid w:val="00B315BB"/>
    <w:rsid w:val="00B31977"/>
    <w:rsid w:val="00B3235A"/>
    <w:rsid w:val="00B327A8"/>
    <w:rsid w:val="00B32C79"/>
    <w:rsid w:val="00B333FE"/>
    <w:rsid w:val="00B3382B"/>
    <w:rsid w:val="00B34D87"/>
    <w:rsid w:val="00B35094"/>
    <w:rsid w:val="00B350F0"/>
    <w:rsid w:val="00B357AC"/>
    <w:rsid w:val="00B35992"/>
    <w:rsid w:val="00B35BAF"/>
    <w:rsid w:val="00B35E4B"/>
    <w:rsid w:val="00B35FCC"/>
    <w:rsid w:val="00B36518"/>
    <w:rsid w:val="00B365A1"/>
    <w:rsid w:val="00B36665"/>
    <w:rsid w:val="00B378CC"/>
    <w:rsid w:val="00B37999"/>
    <w:rsid w:val="00B40DBB"/>
    <w:rsid w:val="00B40E4D"/>
    <w:rsid w:val="00B41615"/>
    <w:rsid w:val="00B41D70"/>
    <w:rsid w:val="00B41FD8"/>
    <w:rsid w:val="00B420DF"/>
    <w:rsid w:val="00B424F5"/>
    <w:rsid w:val="00B428E2"/>
    <w:rsid w:val="00B42A2C"/>
    <w:rsid w:val="00B42A5C"/>
    <w:rsid w:val="00B42A98"/>
    <w:rsid w:val="00B42C64"/>
    <w:rsid w:val="00B44838"/>
    <w:rsid w:val="00B448EF"/>
    <w:rsid w:val="00B468D8"/>
    <w:rsid w:val="00B47493"/>
    <w:rsid w:val="00B474C8"/>
    <w:rsid w:val="00B474DF"/>
    <w:rsid w:val="00B478A8"/>
    <w:rsid w:val="00B47915"/>
    <w:rsid w:val="00B47AA9"/>
    <w:rsid w:val="00B50E18"/>
    <w:rsid w:val="00B513A9"/>
    <w:rsid w:val="00B51568"/>
    <w:rsid w:val="00B51610"/>
    <w:rsid w:val="00B5167B"/>
    <w:rsid w:val="00B520E3"/>
    <w:rsid w:val="00B52336"/>
    <w:rsid w:val="00B5388C"/>
    <w:rsid w:val="00B55CED"/>
    <w:rsid w:val="00B55D57"/>
    <w:rsid w:val="00B55E9D"/>
    <w:rsid w:val="00B55F80"/>
    <w:rsid w:val="00B56480"/>
    <w:rsid w:val="00B565D6"/>
    <w:rsid w:val="00B57489"/>
    <w:rsid w:val="00B576A4"/>
    <w:rsid w:val="00B57907"/>
    <w:rsid w:val="00B57998"/>
    <w:rsid w:val="00B57CD0"/>
    <w:rsid w:val="00B57DA9"/>
    <w:rsid w:val="00B60177"/>
    <w:rsid w:val="00B60639"/>
    <w:rsid w:val="00B6308E"/>
    <w:rsid w:val="00B63D58"/>
    <w:rsid w:val="00B64741"/>
    <w:rsid w:val="00B64E8A"/>
    <w:rsid w:val="00B65588"/>
    <w:rsid w:val="00B658D1"/>
    <w:rsid w:val="00B66064"/>
    <w:rsid w:val="00B66995"/>
    <w:rsid w:val="00B66E88"/>
    <w:rsid w:val="00B671A1"/>
    <w:rsid w:val="00B6734E"/>
    <w:rsid w:val="00B675A6"/>
    <w:rsid w:val="00B6794D"/>
    <w:rsid w:val="00B679AE"/>
    <w:rsid w:val="00B67B55"/>
    <w:rsid w:val="00B67C6C"/>
    <w:rsid w:val="00B704C7"/>
    <w:rsid w:val="00B70C61"/>
    <w:rsid w:val="00B70E5A"/>
    <w:rsid w:val="00B718C5"/>
    <w:rsid w:val="00B72196"/>
    <w:rsid w:val="00B7220D"/>
    <w:rsid w:val="00B723EE"/>
    <w:rsid w:val="00B749B6"/>
    <w:rsid w:val="00B7509A"/>
    <w:rsid w:val="00B7613E"/>
    <w:rsid w:val="00B766C1"/>
    <w:rsid w:val="00B76966"/>
    <w:rsid w:val="00B76B96"/>
    <w:rsid w:val="00B76EFB"/>
    <w:rsid w:val="00B77129"/>
    <w:rsid w:val="00B77C37"/>
    <w:rsid w:val="00B801ED"/>
    <w:rsid w:val="00B8030B"/>
    <w:rsid w:val="00B806FE"/>
    <w:rsid w:val="00B807BF"/>
    <w:rsid w:val="00B8082F"/>
    <w:rsid w:val="00B809B1"/>
    <w:rsid w:val="00B80FD6"/>
    <w:rsid w:val="00B82543"/>
    <w:rsid w:val="00B82998"/>
    <w:rsid w:val="00B82E84"/>
    <w:rsid w:val="00B834B0"/>
    <w:rsid w:val="00B837F6"/>
    <w:rsid w:val="00B83DAE"/>
    <w:rsid w:val="00B84FB4"/>
    <w:rsid w:val="00B86F2A"/>
    <w:rsid w:val="00B8756E"/>
    <w:rsid w:val="00B87681"/>
    <w:rsid w:val="00B87DF9"/>
    <w:rsid w:val="00B90B52"/>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901"/>
    <w:rsid w:val="00BA1F74"/>
    <w:rsid w:val="00BA1FE7"/>
    <w:rsid w:val="00BA2B1D"/>
    <w:rsid w:val="00BA3CA4"/>
    <w:rsid w:val="00BA3D14"/>
    <w:rsid w:val="00BA435A"/>
    <w:rsid w:val="00BA54BA"/>
    <w:rsid w:val="00BA5558"/>
    <w:rsid w:val="00BA5603"/>
    <w:rsid w:val="00BA56D9"/>
    <w:rsid w:val="00BA6194"/>
    <w:rsid w:val="00BA62C6"/>
    <w:rsid w:val="00BA7EEE"/>
    <w:rsid w:val="00BB2008"/>
    <w:rsid w:val="00BB27B6"/>
    <w:rsid w:val="00BB29DF"/>
    <w:rsid w:val="00BB2C9F"/>
    <w:rsid w:val="00BB2CFC"/>
    <w:rsid w:val="00BB321F"/>
    <w:rsid w:val="00BB34DC"/>
    <w:rsid w:val="00BB35D0"/>
    <w:rsid w:val="00BB3897"/>
    <w:rsid w:val="00BB3AC4"/>
    <w:rsid w:val="00BB4999"/>
    <w:rsid w:val="00BB4BCD"/>
    <w:rsid w:val="00BB52EB"/>
    <w:rsid w:val="00BB56C7"/>
    <w:rsid w:val="00BB5A15"/>
    <w:rsid w:val="00BB5B62"/>
    <w:rsid w:val="00BB60C2"/>
    <w:rsid w:val="00BB6502"/>
    <w:rsid w:val="00BB6BCD"/>
    <w:rsid w:val="00BB70F9"/>
    <w:rsid w:val="00BB7BA1"/>
    <w:rsid w:val="00BB7C9B"/>
    <w:rsid w:val="00BC0C20"/>
    <w:rsid w:val="00BC1527"/>
    <w:rsid w:val="00BC2306"/>
    <w:rsid w:val="00BC2977"/>
    <w:rsid w:val="00BC2F31"/>
    <w:rsid w:val="00BC3FB3"/>
    <w:rsid w:val="00BC4036"/>
    <w:rsid w:val="00BC4F0A"/>
    <w:rsid w:val="00BC509F"/>
    <w:rsid w:val="00BC51D2"/>
    <w:rsid w:val="00BC64BE"/>
    <w:rsid w:val="00BC7155"/>
    <w:rsid w:val="00BC7222"/>
    <w:rsid w:val="00BC7550"/>
    <w:rsid w:val="00BD0B72"/>
    <w:rsid w:val="00BD110D"/>
    <w:rsid w:val="00BD2668"/>
    <w:rsid w:val="00BD36DF"/>
    <w:rsid w:val="00BD3924"/>
    <w:rsid w:val="00BD450F"/>
    <w:rsid w:val="00BD4512"/>
    <w:rsid w:val="00BD52AA"/>
    <w:rsid w:val="00BD7C1B"/>
    <w:rsid w:val="00BE045B"/>
    <w:rsid w:val="00BE1061"/>
    <w:rsid w:val="00BE1321"/>
    <w:rsid w:val="00BE270F"/>
    <w:rsid w:val="00BE2893"/>
    <w:rsid w:val="00BE2EB4"/>
    <w:rsid w:val="00BE2F21"/>
    <w:rsid w:val="00BE2F5A"/>
    <w:rsid w:val="00BE3472"/>
    <w:rsid w:val="00BE37D3"/>
    <w:rsid w:val="00BE513F"/>
    <w:rsid w:val="00BE522A"/>
    <w:rsid w:val="00BE53D0"/>
    <w:rsid w:val="00BE57B5"/>
    <w:rsid w:val="00BE59A7"/>
    <w:rsid w:val="00BE6D77"/>
    <w:rsid w:val="00BE7A7C"/>
    <w:rsid w:val="00BF0A44"/>
    <w:rsid w:val="00BF0CEC"/>
    <w:rsid w:val="00BF0EBC"/>
    <w:rsid w:val="00BF1A44"/>
    <w:rsid w:val="00BF1EDF"/>
    <w:rsid w:val="00BF3075"/>
    <w:rsid w:val="00BF487A"/>
    <w:rsid w:val="00BF4D3D"/>
    <w:rsid w:val="00BF4DE2"/>
    <w:rsid w:val="00BF52E5"/>
    <w:rsid w:val="00BF53EA"/>
    <w:rsid w:val="00BF5B8C"/>
    <w:rsid w:val="00BF66B7"/>
    <w:rsid w:val="00BF6A68"/>
    <w:rsid w:val="00BF6FC6"/>
    <w:rsid w:val="00BF7152"/>
    <w:rsid w:val="00BF7269"/>
    <w:rsid w:val="00BF73F0"/>
    <w:rsid w:val="00BF75B1"/>
    <w:rsid w:val="00BF75C9"/>
    <w:rsid w:val="00BF7BD3"/>
    <w:rsid w:val="00C00259"/>
    <w:rsid w:val="00C00352"/>
    <w:rsid w:val="00C007CE"/>
    <w:rsid w:val="00C00A22"/>
    <w:rsid w:val="00C00F18"/>
    <w:rsid w:val="00C01D39"/>
    <w:rsid w:val="00C0200C"/>
    <w:rsid w:val="00C020A8"/>
    <w:rsid w:val="00C027F9"/>
    <w:rsid w:val="00C034A4"/>
    <w:rsid w:val="00C03DA8"/>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E73"/>
    <w:rsid w:val="00C13FED"/>
    <w:rsid w:val="00C148A5"/>
    <w:rsid w:val="00C14DD5"/>
    <w:rsid w:val="00C14E7D"/>
    <w:rsid w:val="00C15722"/>
    <w:rsid w:val="00C1683F"/>
    <w:rsid w:val="00C16897"/>
    <w:rsid w:val="00C17E7F"/>
    <w:rsid w:val="00C200C9"/>
    <w:rsid w:val="00C218FD"/>
    <w:rsid w:val="00C21D8E"/>
    <w:rsid w:val="00C22525"/>
    <w:rsid w:val="00C22740"/>
    <w:rsid w:val="00C2351C"/>
    <w:rsid w:val="00C236E2"/>
    <w:rsid w:val="00C23DBB"/>
    <w:rsid w:val="00C23FE1"/>
    <w:rsid w:val="00C2410D"/>
    <w:rsid w:val="00C24BAF"/>
    <w:rsid w:val="00C25038"/>
    <w:rsid w:val="00C250BD"/>
    <w:rsid w:val="00C25F8B"/>
    <w:rsid w:val="00C25FB5"/>
    <w:rsid w:val="00C265C0"/>
    <w:rsid w:val="00C26B9E"/>
    <w:rsid w:val="00C26DDA"/>
    <w:rsid w:val="00C27231"/>
    <w:rsid w:val="00C272EF"/>
    <w:rsid w:val="00C2732B"/>
    <w:rsid w:val="00C2753F"/>
    <w:rsid w:val="00C276A8"/>
    <w:rsid w:val="00C27975"/>
    <w:rsid w:val="00C27985"/>
    <w:rsid w:val="00C300BC"/>
    <w:rsid w:val="00C300C5"/>
    <w:rsid w:val="00C31480"/>
    <w:rsid w:val="00C318F7"/>
    <w:rsid w:val="00C319D2"/>
    <w:rsid w:val="00C31F85"/>
    <w:rsid w:val="00C32534"/>
    <w:rsid w:val="00C326EE"/>
    <w:rsid w:val="00C32951"/>
    <w:rsid w:val="00C32C02"/>
    <w:rsid w:val="00C33235"/>
    <w:rsid w:val="00C33677"/>
    <w:rsid w:val="00C34137"/>
    <w:rsid w:val="00C3476B"/>
    <w:rsid w:val="00C34A21"/>
    <w:rsid w:val="00C35240"/>
    <w:rsid w:val="00C35A42"/>
    <w:rsid w:val="00C368B3"/>
    <w:rsid w:val="00C36F07"/>
    <w:rsid w:val="00C37214"/>
    <w:rsid w:val="00C372E8"/>
    <w:rsid w:val="00C3780E"/>
    <w:rsid w:val="00C409DC"/>
    <w:rsid w:val="00C40B1B"/>
    <w:rsid w:val="00C40E88"/>
    <w:rsid w:val="00C416A3"/>
    <w:rsid w:val="00C41785"/>
    <w:rsid w:val="00C41FC1"/>
    <w:rsid w:val="00C4228D"/>
    <w:rsid w:val="00C42B19"/>
    <w:rsid w:val="00C434C2"/>
    <w:rsid w:val="00C438FD"/>
    <w:rsid w:val="00C43940"/>
    <w:rsid w:val="00C43B7F"/>
    <w:rsid w:val="00C44342"/>
    <w:rsid w:val="00C44694"/>
    <w:rsid w:val="00C44744"/>
    <w:rsid w:val="00C457C1"/>
    <w:rsid w:val="00C46178"/>
    <w:rsid w:val="00C46625"/>
    <w:rsid w:val="00C46870"/>
    <w:rsid w:val="00C47545"/>
    <w:rsid w:val="00C47593"/>
    <w:rsid w:val="00C47748"/>
    <w:rsid w:val="00C5044B"/>
    <w:rsid w:val="00C506BD"/>
    <w:rsid w:val="00C50923"/>
    <w:rsid w:val="00C50E55"/>
    <w:rsid w:val="00C51426"/>
    <w:rsid w:val="00C51622"/>
    <w:rsid w:val="00C51FB3"/>
    <w:rsid w:val="00C5223C"/>
    <w:rsid w:val="00C52A35"/>
    <w:rsid w:val="00C53213"/>
    <w:rsid w:val="00C53917"/>
    <w:rsid w:val="00C541DE"/>
    <w:rsid w:val="00C542EC"/>
    <w:rsid w:val="00C54BF6"/>
    <w:rsid w:val="00C54C11"/>
    <w:rsid w:val="00C54C67"/>
    <w:rsid w:val="00C54E65"/>
    <w:rsid w:val="00C5591F"/>
    <w:rsid w:val="00C56324"/>
    <w:rsid w:val="00C5653B"/>
    <w:rsid w:val="00C565A3"/>
    <w:rsid w:val="00C577F7"/>
    <w:rsid w:val="00C60094"/>
    <w:rsid w:val="00C60667"/>
    <w:rsid w:val="00C60EF6"/>
    <w:rsid w:val="00C6192C"/>
    <w:rsid w:val="00C61AB9"/>
    <w:rsid w:val="00C61F84"/>
    <w:rsid w:val="00C62199"/>
    <w:rsid w:val="00C62FF7"/>
    <w:rsid w:val="00C63135"/>
    <w:rsid w:val="00C637DC"/>
    <w:rsid w:val="00C63EE8"/>
    <w:rsid w:val="00C6432E"/>
    <w:rsid w:val="00C644CD"/>
    <w:rsid w:val="00C65718"/>
    <w:rsid w:val="00C65C81"/>
    <w:rsid w:val="00C66385"/>
    <w:rsid w:val="00C66456"/>
    <w:rsid w:val="00C666DE"/>
    <w:rsid w:val="00C66772"/>
    <w:rsid w:val="00C66C40"/>
    <w:rsid w:val="00C66D2B"/>
    <w:rsid w:val="00C67580"/>
    <w:rsid w:val="00C6781C"/>
    <w:rsid w:val="00C67D20"/>
    <w:rsid w:val="00C67EA1"/>
    <w:rsid w:val="00C70AEE"/>
    <w:rsid w:val="00C715FE"/>
    <w:rsid w:val="00C71D15"/>
    <w:rsid w:val="00C7234D"/>
    <w:rsid w:val="00C7244E"/>
    <w:rsid w:val="00C726C9"/>
    <w:rsid w:val="00C72801"/>
    <w:rsid w:val="00C72C0A"/>
    <w:rsid w:val="00C73C93"/>
    <w:rsid w:val="00C73E67"/>
    <w:rsid w:val="00C73FAD"/>
    <w:rsid w:val="00C74AE1"/>
    <w:rsid w:val="00C755E5"/>
    <w:rsid w:val="00C757B8"/>
    <w:rsid w:val="00C757ED"/>
    <w:rsid w:val="00C75E55"/>
    <w:rsid w:val="00C75FE4"/>
    <w:rsid w:val="00C761C1"/>
    <w:rsid w:val="00C76906"/>
    <w:rsid w:val="00C76B7C"/>
    <w:rsid w:val="00C76CC7"/>
    <w:rsid w:val="00C76F81"/>
    <w:rsid w:val="00C776A4"/>
    <w:rsid w:val="00C77800"/>
    <w:rsid w:val="00C800DD"/>
    <w:rsid w:val="00C80920"/>
    <w:rsid w:val="00C80B03"/>
    <w:rsid w:val="00C80BC9"/>
    <w:rsid w:val="00C80C99"/>
    <w:rsid w:val="00C821E4"/>
    <w:rsid w:val="00C8243F"/>
    <w:rsid w:val="00C8289B"/>
    <w:rsid w:val="00C82B15"/>
    <w:rsid w:val="00C82D54"/>
    <w:rsid w:val="00C82F3B"/>
    <w:rsid w:val="00C837C4"/>
    <w:rsid w:val="00C83829"/>
    <w:rsid w:val="00C83EDD"/>
    <w:rsid w:val="00C843AB"/>
    <w:rsid w:val="00C84BF1"/>
    <w:rsid w:val="00C84CA2"/>
    <w:rsid w:val="00C85A36"/>
    <w:rsid w:val="00C85CD1"/>
    <w:rsid w:val="00C86C56"/>
    <w:rsid w:val="00C8773E"/>
    <w:rsid w:val="00C87EDA"/>
    <w:rsid w:val="00C90601"/>
    <w:rsid w:val="00C90CDF"/>
    <w:rsid w:val="00C90D16"/>
    <w:rsid w:val="00C9116A"/>
    <w:rsid w:val="00C91616"/>
    <w:rsid w:val="00C91843"/>
    <w:rsid w:val="00C9265D"/>
    <w:rsid w:val="00C92824"/>
    <w:rsid w:val="00C9350C"/>
    <w:rsid w:val="00C937BA"/>
    <w:rsid w:val="00C949FC"/>
    <w:rsid w:val="00C952EF"/>
    <w:rsid w:val="00C960CF"/>
    <w:rsid w:val="00C96672"/>
    <w:rsid w:val="00C96678"/>
    <w:rsid w:val="00C96772"/>
    <w:rsid w:val="00C9681C"/>
    <w:rsid w:val="00C968EA"/>
    <w:rsid w:val="00C96CFA"/>
    <w:rsid w:val="00C96E5A"/>
    <w:rsid w:val="00C96EB5"/>
    <w:rsid w:val="00C97913"/>
    <w:rsid w:val="00CA0257"/>
    <w:rsid w:val="00CA0917"/>
    <w:rsid w:val="00CA102B"/>
    <w:rsid w:val="00CA1C71"/>
    <w:rsid w:val="00CA283D"/>
    <w:rsid w:val="00CA29D1"/>
    <w:rsid w:val="00CA2DD6"/>
    <w:rsid w:val="00CA3247"/>
    <w:rsid w:val="00CA3752"/>
    <w:rsid w:val="00CA3999"/>
    <w:rsid w:val="00CA39C0"/>
    <w:rsid w:val="00CA4429"/>
    <w:rsid w:val="00CA594B"/>
    <w:rsid w:val="00CA5AD3"/>
    <w:rsid w:val="00CA62DD"/>
    <w:rsid w:val="00CA69BA"/>
    <w:rsid w:val="00CA7DE6"/>
    <w:rsid w:val="00CB0339"/>
    <w:rsid w:val="00CB110E"/>
    <w:rsid w:val="00CB11F8"/>
    <w:rsid w:val="00CB225B"/>
    <w:rsid w:val="00CB2EF5"/>
    <w:rsid w:val="00CB33E4"/>
    <w:rsid w:val="00CB383E"/>
    <w:rsid w:val="00CB3898"/>
    <w:rsid w:val="00CB4230"/>
    <w:rsid w:val="00CB431B"/>
    <w:rsid w:val="00CB4A77"/>
    <w:rsid w:val="00CB4EA5"/>
    <w:rsid w:val="00CB537E"/>
    <w:rsid w:val="00CB5579"/>
    <w:rsid w:val="00CB557F"/>
    <w:rsid w:val="00CB592B"/>
    <w:rsid w:val="00CB5C5F"/>
    <w:rsid w:val="00CB600E"/>
    <w:rsid w:val="00CB65B8"/>
    <w:rsid w:val="00CB6CDF"/>
    <w:rsid w:val="00CB7264"/>
    <w:rsid w:val="00CB730F"/>
    <w:rsid w:val="00CB761C"/>
    <w:rsid w:val="00CB76B5"/>
    <w:rsid w:val="00CB7AD6"/>
    <w:rsid w:val="00CC0495"/>
    <w:rsid w:val="00CC0A22"/>
    <w:rsid w:val="00CC110F"/>
    <w:rsid w:val="00CC11B8"/>
    <w:rsid w:val="00CC15CE"/>
    <w:rsid w:val="00CC1AF9"/>
    <w:rsid w:val="00CC20E0"/>
    <w:rsid w:val="00CC2818"/>
    <w:rsid w:val="00CC2BAC"/>
    <w:rsid w:val="00CC2EDC"/>
    <w:rsid w:val="00CC2F7A"/>
    <w:rsid w:val="00CC3A70"/>
    <w:rsid w:val="00CC4033"/>
    <w:rsid w:val="00CC40B8"/>
    <w:rsid w:val="00CC4959"/>
    <w:rsid w:val="00CC5444"/>
    <w:rsid w:val="00CC5631"/>
    <w:rsid w:val="00CC62A6"/>
    <w:rsid w:val="00CC676C"/>
    <w:rsid w:val="00CC78E6"/>
    <w:rsid w:val="00CC7A11"/>
    <w:rsid w:val="00CD04A8"/>
    <w:rsid w:val="00CD051B"/>
    <w:rsid w:val="00CD1DB1"/>
    <w:rsid w:val="00CD204E"/>
    <w:rsid w:val="00CD22B5"/>
    <w:rsid w:val="00CD22F4"/>
    <w:rsid w:val="00CD259A"/>
    <w:rsid w:val="00CD25E1"/>
    <w:rsid w:val="00CD367C"/>
    <w:rsid w:val="00CD454A"/>
    <w:rsid w:val="00CD4588"/>
    <w:rsid w:val="00CD4F54"/>
    <w:rsid w:val="00CD4FFE"/>
    <w:rsid w:val="00CD54B2"/>
    <w:rsid w:val="00CD57FA"/>
    <w:rsid w:val="00CD5865"/>
    <w:rsid w:val="00CD5A6E"/>
    <w:rsid w:val="00CD711F"/>
    <w:rsid w:val="00CD74A7"/>
    <w:rsid w:val="00CD79B2"/>
    <w:rsid w:val="00CE1124"/>
    <w:rsid w:val="00CE157C"/>
    <w:rsid w:val="00CE1AF6"/>
    <w:rsid w:val="00CE1BAB"/>
    <w:rsid w:val="00CE2298"/>
    <w:rsid w:val="00CE3064"/>
    <w:rsid w:val="00CE39E4"/>
    <w:rsid w:val="00CE4282"/>
    <w:rsid w:val="00CE432C"/>
    <w:rsid w:val="00CE54E1"/>
    <w:rsid w:val="00CE55B6"/>
    <w:rsid w:val="00CE5856"/>
    <w:rsid w:val="00CE5BDE"/>
    <w:rsid w:val="00CE6A6D"/>
    <w:rsid w:val="00CE7270"/>
    <w:rsid w:val="00CE774C"/>
    <w:rsid w:val="00CE7C54"/>
    <w:rsid w:val="00CF012E"/>
    <w:rsid w:val="00CF04D4"/>
    <w:rsid w:val="00CF0B4C"/>
    <w:rsid w:val="00CF1680"/>
    <w:rsid w:val="00CF1BD7"/>
    <w:rsid w:val="00CF21A5"/>
    <w:rsid w:val="00CF24AB"/>
    <w:rsid w:val="00CF2518"/>
    <w:rsid w:val="00CF2DDE"/>
    <w:rsid w:val="00CF344A"/>
    <w:rsid w:val="00CF39A0"/>
    <w:rsid w:val="00CF3BC7"/>
    <w:rsid w:val="00CF3D1C"/>
    <w:rsid w:val="00CF3E5B"/>
    <w:rsid w:val="00CF4713"/>
    <w:rsid w:val="00CF4B12"/>
    <w:rsid w:val="00CF58FE"/>
    <w:rsid w:val="00CF5EBE"/>
    <w:rsid w:val="00CF783B"/>
    <w:rsid w:val="00CF798E"/>
    <w:rsid w:val="00CF7D97"/>
    <w:rsid w:val="00CF7EEC"/>
    <w:rsid w:val="00D001C2"/>
    <w:rsid w:val="00D005A4"/>
    <w:rsid w:val="00D00779"/>
    <w:rsid w:val="00D009D8"/>
    <w:rsid w:val="00D00B6A"/>
    <w:rsid w:val="00D012E1"/>
    <w:rsid w:val="00D01318"/>
    <w:rsid w:val="00D01665"/>
    <w:rsid w:val="00D01D1E"/>
    <w:rsid w:val="00D01DD6"/>
    <w:rsid w:val="00D02580"/>
    <w:rsid w:val="00D03BF7"/>
    <w:rsid w:val="00D03F1E"/>
    <w:rsid w:val="00D04097"/>
    <w:rsid w:val="00D0428E"/>
    <w:rsid w:val="00D04426"/>
    <w:rsid w:val="00D0482F"/>
    <w:rsid w:val="00D04A33"/>
    <w:rsid w:val="00D05892"/>
    <w:rsid w:val="00D06824"/>
    <w:rsid w:val="00D0694A"/>
    <w:rsid w:val="00D06C03"/>
    <w:rsid w:val="00D102A8"/>
    <w:rsid w:val="00D1037A"/>
    <w:rsid w:val="00D1071D"/>
    <w:rsid w:val="00D109E9"/>
    <w:rsid w:val="00D10D09"/>
    <w:rsid w:val="00D1163E"/>
    <w:rsid w:val="00D12362"/>
    <w:rsid w:val="00D12A4F"/>
    <w:rsid w:val="00D14C15"/>
    <w:rsid w:val="00D154B0"/>
    <w:rsid w:val="00D15CB3"/>
    <w:rsid w:val="00D15F51"/>
    <w:rsid w:val="00D166D9"/>
    <w:rsid w:val="00D16ED5"/>
    <w:rsid w:val="00D202B1"/>
    <w:rsid w:val="00D202E6"/>
    <w:rsid w:val="00D20662"/>
    <w:rsid w:val="00D20BBF"/>
    <w:rsid w:val="00D21291"/>
    <w:rsid w:val="00D21B31"/>
    <w:rsid w:val="00D21C8A"/>
    <w:rsid w:val="00D2297E"/>
    <w:rsid w:val="00D22DE5"/>
    <w:rsid w:val="00D233BD"/>
    <w:rsid w:val="00D233D7"/>
    <w:rsid w:val="00D23CBB"/>
    <w:rsid w:val="00D24446"/>
    <w:rsid w:val="00D24705"/>
    <w:rsid w:val="00D25806"/>
    <w:rsid w:val="00D25E9D"/>
    <w:rsid w:val="00D25F1C"/>
    <w:rsid w:val="00D26DE6"/>
    <w:rsid w:val="00D26EE7"/>
    <w:rsid w:val="00D2750A"/>
    <w:rsid w:val="00D27B1E"/>
    <w:rsid w:val="00D304E1"/>
    <w:rsid w:val="00D30718"/>
    <w:rsid w:val="00D30B33"/>
    <w:rsid w:val="00D30C0C"/>
    <w:rsid w:val="00D322FB"/>
    <w:rsid w:val="00D32390"/>
    <w:rsid w:val="00D32475"/>
    <w:rsid w:val="00D32EF4"/>
    <w:rsid w:val="00D33F81"/>
    <w:rsid w:val="00D34547"/>
    <w:rsid w:val="00D34602"/>
    <w:rsid w:val="00D34850"/>
    <w:rsid w:val="00D35060"/>
    <w:rsid w:val="00D35B66"/>
    <w:rsid w:val="00D369D4"/>
    <w:rsid w:val="00D36AD7"/>
    <w:rsid w:val="00D373E9"/>
    <w:rsid w:val="00D37C61"/>
    <w:rsid w:val="00D403FF"/>
    <w:rsid w:val="00D404C4"/>
    <w:rsid w:val="00D40887"/>
    <w:rsid w:val="00D40C02"/>
    <w:rsid w:val="00D40CE9"/>
    <w:rsid w:val="00D42115"/>
    <w:rsid w:val="00D42384"/>
    <w:rsid w:val="00D42EFD"/>
    <w:rsid w:val="00D457D1"/>
    <w:rsid w:val="00D458AA"/>
    <w:rsid w:val="00D46338"/>
    <w:rsid w:val="00D46BA2"/>
    <w:rsid w:val="00D4716E"/>
    <w:rsid w:val="00D47234"/>
    <w:rsid w:val="00D47281"/>
    <w:rsid w:val="00D47581"/>
    <w:rsid w:val="00D50295"/>
    <w:rsid w:val="00D5069A"/>
    <w:rsid w:val="00D509A3"/>
    <w:rsid w:val="00D50E43"/>
    <w:rsid w:val="00D51469"/>
    <w:rsid w:val="00D52B45"/>
    <w:rsid w:val="00D530EB"/>
    <w:rsid w:val="00D53393"/>
    <w:rsid w:val="00D535B6"/>
    <w:rsid w:val="00D55235"/>
    <w:rsid w:val="00D556D8"/>
    <w:rsid w:val="00D55D78"/>
    <w:rsid w:val="00D564E2"/>
    <w:rsid w:val="00D56671"/>
    <w:rsid w:val="00D56916"/>
    <w:rsid w:val="00D572B2"/>
    <w:rsid w:val="00D57870"/>
    <w:rsid w:val="00D57F53"/>
    <w:rsid w:val="00D60CAB"/>
    <w:rsid w:val="00D610FD"/>
    <w:rsid w:val="00D612AF"/>
    <w:rsid w:val="00D619F3"/>
    <w:rsid w:val="00D62A5B"/>
    <w:rsid w:val="00D62B43"/>
    <w:rsid w:val="00D62ECD"/>
    <w:rsid w:val="00D63748"/>
    <w:rsid w:val="00D63818"/>
    <w:rsid w:val="00D639F0"/>
    <w:rsid w:val="00D63C1B"/>
    <w:rsid w:val="00D63D76"/>
    <w:rsid w:val="00D64BFF"/>
    <w:rsid w:val="00D64DE1"/>
    <w:rsid w:val="00D64E3F"/>
    <w:rsid w:val="00D652A9"/>
    <w:rsid w:val="00D653D0"/>
    <w:rsid w:val="00D6692A"/>
    <w:rsid w:val="00D66E55"/>
    <w:rsid w:val="00D674E9"/>
    <w:rsid w:val="00D6799A"/>
    <w:rsid w:val="00D7009C"/>
    <w:rsid w:val="00D7011A"/>
    <w:rsid w:val="00D70F17"/>
    <w:rsid w:val="00D712DA"/>
    <w:rsid w:val="00D7146B"/>
    <w:rsid w:val="00D719EF"/>
    <w:rsid w:val="00D72327"/>
    <w:rsid w:val="00D727E0"/>
    <w:rsid w:val="00D72B87"/>
    <w:rsid w:val="00D72C72"/>
    <w:rsid w:val="00D72D07"/>
    <w:rsid w:val="00D7384A"/>
    <w:rsid w:val="00D73DFA"/>
    <w:rsid w:val="00D73F72"/>
    <w:rsid w:val="00D74160"/>
    <w:rsid w:val="00D754C2"/>
    <w:rsid w:val="00D75D22"/>
    <w:rsid w:val="00D75DA5"/>
    <w:rsid w:val="00D7662D"/>
    <w:rsid w:val="00D76C58"/>
    <w:rsid w:val="00D76CF2"/>
    <w:rsid w:val="00D76E7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4C97"/>
    <w:rsid w:val="00D8589D"/>
    <w:rsid w:val="00D85A81"/>
    <w:rsid w:val="00D85B9D"/>
    <w:rsid w:val="00D86466"/>
    <w:rsid w:val="00D86997"/>
    <w:rsid w:val="00D86EE4"/>
    <w:rsid w:val="00D87087"/>
    <w:rsid w:val="00D870E8"/>
    <w:rsid w:val="00D87423"/>
    <w:rsid w:val="00D87452"/>
    <w:rsid w:val="00D87485"/>
    <w:rsid w:val="00D907CB"/>
    <w:rsid w:val="00D9123A"/>
    <w:rsid w:val="00D9130C"/>
    <w:rsid w:val="00D91BF2"/>
    <w:rsid w:val="00D91C0F"/>
    <w:rsid w:val="00D91E08"/>
    <w:rsid w:val="00D93322"/>
    <w:rsid w:val="00D93617"/>
    <w:rsid w:val="00D93A3C"/>
    <w:rsid w:val="00D93C1C"/>
    <w:rsid w:val="00D94026"/>
    <w:rsid w:val="00D94120"/>
    <w:rsid w:val="00D951DD"/>
    <w:rsid w:val="00D952ED"/>
    <w:rsid w:val="00D955F4"/>
    <w:rsid w:val="00D957FA"/>
    <w:rsid w:val="00D9664C"/>
    <w:rsid w:val="00D97404"/>
    <w:rsid w:val="00D975A3"/>
    <w:rsid w:val="00D979D0"/>
    <w:rsid w:val="00DA08CA"/>
    <w:rsid w:val="00DA0F37"/>
    <w:rsid w:val="00DA101A"/>
    <w:rsid w:val="00DA122C"/>
    <w:rsid w:val="00DA1A06"/>
    <w:rsid w:val="00DA2517"/>
    <w:rsid w:val="00DA2FD5"/>
    <w:rsid w:val="00DA4838"/>
    <w:rsid w:val="00DA4989"/>
    <w:rsid w:val="00DA4D60"/>
    <w:rsid w:val="00DA5721"/>
    <w:rsid w:val="00DA5A32"/>
    <w:rsid w:val="00DA6173"/>
    <w:rsid w:val="00DA7477"/>
    <w:rsid w:val="00DA7573"/>
    <w:rsid w:val="00DA7856"/>
    <w:rsid w:val="00DA7BD4"/>
    <w:rsid w:val="00DB0191"/>
    <w:rsid w:val="00DB0359"/>
    <w:rsid w:val="00DB0EF6"/>
    <w:rsid w:val="00DB0F8A"/>
    <w:rsid w:val="00DB26A8"/>
    <w:rsid w:val="00DB27CF"/>
    <w:rsid w:val="00DB2B83"/>
    <w:rsid w:val="00DB2D76"/>
    <w:rsid w:val="00DB324C"/>
    <w:rsid w:val="00DB3FD3"/>
    <w:rsid w:val="00DB5F2A"/>
    <w:rsid w:val="00DB6A2B"/>
    <w:rsid w:val="00DB6F45"/>
    <w:rsid w:val="00DB7206"/>
    <w:rsid w:val="00DB72B7"/>
    <w:rsid w:val="00DB7546"/>
    <w:rsid w:val="00DB782D"/>
    <w:rsid w:val="00DC0624"/>
    <w:rsid w:val="00DC0FC3"/>
    <w:rsid w:val="00DC152A"/>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7D4"/>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167E"/>
    <w:rsid w:val="00DD16B9"/>
    <w:rsid w:val="00DD1D31"/>
    <w:rsid w:val="00DD2893"/>
    <w:rsid w:val="00DD4717"/>
    <w:rsid w:val="00DD4F74"/>
    <w:rsid w:val="00DD50CA"/>
    <w:rsid w:val="00DD531F"/>
    <w:rsid w:val="00DD556C"/>
    <w:rsid w:val="00DD5737"/>
    <w:rsid w:val="00DD5E81"/>
    <w:rsid w:val="00DD6171"/>
    <w:rsid w:val="00DD6C46"/>
    <w:rsid w:val="00DD6C7A"/>
    <w:rsid w:val="00DD6DAD"/>
    <w:rsid w:val="00DD6E5C"/>
    <w:rsid w:val="00DD6F44"/>
    <w:rsid w:val="00DD7CCA"/>
    <w:rsid w:val="00DE0BDE"/>
    <w:rsid w:val="00DE10CF"/>
    <w:rsid w:val="00DE1270"/>
    <w:rsid w:val="00DE1E1E"/>
    <w:rsid w:val="00DE223E"/>
    <w:rsid w:val="00DE2D33"/>
    <w:rsid w:val="00DE34EB"/>
    <w:rsid w:val="00DE3592"/>
    <w:rsid w:val="00DE3E78"/>
    <w:rsid w:val="00DE41F8"/>
    <w:rsid w:val="00DE4B9D"/>
    <w:rsid w:val="00DE4F64"/>
    <w:rsid w:val="00DE50EA"/>
    <w:rsid w:val="00DE545C"/>
    <w:rsid w:val="00DE5C9F"/>
    <w:rsid w:val="00DE5E5D"/>
    <w:rsid w:val="00DE6BC5"/>
    <w:rsid w:val="00DE734E"/>
    <w:rsid w:val="00DE75C2"/>
    <w:rsid w:val="00DE7887"/>
    <w:rsid w:val="00DE7B64"/>
    <w:rsid w:val="00DE7BF8"/>
    <w:rsid w:val="00DE7D4D"/>
    <w:rsid w:val="00DF01A7"/>
    <w:rsid w:val="00DF0DC3"/>
    <w:rsid w:val="00DF14F9"/>
    <w:rsid w:val="00DF1C2D"/>
    <w:rsid w:val="00DF1F07"/>
    <w:rsid w:val="00DF1FAE"/>
    <w:rsid w:val="00DF2AD9"/>
    <w:rsid w:val="00DF38CC"/>
    <w:rsid w:val="00DF3E84"/>
    <w:rsid w:val="00DF54D0"/>
    <w:rsid w:val="00DF580C"/>
    <w:rsid w:val="00DF5C1A"/>
    <w:rsid w:val="00DF68D1"/>
    <w:rsid w:val="00DF6BCB"/>
    <w:rsid w:val="00DF6D45"/>
    <w:rsid w:val="00DF7042"/>
    <w:rsid w:val="00DF71F0"/>
    <w:rsid w:val="00DF737D"/>
    <w:rsid w:val="00DF78FD"/>
    <w:rsid w:val="00DF7EFE"/>
    <w:rsid w:val="00E00E15"/>
    <w:rsid w:val="00E00F63"/>
    <w:rsid w:val="00E01210"/>
    <w:rsid w:val="00E01D50"/>
    <w:rsid w:val="00E01D6B"/>
    <w:rsid w:val="00E02664"/>
    <w:rsid w:val="00E02C4D"/>
    <w:rsid w:val="00E031A5"/>
    <w:rsid w:val="00E0341B"/>
    <w:rsid w:val="00E0348F"/>
    <w:rsid w:val="00E035A6"/>
    <w:rsid w:val="00E038F5"/>
    <w:rsid w:val="00E0394F"/>
    <w:rsid w:val="00E03D67"/>
    <w:rsid w:val="00E04510"/>
    <w:rsid w:val="00E04784"/>
    <w:rsid w:val="00E05569"/>
    <w:rsid w:val="00E05A6C"/>
    <w:rsid w:val="00E05F59"/>
    <w:rsid w:val="00E062E9"/>
    <w:rsid w:val="00E0655D"/>
    <w:rsid w:val="00E1024A"/>
    <w:rsid w:val="00E10B17"/>
    <w:rsid w:val="00E10B67"/>
    <w:rsid w:val="00E12742"/>
    <w:rsid w:val="00E12AB9"/>
    <w:rsid w:val="00E12B67"/>
    <w:rsid w:val="00E1403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4F4"/>
    <w:rsid w:val="00E21ACA"/>
    <w:rsid w:val="00E2261D"/>
    <w:rsid w:val="00E22B80"/>
    <w:rsid w:val="00E22C0E"/>
    <w:rsid w:val="00E22CFF"/>
    <w:rsid w:val="00E23028"/>
    <w:rsid w:val="00E231CD"/>
    <w:rsid w:val="00E231E1"/>
    <w:rsid w:val="00E23888"/>
    <w:rsid w:val="00E23B9C"/>
    <w:rsid w:val="00E23CE3"/>
    <w:rsid w:val="00E23CF7"/>
    <w:rsid w:val="00E23E76"/>
    <w:rsid w:val="00E23E83"/>
    <w:rsid w:val="00E23F7A"/>
    <w:rsid w:val="00E249DB"/>
    <w:rsid w:val="00E253A3"/>
    <w:rsid w:val="00E25402"/>
    <w:rsid w:val="00E25793"/>
    <w:rsid w:val="00E259B0"/>
    <w:rsid w:val="00E25AF8"/>
    <w:rsid w:val="00E2606F"/>
    <w:rsid w:val="00E262E4"/>
    <w:rsid w:val="00E269F1"/>
    <w:rsid w:val="00E26AEC"/>
    <w:rsid w:val="00E2757B"/>
    <w:rsid w:val="00E276EE"/>
    <w:rsid w:val="00E2792D"/>
    <w:rsid w:val="00E30828"/>
    <w:rsid w:val="00E30B37"/>
    <w:rsid w:val="00E3109C"/>
    <w:rsid w:val="00E311D1"/>
    <w:rsid w:val="00E31C2D"/>
    <w:rsid w:val="00E3209C"/>
    <w:rsid w:val="00E32432"/>
    <w:rsid w:val="00E3245A"/>
    <w:rsid w:val="00E33B1E"/>
    <w:rsid w:val="00E33CFB"/>
    <w:rsid w:val="00E34277"/>
    <w:rsid w:val="00E34F5D"/>
    <w:rsid w:val="00E35B38"/>
    <w:rsid w:val="00E3621B"/>
    <w:rsid w:val="00E362A9"/>
    <w:rsid w:val="00E36C1E"/>
    <w:rsid w:val="00E36F43"/>
    <w:rsid w:val="00E37701"/>
    <w:rsid w:val="00E37F0C"/>
    <w:rsid w:val="00E40ADF"/>
    <w:rsid w:val="00E41145"/>
    <w:rsid w:val="00E418E3"/>
    <w:rsid w:val="00E423DE"/>
    <w:rsid w:val="00E42F07"/>
    <w:rsid w:val="00E4370F"/>
    <w:rsid w:val="00E4441D"/>
    <w:rsid w:val="00E4470C"/>
    <w:rsid w:val="00E453AB"/>
    <w:rsid w:val="00E457F7"/>
    <w:rsid w:val="00E45B2D"/>
    <w:rsid w:val="00E46054"/>
    <w:rsid w:val="00E462E6"/>
    <w:rsid w:val="00E463A0"/>
    <w:rsid w:val="00E47740"/>
    <w:rsid w:val="00E47839"/>
    <w:rsid w:val="00E50121"/>
    <w:rsid w:val="00E51CDE"/>
    <w:rsid w:val="00E5210B"/>
    <w:rsid w:val="00E527E2"/>
    <w:rsid w:val="00E53631"/>
    <w:rsid w:val="00E5378E"/>
    <w:rsid w:val="00E5388F"/>
    <w:rsid w:val="00E54239"/>
    <w:rsid w:val="00E54272"/>
    <w:rsid w:val="00E542BC"/>
    <w:rsid w:val="00E54521"/>
    <w:rsid w:val="00E54617"/>
    <w:rsid w:val="00E5484B"/>
    <w:rsid w:val="00E5538F"/>
    <w:rsid w:val="00E55BC5"/>
    <w:rsid w:val="00E56023"/>
    <w:rsid w:val="00E56D6E"/>
    <w:rsid w:val="00E56FEF"/>
    <w:rsid w:val="00E577F9"/>
    <w:rsid w:val="00E57FB5"/>
    <w:rsid w:val="00E605FB"/>
    <w:rsid w:val="00E60A7F"/>
    <w:rsid w:val="00E60F14"/>
    <w:rsid w:val="00E61B23"/>
    <w:rsid w:val="00E61CC1"/>
    <w:rsid w:val="00E625BE"/>
    <w:rsid w:val="00E6284B"/>
    <w:rsid w:val="00E62D07"/>
    <w:rsid w:val="00E62DF6"/>
    <w:rsid w:val="00E63A22"/>
    <w:rsid w:val="00E63B8F"/>
    <w:rsid w:val="00E646B5"/>
    <w:rsid w:val="00E65427"/>
    <w:rsid w:val="00E6543F"/>
    <w:rsid w:val="00E655F4"/>
    <w:rsid w:val="00E661C0"/>
    <w:rsid w:val="00E663F5"/>
    <w:rsid w:val="00E66E97"/>
    <w:rsid w:val="00E6790C"/>
    <w:rsid w:val="00E70BD6"/>
    <w:rsid w:val="00E71305"/>
    <w:rsid w:val="00E72383"/>
    <w:rsid w:val="00E724D2"/>
    <w:rsid w:val="00E72D9F"/>
    <w:rsid w:val="00E73023"/>
    <w:rsid w:val="00E73599"/>
    <w:rsid w:val="00E73C41"/>
    <w:rsid w:val="00E74933"/>
    <w:rsid w:val="00E74EDC"/>
    <w:rsid w:val="00E75737"/>
    <w:rsid w:val="00E75875"/>
    <w:rsid w:val="00E75886"/>
    <w:rsid w:val="00E758EE"/>
    <w:rsid w:val="00E75D6E"/>
    <w:rsid w:val="00E75F03"/>
    <w:rsid w:val="00E75F9C"/>
    <w:rsid w:val="00E76007"/>
    <w:rsid w:val="00E76181"/>
    <w:rsid w:val="00E770F2"/>
    <w:rsid w:val="00E77EAC"/>
    <w:rsid w:val="00E802E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16FC"/>
    <w:rsid w:val="00E918FA"/>
    <w:rsid w:val="00E91D12"/>
    <w:rsid w:val="00E922C4"/>
    <w:rsid w:val="00E943AE"/>
    <w:rsid w:val="00E947B0"/>
    <w:rsid w:val="00E95D82"/>
    <w:rsid w:val="00E95F21"/>
    <w:rsid w:val="00E96273"/>
    <w:rsid w:val="00E96E97"/>
    <w:rsid w:val="00E972DC"/>
    <w:rsid w:val="00E97D49"/>
    <w:rsid w:val="00E97D98"/>
    <w:rsid w:val="00EA0251"/>
    <w:rsid w:val="00EA1065"/>
    <w:rsid w:val="00EA1434"/>
    <w:rsid w:val="00EA29BF"/>
    <w:rsid w:val="00EA2CAB"/>
    <w:rsid w:val="00EA3526"/>
    <w:rsid w:val="00EA3C3E"/>
    <w:rsid w:val="00EA436A"/>
    <w:rsid w:val="00EA4472"/>
    <w:rsid w:val="00EA4694"/>
    <w:rsid w:val="00EA48D3"/>
    <w:rsid w:val="00EA546B"/>
    <w:rsid w:val="00EA57C5"/>
    <w:rsid w:val="00EA5D7E"/>
    <w:rsid w:val="00EA5F31"/>
    <w:rsid w:val="00EA5F92"/>
    <w:rsid w:val="00EA64B4"/>
    <w:rsid w:val="00EA65F1"/>
    <w:rsid w:val="00EA6665"/>
    <w:rsid w:val="00EA6935"/>
    <w:rsid w:val="00EA6967"/>
    <w:rsid w:val="00EA6F44"/>
    <w:rsid w:val="00EA7434"/>
    <w:rsid w:val="00EA7613"/>
    <w:rsid w:val="00EA793B"/>
    <w:rsid w:val="00EA7A7E"/>
    <w:rsid w:val="00EB05DA"/>
    <w:rsid w:val="00EB190F"/>
    <w:rsid w:val="00EB220D"/>
    <w:rsid w:val="00EB235B"/>
    <w:rsid w:val="00EB2BBE"/>
    <w:rsid w:val="00EB31A3"/>
    <w:rsid w:val="00EB325B"/>
    <w:rsid w:val="00EB3E22"/>
    <w:rsid w:val="00EB63A6"/>
    <w:rsid w:val="00EB693B"/>
    <w:rsid w:val="00EB6D7C"/>
    <w:rsid w:val="00EB75D1"/>
    <w:rsid w:val="00EB78D9"/>
    <w:rsid w:val="00EB79B6"/>
    <w:rsid w:val="00EB7BA9"/>
    <w:rsid w:val="00EB7D75"/>
    <w:rsid w:val="00EC0B20"/>
    <w:rsid w:val="00EC0EE7"/>
    <w:rsid w:val="00EC1C3A"/>
    <w:rsid w:val="00EC1F51"/>
    <w:rsid w:val="00EC2B1D"/>
    <w:rsid w:val="00EC4233"/>
    <w:rsid w:val="00EC4544"/>
    <w:rsid w:val="00EC4A85"/>
    <w:rsid w:val="00EC57B2"/>
    <w:rsid w:val="00EC58F4"/>
    <w:rsid w:val="00EC650B"/>
    <w:rsid w:val="00EC6AEA"/>
    <w:rsid w:val="00EC7808"/>
    <w:rsid w:val="00EC7BFA"/>
    <w:rsid w:val="00ED042E"/>
    <w:rsid w:val="00ED1295"/>
    <w:rsid w:val="00ED225D"/>
    <w:rsid w:val="00ED2725"/>
    <w:rsid w:val="00ED34D1"/>
    <w:rsid w:val="00ED367F"/>
    <w:rsid w:val="00ED386D"/>
    <w:rsid w:val="00ED4206"/>
    <w:rsid w:val="00ED58A2"/>
    <w:rsid w:val="00ED58C3"/>
    <w:rsid w:val="00ED5C71"/>
    <w:rsid w:val="00ED5EEE"/>
    <w:rsid w:val="00ED667C"/>
    <w:rsid w:val="00ED68D2"/>
    <w:rsid w:val="00ED74DB"/>
    <w:rsid w:val="00ED7966"/>
    <w:rsid w:val="00EE01CC"/>
    <w:rsid w:val="00EE04EE"/>
    <w:rsid w:val="00EE12AA"/>
    <w:rsid w:val="00EE1760"/>
    <w:rsid w:val="00EE176E"/>
    <w:rsid w:val="00EE287D"/>
    <w:rsid w:val="00EE2A0D"/>
    <w:rsid w:val="00EE2DCB"/>
    <w:rsid w:val="00EE2FB9"/>
    <w:rsid w:val="00EE3B32"/>
    <w:rsid w:val="00EE3CFF"/>
    <w:rsid w:val="00EE3ECB"/>
    <w:rsid w:val="00EE3F39"/>
    <w:rsid w:val="00EE414C"/>
    <w:rsid w:val="00EE44FE"/>
    <w:rsid w:val="00EE4B0F"/>
    <w:rsid w:val="00EE50A9"/>
    <w:rsid w:val="00EE5406"/>
    <w:rsid w:val="00EE562A"/>
    <w:rsid w:val="00EE57DA"/>
    <w:rsid w:val="00EE5EF8"/>
    <w:rsid w:val="00EE6964"/>
    <w:rsid w:val="00EE6A1D"/>
    <w:rsid w:val="00EE6D18"/>
    <w:rsid w:val="00EE7E7A"/>
    <w:rsid w:val="00EE7EA4"/>
    <w:rsid w:val="00EF0818"/>
    <w:rsid w:val="00EF1230"/>
    <w:rsid w:val="00EF223B"/>
    <w:rsid w:val="00EF29DE"/>
    <w:rsid w:val="00EF3579"/>
    <w:rsid w:val="00EF3978"/>
    <w:rsid w:val="00EF3AAC"/>
    <w:rsid w:val="00EF3D8E"/>
    <w:rsid w:val="00EF4D42"/>
    <w:rsid w:val="00EF4EB1"/>
    <w:rsid w:val="00EF4FD1"/>
    <w:rsid w:val="00EF5318"/>
    <w:rsid w:val="00EF5B1A"/>
    <w:rsid w:val="00EF6632"/>
    <w:rsid w:val="00EF708A"/>
    <w:rsid w:val="00EF72C3"/>
    <w:rsid w:val="00EF79CE"/>
    <w:rsid w:val="00F00152"/>
    <w:rsid w:val="00F00352"/>
    <w:rsid w:val="00F00B1B"/>
    <w:rsid w:val="00F00E37"/>
    <w:rsid w:val="00F010EE"/>
    <w:rsid w:val="00F01383"/>
    <w:rsid w:val="00F0167D"/>
    <w:rsid w:val="00F0177A"/>
    <w:rsid w:val="00F01800"/>
    <w:rsid w:val="00F019D5"/>
    <w:rsid w:val="00F019E6"/>
    <w:rsid w:val="00F020F6"/>
    <w:rsid w:val="00F02500"/>
    <w:rsid w:val="00F032E2"/>
    <w:rsid w:val="00F037E3"/>
    <w:rsid w:val="00F03FF2"/>
    <w:rsid w:val="00F04DB8"/>
    <w:rsid w:val="00F04F9E"/>
    <w:rsid w:val="00F06A47"/>
    <w:rsid w:val="00F06E0B"/>
    <w:rsid w:val="00F0717F"/>
    <w:rsid w:val="00F073EE"/>
    <w:rsid w:val="00F07440"/>
    <w:rsid w:val="00F0747A"/>
    <w:rsid w:val="00F07849"/>
    <w:rsid w:val="00F07882"/>
    <w:rsid w:val="00F07883"/>
    <w:rsid w:val="00F079AC"/>
    <w:rsid w:val="00F10177"/>
    <w:rsid w:val="00F10D83"/>
    <w:rsid w:val="00F11200"/>
    <w:rsid w:val="00F1142F"/>
    <w:rsid w:val="00F1196B"/>
    <w:rsid w:val="00F11A6A"/>
    <w:rsid w:val="00F126BD"/>
    <w:rsid w:val="00F12B2E"/>
    <w:rsid w:val="00F13433"/>
    <w:rsid w:val="00F134FC"/>
    <w:rsid w:val="00F1350E"/>
    <w:rsid w:val="00F14419"/>
    <w:rsid w:val="00F1470E"/>
    <w:rsid w:val="00F147A5"/>
    <w:rsid w:val="00F14AA7"/>
    <w:rsid w:val="00F15884"/>
    <w:rsid w:val="00F15B8E"/>
    <w:rsid w:val="00F163E0"/>
    <w:rsid w:val="00F16665"/>
    <w:rsid w:val="00F16E48"/>
    <w:rsid w:val="00F16FB0"/>
    <w:rsid w:val="00F1733B"/>
    <w:rsid w:val="00F17474"/>
    <w:rsid w:val="00F201CC"/>
    <w:rsid w:val="00F20487"/>
    <w:rsid w:val="00F20F65"/>
    <w:rsid w:val="00F2106D"/>
    <w:rsid w:val="00F2180F"/>
    <w:rsid w:val="00F22337"/>
    <w:rsid w:val="00F22D65"/>
    <w:rsid w:val="00F23175"/>
    <w:rsid w:val="00F233D0"/>
    <w:rsid w:val="00F23FB0"/>
    <w:rsid w:val="00F2480A"/>
    <w:rsid w:val="00F24891"/>
    <w:rsid w:val="00F24B9F"/>
    <w:rsid w:val="00F24CA6"/>
    <w:rsid w:val="00F256AE"/>
    <w:rsid w:val="00F256D8"/>
    <w:rsid w:val="00F25773"/>
    <w:rsid w:val="00F257FA"/>
    <w:rsid w:val="00F26004"/>
    <w:rsid w:val="00F265EF"/>
    <w:rsid w:val="00F270E8"/>
    <w:rsid w:val="00F27441"/>
    <w:rsid w:val="00F27E5C"/>
    <w:rsid w:val="00F27EF5"/>
    <w:rsid w:val="00F27FDB"/>
    <w:rsid w:val="00F30251"/>
    <w:rsid w:val="00F305CC"/>
    <w:rsid w:val="00F3179A"/>
    <w:rsid w:val="00F31D54"/>
    <w:rsid w:val="00F32357"/>
    <w:rsid w:val="00F32C70"/>
    <w:rsid w:val="00F34E02"/>
    <w:rsid w:val="00F3549E"/>
    <w:rsid w:val="00F365A7"/>
    <w:rsid w:val="00F3681C"/>
    <w:rsid w:val="00F373ED"/>
    <w:rsid w:val="00F3769D"/>
    <w:rsid w:val="00F404F4"/>
    <w:rsid w:val="00F4143E"/>
    <w:rsid w:val="00F41CC5"/>
    <w:rsid w:val="00F41D25"/>
    <w:rsid w:val="00F42055"/>
    <w:rsid w:val="00F42307"/>
    <w:rsid w:val="00F423C2"/>
    <w:rsid w:val="00F433F8"/>
    <w:rsid w:val="00F433FE"/>
    <w:rsid w:val="00F435CE"/>
    <w:rsid w:val="00F43627"/>
    <w:rsid w:val="00F43781"/>
    <w:rsid w:val="00F4463C"/>
    <w:rsid w:val="00F45040"/>
    <w:rsid w:val="00F46ED7"/>
    <w:rsid w:val="00F473A5"/>
    <w:rsid w:val="00F473F3"/>
    <w:rsid w:val="00F474B8"/>
    <w:rsid w:val="00F478CA"/>
    <w:rsid w:val="00F47CE2"/>
    <w:rsid w:val="00F501F3"/>
    <w:rsid w:val="00F50A98"/>
    <w:rsid w:val="00F50E5F"/>
    <w:rsid w:val="00F51460"/>
    <w:rsid w:val="00F51667"/>
    <w:rsid w:val="00F51B6F"/>
    <w:rsid w:val="00F521DC"/>
    <w:rsid w:val="00F53199"/>
    <w:rsid w:val="00F541A1"/>
    <w:rsid w:val="00F54B09"/>
    <w:rsid w:val="00F54BEA"/>
    <w:rsid w:val="00F54E8A"/>
    <w:rsid w:val="00F559A8"/>
    <w:rsid w:val="00F55C21"/>
    <w:rsid w:val="00F55E5F"/>
    <w:rsid w:val="00F55F6D"/>
    <w:rsid w:val="00F563DA"/>
    <w:rsid w:val="00F5736B"/>
    <w:rsid w:val="00F57880"/>
    <w:rsid w:val="00F608AB"/>
    <w:rsid w:val="00F60BE7"/>
    <w:rsid w:val="00F60CFC"/>
    <w:rsid w:val="00F6159C"/>
    <w:rsid w:val="00F61714"/>
    <w:rsid w:val="00F6238F"/>
    <w:rsid w:val="00F63E59"/>
    <w:rsid w:val="00F64B4F"/>
    <w:rsid w:val="00F64BE0"/>
    <w:rsid w:val="00F65731"/>
    <w:rsid w:val="00F65B68"/>
    <w:rsid w:val="00F67737"/>
    <w:rsid w:val="00F67846"/>
    <w:rsid w:val="00F6784F"/>
    <w:rsid w:val="00F67B42"/>
    <w:rsid w:val="00F70B72"/>
    <w:rsid w:val="00F70DEF"/>
    <w:rsid w:val="00F70EA3"/>
    <w:rsid w:val="00F71398"/>
    <w:rsid w:val="00F72039"/>
    <w:rsid w:val="00F72912"/>
    <w:rsid w:val="00F7294C"/>
    <w:rsid w:val="00F72C5F"/>
    <w:rsid w:val="00F72EB1"/>
    <w:rsid w:val="00F73549"/>
    <w:rsid w:val="00F75782"/>
    <w:rsid w:val="00F8019E"/>
    <w:rsid w:val="00F80C1D"/>
    <w:rsid w:val="00F81130"/>
    <w:rsid w:val="00F818F7"/>
    <w:rsid w:val="00F81C5F"/>
    <w:rsid w:val="00F8325D"/>
    <w:rsid w:val="00F832A9"/>
    <w:rsid w:val="00F832B0"/>
    <w:rsid w:val="00F83307"/>
    <w:rsid w:val="00F833A5"/>
    <w:rsid w:val="00F844D3"/>
    <w:rsid w:val="00F84629"/>
    <w:rsid w:val="00F84B71"/>
    <w:rsid w:val="00F84C58"/>
    <w:rsid w:val="00F84F0E"/>
    <w:rsid w:val="00F8519E"/>
    <w:rsid w:val="00F859A2"/>
    <w:rsid w:val="00F85F71"/>
    <w:rsid w:val="00F85FF5"/>
    <w:rsid w:val="00F86BB4"/>
    <w:rsid w:val="00F870F5"/>
    <w:rsid w:val="00F875B9"/>
    <w:rsid w:val="00F87974"/>
    <w:rsid w:val="00F87AED"/>
    <w:rsid w:val="00F90293"/>
    <w:rsid w:val="00F902D2"/>
    <w:rsid w:val="00F90B12"/>
    <w:rsid w:val="00F90CBD"/>
    <w:rsid w:val="00F9109E"/>
    <w:rsid w:val="00F9177E"/>
    <w:rsid w:val="00F91827"/>
    <w:rsid w:val="00F91E4F"/>
    <w:rsid w:val="00F91FDF"/>
    <w:rsid w:val="00F92AA1"/>
    <w:rsid w:val="00F92FDC"/>
    <w:rsid w:val="00F931D2"/>
    <w:rsid w:val="00F93431"/>
    <w:rsid w:val="00F93498"/>
    <w:rsid w:val="00F93613"/>
    <w:rsid w:val="00F93A4A"/>
    <w:rsid w:val="00F93D27"/>
    <w:rsid w:val="00F95DD6"/>
    <w:rsid w:val="00F96370"/>
    <w:rsid w:val="00F96BB7"/>
    <w:rsid w:val="00F97940"/>
    <w:rsid w:val="00F97BA3"/>
    <w:rsid w:val="00F97EA2"/>
    <w:rsid w:val="00F97F0D"/>
    <w:rsid w:val="00FA06B3"/>
    <w:rsid w:val="00FA0B0A"/>
    <w:rsid w:val="00FA121C"/>
    <w:rsid w:val="00FA1407"/>
    <w:rsid w:val="00FA1A68"/>
    <w:rsid w:val="00FA1B1A"/>
    <w:rsid w:val="00FA23EA"/>
    <w:rsid w:val="00FA2747"/>
    <w:rsid w:val="00FA2A33"/>
    <w:rsid w:val="00FA2C8F"/>
    <w:rsid w:val="00FA2CF7"/>
    <w:rsid w:val="00FA3410"/>
    <w:rsid w:val="00FA360B"/>
    <w:rsid w:val="00FA3860"/>
    <w:rsid w:val="00FA3A50"/>
    <w:rsid w:val="00FA4763"/>
    <w:rsid w:val="00FA4830"/>
    <w:rsid w:val="00FA4831"/>
    <w:rsid w:val="00FA5032"/>
    <w:rsid w:val="00FA5BD8"/>
    <w:rsid w:val="00FA6980"/>
    <w:rsid w:val="00FA6CDF"/>
    <w:rsid w:val="00FA7192"/>
    <w:rsid w:val="00FA7465"/>
    <w:rsid w:val="00FA7699"/>
    <w:rsid w:val="00FA7BB5"/>
    <w:rsid w:val="00FA7C85"/>
    <w:rsid w:val="00FB12D8"/>
    <w:rsid w:val="00FB13CA"/>
    <w:rsid w:val="00FB176A"/>
    <w:rsid w:val="00FB17D5"/>
    <w:rsid w:val="00FB1CDC"/>
    <w:rsid w:val="00FB1E6E"/>
    <w:rsid w:val="00FB238A"/>
    <w:rsid w:val="00FB2446"/>
    <w:rsid w:val="00FB2C81"/>
    <w:rsid w:val="00FB30D5"/>
    <w:rsid w:val="00FB3BC4"/>
    <w:rsid w:val="00FB3F9C"/>
    <w:rsid w:val="00FB3FDE"/>
    <w:rsid w:val="00FB4676"/>
    <w:rsid w:val="00FB5552"/>
    <w:rsid w:val="00FB5789"/>
    <w:rsid w:val="00FB5F3A"/>
    <w:rsid w:val="00FB6086"/>
    <w:rsid w:val="00FB6382"/>
    <w:rsid w:val="00FB6AA9"/>
    <w:rsid w:val="00FB6AD4"/>
    <w:rsid w:val="00FB7F22"/>
    <w:rsid w:val="00FC00F3"/>
    <w:rsid w:val="00FC0A33"/>
    <w:rsid w:val="00FC0A53"/>
    <w:rsid w:val="00FC1416"/>
    <w:rsid w:val="00FC14B2"/>
    <w:rsid w:val="00FC1823"/>
    <w:rsid w:val="00FC2198"/>
    <w:rsid w:val="00FC26A4"/>
    <w:rsid w:val="00FC2C93"/>
    <w:rsid w:val="00FC2F65"/>
    <w:rsid w:val="00FC325A"/>
    <w:rsid w:val="00FC33ED"/>
    <w:rsid w:val="00FC39BB"/>
    <w:rsid w:val="00FC43AD"/>
    <w:rsid w:val="00FC5876"/>
    <w:rsid w:val="00FC62F5"/>
    <w:rsid w:val="00FC70D0"/>
    <w:rsid w:val="00FC731E"/>
    <w:rsid w:val="00FD035A"/>
    <w:rsid w:val="00FD09E2"/>
    <w:rsid w:val="00FD1956"/>
    <w:rsid w:val="00FD19F1"/>
    <w:rsid w:val="00FD1A7E"/>
    <w:rsid w:val="00FD27AE"/>
    <w:rsid w:val="00FD2CC3"/>
    <w:rsid w:val="00FD31BF"/>
    <w:rsid w:val="00FD3CC7"/>
    <w:rsid w:val="00FD4148"/>
    <w:rsid w:val="00FD4D5B"/>
    <w:rsid w:val="00FD6453"/>
    <w:rsid w:val="00FD6666"/>
    <w:rsid w:val="00FD67FD"/>
    <w:rsid w:val="00FD6E2E"/>
    <w:rsid w:val="00FD7CB2"/>
    <w:rsid w:val="00FD7D46"/>
    <w:rsid w:val="00FD7D8B"/>
    <w:rsid w:val="00FE0491"/>
    <w:rsid w:val="00FE049B"/>
    <w:rsid w:val="00FE0AF2"/>
    <w:rsid w:val="00FE1A78"/>
    <w:rsid w:val="00FE1C47"/>
    <w:rsid w:val="00FE22DD"/>
    <w:rsid w:val="00FE2959"/>
    <w:rsid w:val="00FE2B9B"/>
    <w:rsid w:val="00FE2CFB"/>
    <w:rsid w:val="00FE4A60"/>
    <w:rsid w:val="00FE54E0"/>
    <w:rsid w:val="00FE55F0"/>
    <w:rsid w:val="00FE57F2"/>
    <w:rsid w:val="00FE5947"/>
    <w:rsid w:val="00FE6331"/>
    <w:rsid w:val="00FE685B"/>
    <w:rsid w:val="00FE69FA"/>
    <w:rsid w:val="00FE6C12"/>
    <w:rsid w:val="00FE70F7"/>
    <w:rsid w:val="00FE7300"/>
    <w:rsid w:val="00FE7894"/>
    <w:rsid w:val="00FF01FA"/>
    <w:rsid w:val="00FF1F0B"/>
    <w:rsid w:val="00FF21B5"/>
    <w:rsid w:val="00FF21C3"/>
    <w:rsid w:val="00FF2348"/>
    <w:rsid w:val="00FF2A11"/>
    <w:rsid w:val="00FF2AA0"/>
    <w:rsid w:val="00FF36E7"/>
    <w:rsid w:val="00FF3F6C"/>
    <w:rsid w:val="00FF4603"/>
    <w:rsid w:val="00FF4867"/>
    <w:rsid w:val="00FF4AA5"/>
    <w:rsid w:val="00FF4B07"/>
    <w:rsid w:val="00FF4BFC"/>
    <w:rsid w:val="00FF4C11"/>
    <w:rsid w:val="00FF53BD"/>
    <w:rsid w:val="00FF56B9"/>
    <w:rsid w:val="00FF57E8"/>
    <w:rsid w:val="00FF57FF"/>
    <w:rsid w:val="00FF58C0"/>
    <w:rsid w:val="00FF5948"/>
    <w:rsid w:val="00FF6B71"/>
    <w:rsid w:val="00FF6EDF"/>
    <w:rsid w:val="00FF6EEA"/>
    <w:rsid w:val="00FF7079"/>
    <w:rsid w:val="00FF77DF"/>
    <w:rsid w:val="00FF7ABB"/>
    <w:rsid w:val="00FF7B99"/>
    <w:rsid w:val="0275825F"/>
    <w:rsid w:val="06521F0C"/>
    <w:rsid w:val="0B4C1191"/>
    <w:rsid w:val="0B58B722"/>
    <w:rsid w:val="0BF088E2"/>
    <w:rsid w:val="0C18538E"/>
    <w:rsid w:val="0D9ED7E0"/>
    <w:rsid w:val="10CC7A32"/>
    <w:rsid w:val="131E0199"/>
    <w:rsid w:val="135E1437"/>
    <w:rsid w:val="1A285A92"/>
    <w:rsid w:val="1F112EB7"/>
    <w:rsid w:val="2204674E"/>
    <w:rsid w:val="26524B93"/>
    <w:rsid w:val="27C16C13"/>
    <w:rsid w:val="2CF5BA30"/>
    <w:rsid w:val="339B9A2C"/>
    <w:rsid w:val="37C22DD7"/>
    <w:rsid w:val="3ACC0D02"/>
    <w:rsid w:val="3CA8C319"/>
    <w:rsid w:val="3EA4D9C5"/>
    <w:rsid w:val="449B9912"/>
    <w:rsid w:val="48DE0FAB"/>
    <w:rsid w:val="50987FD7"/>
    <w:rsid w:val="5433BE48"/>
    <w:rsid w:val="5643F730"/>
    <w:rsid w:val="5932D243"/>
    <w:rsid w:val="5B9C15C1"/>
    <w:rsid w:val="5D10981B"/>
    <w:rsid w:val="5D43B46E"/>
    <w:rsid w:val="62E2C185"/>
    <w:rsid w:val="6D2B69AF"/>
    <w:rsid w:val="72AF5ED1"/>
    <w:rsid w:val="72EF4FAF"/>
    <w:rsid w:val="78200BBA"/>
    <w:rsid w:val="7B0D81F5"/>
    <w:rsid w:val="7F74ADF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559B55"/>
  <w14:defaultImageDpi w14:val="330"/>
  <w15:docId w15:val="{AD8AFF5A-6657-4E64-8FD7-6F922173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qFormat="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5D27B7"/>
    <w:pPr>
      <w:keepNext/>
      <w:tabs>
        <w:tab w:val="left" w:pos="851"/>
      </w:tabs>
      <w:spacing w:before="36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C22740"/>
    <w:pPr>
      <w:keepNext/>
      <w:tabs>
        <w:tab w:val="left" w:pos="851"/>
      </w:tabs>
      <w:spacing w:before="36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4467CF"/>
    <w:pPr>
      <w:jc w:val="left"/>
    </w:pPr>
  </w:style>
  <w:style w:type="character" w:customStyle="1" w:styleId="BodyTextChar">
    <w:name w:val="Body Text Char"/>
    <w:basedOn w:val="DefaultParagraphFont"/>
    <w:link w:val="BodyText"/>
    <w:rsid w:val="004467CF"/>
    <w:rPr>
      <w:rFonts w:ascii="Calibri" w:eastAsiaTheme="minorEastAsia" w:hAnsi="Calibri"/>
      <w:lang w:eastAsia="en-NZ"/>
    </w:rPr>
  </w:style>
  <w:style w:type="table" w:styleId="TableGrid">
    <w:name w:val="Table Grid"/>
    <w:aliases w:val="RS Table Grid a"/>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uiPriority w:val="99"/>
    <w:qFormat/>
    <w:rsid w:val="00EA64B4"/>
    <w:rPr>
      <w:rFonts w:ascii="Calibri" w:hAnsi="Calibri"/>
      <w:color w:val="183C47"/>
      <w:sz w:val="22"/>
      <w:vertAlign w:val="superscript"/>
    </w:rPr>
  </w:style>
  <w:style w:type="paragraph" w:styleId="FootnoteText">
    <w:name w:val="footnote text"/>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907D95"/>
    <w:pPr>
      <w:spacing w:before="0" w:after="160" w:line="680" w:lineRule="exact"/>
      <w:jc w:val="left"/>
    </w:pPr>
    <w:rPr>
      <w:rFonts w:ascii="Georgia" w:hAnsi="Georgia"/>
      <w:color w:val="FFFFFF" w:themeColor="background1"/>
      <w:sz w:val="56"/>
      <w:szCs w:val="56"/>
    </w:rPr>
  </w:style>
  <w:style w:type="character" w:customStyle="1" w:styleId="TitleChar">
    <w:name w:val="Title Char"/>
    <w:basedOn w:val="DefaultParagraphFont"/>
    <w:link w:val="Title"/>
    <w:uiPriority w:val="2"/>
    <w:rsid w:val="00907D95"/>
    <w:rPr>
      <w:rFonts w:ascii="Georgia" w:eastAsiaTheme="minorEastAsia" w:hAnsi="Georgia"/>
      <w:color w:val="FFFFFF" w:themeColor="background1"/>
      <w:sz w:val="56"/>
      <w:szCs w:val="56"/>
      <w:lang w:eastAsia="en-NZ"/>
    </w:rPr>
  </w:style>
  <w:style w:type="paragraph" w:styleId="Subtitle">
    <w:name w:val="Subtitle"/>
    <w:basedOn w:val="Normal"/>
    <w:link w:val="SubtitleChar"/>
    <w:uiPriority w:val="2"/>
    <w:qFormat/>
    <w:rsid w:val="001D6BE0"/>
    <w:pPr>
      <w:spacing w:before="0" w:after="0" w:line="400" w:lineRule="exact"/>
    </w:pPr>
    <w:rPr>
      <w:rFonts w:ascii="Georgia" w:hAnsi="Georgia"/>
      <w:color w:val="FFFFFF" w:themeColor="background1"/>
      <w:sz w:val="32"/>
      <w:szCs w:val="32"/>
    </w:rPr>
  </w:style>
  <w:style w:type="character" w:customStyle="1" w:styleId="SubtitleChar">
    <w:name w:val="Subtitle Char"/>
    <w:basedOn w:val="DefaultParagraphFont"/>
    <w:link w:val="Subtitle"/>
    <w:uiPriority w:val="2"/>
    <w:rsid w:val="001D6BE0"/>
    <w:rPr>
      <w:rFonts w:ascii="Georgia" w:eastAsiaTheme="minorEastAsia" w:hAnsi="Georgia"/>
      <w:color w:val="FFFFFF" w:themeColor="background1"/>
      <w:sz w:val="32"/>
      <w:szCs w:val="32"/>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link w:val="TableTextChar"/>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aliases w:val="Char7"/>
    <w:basedOn w:val="Normal"/>
    <w:link w:val="CommentTextChar"/>
    <w:uiPriority w:val="99"/>
    <w:rsid w:val="00456E90"/>
    <w:pPr>
      <w:spacing w:line="240" w:lineRule="auto"/>
    </w:pPr>
    <w:rPr>
      <w:sz w:val="20"/>
      <w:szCs w:val="20"/>
    </w:rPr>
  </w:style>
  <w:style w:type="character" w:customStyle="1" w:styleId="CommentTextChar">
    <w:name w:val="Comment Text Char"/>
    <w:aliases w:val="Char7 Char"/>
    <w:basedOn w:val="DefaultParagraphFont"/>
    <w:link w:val="CommentText"/>
    <w:uiPriority w:val="99"/>
    <w:rsid w:val="00456E90"/>
    <w:rPr>
      <w:rFonts w:ascii="Calibri" w:eastAsiaTheme="minorEastAsia" w:hAnsi="Calibri"/>
      <w:sz w:val="20"/>
      <w:szCs w:val="20"/>
      <w:lang w:eastAsia="en-NZ"/>
    </w:rPr>
  </w:style>
  <w:style w:type="paragraph" w:customStyle="1" w:styleId="Title-Mori">
    <w:name w:val="Title - Māori"/>
    <w:basedOn w:val="Normal"/>
    <w:qFormat/>
    <w:rsid w:val="00907D95"/>
    <w:pPr>
      <w:spacing w:before="0" w:line="680" w:lineRule="exact"/>
      <w:jc w:val="left"/>
    </w:pPr>
    <w:rPr>
      <w:rFonts w:ascii="Georgia" w:hAnsi="Georgia"/>
      <w:b/>
      <w:bCs/>
      <w:color w:val="FFFFFF" w:themeColor="background1"/>
      <w:sz w:val="56"/>
      <w:szCs w:val="56"/>
    </w:rPr>
  </w:style>
  <w:style w:type="character" w:customStyle="1" w:styleId="wacimagecontainer">
    <w:name w:val="wacimagecontainer"/>
    <w:basedOn w:val="DefaultParagraphFont"/>
    <w:rsid w:val="006634FB"/>
  </w:style>
  <w:style w:type="paragraph" w:customStyle="1" w:styleId="IEBheading3">
    <w:name w:val="IEB heading 3"/>
    <w:basedOn w:val="Normal"/>
    <w:link w:val="IEBheading3Char"/>
    <w:qFormat/>
    <w:rsid w:val="006634FB"/>
    <w:pPr>
      <w:keepNext/>
      <w:keepLines/>
      <w:spacing w:before="360" w:after="180" w:line="288" w:lineRule="auto"/>
      <w:jc w:val="left"/>
      <w:outlineLvl w:val="2"/>
    </w:pPr>
    <w:rPr>
      <w:rFonts w:ascii="Arial" w:eastAsia="Times New Roman" w:hAnsi="Arial" w:cs="Times New Roman"/>
      <w:b/>
      <w:color w:val="008753"/>
      <w:kern w:val="2"/>
      <w:sz w:val="28"/>
      <w:szCs w:val="24"/>
      <w:lang w:eastAsia="en-US"/>
      <w14:ligatures w14:val="standardContextual"/>
    </w:rPr>
  </w:style>
  <w:style w:type="character" w:customStyle="1" w:styleId="IEBheading3Char">
    <w:name w:val="IEB heading 3 Char"/>
    <w:basedOn w:val="DefaultParagraphFont"/>
    <w:link w:val="IEBheading3"/>
    <w:rsid w:val="006634FB"/>
    <w:rPr>
      <w:rFonts w:ascii="Arial" w:eastAsia="Times New Roman" w:hAnsi="Arial" w:cs="Times New Roman"/>
      <w:b/>
      <w:color w:val="008753"/>
      <w:kern w:val="2"/>
      <w:sz w:val="28"/>
      <w:szCs w:val="24"/>
      <w14:ligatures w14:val="standardContextual"/>
    </w:rPr>
  </w:style>
  <w:style w:type="character" w:styleId="Mention">
    <w:name w:val="Mention"/>
    <w:basedOn w:val="DefaultParagraphFont"/>
    <w:uiPriority w:val="99"/>
    <w:unhideWhenUsed/>
    <w:rsid w:val="006634FB"/>
    <w:rPr>
      <w:color w:val="2B579A"/>
      <w:shd w:val="clear" w:color="auto" w:fill="E1DFDD"/>
    </w:rPr>
  </w:style>
  <w:style w:type="character" w:customStyle="1" w:styleId="normaltextrun">
    <w:name w:val="normaltextrun"/>
    <w:basedOn w:val="DefaultParagraphFont"/>
    <w:rsid w:val="00597853"/>
  </w:style>
  <w:style w:type="character" w:customStyle="1" w:styleId="TableTextChar">
    <w:name w:val="TableText Char"/>
    <w:basedOn w:val="DefaultParagraphFont"/>
    <w:link w:val="TableText"/>
    <w:locked/>
    <w:rsid w:val="00597853"/>
    <w:rPr>
      <w:rFonts w:ascii="Calibri" w:eastAsiaTheme="minorEastAsia" w:hAnsi="Calibri"/>
      <w:sz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7806">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55648801">
      <w:bodyDiv w:val="1"/>
      <w:marLeft w:val="0"/>
      <w:marRight w:val="0"/>
      <w:marTop w:val="0"/>
      <w:marBottom w:val="0"/>
      <w:divBdr>
        <w:top w:val="none" w:sz="0" w:space="0" w:color="auto"/>
        <w:left w:val="none" w:sz="0" w:space="0" w:color="auto"/>
        <w:bottom w:val="none" w:sz="0" w:space="0" w:color="auto"/>
        <w:right w:val="none" w:sz="0" w:space="0" w:color="auto"/>
      </w:divBdr>
    </w:div>
    <w:div w:id="1857962159">
      <w:bodyDiv w:val="1"/>
      <w:marLeft w:val="0"/>
      <w:marRight w:val="0"/>
      <w:marTop w:val="0"/>
      <w:marBottom w:val="0"/>
      <w:divBdr>
        <w:top w:val="none" w:sz="0" w:space="0" w:color="auto"/>
        <w:left w:val="none" w:sz="0" w:space="0" w:color="auto"/>
        <w:bottom w:val="none" w:sz="0" w:space="0" w:color="auto"/>
        <w:right w:val="none" w:sz="0" w:space="0" w:color="auto"/>
      </w:divBdr>
    </w:div>
    <w:div w:id="20632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nvironment.govt.nz/what-government-is-doing/areas-of-work/climate-change/about-new-zealands-climate-change-programme/governments-climate-strateg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nvironment.govt.nz/publications/emissions-reduction-plan-table-of-ac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vironment.govt.nz/publications/second-emissions-reduction-plan"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nvironment.govt.nz/publications/second-emissions-reduction-plan"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nvironment.govt.nz/assets/publications/Aotearoa-New-Zealands-first-emissions-reduction-pl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govt.nz/assets/publications/Aotearoa-New-Zealands-first-emissions-reduction-plan.pdf" TargetMode="External"/><Relationship Id="rId2" Type="http://schemas.openxmlformats.org/officeDocument/2006/relationships/hyperlink" Target="https://environment.govt.nz/publications/second-emissions-reduction-plan" TargetMode="External"/><Relationship Id="rId1" Type="http://schemas.openxmlformats.org/officeDocument/2006/relationships/hyperlink" Target="https://environment.govt.nz/what-government-is-doing/areas-of-work/climate-change/about-new-zealands-climate-change-programme/governments-climate-strategy/" TargetMode="External"/><Relationship Id="rId5" Type="http://schemas.openxmlformats.org/officeDocument/2006/relationships/hyperlink" Target="https://environment.govt.nz/what-government-is-doing/areas-of-work/climate-change/about-new-zealands-climate-change-programme/governments-climate-strategy/" TargetMode="External"/><Relationship Id="rId4" Type="http://schemas.openxmlformats.org/officeDocument/2006/relationships/hyperlink" Target="https://environment.govt.nz/assets/publications/Files/Aotearoa-New-Zealands-first-emissions-reduction-plan-Table-of-ac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ECM-1122293896-123923</_dlc_DocId>
    <_dlc_DocIdUrl xmlns="58a6f171-52cb-4404-b47d-af1c8daf8fd1">
      <Url>https://ministryforenvironment.sharepoint.com/sites/ECM-ER-Comms/_layouts/15/DocIdRedir.aspx?ID=ECM-1122293896-123923</Url>
      <Description>ECM-1122293896-123923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2.xml><?xml version="1.0" encoding="utf-8"?>
<ds:datastoreItem xmlns:ds="http://schemas.openxmlformats.org/officeDocument/2006/customXml" ds:itemID="{A6ABE385-CC81-41C6-A3F2-1BC9449571F7}">
  <ds:schemaRefs>
    <ds:schemaRef ds:uri="http://schemas.microsoft.com/office/2006/metadata/properties"/>
    <ds:schemaRef ds:uri="58a6f171-52cb-4404-b47d-af1c8daf8fd1"/>
    <ds:schemaRef ds:uri="http://schemas.microsoft.com/office/2006/documentManagement/types"/>
    <ds:schemaRef ds:uri="http://purl.org/dc/terms/"/>
    <ds:schemaRef ds:uri="http://schemas.microsoft.com/sharepoint/v4"/>
    <ds:schemaRef ds:uri="http://purl.org/dc/dcmitype/"/>
    <ds:schemaRef ds:uri="http://schemas.microsoft.com/office/infopath/2007/PartnerControls"/>
    <ds:schemaRef ds:uri="http://schemas.openxmlformats.org/package/2006/metadata/core-properties"/>
    <ds:schemaRef ds:uri="http://purl.org/dc/elements/1.1/"/>
    <ds:schemaRef ds:uri="4a94300e-a927-4b92-9d3a-682523035cb6"/>
    <ds:schemaRef ds:uri="0a5b0190-e301-4766-933d-448c7c363fc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B558EE4-555C-46FD-B2E0-B9C559625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5.xml><?xml version="1.0" encoding="utf-8"?>
<ds:datastoreItem xmlns:ds="http://schemas.openxmlformats.org/officeDocument/2006/customXml" ds:itemID="{A63DBF1A-6E0D-46CD-B156-A65FE80DBF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MfE Publication template</Template>
  <TotalTime>1</TotalTime>
  <Pages>13</Pages>
  <Words>3160</Words>
  <Characters>18018</Characters>
  <Application>Microsoft Office Word</Application>
  <DocSecurity>0</DocSecurity>
  <Lines>150</Lines>
  <Paragraphs>42</Paragraphs>
  <ScaleCrop>false</ScaleCrop>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JohnsonMi</dc:creator>
  <cp:keywords/>
  <cp:lastModifiedBy>Dee Warring</cp:lastModifiedBy>
  <cp:revision>2</cp:revision>
  <dcterms:created xsi:type="dcterms:W3CDTF">2024-12-09T00:34:00Z</dcterms:created>
  <dcterms:modified xsi:type="dcterms:W3CDTF">2024-12-09T00:34:00Z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d85c6934-b03e-44c1-b1ea-487a6930f89c</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