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89613" w14:textId="5998A95B" w:rsidR="00AE0109" w:rsidRPr="00755A11" w:rsidRDefault="00EB3FFC" w:rsidP="00840203">
      <w:pPr>
        <w:pStyle w:val="BodyText"/>
      </w:pPr>
      <w:bookmarkStart w:id="0" w:name="_Hlk94613873"/>
      <w:r>
        <w:rPr>
          <w:noProof/>
          <w:color w:val="FF0000"/>
          <w:sz w:val="20"/>
          <w:szCs w:val="20"/>
        </w:rPr>
        <w:drawing>
          <wp:anchor distT="0" distB="0" distL="114300" distR="114300" simplePos="0" relativeHeight="251658240" behindDoc="0" locked="0" layoutInCell="1" allowOverlap="1" wp14:anchorId="4E3A3D2B" wp14:editId="68D286CE">
            <wp:simplePos x="0" y="0"/>
            <wp:positionH relativeFrom="column">
              <wp:posOffset>-906145</wp:posOffset>
            </wp:positionH>
            <wp:positionV relativeFrom="paragraph">
              <wp:posOffset>-3594735</wp:posOffset>
            </wp:positionV>
            <wp:extent cx="7578182" cy="10716516"/>
            <wp:effectExtent l="0" t="0" r="381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7578182" cy="10716516"/>
                    </a:xfrm>
                    <a:prstGeom prst="rect">
                      <a:avLst/>
                    </a:prstGeom>
                  </pic:spPr>
                </pic:pic>
              </a:graphicData>
            </a:graphic>
            <wp14:sizeRelH relativeFrom="margin">
              <wp14:pctWidth>0</wp14:pctWidth>
            </wp14:sizeRelH>
            <wp14:sizeRelV relativeFrom="margin">
              <wp14:pctHeight>0</wp14:pctHeight>
            </wp14:sizeRelV>
          </wp:anchor>
        </w:drawing>
      </w:r>
    </w:p>
    <w:p w14:paraId="6C4AA64E" w14:textId="08E523BC" w:rsidR="00840203" w:rsidRPr="00755A11" w:rsidRDefault="00840203" w:rsidP="00086026">
      <w:pPr>
        <w:rPr>
          <w:color w:val="FF0000"/>
          <w:sz w:val="20"/>
          <w:szCs w:val="20"/>
        </w:rPr>
        <w:sectPr w:rsidR="00840203" w:rsidRPr="00755A11" w:rsidSect="00CA011B">
          <w:headerReference w:type="default" r:id="rId13"/>
          <w:footerReference w:type="default" r:id="rId14"/>
          <w:pgSz w:w="11907" w:h="16840" w:code="9"/>
          <w:pgMar w:top="5670" w:right="1418" w:bottom="1701" w:left="1418" w:header="567" w:footer="685" w:gutter="0"/>
          <w:cols w:space="720"/>
          <w:docGrid w:linePitch="299"/>
        </w:sectPr>
      </w:pPr>
    </w:p>
    <w:p w14:paraId="06DAF181" w14:textId="560DC86F" w:rsidR="00AE0109" w:rsidRPr="00EB3FFC" w:rsidRDefault="00AE0109" w:rsidP="00003A29">
      <w:pPr>
        <w:pStyle w:val="Imprint"/>
        <w:spacing w:before="0" w:after="0"/>
        <w:rPr>
          <w:b/>
        </w:rPr>
      </w:pPr>
      <w:r w:rsidRPr="00EB3FFC">
        <w:rPr>
          <w:b/>
        </w:rPr>
        <w:lastRenderedPageBreak/>
        <w:t>Disclaimer</w:t>
      </w:r>
    </w:p>
    <w:p w14:paraId="5764978D" w14:textId="73179A61" w:rsidR="002D3C5B" w:rsidRPr="00EB3FFC" w:rsidRDefault="002D3C5B" w:rsidP="00003A29">
      <w:pPr>
        <w:pStyle w:val="BodyText"/>
      </w:pPr>
      <w:r w:rsidRPr="00EB3FFC">
        <w:t>The information in this publication is, according to the Ministry for the Environment’s best efforts, accurate at the time of publication. The Ministry will make every reasonable effort to</w:t>
      </w:r>
      <w:r w:rsidR="00BC04E6" w:rsidRPr="00EB3FFC">
        <w:t> </w:t>
      </w:r>
      <w:r w:rsidRPr="00EB3FFC">
        <w:t xml:space="preserve">keep it current and accurate. However, users of this publication are advised that: </w:t>
      </w:r>
    </w:p>
    <w:p w14:paraId="4916E9B1" w14:textId="11FA4491" w:rsidR="002D3C5B" w:rsidRPr="00EB3FFC" w:rsidRDefault="00193623" w:rsidP="00003A29">
      <w:pPr>
        <w:pStyle w:val="Bullet"/>
      </w:pPr>
      <w:r w:rsidRPr="00EB3FFC">
        <w:t>t</w:t>
      </w:r>
      <w:r w:rsidR="002D3C5B" w:rsidRPr="00EB3FFC">
        <w:t xml:space="preserve">he information does not alter the laws of New Zealand, other official guidelines, or </w:t>
      </w:r>
      <w:proofErr w:type="gramStart"/>
      <w:r w:rsidR="002D3C5B" w:rsidRPr="00EB3FFC">
        <w:t>requirements</w:t>
      </w:r>
      <w:proofErr w:type="gramEnd"/>
    </w:p>
    <w:p w14:paraId="0F10139B" w14:textId="492533AF" w:rsidR="002D3C5B" w:rsidRPr="00EB3FFC" w:rsidRDefault="00193623" w:rsidP="00003A29">
      <w:pPr>
        <w:pStyle w:val="Bullet"/>
      </w:pPr>
      <w:r w:rsidRPr="00EB3FFC">
        <w:t>i</w:t>
      </w:r>
      <w:r w:rsidR="002D3C5B" w:rsidRPr="00EB3FFC">
        <w:t xml:space="preserve">t does not constitute legal advice, and users should take specific advice from qualified professionals before taking any action based on information in this </w:t>
      </w:r>
      <w:proofErr w:type="gramStart"/>
      <w:r w:rsidR="002D3C5B" w:rsidRPr="00EB3FFC">
        <w:t>publication</w:t>
      </w:r>
      <w:proofErr w:type="gramEnd"/>
    </w:p>
    <w:p w14:paraId="76CCCEC9" w14:textId="333CA594" w:rsidR="002D3C5B" w:rsidRPr="00EB3FFC" w:rsidRDefault="00193623" w:rsidP="00003A29">
      <w:pPr>
        <w:pStyle w:val="Bullet"/>
      </w:pPr>
      <w:r w:rsidRPr="00EB3FFC">
        <w:t>t</w:t>
      </w:r>
      <w:r w:rsidR="002D3C5B" w:rsidRPr="00EB3FFC">
        <w:t xml:space="preserve">he Ministry does not accept any responsibility or liability whatsoever whether in contract, tort, equity, or otherwise for any action taken as a result of reading, or reliance placed on this publication because of having read any part, or all, of the information in this publication or for any error, or inadequacy, deficiency, flaw in, or omission from the information in this </w:t>
      </w:r>
      <w:proofErr w:type="gramStart"/>
      <w:r w:rsidR="002D3C5B" w:rsidRPr="00EB3FFC">
        <w:t>publication</w:t>
      </w:r>
      <w:proofErr w:type="gramEnd"/>
    </w:p>
    <w:p w14:paraId="2A25FF0A" w14:textId="1FB69E46" w:rsidR="002D3C5B" w:rsidRPr="00EB3FFC" w:rsidRDefault="00C76850" w:rsidP="00003A29">
      <w:pPr>
        <w:pStyle w:val="Bullet"/>
      </w:pPr>
      <w:r w:rsidRPr="00EB3FFC">
        <w:t>a</w:t>
      </w:r>
      <w:r w:rsidR="002D3C5B" w:rsidRPr="00EB3FFC">
        <w:t>ll references to websites, organisations</w:t>
      </w:r>
      <w:r w:rsidR="00497406">
        <w:t>,</w:t>
      </w:r>
      <w:r w:rsidR="002D3C5B" w:rsidRPr="00EB3FFC">
        <w:t xml:space="preserve"> or people not within the Ministry are for convenience only and should not be taken as endorsement of those websites or information contained in those websites nor of organisations or people referred to.</w:t>
      </w:r>
    </w:p>
    <w:p w14:paraId="6CF9D16C" w14:textId="77777777" w:rsidR="002D3C5B" w:rsidRPr="00EB3FFC" w:rsidRDefault="002D3C5B" w:rsidP="00003A29">
      <w:pPr>
        <w:pStyle w:val="BodyText"/>
      </w:pPr>
    </w:p>
    <w:p w14:paraId="0375EAE9" w14:textId="7A63A69A" w:rsidR="00AE0109" w:rsidRPr="00755A11" w:rsidRDefault="00AE0109" w:rsidP="00003A29">
      <w:pPr>
        <w:pStyle w:val="Imprint"/>
      </w:pPr>
      <w:r w:rsidRPr="00EB3FFC">
        <w:t>This document may be cited as: Ministry for the Environment. 202</w:t>
      </w:r>
      <w:r w:rsidR="00C76850" w:rsidRPr="00EB3FFC">
        <w:t>3</w:t>
      </w:r>
      <w:r w:rsidRPr="00EB3FFC">
        <w:t xml:space="preserve">. </w:t>
      </w:r>
      <w:r w:rsidR="00454AD5" w:rsidRPr="00EB3FFC">
        <w:rPr>
          <w:i/>
          <w:iCs/>
        </w:rPr>
        <w:t xml:space="preserve">Annual updates to </w:t>
      </w:r>
      <w:r w:rsidR="00C12736">
        <w:rPr>
          <w:i/>
          <w:iCs/>
        </w:rPr>
        <w:t xml:space="preserve">the </w:t>
      </w:r>
      <w:r w:rsidR="00236D6D" w:rsidRPr="00EB3FFC">
        <w:rPr>
          <w:i/>
          <w:iCs/>
        </w:rPr>
        <w:t>New Zealand Emissions Trading Scheme</w:t>
      </w:r>
      <w:r w:rsidR="00454AD5" w:rsidRPr="00EB3FFC">
        <w:rPr>
          <w:i/>
          <w:iCs/>
        </w:rPr>
        <w:t xml:space="preserve"> limits and price control settings for units 2023: Summary of submissions</w:t>
      </w:r>
      <w:r w:rsidR="000118B0" w:rsidRPr="00EB3FFC">
        <w:t xml:space="preserve">. </w:t>
      </w:r>
      <w:r w:rsidRPr="00EB3FFC">
        <w:t>Wellington: Ministry for the Environment.</w:t>
      </w:r>
    </w:p>
    <w:p w14:paraId="5DC1915C" w14:textId="77777777" w:rsidR="00AE0109" w:rsidRPr="00755A11" w:rsidRDefault="00AE0109" w:rsidP="00003A29">
      <w:pPr>
        <w:pStyle w:val="BodyText"/>
      </w:pPr>
    </w:p>
    <w:p w14:paraId="65F25069" w14:textId="77777777" w:rsidR="00AE0109" w:rsidRPr="00755A11" w:rsidRDefault="00AE0109" w:rsidP="00003A29">
      <w:pPr>
        <w:pStyle w:val="BodyText"/>
      </w:pPr>
    </w:p>
    <w:p w14:paraId="1C03ABC1" w14:textId="77777777" w:rsidR="00AE0109" w:rsidRPr="00755A11" w:rsidRDefault="00AE0109" w:rsidP="00003A29">
      <w:pPr>
        <w:pStyle w:val="BodyText"/>
      </w:pPr>
    </w:p>
    <w:p w14:paraId="53E0DC42" w14:textId="77777777" w:rsidR="00AE0109" w:rsidRPr="00755A11" w:rsidRDefault="00AE0109" w:rsidP="00003A29">
      <w:pPr>
        <w:pStyle w:val="BodyText"/>
      </w:pPr>
    </w:p>
    <w:p w14:paraId="746EC550" w14:textId="77777777" w:rsidR="00AE0109" w:rsidRPr="00755A11" w:rsidRDefault="00AE0109" w:rsidP="00003A29">
      <w:pPr>
        <w:pStyle w:val="BodyText"/>
      </w:pPr>
    </w:p>
    <w:p w14:paraId="58947922" w14:textId="77777777" w:rsidR="00AE0109" w:rsidRPr="00755A11" w:rsidRDefault="00AE0109" w:rsidP="00003A29">
      <w:pPr>
        <w:pStyle w:val="BodyText"/>
      </w:pPr>
    </w:p>
    <w:p w14:paraId="5E7B33A3" w14:textId="77777777" w:rsidR="00AE0109" w:rsidRPr="00755A11" w:rsidRDefault="00AE0109" w:rsidP="00003A29">
      <w:pPr>
        <w:pStyle w:val="BodyText"/>
      </w:pPr>
    </w:p>
    <w:p w14:paraId="10B5985B" w14:textId="77777777" w:rsidR="005100C6" w:rsidRPr="00755A11" w:rsidRDefault="005100C6" w:rsidP="00003A29">
      <w:pPr>
        <w:pStyle w:val="BodyText"/>
      </w:pPr>
    </w:p>
    <w:p w14:paraId="3390BDB6" w14:textId="77777777" w:rsidR="00AE0109" w:rsidRPr="00755A11" w:rsidRDefault="00AE0109" w:rsidP="00003A29">
      <w:pPr>
        <w:pStyle w:val="BodyText"/>
      </w:pPr>
    </w:p>
    <w:p w14:paraId="21E02721" w14:textId="21862EB5" w:rsidR="00AE0109" w:rsidRPr="00EB3FFC" w:rsidRDefault="00AE0109" w:rsidP="00003A29">
      <w:pPr>
        <w:pStyle w:val="Imprint"/>
      </w:pPr>
      <w:r w:rsidRPr="00EB3FFC">
        <w:t xml:space="preserve">Published in </w:t>
      </w:r>
      <w:r w:rsidR="00CC27DC">
        <w:t xml:space="preserve">August </w:t>
      </w:r>
      <w:r w:rsidR="00322C80" w:rsidRPr="00EB3FFC">
        <w:t>2023</w:t>
      </w:r>
      <w:r w:rsidRPr="00EB3FFC">
        <w:t xml:space="preserve"> by the</w:t>
      </w:r>
      <w:r w:rsidRPr="00EB3FFC">
        <w:br/>
        <w:t xml:space="preserve">Ministry for the Environment </w:t>
      </w:r>
      <w:r w:rsidRPr="00EB3FFC">
        <w:br/>
      </w:r>
      <w:proofErr w:type="spellStart"/>
      <w:r w:rsidRPr="00EB3FFC">
        <w:t>Manatū</w:t>
      </w:r>
      <w:proofErr w:type="spellEnd"/>
      <w:r w:rsidRPr="00EB3FFC">
        <w:t xml:space="preserve"> </w:t>
      </w:r>
      <w:proofErr w:type="spellStart"/>
      <w:r w:rsidRPr="00EB3FFC">
        <w:t>Mō</w:t>
      </w:r>
      <w:proofErr w:type="spellEnd"/>
      <w:r w:rsidRPr="00EB3FFC">
        <w:t xml:space="preserve"> </w:t>
      </w:r>
      <w:proofErr w:type="spellStart"/>
      <w:r w:rsidRPr="00EB3FFC">
        <w:t>Te</w:t>
      </w:r>
      <w:proofErr w:type="spellEnd"/>
      <w:r w:rsidRPr="00EB3FFC">
        <w:t xml:space="preserve"> </w:t>
      </w:r>
      <w:proofErr w:type="spellStart"/>
      <w:r w:rsidRPr="00EB3FFC">
        <w:t>Taiao</w:t>
      </w:r>
      <w:proofErr w:type="spellEnd"/>
      <w:r w:rsidRPr="00EB3FFC">
        <w:br/>
        <w:t>PO Box 10362, Wellington 6143, New Zealand</w:t>
      </w:r>
      <w:r w:rsidR="00D84BFB" w:rsidRPr="00EB3FFC">
        <w:br/>
      </w:r>
      <w:hyperlink r:id="rId15" w:history="1">
        <w:r w:rsidR="00D84BFB" w:rsidRPr="00EB3FFC">
          <w:rPr>
            <w:rStyle w:val="Hyperlink"/>
          </w:rPr>
          <w:t>environment.govt.nz</w:t>
        </w:r>
      </w:hyperlink>
    </w:p>
    <w:p w14:paraId="3E47F179" w14:textId="32F35734" w:rsidR="00AE0109" w:rsidRPr="005100C6" w:rsidRDefault="00AE0109" w:rsidP="005100C6">
      <w:pPr>
        <w:jc w:val="left"/>
        <w:rPr>
          <w:rFonts w:cstheme="minorHAnsi"/>
          <w:color w:val="1A1A1A"/>
          <w:sz w:val="20"/>
          <w:szCs w:val="20"/>
        </w:rPr>
      </w:pPr>
      <w:r w:rsidRPr="00EB3FFC">
        <w:t xml:space="preserve">ISBN: </w:t>
      </w:r>
      <w:r w:rsidR="00596BA5" w:rsidRPr="00596BA5">
        <w:rPr>
          <w:rFonts w:eastAsiaTheme="minorEastAsia" w:cstheme="minorBidi"/>
        </w:rPr>
        <w:t>978-1-991077-79-0</w:t>
      </w:r>
      <w:r w:rsidR="005100C6">
        <w:rPr>
          <w:rFonts w:eastAsiaTheme="minorEastAsia" w:cstheme="minorBidi"/>
        </w:rPr>
        <w:br/>
      </w:r>
      <w:r w:rsidRPr="00EB3FFC">
        <w:t>Publication number:</w:t>
      </w:r>
      <w:r w:rsidR="002D3C5B" w:rsidRPr="00EB3FFC">
        <w:t xml:space="preserve"> ME </w:t>
      </w:r>
      <w:r w:rsidR="00B86912">
        <w:t>1789</w:t>
      </w:r>
      <w:r w:rsidR="00596BA5">
        <w:t xml:space="preserve"> </w:t>
      </w:r>
    </w:p>
    <w:p w14:paraId="5E156E70" w14:textId="0E173A97" w:rsidR="00AE0109" w:rsidRPr="00EB3FFC" w:rsidRDefault="00AE0109" w:rsidP="00003A29">
      <w:pPr>
        <w:pStyle w:val="Imprint"/>
        <w:spacing w:after="80"/>
        <w:rPr>
          <w:rStyle w:val="Hyperlink"/>
          <w:color w:val="auto"/>
        </w:rPr>
      </w:pPr>
      <w:r w:rsidRPr="00EB3FFC">
        <w:t>© Crown copyright New Zealand 202</w:t>
      </w:r>
      <w:r w:rsidR="00322C80" w:rsidRPr="00EB3FFC">
        <w:t>3</w:t>
      </w:r>
    </w:p>
    <w:p w14:paraId="773AB658" w14:textId="77777777" w:rsidR="00AE0109" w:rsidRPr="00755A11" w:rsidRDefault="00AE0109" w:rsidP="00003A29">
      <w:pPr>
        <w:jc w:val="left"/>
        <w:sectPr w:rsidR="00AE0109" w:rsidRPr="00755A11" w:rsidSect="00840203">
          <w:headerReference w:type="even" r:id="rId16"/>
          <w:headerReference w:type="default" r:id="rId17"/>
          <w:footerReference w:type="even" r:id="rId18"/>
          <w:footerReference w:type="default" r:id="rId19"/>
          <w:pgSz w:w="11907" w:h="16840" w:code="9"/>
          <w:pgMar w:top="1134" w:right="1701" w:bottom="1134" w:left="1701" w:header="567" w:footer="567" w:gutter="0"/>
          <w:pgNumType w:fmt="lowerRoman"/>
          <w:cols w:space="720"/>
        </w:sectPr>
      </w:pPr>
    </w:p>
    <w:p w14:paraId="2272513F" w14:textId="7A11D37A" w:rsidR="00AE0109" w:rsidRPr="00755A11" w:rsidRDefault="00AE0109" w:rsidP="00003A29">
      <w:pPr>
        <w:pStyle w:val="Heading"/>
      </w:pPr>
      <w:bookmarkStart w:id="1" w:name="_Toc141088976"/>
      <w:r w:rsidRPr="00755A11">
        <w:lastRenderedPageBreak/>
        <w:t>Contents</w:t>
      </w:r>
      <w:bookmarkEnd w:id="1"/>
    </w:p>
    <w:p w14:paraId="30F5EE9C" w14:textId="35E9CCC1" w:rsidR="00AA6486" w:rsidRDefault="00AA6486" w:rsidP="00003A29">
      <w:pPr>
        <w:pStyle w:val="TOC1"/>
        <w:rPr>
          <w:rFonts w:asciiTheme="minorHAnsi" w:hAnsiTheme="minorHAnsi"/>
          <w:kern w:val="2"/>
          <w14:ligatures w14:val="standardContextual"/>
        </w:rPr>
      </w:pPr>
      <w:r>
        <w:rPr>
          <w:color w:val="0092CF"/>
        </w:rPr>
        <w:fldChar w:fldCharType="begin"/>
      </w:r>
      <w:r>
        <w:rPr>
          <w:color w:val="0092CF"/>
        </w:rPr>
        <w:instrText xml:space="preserve"> TOC \o "1-1" \h \z \u </w:instrText>
      </w:r>
      <w:r>
        <w:rPr>
          <w:color w:val="0092CF"/>
        </w:rPr>
        <w:fldChar w:fldCharType="separate"/>
      </w:r>
      <w:hyperlink w:anchor="_Toc141088978" w:history="1">
        <w:r w:rsidRPr="003010DF">
          <w:rPr>
            <w:rStyle w:val="Hyperlink"/>
          </w:rPr>
          <w:t>Introduction</w:t>
        </w:r>
        <w:r>
          <w:rPr>
            <w:webHidden/>
          </w:rPr>
          <w:tab/>
        </w:r>
        <w:r>
          <w:rPr>
            <w:webHidden/>
          </w:rPr>
          <w:fldChar w:fldCharType="begin"/>
        </w:r>
        <w:r>
          <w:rPr>
            <w:webHidden/>
          </w:rPr>
          <w:instrText xml:space="preserve"> PAGEREF _Toc141088978 \h </w:instrText>
        </w:r>
        <w:r>
          <w:rPr>
            <w:webHidden/>
          </w:rPr>
        </w:r>
        <w:r>
          <w:rPr>
            <w:webHidden/>
          </w:rPr>
          <w:fldChar w:fldCharType="separate"/>
        </w:r>
        <w:r w:rsidR="00B50F56">
          <w:rPr>
            <w:webHidden/>
          </w:rPr>
          <w:t>5</w:t>
        </w:r>
        <w:r>
          <w:rPr>
            <w:webHidden/>
          </w:rPr>
          <w:fldChar w:fldCharType="end"/>
        </w:r>
      </w:hyperlink>
    </w:p>
    <w:p w14:paraId="65CFA857" w14:textId="1A523FB5" w:rsidR="00AA6486" w:rsidRDefault="0075721F" w:rsidP="00003A29">
      <w:pPr>
        <w:pStyle w:val="TOC1"/>
        <w:rPr>
          <w:rFonts w:asciiTheme="minorHAnsi" w:hAnsiTheme="minorHAnsi"/>
          <w:kern w:val="2"/>
          <w14:ligatures w14:val="standardContextual"/>
        </w:rPr>
      </w:pPr>
      <w:hyperlink w:anchor="_Toc141088979" w:history="1">
        <w:r w:rsidR="00AA6486" w:rsidRPr="003010DF">
          <w:rPr>
            <w:rStyle w:val="Hyperlink"/>
          </w:rPr>
          <w:t>Decisions on New Zealand Emissions Trading Scheme unit settings announced in 2022</w:t>
        </w:r>
        <w:r w:rsidR="00AA6486">
          <w:rPr>
            <w:webHidden/>
          </w:rPr>
          <w:tab/>
        </w:r>
        <w:r w:rsidR="00AA6486">
          <w:rPr>
            <w:webHidden/>
          </w:rPr>
          <w:fldChar w:fldCharType="begin"/>
        </w:r>
        <w:r w:rsidR="00AA6486">
          <w:rPr>
            <w:webHidden/>
          </w:rPr>
          <w:instrText xml:space="preserve"> PAGEREF _Toc141088979 \h </w:instrText>
        </w:r>
        <w:r w:rsidR="00AA6486">
          <w:rPr>
            <w:webHidden/>
          </w:rPr>
        </w:r>
        <w:r w:rsidR="00AA6486">
          <w:rPr>
            <w:webHidden/>
          </w:rPr>
          <w:fldChar w:fldCharType="separate"/>
        </w:r>
        <w:r w:rsidR="00B50F56">
          <w:rPr>
            <w:webHidden/>
          </w:rPr>
          <w:t>7</w:t>
        </w:r>
        <w:r w:rsidR="00AA6486">
          <w:rPr>
            <w:webHidden/>
          </w:rPr>
          <w:fldChar w:fldCharType="end"/>
        </w:r>
      </w:hyperlink>
    </w:p>
    <w:p w14:paraId="6A7A115B" w14:textId="47855521" w:rsidR="00AA6486" w:rsidRDefault="0075721F" w:rsidP="00003A29">
      <w:pPr>
        <w:pStyle w:val="TOC1"/>
        <w:rPr>
          <w:rFonts w:asciiTheme="minorHAnsi" w:hAnsiTheme="minorHAnsi"/>
          <w:kern w:val="2"/>
          <w14:ligatures w14:val="standardContextual"/>
        </w:rPr>
      </w:pPr>
      <w:hyperlink w:anchor="_Toc141088980" w:history="1">
        <w:r w:rsidR="00AA6486" w:rsidRPr="003010DF">
          <w:rPr>
            <w:rStyle w:val="Hyperlink"/>
          </w:rPr>
          <w:t>New Zealand Emissions Trading Scheme unit settings</w:t>
        </w:r>
        <w:r w:rsidR="00AA6486">
          <w:rPr>
            <w:webHidden/>
          </w:rPr>
          <w:tab/>
        </w:r>
        <w:r w:rsidR="00AA6486">
          <w:rPr>
            <w:webHidden/>
          </w:rPr>
          <w:fldChar w:fldCharType="begin"/>
        </w:r>
        <w:r w:rsidR="00AA6486">
          <w:rPr>
            <w:webHidden/>
          </w:rPr>
          <w:instrText xml:space="preserve"> PAGEREF _Toc141088980 \h </w:instrText>
        </w:r>
        <w:r w:rsidR="00AA6486">
          <w:rPr>
            <w:webHidden/>
          </w:rPr>
        </w:r>
        <w:r w:rsidR="00AA6486">
          <w:rPr>
            <w:webHidden/>
          </w:rPr>
          <w:fldChar w:fldCharType="separate"/>
        </w:r>
        <w:r w:rsidR="00B50F56">
          <w:rPr>
            <w:webHidden/>
          </w:rPr>
          <w:t>8</w:t>
        </w:r>
        <w:r w:rsidR="00AA6486">
          <w:rPr>
            <w:webHidden/>
          </w:rPr>
          <w:fldChar w:fldCharType="end"/>
        </w:r>
      </w:hyperlink>
    </w:p>
    <w:p w14:paraId="67F8C4A5" w14:textId="17896EF1" w:rsidR="00AA6486" w:rsidRDefault="0075721F" w:rsidP="00003A29">
      <w:pPr>
        <w:pStyle w:val="TOC1"/>
        <w:rPr>
          <w:rFonts w:asciiTheme="minorHAnsi" w:hAnsiTheme="minorHAnsi"/>
          <w:kern w:val="2"/>
          <w14:ligatures w14:val="standardContextual"/>
        </w:rPr>
      </w:pPr>
      <w:hyperlink w:anchor="_Toc141088981" w:history="1">
        <w:r w:rsidR="00AA6486" w:rsidRPr="003010DF">
          <w:rPr>
            <w:rStyle w:val="Hyperlink"/>
          </w:rPr>
          <w:t>Updating New Zealand Emissions Trading Scheme limits for units</w:t>
        </w:r>
        <w:r w:rsidR="00AA6486">
          <w:rPr>
            <w:webHidden/>
          </w:rPr>
          <w:tab/>
        </w:r>
        <w:r w:rsidR="00AA6486">
          <w:rPr>
            <w:webHidden/>
          </w:rPr>
          <w:fldChar w:fldCharType="begin"/>
        </w:r>
        <w:r w:rsidR="00AA6486">
          <w:rPr>
            <w:webHidden/>
          </w:rPr>
          <w:instrText xml:space="preserve"> PAGEREF _Toc141088981 \h </w:instrText>
        </w:r>
        <w:r w:rsidR="00AA6486">
          <w:rPr>
            <w:webHidden/>
          </w:rPr>
        </w:r>
        <w:r w:rsidR="00AA6486">
          <w:rPr>
            <w:webHidden/>
          </w:rPr>
          <w:fldChar w:fldCharType="separate"/>
        </w:r>
        <w:r w:rsidR="00B50F56">
          <w:rPr>
            <w:webHidden/>
          </w:rPr>
          <w:t>10</w:t>
        </w:r>
        <w:r w:rsidR="00AA6486">
          <w:rPr>
            <w:webHidden/>
          </w:rPr>
          <w:fldChar w:fldCharType="end"/>
        </w:r>
      </w:hyperlink>
    </w:p>
    <w:p w14:paraId="4D9CE00F" w14:textId="3D32519F" w:rsidR="00AA6486" w:rsidRDefault="0075721F" w:rsidP="00003A29">
      <w:pPr>
        <w:pStyle w:val="TOC1"/>
        <w:rPr>
          <w:rFonts w:asciiTheme="minorHAnsi" w:hAnsiTheme="minorHAnsi"/>
          <w:kern w:val="2"/>
          <w14:ligatures w14:val="standardContextual"/>
        </w:rPr>
      </w:pPr>
      <w:hyperlink w:anchor="_Toc141088982" w:history="1">
        <w:r w:rsidR="00AA6486" w:rsidRPr="003010DF">
          <w:rPr>
            <w:rStyle w:val="Hyperlink"/>
          </w:rPr>
          <w:t>Update price control settings for units</w:t>
        </w:r>
        <w:r w:rsidR="00AA6486">
          <w:rPr>
            <w:webHidden/>
          </w:rPr>
          <w:tab/>
        </w:r>
        <w:r w:rsidR="00AA6486">
          <w:rPr>
            <w:webHidden/>
          </w:rPr>
          <w:fldChar w:fldCharType="begin"/>
        </w:r>
        <w:r w:rsidR="00AA6486">
          <w:rPr>
            <w:webHidden/>
          </w:rPr>
          <w:instrText xml:space="preserve"> PAGEREF _Toc141088982 \h </w:instrText>
        </w:r>
        <w:r w:rsidR="00AA6486">
          <w:rPr>
            <w:webHidden/>
          </w:rPr>
        </w:r>
        <w:r w:rsidR="00AA6486">
          <w:rPr>
            <w:webHidden/>
          </w:rPr>
          <w:fldChar w:fldCharType="separate"/>
        </w:r>
        <w:r w:rsidR="00B50F56">
          <w:rPr>
            <w:webHidden/>
          </w:rPr>
          <w:t>14</w:t>
        </w:r>
        <w:r w:rsidR="00AA6486">
          <w:rPr>
            <w:webHidden/>
          </w:rPr>
          <w:fldChar w:fldCharType="end"/>
        </w:r>
      </w:hyperlink>
    </w:p>
    <w:p w14:paraId="164C6B6E" w14:textId="0A483990" w:rsidR="00AA6486" w:rsidRDefault="0075721F" w:rsidP="00003A29">
      <w:pPr>
        <w:pStyle w:val="TOC1"/>
        <w:rPr>
          <w:rFonts w:asciiTheme="minorHAnsi" w:hAnsiTheme="minorHAnsi"/>
          <w:kern w:val="2"/>
          <w14:ligatures w14:val="standardContextual"/>
        </w:rPr>
      </w:pPr>
      <w:hyperlink w:anchor="_Toc141088983" w:history="1">
        <w:r w:rsidR="00AA6486" w:rsidRPr="003010DF">
          <w:rPr>
            <w:rStyle w:val="Hyperlink"/>
          </w:rPr>
          <w:t>Impacts</w:t>
        </w:r>
        <w:r w:rsidR="00AA6486">
          <w:rPr>
            <w:webHidden/>
          </w:rPr>
          <w:tab/>
        </w:r>
        <w:r w:rsidR="00AA6486">
          <w:rPr>
            <w:webHidden/>
          </w:rPr>
          <w:fldChar w:fldCharType="begin"/>
        </w:r>
        <w:r w:rsidR="00AA6486">
          <w:rPr>
            <w:webHidden/>
          </w:rPr>
          <w:instrText xml:space="preserve"> PAGEREF _Toc141088983 \h </w:instrText>
        </w:r>
        <w:r w:rsidR="00AA6486">
          <w:rPr>
            <w:webHidden/>
          </w:rPr>
        </w:r>
        <w:r w:rsidR="00AA6486">
          <w:rPr>
            <w:webHidden/>
          </w:rPr>
          <w:fldChar w:fldCharType="separate"/>
        </w:r>
        <w:r w:rsidR="00B50F56">
          <w:rPr>
            <w:webHidden/>
          </w:rPr>
          <w:t>18</w:t>
        </w:r>
        <w:r w:rsidR="00AA6486">
          <w:rPr>
            <w:webHidden/>
          </w:rPr>
          <w:fldChar w:fldCharType="end"/>
        </w:r>
      </w:hyperlink>
    </w:p>
    <w:p w14:paraId="0CC2157C" w14:textId="76A55D90" w:rsidR="00AA6486" w:rsidRDefault="0075721F" w:rsidP="00003A29">
      <w:pPr>
        <w:pStyle w:val="TOC1"/>
        <w:rPr>
          <w:rFonts w:asciiTheme="minorHAnsi" w:hAnsiTheme="minorHAnsi"/>
          <w:kern w:val="2"/>
          <w14:ligatures w14:val="standardContextual"/>
        </w:rPr>
      </w:pPr>
      <w:hyperlink w:anchor="_Toc141088984" w:history="1">
        <w:r w:rsidR="00AA6486" w:rsidRPr="003010DF">
          <w:rPr>
            <w:rStyle w:val="Hyperlink"/>
          </w:rPr>
          <w:t>Feedback and comments</w:t>
        </w:r>
        <w:r w:rsidR="00AA6486">
          <w:rPr>
            <w:webHidden/>
          </w:rPr>
          <w:tab/>
        </w:r>
        <w:r w:rsidR="00AA6486">
          <w:rPr>
            <w:webHidden/>
          </w:rPr>
          <w:fldChar w:fldCharType="begin"/>
        </w:r>
        <w:r w:rsidR="00AA6486">
          <w:rPr>
            <w:webHidden/>
          </w:rPr>
          <w:instrText xml:space="preserve"> PAGEREF _Toc141088984 \h </w:instrText>
        </w:r>
        <w:r w:rsidR="00AA6486">
          <w:rPr>
            <w:webHidden/>
          </w:rPr>
        </w:r>
        <w:r w:rsidR="00AA6486">
          <w:rPr>
            <w:webHidden/>
          </w:rPr>
          <w:fldChar w:fldCharType="separate"/>
        </w:r>
        <w:r w:rsidR="00B50F56">
          <w:rPr>
            <w:webHidden/>
          </w:rPr>
          <w:t>20</w:t>
        </w:r>
        <w:r w:rsidR="00AA6486">
          <w:rPr>
            <w:webHidden/>
          </w:rPr>
          <w:fldChar w:fldCharType="end"/>
        </w:r>
      </w:hyperlink>
    </w:p>
    <w:p w14:paraId="0CBEE435" w14:textId="3935C1FB" w:rsidR="00AA6486" w:rsidRDefault="0075721F" w:rsidP="00003A29">
      <w:pPr>
        <w:pStyle w:val="TOC1"/>
        <w:rPr>
          <w:rFonts w:asciiTheme="minorHAnsi" w:hAnsiTheme="minorHAnsi"/>
          <w:kern w:val="2"/>
          <w14:ligatures w14:val="standardContextual"/>
        </w:rPr>
      </w:pPr>
      <w:hyperlink w:anchor="_Toc141088985" w:history="1">
        <w:r w:rsidR="00AA6486" w:rsidRPr="003010DF">
          <w:rPr>
            <w:rStyle w:val="Hyperlink"/>
          </w:rPr>
          <w:t>Appendix: Tables showing percentage of total submissions in support of options presented</w:t>
        </w:r>
        <w:r w:rsidR="00AA6486">
          <w:rPr>
            <w:webHidden/>
          </w:rPr>
          <w:tab/>
        </w:r>
        <w:r w:rsidR="00AA6486">
          <w:rPr>
            <w:webHidden/>
          </w:rPr>
          <w:fldChar w:fldCharType="begin"/>
        </w:r>
        <w:r w:rsidR="00AA6486">
          <w:rPr>
            <w:webHidden/>
          </w:rPr>
          <w:instrText xml:space="preserve"> PAGEREF _Toc141088985 \h </w:instrText>
        </w:r>
        <w:r w:rsidR="00AA6486">
          <w:rPr>
            <w:webHidden/>
          </w:rPr>
        </w:r>
        <w:r w:rsidR="00AA6486">
          <w:rPr>
            <w:webHidden/>
          </w:rPr>
          <w:fldChar w:fldCharType="separate"/>
        </w:r>
        <w:r w:rsidR="00B50F56">
          <w:rPr>
            <w:webHidden/>
          </w:rPr>
          <w:t>21</w:t>
        </w:r>
        <w:r w:rsidR="00AA6486">
          <w:rPr>
            <w:webHidden/>
          </w:rPr>
          <w:fldChar w:fldCharType="end"/>
        </w:r>
      </w:hyperlink>
    </w:p>
    <w:p w14:paraId="23BFD802" w14:textId="2063B809" w:rsidR="00C12736" w:rsidRPr="00C12736" w:rsidRDefault="00AA6486" w:rsidP="00003A29">
      <w:pPr>
        <w:pStyle w:val="Glossary"/>
      </w:pPr>
      <w:r>
        <w:rPr>
          <w:color w:val="0092CF"/>
        </w:rPr>
        <w:fldChar w:fldCharType="end"/>
      </w:r>
    </w:p>
    <w:p w14:paraId="2C2D44FC" w14:textId="197B9545" w:rsidR="00E46AAB" w:rsidRPr="00755A11" w:rsidRDefault="00E46AAB" w:rsidP="00003A29">
      <w:pPr>
        <w:spacing w:before="0" w:after="160" w:line="259" w:lineRule="auto"/>
        <w:jc w:val="left"/>
        <w:rPr>
          <w:rFonts w:eastAsiaTheme="minorEastAsia" w:cstheme="minorBidi"/>
        </w:rPr>
      </w:pPr>
      <w:r w:rsidRPr="00755A11">
        <w:br w:type="page"/>
      </w:r>
    </w:p>
    <w:p w14:paraId="658FF013" w14:textId="01BF7380" w:rsidR="00E46AAB" w:rsidRPr="00755A11" w:rsidRDefault="00E46AAB" w:rsidP="00003A29">
      <w:pPr>
        <w:pStyle w:val="Heading"/>
      </w:pPr>
      <w:bookmarkStart w:id="2" w:name="_Toc141088977"/>
      <w:r w:rsidRPr="00755A11">
        <w:lastRenderedPageBreak/>
        <w:t>Table</w:t>
      </w:r>
      <w:bookmarkEnd w:id="2"/>
    </w:p>
    <w:p w14:paraId="0D36B7DE" w14:textId="1096C032" w:rsidR="00E46AAB" w:rsidRPr="00755A11" w:rsidRDefault="00E46AAB" w:rsidP="00003A29">
      <w:pPr>
        <w:pStyle w:val="TableofFigures"/>
        <w:tabs>
          <w:tab w:val="right" w:pos="8495"/>
        </w:tabs>
        <w:rPr>
          <w:rFonts w:asciiTheme="minorHAnsi" w:eastAsiaTheme="minorEastAsia" w:hAnsiTheme="minorHAnsi" w:cstheme="minorBidi"/>
          <w:kern w:val="2"/>
          <w14:ligatures w14:val="standardContextual"/>
        </w:rPr>
      </w:pPr>
      <w:r w:rsidRPr="00755A11">
        <w:fldChar w:fldCharType="begin"/>
      </w:r>
      <w:r w:rsidRPr="00755A11">
        <w:instrText xml:space="preserve"> TOC \h \z \t "Table heading" \c </w:instrText>
      </w:r>
      <w:r w:rsidRPr="00755A11">
        <w:fldChar w:fldCharType="separate"/>
      </w:r>
      <w:hyperlink w:anchor="_Toc140922779" w:history="1">
        <w:r w:rsidRPr="00755A11">
          <w:rPr>
            <w:rStyle w:val="Hyperlink"/>
            <w:rFonts w:eastAsiaTheme="majorEastAsia"/>
          </w:rPr>
          <w:t>Table 1:</w:t>
        </w:r>
        <w:r w:rsidRPr="00755A11">
          <w:rPr>
            <w:rFonts w:asciiTheme="minorHAnsi" w:eastAsiaTheme="minorEastAsia" w:hAnsiTheme="minorHAnsi" w:cstheme="minorBidi"/>
            <w:kern w:val="2"/>
            <w14:ligatures w14:val="standardContextual"/>
          </w:rPr>
          <w:tab/>
        </w:r>
        <w:r w:rsidRPr="00755A11">
          <w:rPr>
            <w:rStyle w:val="Hyperlink"/>
            <w:rFonts w:eastAsiaTheme="majorEastAsia"/>
          </w:rPr>
          <w:t>Number of submissions by submitter group</w:t>
        </w:r>
        <w:r w:rsidRPr="00755A11">
          <w:rPr>
            <w:webHidden/>
          </w:rPr>
          <w:tab/>
        </w:r>
        <w:r w:rsidRPr="00755A11">
          <w:rPr>
            <w:webHidden/>
          </w:rPr>
          <w:fldChar w:fldCharType="begin"/>
        </w:r>
        <w:r w:rsidRPr="00755A11">
          <w:rPr>
            <w:webHidden/>
          </w:rPr>
          <w:instrText xml:space="preserve"> PAGEREF _Toc140922779 \h </w:instrText>
        </w:r>
        <w:r w:rsidRPr="00755A11">
          <w:rPr>
            <w:webHidden/>
          </w:rPr>
        </w:r>
        <w:r w:rsidRPr="00755A11">
          <w:rPr>
            <w:webHidden/>
          </w:rPr>
          <w:fldChar w:fldCharType="separate"/>
        </w:r>
        <w:r w:rsidRPr="00755A11">
          <w:rPr>
            <w:webHidden/>
          </w:rPr>
          <w:t>6</w:t>
        </w:r>
        <w:r w:rsidRPr="00755A11">
          <w:rPr>
            <w:webHidden/>
          </w:rPr>
          <w:fldChar w:fldCharType="end"/>
        </w:r>
      </w:hyperlink>
    </w:p>
    <w:p w14:paraId="4513333F" w14:textId="07386843" w:rsidR="00E46AAB" w:rsidRPr="00755A11" w:rsidRDefault="00E46AAB" w:rsidP="00003A29">
      <w:pPr>
        <w:pStyle w:val="BodyText"/>
      </w:pPr>
      <w:r w:rsidRPr="00755A11">
        <w:fldChar w:fldCharType="end"/>
      </w:r>
    </w:p>
    <w:p w14:paraId="0E57FE2C" w14:textId="0AC8668F" w:rsidR="00421D7B" w:rsidRPr="00755A11" w:rsidRDefault="00421D7B" w:rsidP="00003A29">
      <w:pPr>
        <w:pStyle w:val="BodyText"/>
      </w:pPr>
      <w:r w:rsidRPr="00755A11">
        <w:br w:type="page"/>
      </w:r>
    </w:p>
    <w:p w14:paraId="782F672C" w14:textId="7627D437" w:rsidR="00AE0109" w:rsidRPr="00755A11" w:rsidRDefault="00501F76" w:rsidP="00003A29">
      <w:pPr>
        <w:pStyle w:val="Heading1"/>
        <w:rPr>
          <w:rStyle w:val="Heading1Char"/>
          <w:b/>
          <w:bCs/>
        </w:rPr>
      </w:pPr>
      <w:bookmarkStart w:id="3" w:name="_Toc141088978"/>
      <w:r w:rsidRPr="00755A11">
        <w:lastRenderedPageBreak/>
        <w:t>Introduction</w:t>
      </w:r>
      <w:bookmarkEnd w:id="3"/>
    </w:p>
    <w:p w14:paraId="76D8CEA1" w14:textId="2E424A0B" w:rsidR="000D767F" w:rsidRPr="00755A11" w:rsidRDefault="00AE0109" w:rsidP="00003A29">
      <w:pPr>
        <w:pStyle w:val="BodyText"/>
      </w:pPr>
      <w:r w:rsidRPr="00755A11">
        <w:t xml:space="preserve">From </w:t>
      </w:r>
      <w:r w:rsidR="002C6674" w:rsidRPr="00755A11">
        <w:t>19 May</w:t>
      </w:r>
      <w:r w:rsidR="009E052E" w:rsidRPr="00755A11">
        <w:t xml:space="preserve"> to </w:t>
      </w:r>
      <w:r w:rsidR="002C6674" w:rsidRPr="00755A11">
        <w:t>16 June</w:t>
      </w:r>
      <w:r w:rsidR="00CE502E" w:rsidRPr="00755A11">
        <w:t xml:space="preserve"> 2023</w:t>
      </w:r>
      <w:r w:rsidRPr="00755A11">
        <w:t>,</w:t>
      </w:r>
      <w:r w:rsidR="008D1A17" w:rsidRPr="00755A11">
        <w:t xml:space="preserve"> </w:t>
      </w:r>
      <w:r w:rsidR="00E009BE">
        <w:t>the Government</w:t>
      </w:r>
      <w:r w:rsidR="00BB656B" w:rsidRPr="00755A11">
        <w:t xml:space="preserve"> </w:t>
      </w:r>
      <w:r w:rsidR="000D767F" w:rsidRPr="00755A11">
        <w:t xml:space="preserve">consulted on proposals to update New Zealand Emissions Trading Scheme (NZ ETS) unit settings for the period </w:t>
      </w:r>
      <w:r w:rsidR="00DC3117" w:rsidRPr="00755A11">
        <w:t>2024 to 2028</w:t>
      </w:r>
      <w:r w:rsidR="000D767F" w:rsidRPr="00755A11">
        <w:t>.</w:t>
      </w:r>
      <w:r w:rsidR="00FD3029" w:rsidRPr="00755A11">
        <w:t xml:space="preserve"> This included </w:t>
      </w:r>
      <w:r w:rsidR="00CE502E" w:rsidRPr="00755A11">
        <w:t>two</w:t>
      </w:r>
      <w:r w:rsidR="00DC3117" w:rsidRPr="00755A11">
        <w:t xml:space="preserve"> webinars held on </w:t>
      </w:r>
      <w:r w:rsidR="00927A99" w:rsidRPr="00755A11">
        <w:t>24</w:t>
      </w:r>
      <w:r w:rsidR="00773E4A">
        <w:t xml:space="preserve"> </w:t>
      </w:r>
      <w:r w:rsidR="00927A99" w:rsidRPr="00755A11">
        <w:t xml:space="preserve">and </w:t>
      </w:r>
      <w:r w:rsidR="00AE22EB" w:rsidRPr="00755A11">
        <w:t>29 May</w:t>
      </w:r>
      <w:r w:rsidR="0068400F" w:rsidRPr="00755A11">
        <w:t xml:space="preserve"> 2023</w:t>
      </w:r>
      <w:r w:rsidR="00FD3029" w:rsidRPr="00755A11">
        <w:t>.</w:t>
      </w:r>
    </w:p>
    <w:p w14:paraId="31A8E7A2" w14:textId="616D507B" w:rsidR="008F4121" w:rsidRPr="00755A11" w:rsidRDefault="00AE0109" w:rsidP="00003A29">
      <w:pPr>
        <w:pStyle w:val="BodyText"/>
      </w:pPr>
      <w:r w:rsidRPr="00755A11">
        <w:t xml:space="preserve">This report summarises the views </w:t>
      </w:r>
      <w:r w:rsidR="00876D64" w:rsidRPr="00755A11">
        <w:t>expressed from</w:t>
      </w:r>
      <w:r w:rsidRPr="00755A11">
        <w:t xml:space="preserve"> </w:t>
      </w:r>
      <w:r w:rsidR="00C123E3" w:rsidRPr="00755A11">
        <w:t xml:space="preserve">public </w:t>
      </w:r>
      <w:r w:rsidRPr="00755A11">
        <w:t xml:space="preserve">consultation </w:t>
      </w:r>
      <w:r w:rsidR="00C123E3" w:rsidRPr="00755A11">
        <w:t xml:space="preserve">on </w:t>
      </w:r>
      <w:r w:rsidR="00A57BC1" w:rsidRPr="00755A11">
        <w:t>updates to NZ ETS unit settings, described in</w:t>
      </w:r>
      <w:r w:rsidRPr="00755A11">
        <w:t xml:space="preserve"> the consultation document </w:t>
      </w:r>
      <w:hyperlink r:id="rId20" w:history="1">
        <w:r w:rsidR="00711A6A" w:rsidRPr="00755A11">
          <w:rPr>
            <w:rStyle w:val="Hyperlink"/>
            <w:i/>
            <w:iCs/>
          </w:rPr>
          <w:t>Annual updates to the New Zealand Emissions Trading Scheme limits and price control settings for units 2023</w:t>
        </w:r>
      </w:hyperlink>
      <w:r w:rsidRPr="00755A11">
        <w:t xml:space="preserve">. It does not provide an analysis of those views or recommendations in response to them. Any recommendations in response to these submissions will be made through policy development and advice to the Government. </w:t>
      </w:r>
    </w:p>
    <w:p w14:paraId="3E49005E" w14:textId="0C3C83CC" w:rsidR="00AE0109" w:rsidRPr="00755A11" w:rsidRDefault="00C95F5C" w:rsidP="00003A29">
      <w:pPr>
        <w:pStyle w:val="Heading2"/>
      </w:pPr>
      <w:bookmarkStart w:id="4" w:name="_Toc95731384"/>
      <w:r w:rsidRPr="00755A11">
        <w:t xml:space="preserve">Why do we need to </w:t>
      </w:r>
      <w:r w:rsidR="00462CB6" w:rsidRPr="00755A11">
        <w:t>update</w:t>
      </w:r>
      <w:r w:rsidR="00AE0109" w:rsidRPr="00755A11">
        <w:t xml:space="preserve"> </w:t>
      </w:r>
      <w:bookmarkEnd w:id="4"/>
      <w:r w:rsidR="004E0575" w:rsidRPr="004E0575">
        <w:t>New Zealand Emissions Trading Scheme</w:t>
      </w:r>
      <w:r w:rsidR="00FB7201" w:rsidRPr="00755A11">
        <w:t xml:space="preserve"> </w:t>
      </w:r>
      <w:r w:rsidR="00652DC5" w:rsidRPr="00755A11">
        <w:t xml:space="preserve">limit and price control settings for units </w:t>
      </w:r>
      <w:r w:rsidR="00462CB6" w:rsidRPr="00755A11">
        <w:t>in</w:t>
      </w:r>
      <w:r w:rsidR="009321D5">
        <w:t> </w:t>
      </w:r>
      <w:r w:rsidR="00652DC5" w:rsidRPr="00755A11">
        <w:t>202</w:t>
      </w:r>
      <w:r w:rsidR="009E052E" w:rsidRPr="00755A11">
        <w:t>3</w:t>
      </w:r>
      <w:r w:rsidR="00462CB6" w:rsidRPr="00755A11">
        <w:t>?</w:t>
      </w:r>
    </w:p>
    <w:p w14:paraId="75F814A1" w14:textId="07BA42CD" w:rsidR="008F53FA" w:rsidRPr="00755A11" w:rsidRDefault="00280B1D" w:rsidP="00003A29">
      <w:pPr>
        <w:pStyle w:val="BodyText"/>
      </w:pPr>
      <w:bookmarkStart w:id="5" w:name="_Toc95731385"/>
      <w:r w:rsidRPr="00755A11">
        <w:t xml:space="preserve">The NZ ETS is one of the Government’s </w:t>
      </w:r>
      <w:r w:rsidR="00E10F6D" w:rsidRPr="00755A11">
        <w:t xml:space="preserve">main </w:t>
      </w:r>
      <w:r w:rsidRPr="00755A11">
        <w:t xml:space="preserve">tools to address climate </w:t>
      </w:r>
      <w:r w:rsidR="008F53FA" w:rsidRPr="00755A11">
        <w:t>change.</w:t>
      </w:r>
      <w:r w:rsidR="001032D2" w:rsidRPr="00755A11">
        <w:t xml:space="preserve"> The NZ ETS supports and encourages domestic and global efforts to reduce greenhouse gas emissions. Its</w:t>
      </w:r>
      <w:r w:rsidR="00C55E40">
        <w:t> </w:t>
      </w:r>
      <w:r w:rsidR="001032D2" w:rsidRPr="00755A11">
        <w:t xml:space="preserve">purpose is to help </w:t>
      </w:r>
      <w:r w:rsidR="00761A0C" w:rsidRPr="00755A11">
        <w:t xml:space="preserve">Aotearoa </w:t>
      </w:r>
      <w:r w:rsidR="001032D2" w:rsidRPr="00755A11">
        <w:t>New Zealand to meet its international obligations under the Paris Agreement, its 2050 target</w:t>
      </w:r>
      <w:r w:rsidR="008D1A17" w:rsidRPr="00755A11">
        <w:t>,</w:t>
      </w:r>
      <w:r w:rsidR="001032D2" w:rsidRPr="00755A11">
        <w:t xml:space="preserve"> and emissions budgets.</w:t>
      </w:r>
      <w:r w:rsidR="00477097" w:rsidRPr="00755A11">
        <w:t xml:space="preserve"> </w:t>
      </w:r>
      <w:r w:rsidR="008F53FA" w:rsidRPr="00755A11">
        <w:t>The</w:t>
      </w:r>
      <w:r w:rsidR="003B7A0B" w:rsidRPr="00755A11">
        <w:t xml:space="preserve"> Government sets the number of</w:t>
      </w:r>
      <w:r w:rsidR="00C55E40">
        <w:t> </w:t>
      </w:r>
      <w:r w:rsidR="003B7A0B" w:rsidRPr="00755A11">
        <w:t xml:space="preserve">units supplied into the scheme over time. This limits the quantity </w:t>
      </w:r>
      <w:r w:rsidR="00905251" w:rsidRPr="00755A11">
        <w:t xml:space="preserve">of greenhouse gases </w:t>
      </w:r>
      <w:r w:rsidR="003B7A0B" w:rsidRPr="00755A11">
        <w:t xml:space="preserve">that emitters can emit, in line with </w:t>
      </w:r>
      <w:r w:rsidR="009634AB" w:rsidRPr="00755A11">
        <w:t xml:space="preserve">Aotearoa </w:t>
      </w:r>
      <w:r w:rsidR="003B7A0B" w:rsidRPr="00755A11">
        <w:t>New Zealand’s emission reduction targets</w:t>
      </w:r>
      <w:r w:rsidR="00B50F81" w:rsidRPr="00755A11">
        <w:t>.</w:t>
      </w:r>
    </w:p>
    <w:p w14:paraId="6B6DC2B1" w14:textId="3FAE3E61" w:rsidR="00D56B01" w:rsidRPr="00755A11" w:rsidRDefault="00C91725" w:rsidP="00003A29">
      <w:pPr>
        <w:pStyle w:val="BodyText"/>
      </w:pPr>
      <w:r w:rsidRPr="00755A11">
        <w:t xml:space="preserve">Aotearoa </w:t>
      </w:r>
      <w:r w:rsidR="00AC6CBC" w:rsidRPr="00755A11">
        <w:t>New Zealand’s first</w:t>
      </w:r>
      <w:r w:rsidR="001754C2" w:rsidRPr="00755A11">
        <w:t xml:space="preserve"> emissions budgets </w:t>
      </w:r>
      <w:r w:rsidR="00AC6CBC" w:rsidRPr="00755A11">
        <w:t xml:space="preserve">were set </w:t>
      </w:r>
      <w:r w:rsidR="00381ED7" w:rsidRPr="00755A11">
        <w:t>in</w:t>
      </w:r>
      <w:r w:rsidR="008B4B55" w:rsidRPr="00755A11">
        <w:t xml:space="preserve"> </w:t>
      </w:r>
      <w:r w:rsidR="00381ED7" w:rsidRPr="00755A11">
        <w:t>2022</w:t>
      </w:r>
      <w:r w:rsidR="001754C2" w:rsidRPr="00755A11">
        <w:t xml:space="preserve">. These place limits on the emissions </w:t>
      </w:r>
      <w:r w:rsidR="001754C2" w:rsidRPr="00755A11">
        <w:rPr>
          <w:spacing w:val="-2"/>
        </w:rPr>
        <w:t xml:space="preserve">that </w:t>
      </w:r>
      <w:r w:rsidRPr="00755A11">
        <w:t>Aotearoa</w:t>
      </w:r>
      <w:r w:rsidR="001754C2" w:rsidRPr="00755A11">
        <w:rPr>
          <w:spacing w:val="-2"/>
        </w:rPr>
        <w:t xml:space="preserve"> can produce for 2022–25, 2026–30</w:t>
      </w:r>
      <w:r w:rsidR="000166F0">
        <w:rPr>
          <w:spacing w:val="-2"/>
        </w:rPr>
        <w:t>,</w:t>
      </w:r>
      <w:r w:rsidR="001754C2" w:rsidRPr="00755A11">
        <w:rPr>
          <w:spacing w:val="-2"/>
        </w:rPr>
        <w:t xml:space="preserve"> and 2031–35.</w:t>
      </w:r>
      <w:r w:rsidR="008F53FA" w:rsidRPr="00755A11">
        <w:rPr>
          <w:spacing w:val="-2"/>
        </w:rPr>
        <w:t xml:space="preserve"> The Government</w:t>
      </w:r>
      <w:r w:rsidR="008F53FA" w:rsidRPr="00755A11">
        <w:t xml:space="preserve"> also</w:t>
      </w:r>
      <w:r w:rsidR="00BD02A1" w:rsidRPr="00755A11">
        <w:t xml:space="preserve"> published the first emissions reduction plan (ERP) on 16 May 2022. The ERP describes how </w:t>
      </w:r>
      <w:r w:rsidR="0092006D" w:rsidRPr="00755A11">
        <w:t>Aotearoa is</w:t>
      </w:r>
      <w:r w:rsidR="00BD02A1" w:rsidRPr="00755A11">
        <w:t xml:space="preserve"> going to meet the first (2022–25), second (2026–30) and third (2031–35) </w:t>
      </w:r>
      <w:r w:rsidR="00BD02A1" w:rsidRPr="00755A11">
        <w:rPr>
          <w:spacing w:val="-2"/>
        </w:rPr>
        <w:t xml:space="preserve">emissions budgets and progress towards </w:t>
      </w:r>
      <w:r w:rsidR="0092006D" w:rsidRPr="00755A11">
        <w:rPr>
          <w:spacing w:val="-2"/>
        </w:rPr>
        <w:t xml:space="preserve">its </w:t>
      </w:r>
      <w:r w:rsidR="00BD02A1" w:rsidRPr="00755A11">
        <w:rPr>
          <w:spacing w:val="-2"/>
        </w:rPr>
        <w:t xml:space="preserve">2050 target. </w:t>
      </w:r>
      <w:r w:rsidR="00577305" w:rsidRPr="00755A11">
        <w:rPr>
          <w:spacing w:val="-2"/>
        </w:rPr>
        <w:t>Emissions pricing, through the NZ</w:t>
      </w:r>
      <w:r w:rsidR="007E23A2" w:rsidRPr="00755A11">
        <w:rPr>
          <w:spacing w:val="-2"/>
        </w:rPr>
        <w:t> </w:t>
      </w:r>
      <w:r w:rsidR="00577305" w:rsidRPr="00755A11">
        <w:rPr>
          <w:spacing w:val="-2"/>
        </w:rPr>
        <w:t>ETS</w:t>
      </w:r>
      <w:r w:rsidR="00577305" w:rsidRPr="00755A11">
        <w:t xml:space="preserve"> (and the related synthetic greenhouse gas levy), is a critical part of the ERP policy package</w:t>
      </w:r>
      <w:r w:rsidR="00C369B9" w:rsidRPr="00755A11">
        <w:t>.</w:t>
      </w:r>
    </w:p>
    <w:p w14:paraId="371668B2" w14:textId="737484E3" w:rsidR="00675ECB" w:rsidRPr="00755A11" w:rsidRDefault="009210D6" w:rsidP="00003A29">
      <w:pPr>
        <w:pStyle w:val="BodyText"/>
      </w:pPr>
      <w:r w:rsidRPr="00755A11">
        <w:t xml:space="preserve">The objective of updating NZ ETS limits and price control settings for </w:t>
      </w:r>
      <w:r w:rsidR="00D9480D" w:rsidRPr="00755A11">
        <w:t xml:space="preserve">the </w:t>
      </w:r>
      <w:r w:rsidR="00B53638" w:rsidRPr="00755A11">
        <w:t xml:space="preserve">years </w:t>
      </w:r>
      <w:r w:rsidRPr="00755A11">
        <w:t>202</w:t>
      </w:r>
      <w:r w:rsidR="00B53638" w:rsidRPr="00755A11">
        <w:t>4</w:t>
      </w:r>
      <w:r w:rsidR="00E430A0" w:rsidRPr="00755A11">
        <w:t>–</w:t>
      </w:r>
      <w:r w:rsidR="00B53638" w:rsidRPr="00755A11">
        <w:t>28</w:t>
      </w:r>
      <w:r w:rsidRPr="00755A11">
        <w:t xml:space="preserve"> is to</w:t>
      </w:r>
      <w:r w:rsidR="00C55E40">
        <w:t> </w:t>
      </w:r>
      <w:r w:rsidRPr="00755A11">
        <w:t xml:space="preserve">provide </w:t>
      </w:r>
      <w:r w:rsidR="001915C2" w:rsidRPr="00755A11">
        <w:t>increased</w:t>
      </w:r>
      <w:r w:rsidRPr="00755A11">
        <w:t xml:space="preserve"> </w:t>
      </w:r>
      <w:r w:rsidR="00A128FB" w:rsidRPr="00755A11">
        <w:t xml:space="preserve">certainty </w:t>
      </w:r>
      <w:r w:rsidRPr="00755A11">
        <w:t>on unit supply</w:t>
      </w:r>
      <w:r w:rsidR="00A128FB" w:rsidRPr="00755A11">
        <w:t xml:space="preserve"> and </w:t>
      </w:r>
      <w:proofErr w:type="gramStart"/>
      <w:r w:rsidR="00206EBE" w:rsidRPr="00755A11">
        <w:t>comply with the statutory requirement that</w:t>
      </w:r>
      <w:r w:rsidR="00C55E40">
        <w:t> </w:t>
      </w:r>
      <w:r w:rsidR="00206EBE" w:rsidRPr="00755A11">
        <w:t>unit settings cover each of the next five calendar years at all times</w:t>
      </w:r>
      <w:proofErr w:type="gramEnd"/>
      <w:r w:rsidRPr="00755A11">
        <w:t xml:space="preserve">. This will </w:t>
      </w:r>
      <w:r w:rsidR="008A3799" w:rsidRPr="00755A11">
        <w:t>support</w:t>
      </w:r>
      <w:r w:rsidR="00206EBE" w:rsidRPr="00755A11">
        <w:t xml:space="preserve"> </w:t>
      </w:r>
      <w:r w:rsidRPr="00755A11">
        <w:t xml:space="preserve">the efficient and accurate operation of the NZ ETS and align the settings, as </w:t>
      </w:r>
      <w:r w:rsidR="00C748C6" w:rsidRPr="00755A11">
        <w:t>much</w:t>
      </w:r>
      <w:r w:rsidRPr="00755A11">
        <w:t xml:space="preserve"> as possible, to</w:t>
      </w:r>
      <w:r w:rsidR="00C55E40">
        <w:t> </w:t>
      </w:r>
      <w:r w:rsidR="008D1A17" w:rsidRPr="00755A11">
        <w:t xml:space="preserve">help </w:t>
      </w:r>
      <w:r w:rsidR="007922CD" w:rsidRPr="00755A11">
        <w:t>Aotearoa</w:t>
      </w:r>
      <w:r w:rsidRPr="00755A11">
        <w:t xml:space="preserve"> meet its emissions budgets and targets. </w:t>
      </w:r>
    </w:p>
    <w:p w14:paraId="4FD02509" w14:textId="5F273218" w:rsidR="004D6FA0" w:rsidRPr="00755A11" w:rsidRDefault="002654C2" w:rsidP="00003A29">
      <w:pPr>
        <w:pStyle w:val="BodyText"/>
      </w:pPr>
      <w:r w:rsidRPr="00755A11">
        <w:t xml:space="preserve">He </w:t>
      </w:r>
      <w:proofErr w:type="spellStart"/>
      <w:r w:rsidRPr="00755A11">
        <w:t>Pou</w:t>
      </w:r>
      <w:proofErr w:type="spellEnd"/>
      <w:r w:rsidRPr="00755A11">
        <w:t xml:space="preserve"> a Rangi – Climate Change Commission (the Commission) </w:t>
      </w:r>
      <w:r w:rsidR="004D6FA0" w:rsidRPr="00755A11">
        <w:t>has provided its annual advice on</w:t>
      </w:r>
      <w:r w:rsidR="00E009BE">
        <w:t xml:space="preserve"> NZ ETS</w:t>
      </w:r>
      <w:r w:rsidR="004D6FA0" w:rsidRPr="00755A11">
        <w:t xml:space="preserve"> </w:t>
      </w:r>
      <w:r w:rsidR="005F24A6" w:rsidRPr="00755A11">
        <w:t>limit</w:t>
      </w:r>
      <w:r w:rsidR="00F80AF1" w:rsidRPr="00755A11">
        <w:t>s</w:t>
      </w:r>
      <w:r w:rsidR="005F24A6" w:rsidRPr="00755A11">
        <w:t xml:space="preserve"> and price control settings for units</w:t>
      </w:r>
      <w:r w:rsidR="00C3025B" w:rsidRPr="00755A11">
        <w:t>.</w:t>
      </w:r>
      <w:r w:rsidRPr="00755A11">
        <w:t xml:space="preserve"> The Minister of Climate Change must consider this advice as part of the process of updating the settings</w:t>
      </w:r>
      <w:r w:rsidR="00C3025B" w:rsidRPr="00755A11">
        <w:t xml:space="preserve">. </w:t>
      </w:r>
    </w:p>
    <w:p w14:paraId="1FDB16B0" w14:textId="0FA15FCF" w:rsidR="008C1EC3" w:rsidRPr="00755A11" w:rsidRDefault="007B501E" w:rsidP="00003A29">
      <w:pPr>
        <w:pStyle w:val="BodyText"/>
      </w:pPr>
      <w:r w:rsidRPr="00755A11">
        <w:t xml:space="preserve">Feedback from consultation on these settings fell broadly into two categories, those supportive of the Commission’s recommendations and those supportive of retaining status quo settings. </w:t>
      </w:r>
      <w:r w:rsidR="00A61060" w:rsidRPr="00755A11">
        <w:t>This feedback is further explored below.</w:t>
      </w:r>
    </w:p>
    <w:p w14:paraId="242A3F6C" w14:textId="409114A2" w:rsidR="00090A86" w:rsidRPr="00755A11" w:rsidRDefault="008C1EC3" w:rsidP="00003A29">
      <w:pPr>
        <w:pStyle w:val="BodyText"/>
      </w:pPr>
      <w:r w:rsidRPr="00755A11">
        <w:t>T</w:t>
      </w:r>
      <w:r w:rsidR="00C21B0F" w:rsidRPr="00755A11">
        <w:t xml:space="preserve">his document </w:t>
      </w:r>
      <w:r w:rsidR="00180800" w:rsidRPr="00755A11">
        <w:t>summarise</w:t>
      </w:r>
      <w:r w:rsidRPr="00755A11">
        <w:t>s</w:t>
      </w:r>
      <w:r w:rsidR="00180800" w:rsidRPr="00755A11">
        <w:t xml:space="preserve"> the views expressed</w:t>
      </w:r>
      <w:r w:rsidR="000A1EE2" w:rsidRPr="00755A11">
        <w:t xml:space="preserve"> by </w:t>
      </w:r>
      <w:r w:rsidR="00D419F0" w:rsidRPr="00755A11">
        <w:t xml:space="preserve">submitters </w:t>
      </w:r>
      <w:r w:rsidR="000C5A35" w:rsidRPr="00755A11">
        <w:t xml:space="preserve">in response to the </w:t>
      </w:r>
      <w:r w:rsidR="003D7A93" w:rsidRPr="00755A11">
        <w:t xml:space="preserve">consultation document </w:t>
      </w:r>
      <w:r w:rsidR="00B64062" w:rsidRPr="00755A11">
        <w:rPr>
          <w:i/>
          <w:iCs/>
        </w:rPr>
        <w:t>Annual updates to the New Zealand Emissions Trading Scheme limits and price control settings for units 2023</w:t>
      </w:r>
      <w:r w:rsidR="0068762B" w:rsidRPr="00755A11">
        <w:t xml:space="preserve">. </w:t>
      </w:r>
      <w:r w:rsidR="00FA6315" w:rsidRPr="00755A11">
        <w:t>This will</w:t>
      </w:r>
      <w:r w:rsidR="002E0721" w:rsidRPr="00755A11">
        <w:t xml:space="preserve"> inform</w:t>
      </w:r>
      <w:r w:rsidR="002E0721" w:rsidRPr="00755A11">
        <w:rPr>
          <w:i/>
        </w:rPr>
        <w:t xml:space="preserve"> </w:t>
      </w:r>
      <w:r w:rsidR="00A61060" w:rsidRPr="00755A11">
        <w:t>policy development and advice to the Government</w:t>
      </w:r>
      <w:r w:rsidR="002E0721" w:rsidRPr="00755A11">
        <w:t xml:space="preserve"> on </w:t>
      </w:r>
      <w:r w:rsidR="00D05D54" w:rsidRPr="00755A11">
        <w:t>NZ ETS limit</w:t>
      </w:r>
      <w:r w:rsidR="00FA6315" w:rsidRPr="00755A11">
        <w:t>s</w:t>
      </w:r>
      <w:r w:rsidR="00D05D54" w:rsidRPr="00755A11">
        <w:t xml:space="preserve"> and price control settings.</w:t>
      </w:r>
      <w:bookmarkStart w:id="6" w:name="_Who_responded_to"/>
      <w:bookmarkEnd w:id="5"/>
      <w:bookmarkEnd w:id="6"/>
    </w:p>
    <w:p w14:paraId="2BFF2531" w14:textId="0AD18D66" w:rsidR="00AE0109" w:rsidRPr="00755A11" w:rsidRDefault="00AE0109" w:rsidP="00003A29">
      <w:pPr>
        <w:pStyle w:val="Heading2"/>
      </w:pPr>
      <w:r w:rsidRPr="00755A11">
        <w:lastRenderedPageBreak/>
        <w:t xml:space="preserve">Who responded to the </w:t>
      </w:r>
      <w:proofErr w:type="gramStart"/>
      <w:r w:rsidRPr="00755A11">
        <w:t>consultation</w:t>
      </w:r>
      <w:proofErr w:type="gramEnd"/>
    </w:p>
    <w:p w14:paraId="764288A3" w14:textId="0404E051" w:rsidR="00AE0109" w:rsidRPr="00755A11" w:rsidRDefault="00C96BEB" w:rsidP="00003A29">
      <w:pPr>
        <w:pStyle w:val="BodyText"/>
      </w:pPr>
      <w:r w:rsidRPr="00755A11">
        <w:t>We</w:t>
      </w:r>
      <w:r w:rsidR="00AE0109" w:rsidRPr="00755A11">
        <w:t xml:space="preserve"> received </w:t>
      </w:r>
      <w:r w:rsidR="00B64062" w:rsidRPr="00755A11">
        <w:t>61</w:t>
      </w:r>
      <w:r w:rsidR="00AE0109" w:rsidRPr="00755A11">
        <w:t xml:space="preserve"> submissions</w:t>
      </w:r>
      <w:r w:rsidR="003E35A7" w:rsidRPr="00755A11">
        <w:t xml:space="preserve"> </w:t>
      </w:r>
      <w:r w:rsidR="00AE0109" w:rsidRPr="00755A11">
        <w:t xml:space="preserve">through </w:t>
      </w:r>
      <w:r w:rsidRPr="00755A11">
        <w:t>our</w:t>
      </w:r>
      <w:r w:rsidR="00AE0109" w:rsidRPr="00755A11">
        <w:t xml:space="preserve"> consultation tool</w:t>
      </w:r>
      <w:r w:rsidR="00A31952">
        <w:t>,</w:t>
      </w:r>
      <w:r w:rsidR="00AE0109" w:rsidRPr="00755A11">
        <w:t xml:space="preserve"> Citizen Space</w:t>
      </w:r>
      <w:r w:rsidR="00A31952">
        <w:t>,</w:t>
      </w:r>
      <w:r w:rsidR="005F62DC" w:rsidRPr="00755A11">
        <w:t xml:space="preserve"> and</w:t>
      </w:r>
      <w:r w:rsidR="00AE0109" w:rsidRPr="00755A11">
        <w:t xml:space="preserve"> email.</w:t>
      </w:r>
    </w:p>
    <w:p w14:paraId="7180CC20" w14:textId="4AC78F45" w:rsidR="00AE0109" w:rsidRPr="00755A11" w:rsidRDefault="00A538CC" w:rsidP="00003A29">
      <w:pPr>
        <w:pStyle w:val="BodyText"/>
      </w:pPr>
      <w:r w:rsidRPr="00755A11">
        <w:t>Some form submissions were received as part of this consultation</w:t>
      </w:r>
      <w:r w:rsidR="0047288E" w:rsidRPr="00755A11">
        <w:t>.</w:t>
      </w:r>
      <w:r w:rsidRPr="00755A11">
        <w:t xml:space="preserve"> </w:t>
      </w:r>
      <w:r w:rsidR="0047288E" w:rsidRPr="00755A11">
        <w:t>T</w:t>
      </w:r>
      <w:r w:rsidRPr="00755A11">
        <w:t>he</w:t>
      </w:r>
      <w:r w:rsidR="00F83175" w:rsidRPr="00755A11">
        <w:t>se</w:t>
      </w:r>
      <w:r w:rsidRPr="00755A11">
        <w:t xml:space="preserve"> are </w:t>
      </w:r>
      <w:proofErr w:type="gramStart"/>
      <w:r w:rsidRPr="00755A11">
        <w:t>small in number</w:t>
      </w:r>
      <w:proofErr w:type="gramEnd"/>
      <w:r w:rsidR="0047288E" w:rsidRPr="00755A11">
        <w:t>, however,</w:t>
      </w:r>
      <w:r w:rsidRPr="00755A11">
        <w:t xml:space="preserve"> and </w:t>
      </w:r>
      <w:r w:rsidR="00433687" w:rsidRPr="00755A11">
        <w:t>have been treated as individual submissions for the purpose of this consultation.</w:t>
      </w:r>
    </w:p>
    <w:p w14:paraId="271D7257" w14:textId="02E5C263" w:rsidR="00412C5D" w:rsidRPr="00755A11" w:rsidRDefault="00412C5D" w:rsidP="00003A29">
      <w:pPr>
        <w:pStyle w:val="BodyText"/>
      </w:pPr>
      <w:r w:rsidRPr="00755A11">
        <w:t xml:space="preserve">The </w:t>
      </w:r>
      <w:hyperlink w:anchor="_Appendix:_Tables_showing" w:history="1">
        <w:r w:rsidR="00DD4429" w:rsidRPr="00A31952">
          <w:rPr>
            <w:rStyle w:val="Hyperlink"/>
          </w:rPr>
          <w:t>a</w:t>
        </w:r>
        <w:r w:rsidRPr="00A31952">
          <w:rPr>
            <w:rStyle w:val="Hyperlink"/>
          </w:rPr>
          <w:t>ppendix</w:t>
        </w:r>
      </w:hyperlink>
      <w:r w:rsidRPr="00755A11">
        <w:t xml:space="preserve"> </w:t>
      </w:r>
      <w:r w:rsidR="00A75D64" w:rsidRPr="00755A11">
        <w:t xml:space="preserve">includes data showing the preferences of submitters where discrete, selectable options were provided </w:t>
      </w:r>
      <w:r w:rsidR="0094023A" w:rsidRPr="00755A11">
        <w:t>under questions.</w:t>
      </w:r>
    </w:p>
    <w:p w14:paraId="7523CBA7" w14:textId="1CB48889" w:rsidR="00AE0109" w:rsidRPr="00755A11" w:rsidRDefault="00C96BEB" w:rsidP="00003A29">
      <w:pPr>
        <w:pStyle w:val="BodyText"/>
      </w:pPr>
      <w:r w:rsidRPr="00755A11">
        <w:t>Table 1 sets out the number of submissions received from individuals and groups.</w:t>
      </w:r>
    </w:p>
    <w:p w14:paraId="7948B263" w14:textId="434B7F16" w:rsidR="00AE0109" w:rsidRPr="00755A11" w:rsidRDefault="00AE0109" w:rsidP="00003A29">
      <w:pPr>
        <w:pStyle w:val="Tableheading"/>
      </w:pPr>
      <w:bookmarkStart w:id="7" w:name="_Toc94535600"/>
      <w:bookmarkStart w:id="8" w:name="_Toc140922779"/>
      <w:r w:rsidRPr="00755A11">
        <w:t>Table 1:</w:t>
      </w:r>
      <w:r w:rsidRPr="00755A11">
        <w:tab/>
        <w:t>Number of submissions by submitter group</w:t>
      </w:r>
      <w:bookmarkStart w:id="9" w:name="_Toc345760336"/>
      <w:bookmarkEnd w:id="7"/>
      <w:bookmarkEnd w:id="8"/>
    </w:p>
    <w:tbl>
      <w:tblPr>
        <w:tblW w:w="8505" w:type="dxa"/>
        <w:tblBorders>
          <w:bottom w:val="single" w:sz="4" w:space="0" w:color="1C556C"/>
          <w:insideH w:val="single" w:sz="4" w:space="0" w:color="1C556C"/>
          <w:insideV w:val="single" w:sz="4" w:space="0" w:color="1C556C"/>
        </w:tblBorders>
        <w:tblLook w:val="04A0" w:firstRow="1" w:lastRow="0" w:firstColumn="1" w:lastColumn="0" w:noHBand="0" w:noVBand="1"/>
      </w:tblPr>
      <w:tblGrid>
        <w:gridCol w:w="313"/>
        <w:gridCol w:w="6350"/>
        <w:gridCol w:w="850"/>
        <w:gridCol w:w="992"/>
      </w:tblGrid>
      <w:tr w:rsidR="00715B76" w:rsidRPr="00755A11" w14:paraId="2EC42613" w14:textId="77777777" w:rsidTr="00715B76">
        <w:trPr>
          <w:tblHeader/>
        </w:trPr>
        <w:tc>
          <w:tcPr>
            <w:tcW w:w="7513" w:type="dxa"/>
            <w:gridSpan w:val="3"/>
            <w:tcBorders>
              <w:top w:val="single" w:sz="4" w:space="0" w:color="1C556C"/>
              <w:bottom w:val="single" w:sz="4" w:space="0" w:color="1B556B" w:themeColor="text2"/>
            </w:tcBorders>
            <w:shd w:val="clear" w:color="auto" w:fill="1B556B"/>
          </w:tcPr>
          <w:p w14:paraId="74F06F61" w14:textId="77777777" w:rsidR="00AE0109" w:rsidRPr="00755A11" w:rsidRDefault="00AE0109" w:rsidP="00003A29">
            <w:pPr>
              <w:pStyle w:val="TableTextbold"/>
              <w:rPr>
                <w:color w:val="FFFFFF" w:themeColor="background1"/>
              </w:rPr>
            </w:pPr>
            <w:r w:rsidRPr="00755A11">
              <w:rPr>
                <w:color w:val="FFFFFF" w:themeColor="background1"/>
              </w:rPr>
              <w:t xml:space="preserve">Submitter type </w:t>
            </w:r>
          </w:p>
        </w:tc>
        <w:tc>
          <w:tcPr>
            <w:tcW w:w="992" w:type="dxa"/>
            <w:tcBorders>
              <w:top w:val="single" w:sz="4" w:space="0" w:color="1C556C"/>
              <w:bottom w:val="single" w:sz="4" w:space="0" w:color="1B556B" w:themeColor="text2"/>
            </w:tcBorders>
            <w:shd w:val="clear" w:color="auto" w:fill="1B556B"/>
          </w:tcPr>
          <w:p w14:paraId="46EDE056" w14:textId="77777777" w:rsidR="00AE0109" w:rsidRPr="00755A11" w:rsidRDefault="00AE0109" w:rsidP="00003A29">
            <w:pPr>
              <w:pStyle w:val="TableTextbold"/>
              <w:rPr>
                <w:color w:val="FFFFFF" w:themeColor="background1"/>
              </w:rPr>
            </w:pPr>
            <w:r w:rsidRPr="00755A11">
              <w:rPr>
                <w:color w:val="FFFFFF" w:themeColor="background1"/>
              </w:rPr>
              <w:t xml:space="preserve">Number </w:t>
            </w:r>
          </w:p>
        </w:tc>
      </w:tr>
      <w:tr w:rsidR="00AE0109" w:rsidRPr="00755A11" w14:paraId="76CECD57" w14:textId="77777777" w:rsidTr="00715B76">
        <w:tc>
          <w:tcPr>
            <w:tcW w:w="7513" w:type="dxa"/>
            <w:gridSpan w:val="3"/>
            <w:tcBorders>
              <w:top w:val="single" w:sz="4" w:space="0" w:color="1B556B" w:themeColor="text2"/>
              <w:bottom w:val="single" w:sz="4" w:space="0" w:color="1B556B" w:themeColor="text2"/>
              <w:right w:val="single" w:sz="4" w:space="0" w:color="1B556B" w:themeColor="text2"/>
            </w:tcBorders>
            <w:shd w:val="clear" w:color="auto" w:fill="auto"/>
            <w:vAlign w:val="bottom"/>
          </w:tcPr>
          <w:p w14:paraId="35F570C8" w14:textId="39D10077" w:rsidR="00AE0109" w:rsidRPr="00755A11" w:rsidRDefault="00AE0109" w:rsidP="00003A29">
            <w:pPr>
              <w:pStyle w:val="TableText"/>
            </w:pPr>
            <w:r w:rsidRPr="00755A11">
              <w:t>Individual</w:t>
            </w:r>
          </w:p>
        </w:tc>
        <w:tc>
          <w:tcPr>
            <w:tcW w:w="992" w:type="dxa"/>
            <w:tcBorders>
              <w:top w:val="single" w:sz="4" w:space="0" w:color="1B556B" w:themeColor="text2"/>
              <w:left w:val="single" w:sz="4" w:space="0" w:color="1B556B" w:themeColor="text2"/>
              <w:bottom w:val="single" w:sz="4" w:space="0" w:color="1B556B" w:themeColor="text2"/>
            </w:tcBorders>
            <w:shd w:val="clear" w:color="auto" w:fill="auto"/>
            <w:vAlign w:val="center"/>
          </w:tcPr>
          <w:p w14:paraId="23F4863E" w14:textId="7EEF995E" w:rsidR="00AE0109" w:rsidRPr="00755A11" w:rsidRDefault="008905D8" w:rsidP="00003A29">
            <w:pPr>
              <w:pStyle w:val="TableText"/>
            </w:pPr>
            <w:r w:rsidRPr="00755A11">
              <w:t>19</w:t>
            </w:r>
          </w:p>
        </w:tc>
      </w:tr>
      <w:tr w:rsidR="00A10E29" w:rsidRPr="00755A11" w14:paraId="1E40E1C7" w14:textId="77777777" w:rsidTr="00715B76">
        <w:tc>
          <w:tcPr>
            <w:tcW w:w="7513" w:type="dxa"/>
            <w:gridSpan w:val="3"/>
            <w:tcBorders>
              <w:top w:val="single" w:sz="4" w:space="0" w:color="1B556B" w:themeColor="text2"/>
              <w:bottom w:val="single" w:sz="4" w:space="0" w:color="1B556B" w:themeColor="text2"/>
              <w:right w:val="single" w:sz="4" w:space="0" w:color="1B556B" w:themeColor="text2"/>
            </w:tcBorders>
            <w:shd w:val="clear" w:color="auto" w:fill="auto"/>
            <w:vAlign w:val="bottom"/>
          </w:tcPr>
          <w:p w14:paraId="1D0A691C" w14:textId="77777777" w:rsidR="00A10E29" w:rsidRPr="00755A11" w:rsidRDefault="00A10E29" w:rsidP="00003A29">
            <w:pPr>
              <w:pStyle w:val="TableText"/>
            </w:pPr>
            <w:r w:rsidRPr="00755A11">
              <w:t>Organisation (respondents were able to self-identify with multiple options, so numbers may not add to 100%)</w:t>
            </w:r>
          </w:p>
        </w:tc>
        <w:tc>
          <w:tcPr>
            <w:tcW w:w="992" w:type="dxa"/>
            <w:vMerge w:val="restart"/>
            <w:tcBorders>
              <w:top w:val="single" w:sz="4" w:space="0" w:color="1B556B" w:themeColor="text2"/>
              <w:left w:val="single" w:sz="4" w:space="0" w:color="1B556B" w:themeColor="text2"/>
              <w:bottom w:val="single" w:sz="4" w:space="0" w:color="1B556B" w:themeColor="text2"/>
            </w:tcBorders>
            <w:shd w:val="clear" w:color="auto" w:fill="auto"/>
            <w:vAlign w:val="center"/>
          </w:tcPr>
          <w:p w14:paraId="377BAA4B" w14:textId="44DBE7FA" w:rsidR="00A10E29" w:rsidRPr="00755A11" w:rsidRDefault="00A10E29" w:rsidP="00003A29">
            <w:pPr>
              <w:pStyle w:val="TableText"/>
            </w:pPr>
            <w:r w:rsidRPr="00755A11">
              <w:t>42</w:t>
            </w:r>
          </w:p>
        </w:tc>
      </w:tr>
      <w:tr w:rsidR="00A10E29" w:rsidRPr="00755A11" w14:paraId="0AC1008E" w14:textId="77777777" w:rsidTr="00715B76">
        <w:tc>
          <w:tcPr>
            <w:tcW w:w="313" w:type="dxa"/>
            <w:tcBorders>
              <w:top w:val="single" w:sz="4" w:space="0" w:color="1B556B" w:themeColor="text2"/>
              <w:bottom w:val="single" w:sz="4" w:space="0" w:color="1B556B" w:themeColor="text2"/>
              <w:right w:val="nil"/>
            </w:tcBorders>
            <w:shd w:val="clear" w:color="auto" w:fill="auto"/>
            <w:vAlign w:val="bottom"/>
          </w:tcPr>
          <w:p w14:paraId="2D89AF64" w14:textId="7943B66A" w:rsidR="00A10E29" w:rsidRPr="00755A11" w:rsidRDefault="00A10E29" w:rsidP="00003A29">
            <w:pPr>
              <w:pStyle w:val="TableText"/>
            </w:pPr>
          </w:p>
        </w:tc>
        <w:tc>
          <w:tcPr>
            <w:tcW w:w="6350" w:type="dxa"/>
            <w:tcBorders>
              <w:top w:val="single" w:sz="4" w:space="0" w:color="1B556B" w:themeColor="text2"/>
              <w:left w:val="nil"/>
              <w:bottom w:val="single" w:sz="4" w:space="0" w:color="1B556B" w:themeColor="text2"/>
              <w:right w:val="single" w:sz="4" w:space="0" w:color="1B556B" w:themeColor="text2"/>
            </w:tcBorders>
            <w:shd w:val="clear" w:color="auto" w:fill="auto"/>
            <w:vAlign w:val="bottom"/>
          </w:tcPr>
          <w:p w14:paraId="132AB637" w14:textId="77777777" w:rsidR="00A10E29" w:rsidRPr="00755A11" w:rsidRDefault="00A10E29" w:rsidP="00003A29">
            <w:pPr>
              <w:pStyle w:val="TableText"/>
            </w:pPr>
            <w:r w:rsidRPr="00755A11">
              <w:t>Academic or subject matter expert</w:t>
            </w:r>
          </w:p>
        </w:tc>
        <w:tc>
          <w:tcPr>
            <w:tcW w:w="850" w:type="dxa"/>
            <w:tcBorders>
              <w:top w:val="single" w:sz="4" w:space="0" w:color="1B556B" w:themeColor="text2"/>
              <w:left w:val="single" w:sz="4" w:space="0" w:color="1B556B" w:themeColor="text2"/>
              <w:bottom w:val="single" w:sz="4" w:space="0" w:color="1B556B" w:themeColor="text2"/>
              <w:right w:val="single" w:sz="4" w:space="0" w:color="1B556B" w:themeColor="text2"/>
            </w:tcBorders>
            <w:shd w:val="clear" w:color="auto" w:fill="auto"/>
            <w:vAlign w:val="center"/>
          </w:tcPr>
          <w:p w14:paraId="3A2263AA" w14:textId="3FDBF875" w:rsidR="00A10E29" w:rsidRPr="00755A11" w:rsidRDefault="00A10E29" w:rsidP="00003A29">
            <w:pPr>
              <w:pStyle w:val="TableText"/>
            </w:pPr>
            <w:r w:rsidRPr="00755A11">
              <w:t>10</w:t>
            </w:r>
          </w:p>
        </w:tc>
        <w:tc>
          <w:tcPr>
            <w:tcW w:w="992" w:type="dxa"/>
            <w:vMerge/>
            <w:tcBorders>
              <w:top w:val="single" w:sz="4" w:space="0" w:color="1B556B" w:themeColor="text2"/>
              <w:left w:val="single" w:sz="4" w:space="0" w:color="1B556B" w:themeColor="text2"/>
              <w:bottom w:val="single" w:sz="4" w:space="0" w:color="1B556B" w:themeColor="text2"/>
            </w:tcBorders>
            <w:shd w:val="clear" w:color="auto" w:fill="auto"/>
            <w:vAlign w:val="center"/>
          </w:tcPr>
          <w:p w14:paraId="54563877" w14:textId="20EE9ADB" w:rsidR="00A10E29" w:rsidRPr="00755A11" w:rsidRDefault="00A10E29" w:rsidP="00003A29">
            <w:pPr>
              <w:pStyle w:val="TableText"/>
            </w:pPr>
          </w:p>
        </w:tc>
      </w:tr>
      <w:tr w:rsidR="00A10E29" w:rsidRPr="00755A11" w14:paraId="446D5010" w14:textId="77777777" w:rsidTr="00715B76">
        <w:tc>
          <w:tcPr>
            <w:tcW w:w="313" w:type="dxa"/>
            <w:tcBorders>
              <w:top w:val="single" w:sz="4" w:space="0" w:color="1B556B" w:themeColor="text2"/>
              <w:bottom w:val="single" w:sz="4" w:space="0" w:color="1B556B" w:themeColor="text2"/>
              <w:right w:val="nil"/>
            </w:tcBorders>
            <w:shd w:val="clear" w:color="auto" w:fill="auto"/>
            <w:vAlign w:val="bottom"/>
          </w:tcPr>
          <w:p w14:paraId="77DE0CAD" w14:textId="35B9EA02" w:rsidR="00A10E29" w:rsidRPr="00755A11" w:rsidRDefault="00A10E29" w:rsidP="00003A29">
            <w:pPr>
              <w:pStyle w:val="TableText"/>
            </w:pPr>
          </w:p>
        </w:tc>
        <w:tc>
          <w:tcPr>
            <w:tcW w:w="6350" w:type="dxa"/>
            <w:tcBorders>
              <w:top w:val="single" w:sz="4" w:space="0" w:color="1B556B" w:themeColor="text2"/>
              <w:left w:val="nil"/>
              <w:bottom w:val="single" w:sz="4" w:space="0" w:color="1B556B" w:themeColor="text2"/>
              <w:right w:val="single" w:sz="4" w:space="0" w:color="1B556B" w:themeColor="text2"/>
            </w:tcBorders>
            <w:shd w:val="clear" w:color="auto" w:fill="auto"/>
            <w:vAlign w:val="bottom"/>
          </w:tcPr>
          <w:p w14:paraId="7C200F85" w14:textId="2F3DDA36" w:rsidR="00A10E29" w:rsidRPr="00755A11" w:rsidRDefault="00A10E29" w:rsidP="00003A29">
            <w:pPr>
              <w:pStyle w:val="TableText"/>
            </w:pPr>
            <w:r w:rsidRPr="00755A11">
              <w:t>Iwi/</w:t>
            </w:r>
            <w:r w:rsidR="00DD4429" w:rsidRPr="00755A11">
              <w:t>h</w:t>
            </w:r>
            <w:r w:rsidRPr="00755A11">
              <w:t>apū</w:t>
            </w:r>
          </w:p>
        </w:tc>
        <w:tc>
          <w:tcPr>
            <w:tcW w:w="850" w:type="dxa"/>
            <w:tcBorders>
              <w:top w:val="single" w:sz="4" w:space="0" w:color="1B556B" w:themeColor="text2"/>
              <w:left w:val="single" w:sz="4" w:space="0" w:color="1B556B" w:themeColor="text2"/>
              <w:bottom w:val="single" w:sz="4" w:space="0" w:color="1B556B" w:themeColor="text2"/>
              <w:right w:val="single" w:sz="4" w:space="0" w:color="1B556B" w:themeColor="text2"/>
            </w:tcBorders>
            <w:shd w:val="clear" w:color="auto" w:fill="auto"/>
            <w:vAlign w:val="center"/>
          </w:tcPr>
          <w:p w14:paraId="266259A9" w14:textId="74D76B21" w:rsidR="00A10E29" w:rsidRPr="00755A11" w:rsidRDefault="00A10E29" w:rsidP="00003A29">
            <w:pPr>
              <w:pStyle w:val="TableText"/>
            </w:pPr>
            <w:r w:rsidRPr="00755A11">
              <w:t>0</w:t>
            </w:r>
          </w:p>
        </w:tc>
        <w:tc>
          <w:tcPr>
            <w:tcW w:w="992" w:type="dxa"/>
            <w:vMerge/>
            <w:tcBorders>
              <w:top w:val="single" w:sz="4" w:space="0" w:color="1B556B" w:themeColor="text2"/>
              <w:left w:val="single" w:sz="4" w:space="0" w:color="1B556B" w:themeColor="text2"/>
              <w:bottom w:val="single" w:sz="4" w:space="0" w:color="1B556B" w:themeColor="text2"/>
            </w:tcBorders>
            <w:shd w:val="clear" w:color="auto" w:fill="auto"/>
            <w:vAlign w:val="center"/>
          </w:tcPr>
          <w:p w14:paraId="261666AA" w14:textId="32E08C3E" w:rsidR="00A10E29" w:rsidRPr="00755A11" w:rsidRDefault="00A10E29" w:rsidP="00003A29">
            <w:pPr>
              <w:pStyle w:val="TableText"/>
            </w:pPr>
          </w:p>
        </w:tc>
      </w:tr>
      <w:tr w:rsidR="00A10E29" w:rsidRPr="00755A11" w14:paraId="0BD0838C" w14:textId="77777777" w:rsidTr="00715B76">
        <w:tc>
          <w:tcPr>
            <w:tcW w:w="313" w:type="dxa"/>
            <w:tcBorders>
              <w:top w:val="single" w:sz="4" w:space="0" w:color="1B556B" w:themeColor="text2"/>
              <w:bottom w:val="single" w:sz="4" w:space="0" w:color="1B556B" w:themeColor="text2"/>
              <w:right w:val="nil"/>
            </w:tcBorders>
            <w:shd w:val="clear" w:color="auto" w:fill="auto"/>
            <w:vAlign w:val="bottom"/>
          </w:tcPr>
          <w:p w14:paraId="7C9E9F9A" w14:textId="38531EFA" w:rsidR="00A10E29" w:rsidRPr="00755A11" w:rsidRDefault="00A10E29" w:rsidP="00003A29">
            <w:pPr>
              <w:pStyle w:val="TableText"/>
            </w:pPr>
          </w:p>
        </w:tc>
        <w:tc>
          <w:tcPr>
            <w:tcW w:w="6350" w:type="dxa"/>
            <w:tcBorders>
              <w:top w:val="single" w:sz="4" w:space="0" w:color="1B556B" w:themeColor="text2"/>
              <w:left w:val="nil"/>
              <w:bottom w:val="single" w:sz="4" w:space="0" w:color="1B556B" w:themeColor="text2"/>
              <w:right w:val="single" w:sz="4" w:space="0" w:color="1B556B" w:themeColor="text2"/>
            </w:tcBorders>
            <w:shd w:val="clear" w:color="auto" w:fill="auto"/>
            <w:vAlign w:val="bottom"/>
          </w:tcPr>
          <w:p w14:paraId="475AC6EB" w14:textId="77777777" w:rsidR="00A10E29" w:rsidRPr="00755A11" w:rsidRDefault="00A10E29" w:rsidP="00003A29">
            <w:pPr>
              <w:pStyle w:val="TableText"/>
            </w:pPr>
            <w:r w:rsidRPr="00755A11">
              <w:t>Local government</w:t>
            </w:r>
          </w:p>
        </w:tc>
        <w:tc>
          <w:tcPr>
            <w:tcW w:w="850" w:type="dxa"/>
            <w:tcBorders>
              <w:top w:val="single" w:sz="4" w:space="0" w:color="1B556B" w:themeColor="text2"/>
              <w:left w:val="single" w:sz="4" w:space="0" w:color="1B556B" w:themeColor="text2"/>
              <w:bottom w:val="single" w:sz="4" w:space="0" w:color="1B556B" w:themeColor="text2"/>
              <w:right w:val="single" w:sz="4" w:space="0" w:color="1B556B" w:themeColor="text2"/>
            </w:tcBorders>
            <w:shd w:val="clear" w:color="auto" w:fill="auto"/>
            <w:vAlign w:val="center"/>
          </w:tcPr>
          <w:p w14:paraId="39E95C24" w14:textId="0735CDE6" w:rsidR="00A10E29" w:rsidRPr="00755A11" w:rsidRDefault="00A10E29" w:rsidP="00003A29">
            <w:pPr>
              <w:pStyle w:val="TableText"/>
            </w:pPr>
            <w:r w:rsidRPr="00755A11">
              <w:t>1</w:t>
            </w:r>
          </w:p>
        </w:tc>
        <w:tc>
          <w:tcPr>
            <w:tcW w:w="992" w:type="dxa"/>
            <w:vMerge/>
            <w:tcBorders>
              <w:top w:val="single" w:sz="4" w:space="0" w:color="1B556B" w:themeColor="text2"/>
              <w:left w:val="single" w:sz="4" w:space="0" w:color="1B556B" w:themeColor="text2"/>
              <w:bottom w:val="single" w:sz="4" w:space="0" w:color="1B556B" w:themeColor="text2"/>
            </w:tcBorders>
            <w:shd w:val="clear" w:color="auto" w:fill="auto"/>
            <w:vAlign w:val="center"/>
          </w:tcPr>
          <w:p w14:paraId="4880AF43" w14:textId="70FE1BDD" w:rsidR="00A10E29" w:rsidRPr="00755A11" w:rsidRDefault="00A10E29" w:rsidP="00003A29">
            <w:pPr>
              <w:pStyle w:val="TableText"/>
            </w:pPr>
          </w:p>
        </w:tc>
      </w:tr>
      <w:tr w:rsidR="00A10E29" w:rsidRPr="00755A11" w14:paraId="665F2D4F" w14:textId="77777777" w:rsidTr="00715B76">
        <w:tc>
          <w:tcPr>
            <w:tcW w:w="313" w:type="dxa"/>
            <w:tcBorders>
              <w:top w:val="single" w:sz="4" w:space="0" w:color="1B556B" w:themeColor="text2"/>
              <w:bottom w:val="single" w:sz="4" w:space="0" w:color="1B556B" w:themeColor="text2"/>
              <w:right w:val="nil"/>
            </w:tcBorders>
            <w:shd w:val="clear" w:color="auto" w:fill="auto"/>
            <w:vAlign w:val="bottom"/>
          </w:tcPr>
          <w:p w14:paraId="23D1A8FD" w14:textId="67D824E6" w:rsidR="00A10E29" w:rsidRPr="00755A11" w:rsidRDefault="00A10E29" w:rsidP="00003A29">
            <w:pPr>
              <w:pStyle w:val="TableText"/>
            </w:pPr>
          </w:p>
        </w:tc>
        <w:tc>
          <w:tcPr>
            <w:tcW w:w="6350" w:type="dxa"/>
            <w:tcBorders>
              <w:top w:val="single" w:sz="4" w:space="0" w:color="1B556B" w:themeColor="text2"/>
              <w:left w:val="nil"/>
              <w:bottom w:val="single" w:sz="4" w:space="0" w:color="1B556B" w:themeColor="text2"/>
              <w:right w:val="single" w:sz="4" w:space="0" w:color="1B556B" w:themeColor="text2"/>
            </w:tcBorders>
            <w:shd w:val="clear" w:color="auto" w:fill="auto"/>
            <w:vAlign w:val="bottom"/>
          </w:tcPr>
          <w:p w14:paraId="5FBB58C8" w14:textId="77777777" w:rsidR="00A10E29" w:rsidRPr="00755A11" w:rsidRDefault="00A10E29" w:rsidP="00003A29">
            <w:pPr>
              <w:pStyle w:val="TableText"/>
            </w:pPr>
            <w:r w:rsidRPr="00755A11">
              <w:t>Business</w:t>
            </w:r>
          </w:p>
        </w:tc>
        <w:tc>
          <w:tcPr>
            <w:tcW w:w="850" w:type="dxa"/>
            <w:tcBorders>
              <w:top w:val="single" w:sz="4" w:space="0" w:color="1B556B" w:themeColor="text2"/>
              <w:left w:val="single" w:sz="4" w:space="0" w:color="1B556B" w:themeColor="text2"/>
              <w:bottom w:val="single" w:sz="4" w:space="0" w:color="1B556B" w:themeColor="text2"/>
              <w:right w:val="single" w:sz="4" w:space="0" w:color="1B556B" w:themeColor="text2"/>
            </w:tcBorders>
            <w:shd w:val="clear" w:color="auto" w:fill="auto"/>
            <w:vAlign w:val="center"/>
          </w:tcPr>
          <w:p w14:paraId="293EFA77" w14:textId="36289C3D" w:rsidR="00A10E29" w:rsidRPr="00755A11" w:rsidRDefault="00A10E29" w:rsidP="00003A29">
            <w:pPr>
              <w:pStyle w:val="TableText"/>
            </w:pPr>
            <w:r w:rsidRPr="00755A11">
              <w:t>32</w:t>
            </w:r>
          </w:p>
        </w:tc>
        <w:tc>
          <w:tcPr>
            <w:tcW w:w="992" w:type="dxa"/>
            <w:vMerge/>
            <w:tcBorders>
              <w:top w:val="single" w:sz="4" w:space="0" w:color="1B556B" w:themeColor="text2"/>
              <w:left w:val="single" w:sz="4" w:space="0" w:color="1B556B" w:themeColor="text2"/>
              <w:bottom w:val="single" w:sz="4" w:space="0" w:color="1B556B" w:themeColor="text2"/>
            </w:tcBorders>
            <w:shd w:val="clear" w:color="auto" w:fill="auto"/>
            <w:vAlign w:val="center"/>
          </w:tcPr>
          <w:p w14:paraId="701B6784" w14:textId="7A232DBD" w:rsidR="00A10E29" w:rsidRPr="00755A11" w:rsidRDefault="00A10E29" w:rsidP="00003A29">
            <w:pPr>
              <w:pStyle w:val="TableText"/>
            </w:pPr>
          </w:p>
        </w:tc>
      </w:tr>
      <w:tr w:rsidR="00A10E29" w:rsidRPr="00755A11" w14:paraId="2CFE7575" w14:textId="77777777" w:rsidTr="00715B76">
        <w:tc>
          <w:tcPr>
            <w:tcW w:w="313" w:type="dxa"/>
            <w:tcBorders>
              <w:top w:val="single" w:sz="4" w:space="0" w:color="1B556B" w:themeColor="text2"/>
              <w:bottom w:val="single" w:sz="4" w:space="0" w:color="1B556B" w:themeColor="text2"/>
              <w:right w:val="nil"/>
            </w:tcBorders>
            <w:shd w:val="clear" w:color="auto" w:fill="auto"/>
            <w:vAlign w:val="bottom"/>
          </w:tcPr>
          <w:p w14:paraId="6B3526C9" w14:textId="6A0C81B7" w:rsidR="00A10E29" w:rsidRPr="00755A11" w:rsidRDefault="00A10E29" w:rsidP="00003A29">
            <w:pPr>
              <w:pStyle w:val="TableText"/>
            </w:pPr>
          </w:p>
        </w:tc>
        <w:tc>
          <w:tcPr>
            <w:tcW w:w="6350" w:type="dxa"/>
            <w:tcBorders>
              <w:top w:val="single" w:sz="4" w:space="0" w:color="1B556B" w:themeColor="text2"/>
              <w:left w:val="nil"/>
              <w:bottom w:val="single" w:sz="4" w:space="0" w:color="1B556B" w:themeColor="text2"/>
              <w:right w:val="single" w:sz="4" w:space="0" w:color="1B556B" w:themeColor="text2"/>
            </w:tcBorders>
            <w:shd w:val="clear" w:color="auto" w:fill="auto"/>
            <w:vAlign w:val="bottom"/>
          </w:tcPr>
          <w:p w14:paraId="451F0338" w14:textId="77777777" w:rsidR="00A10E29" w:rsidRPr="00755A11" w:rsidRDefault="00A10E29" w:rsidP="00003A29">
            <w:pPr>
              <w:pStyle w:val="TableText"/>
            </w:pPr>
            <w:r w:rsidRPr="00755A11">
              <w:t>Industry body</w:t>
            </w:r>
          </w:p>
        </w:tc>
        <w:tc>
          <w:tcPr>
            <w:tcW w:w="850" w:type="dxa"/>
            <w:tcBorders>
              <w:top w:val="single" w:sz="4" w:space="0" w:color="1B556B" w:themeColor="text2"/>
              <w:left w:val="single" w:sz="4" w:space="0" w:color="1B556B" w:themeColor="text2"/>
              <w:bottom w:val="single" w:sz="4" w:space="0" w:color="1B556B" w:themeColor="text2"/>
              <w:right w:val="single" w:sz="4" w:space="0" w:color="1B556B" w:themeColor="text2"/>
            </w:tcBorders>
            <w:shd w:val="clear" w:color="auto" w:fill="auto"/>
            <w:vAlign w:val="center"/>
          </w:tcPr>
          <w:p w14:paraId="6C5A215D" w14:textId="4EFEA607" w:rsidR="00A10E29" w:rsidRPr="00755A11" w:rsidRDefault="00A10E29" w:rsidP="00003A29">
            <w:pPr>
              <w:pStyle w:val="TableText"/>
            </w:pPr>
            <w:r w:rsidRPr="00755A11">
              <w:t>5</w:t>
            </w:r>
          </w:p>
        </w:tc>
        <w:tc>
          <w:tcPr>
            <w:tcW w:w="992" w:type="dxa"/>
            <w:vMerge/>
            <w:tcBorders>
              <w:top w:val="single" w:sz="4" w:space="0" w:color="1B556B" w:themeColor="text2"/>
              <w:left w:val="single" w:sz="4" w:space="0" w:color="1B556B" w:themeColor="text2"/>
              <w:bottom w:val="single" w:sz="4" w:space="0" w:color="1B556B" w:themeColor="text2"/>
            </w:tcBorders>
            <w:shd w:val="clear" w:color="auto" w:fill="auto"/>
            <w:vAlign w:val="center"/>
          </w:tcPr>
          <w:p w14:paraId="58BEDBAE" w14:textId="0D597ADA" w:rsidR="00A10E29" w:rsidRPr="00755A11" w:rsidRDefault="00A10E29" w:rsidP="00003A29">
            <w:pPr>
              <w:pStyle w:val="TableText"/>
            </w:pPr>
          </w:p>
        </w:tc>
      </w:tr>
      <w:tr w:rsidR="00A10E29" w:rsidRPr="00755A11" w14:paraId="3C25C029" w14:textId="77777777" w:rsidTr="00715B76">
        <w:tc>
          <w:tcPr>
            <w:tcW w:w="313" w:type="dxa"/>
            <w:tcBorders>
              <w:top w:val="single" w:sz="4" w:space="0" w:color="1B556B" w:themeColor="text2"/>
              <w:bottom w:val="single" w:sz="4" w:space="0" w:color="1B556B" w:themeColor="text2"/>
              <w:right w:val="nil"/>
            </w:tcBorders>
            <w:shd w:val="clear" w:color="auto" w:fill="auto"/>
            <w:vAlign w:val="bottom"/>
          </w:tcPr>
          <w:p w14:paraId="591793B3" w14:textId="7CD9347A" w:rsidR="00A10E29" w:rsidRPr="00755A11" w:rsidRDefault="00A10E29" w:rsidP="00003A29">
            <w:pPr>
              <w:pStyle w:val="TableText"/>
            </w:pPr>
          </w:p>
        </w:tc>
        <w:tc>
          <w:tcPr>
            <w:tcW w:w="6350" w:type="dxa"/>
            <w:tcBorders>
              <w:top w:val="single" w:sz="4" w:space="0" w:color="1B556B" w:themeColor="text2"/>
              <w:left w:val="nil"/>
              <w:bottom w:val="single" w:sz="4" w:space="0" w:color="1B556B" w:themeColor="text2"/>
              <w:right w:val="single" w:sz="4" w:space="0" w:color="1B556B" w:themeColor="text2"/>
            </w:tcBorders>
            <w:shd w:val="clear" w:color="auto" w:fill="auto"/>
            <w:vAlign w:val="bottom"/>
          </w:tcPr>
          <w:p w14:paraId="13B50994" w14:textId="77777777" w:rsidR="00A10E29" w:rsidRPr="00755A11" w:rsidRDefault="00A10E29" w:rsidP="00003A29">
            <w:pPr>
              <w:pStyle w:val="TableText"/>
            </w:pPr>
            <w:r w:rsidRPr="00755A11">
              <w:t>Non-governmental organisation</w:t>
            </w:r>
          </w:p>
        </w:tc>
        <w:tc>
          <w:tcPr>
            <w:tcW w:w="850" w:type="dxa"/>
            <w:tcBorders>
              <w:top w:val="single" w:sz="4" w:space="0" w:color="1B556B" w:themeColor="text2"/>
              <w:left w:val="single" w:sz="4" w:space="0" w:color="1B556B" w:themeColor="text2"/>
              <w:bottom w:val="single" w:sz="4" w:space="0" w:color="1B556B" w:themeColor="text2"/>
              <w:right w:val="single" w:sz="4" w:space="0" w:color="1B556B" w:themeColor="text2"/>
            </w:tcBorders>
            <w:shd w:val="clear" w:color="auto" w:fill="auto"/>
            <w:vAlign w:val="center"/>
          </w:tcPr>
          <w:p w14:paraId="7DA264FF" w14:textId="1A343A87" w:rsidR="00A10E29" w:rsidRPr="00755A11" w:rsidRDefault="00A10E29" w:rsidP="00003A29">
            <w:pPr>
              <w:pStyle w:val="TableText"/>
            </w:pPr>
            <w:r w:rsidRPr="00755A11">
              <w:t>4</w:t>
            </w:r>
          </w:p>
        </w:tc>
        <w:tc>
          <w:tcPr>
            <w:tcW w:w="992" w:type="dxa"/>
            <w:vMerge/>
            <w:tcBorders>
              <w:top w:val="single" w:sz="4" w:space="0" w:color="1B556B" w:themeColor="text2"/>
              <w:left w:val="single" w:sz="4" w:space="0" w:color="1B556B" w:themeColor="text2"/>
              <w:bottom w:val="single" w:sz="4" w:space="0" w:color="1B556B" w:themeColor="text2"/>
            </w:tcBorders>
            <w:shd w:val="clear" w:color="auto" w:fill="auto"/>
            <w:vAlign w:val="center"/>
          </w:tcPr>
          <w:p w14:paraId="5A0991A8" w14:textId="09422229" w:rsidR="00A10E29" w:rsidRPr="00755A11" w:rsidRDefault="00A10E29" w:rsidP="00003A29">
            <w:pPr>
              <w:pStyle w:val="TableText"/>
            </w:pPr>
          </w:p>
        </w:tc>
      </w:tr>
      <w:tr w:rsidR="00A10E29" w:rsidRPr="00755A11" w14:paraId="7E701B1B" w14:textId="77777777" w:rsidTr="00715B76">
        <w:tc>
          <w:tcPr>
            <w:tcW w:w="313" w:type="dxa"/>
            <w:tcBorders>
              <w:top w:val="single" w:sz="4" w:space="0" w:color="1B556B" w:themeColor="text2"/>
              <w:bottom w:val="single" w:sz="4" w:space="0" w:color="1B556B" w:themeColor="text2"/>
              <w:right w:val="nil"/>
            </w:tcBorders>
            <w:shd w:val="clear" w:color="auto" w:fill="auto"/>
            <w:vAlign w:val="bottom"/>
          </w:tcPr>
          <w:p w14:paraId="77A1246A" w14:textId="33BF14D9" w:rsidR="00A10E29" w:rsidRPr="00755A11" w:rsidRDefault="00A10E29" w:rsidP="00003A29">
            <w:pPr>
              <w:pStyle w:val="TableText"/>
            </w:pPr>
          </w:p>
        </w:tc>
        <w:tc>
          <w:tcPr>
            <w:tcW w:w="6350" w:type="dxa"/>
            <w:tcBorders>
              <w:top w:val="single" w:sz="4" w:space="0" w:color="1B556B" w:themeColor="text2"/>
              <w:left w:val="nil"/>
              <w:bottom w:val="single" w:sz="4" w:space="0" w:color="1B556B" w:themeColor="text2"/>
              <w:right w:val="single" w:sz="4" w:space="0" w:color="1B556B" w:themeColor="text2"/>
            </w:tcBorders>
            <w:shd w:val="clear" w:color="auto" w:fill="auto"/>
            <w:vAlign w:val="bottom"/>
          </w:tcPr>
          <w:p w14:paraId="065F1EBE" w14:textId="77777777" w:rsidR="00A10E29" w:rsidRPr="00755A11" w:rsidRDefault="00A10E29" w:rsidP="00003A29">
            <w:pPr>
              <w:pStyle w:val="TableText"/>
            </w:pPr>
            <w:r w:rsidRPr="00755A11">
              <w:t>Registered charity</w:t>
            </w:r>
          </w:p>
        </w:tc>
        <w:tc>
          <w:tcPr>
            <w:tcW w:w="850" w:type="dxa"/>
            <w:tcBorders>
              <w:top w:val="single" w:sz="4" w:space="0" w:color="1B556B" w:themeColor="text2"/>
              <w:left w:val="single" w:sz="4" w:space="0" w:color="1B556B" w:themeColor="text2"/>
              <w:bottom w:val="single" w:sz="4" w:space="0" w:color="1B556B" w:themeColor="text2"/>
              <w:right w:val="single" w:sz="4" w:space="0" w:color="1B556B" w:themeColor="text2"/>
            </w:tcBorders>
            <w:shd w:val="clear" w:color="auto" w:fill="auto"/>
            <w:vAlign w:val="center"/>
          </w:tcPr>
          <w:p w14:paraId="49205836" w14:textId="60B61AAB" w:rsidR="00A10E29" w:rsidRPr="00755A11" w:rsidRDefault="00A10E29" w:rsidP="00003A29">
            <w:pPr>
              <w:pStyle w:val="TableText"/>
            </w:pPr>
            <w:r w:rsidRPr="00755A11">
              <w:t>4</w:t>
            </w:r>
          </w:p>
        </w:tc>
        <w:tc>
          <w:tcPr>
            <w:tcW w:w="992" w:type="dxa"/>
            <w:vMerge/>
            <w:tcBorders>
              <w:top w:val="single" w:sz="4" w:space="0" w:color="1B556B" w:themeColor="text2"/>
              <w:left w:val="single" w:sz="4" w:space="0" w:color="1B556B" w:themeColor="text2"/>
              <w:bottom w:val="single" w:sz="4" w:space="0" w:color="1B556B" w:themeColor="text2"/>
            </w:tcBorders>
            <w:shd w:val="clear" w:color="auto" w:fill="auto"/>
            <w:vAlign w:val="center"/>
          </w:tcPr>
          <w:p w14:paraId="78E4D945" w14:textId="6116942A" w:rsidR="00A10E29" w:rsidRPr="00755A11" w:rsidRDefault="00A10E29" w:rsidP="00003A29">
            <w:pPr>
              <w:pStyle w:val="TableText"/>
            </w:pPr>
          </w:p>
        </w:tc>
      </w:tr>
      <w:tr w:rsidR="00A10E29" w:rsidRPr="00755A11" w14:paraId="34B1C240" w14:textId="77777777" w:rsidTr="00715B76">
        <w:tc>
          <w:tcPr>
            <w:tcW w:w="313" w:type="dxa"/>
            <w:tcBorders>
              <w:top w:val="single" w:sz="4" w:space="0" w:color="1B556B" w:themeColor="text2"/>
              <w:bottom w:val="single" w:sz="4" w:space="0" w:color="1B556B" w:themeColor="text2"/>
              <w:right w:val="nil"/>
            </w:tcBorders>
            <w:shd w:val="clear" w:color="auto" w:fill="auto"/>
            <w:vAlign w:val="bottom"/>
          </w:tcPr>
          <w:p w14:paraId="1CCAC65E" w14:textId="448F8B4B" w:rsidR="00A10E29" w:rsidRPr="00755A11" w:rsidRDefault="00A10E29" w:rsidP="00003A29">
            <w:pPr>
              <w:pStyle w:val="TableText"/>
            </w:pPr>
          </w:p>
        </w:tc>
        <w:tc>
          <w:tcPr>
            <w:tcW w:w="6350" w:type="dxa"/>
            <w:tcBorders>
              <w:top w:val="single" w:sz="4" w:space="0" w:color="1B556B" w:themeColor="text2"/>
              <w:left w:val="nil"/>
              <w:bottom w:val="single" w:sz="4" w:space="0" w:color="1B556B" w:themeColor="text2"/>
              <w:right w:val="single" w:sz="4" w:space="0" w:color="1B556B" w:themeColor="text2"/>
            </w:tcBorders>
            <w:shd w:val="clear" w:color="auto" w:fill="auto"/>
            <w:vAlign w:val="bottom"/>
          </w:tcPr>
          <w:p w14:paraId="01F99EA8" w14:textId="77777777" w:rsidR="00A10E29" w:rsidRPr="00755A11" w:rsidRDefault="00A10E29" w:rsidP="00003A29">
            <w:pPr>
              <w:pStyle w:val="TableText"/>
            </w:pPr>
            <w:r w:rsidRPr="00755A11">
              <w:t>Other/not applicable</w:t>
            </w:r>
          </w:p>
        </w:tc>
        <w:tc>
          <w:tcPr>
            <w:tcW w:w="850" w:type="dxa"/>
            <w:tcBorders>
              <w:top w:val="single" w:sz="4" w:space="0" w:color="1B556B" w:themeColor="text2"/>
              <w:left w:val="single" w:sz="4" w:space="0" w:color="1B556B" w:themeColor="text2"/>
              <w:bottom w:val="single" w:sz="4" w:space="0" w:color="1B556B" w:themeColor="text2"/>
              <w:right w:val="single" w:sz="4" w:space="0" w:color="1B556B" w:themeColor="text2"/>
            </w:tcBorders>
            <w:shd w:val="clear" w:color="auto" w:fill="auto"/>
            <w:vAlign w:val="center"/>
          </w:tcPr>
          <w:p w14:paraId="131EF62B" w14:textId="4529F2DB" w:rsidR="00A10E29" w:rsidRPr="00755A11" w:rsidRDefault="00A10E29" w:rsidP="00003A29">
            <w:pPr>
              <w:pStyle w:val="TableText"/>
            </w:pPr>
            <w:r w:rsidRPr="00755A11">
              <w:t>17</w:t>
            </w:r>
          </w:p>
        </w:tc>
        <w:tc>
          <w:tcPr>
            <w:tcW w:w="992" w:type="dxa"/>
            <w:vMerge/>
            <w:tcBorders>
              <w:top w:val="single" w:sz="4" w:space="0" w:color="1B556B" w:themeColor="text2"/>
              <w:left w:val="single" w:sz="4" w:space="0" w:color="1B556B" w:themeColor="text2"/>
              <w:bottom w:val="single" w:sz="4" w:space="0" w:color="1B556B" w:themeColor="text2"/>
            </w:tcBorders>
            <w:shd w:val="clear" w:color="auto" w:fill="auto"/>
            <w:vAlign w:val="center"/>
          </w:tcPr>
          <w:p w14:paraId="25D698D4" w14:textId="1EE736FE" w:rsidR="00A10E29" w:rsidRPr="00755A11" w:rsidRDefault="00A10E29" w:rsidP="00003A29">
            <w:pPr>
              <w:pStyle w:val="TableText"/>
            </w:pPr>
          </w:p>
        </w:tc>
      </w:tr>
      <w:tr w:rsidR="00A10E29" w:rsidRPr="00C55E40" w14:paraId="00276208" w14:textId="77777777" w:rsidTr="00715B76">
        <w:tc>
          <w:tcPr>
            <w:tcW w:w="7513" w:type="dxa"/>
            <w:gridSpan w:val="3"/>
            <w:tcBorders>
              <w:top w:val="single" w:sz="4" w:space="0" w:color="1B556B" w:themeColor="text2"/>
              <w:bottom w:val="single" w:sz="4" w:space="0" w:color="1B556B" w:themeColor="text2"/>
              <w:right w:val="single" w:sz="4" w:space="0" w:color="1B556B" w:themeColor="text2"/>
            </w:tcBorders>
            <w:shd w:val="clear" w:color="auto" w:fill="auto"/>
            <w:vAlign w:val="bottom"/>
          </w:tcPr>
          <w:p w14:paraId="59D5EAA0" w14:textId="77777777" w:rsidR="00A10E29" w:rsidRPr="00C55E40" w:rsidRDefault="00A10E29" w:rsidP="00003A29">
            <w:pPr>
              <w:pStyle w:val="TableText"/>
              <w:rPr>
                <w:b/>
                <w:bCs/>
              </w:rPr>
            </w:pPr>
            <w:r w:rsidRPr="00C55E40">
              <w:rPr>
                <w:b/>
                <w:bCs/>
              </w:rPr>
              <w:t>Total</w:t>
            </w:r>
          </w:p>
        </w:tc>
        <w:tc>
          <w:tcPr>
            <w:tcW w:w="992" w:type="dxa"/>
            <w:tcBorders>
              <w:top w:val="single" w:sz="4" w:space="0" w:color="1B556B" w:themeColor="text2"/>
              <w:left w:val="single" w:sz="4" w:space="0" w:color="1B556B" w:themeColor="text2"/>
              <w:bottom w:val="single" w:sz="4" w:space="0" w:color="1B556B" w:themeColor="text2"/>
            </w:tcBorders>
            <w:shd w:val="clear" w:color="auto" w:fill="auto"/>
            <w:vAlign w:val="center"/>
          </w:tcPr>
          <w:p w14:paraId="7E96F44E" w14:textId="179E4E84" w:rsidR="00A10E29" w:rsidRPr="00C55E40" w:rsidRDefault="00A10E29" w:rsidP="00003A29">
            <w:pPr>
              <w:pStyle w:val="TableText"/>
              <w:rPr>
                <w:b/>
                <w:bCs/>
              </w:rPr>
            </w:pPr>
            <w:r w:rsidRPr="00C55E40">
              <w:rPr>
                <w:b/>
                <w:bCs/>
              </w:rPr>
              <w:t>61</w:t>
            </w:r>
          </w:p>
        </w:tc>
      </w:tr>
      <w:bookmarkEnd w:id="9"/>
    </w:tbl>
    <w:p w14:paraId="7BCD0063" w14:textId="77777777" w:rsidR="006F3228" w:rsidRPr="00755A11" w:rsidRDefault="006F3228" w:rsidP="00003A29">
      <w:pPr>
        <w:pStyle w:val="BodyText"/>
        <w:rPr>
          <w:rStyle w:val="Heading1Char"/>
          <w:rFonts w:ascii="Calibri" w:hAnsi="Calibri"/>
          <w:b w:val="0"/>
          <w:bCs w:val="0"/>
          <w:color w:val="auto"/>
          <w:sz w:val="22"/>
          <w:szCs w:val="22"/>
        </w:rPr>
      </w:pPr>
    </w:p>
    <w:p w14:paraId="0A0F4A44" w14:textId="77777777" w:rsidR="00631AEB" w:rsidRPr="00755A11" w:rsidRDefault="00631AEB" w:rsidP="00003A29">
      <w:pPr>
        <w:pStyle w:val="BodyText"/>
        <w:rPr>
          <w:rStyle w:val="Heading1Char"/>
          <w:rFonts w:ascii="Calibri" w:hAnsi="Calibri"/>
          <w:b w:val="0"/>
          <w:bCs w:val="0"/>
          <w:color w:val="auto"/>
          <w:sz w:val="22"/>
          <w:szCs w:val="22"/>
        </w:rPr>
      </w:pPr>
      <w:r w:rsidRPr="00755A11">
        <w:rPr>
          <w:rStyle w:val="Heading1Char"/>
          <w:rFonts w:ascii="Calibri" w:hAnsi="Calibri"/>
          <w:b w:val="0"/>
          <w:bCs w:val="0"/>
          <w:color w:val="auto"/>
          <w:sz w:val="22"/>
          <w:szCs w:val="22"/>
        </w:rPr>
        <w:br w:type="page"/>
      </w:r>
    </w:p>
    <w:p w14:paraId="5AFD6D17" w14:textId="56F3341E" w:rsidR="00AE0109" w:rsidRPr="00755A11" w:rsidRDefault="006374C7" w:rsidP="00003A29">
      <w:pPr>
        <w:pStyle w:val="Heading1"/>
        <w:rPr>
          <w:rStyle w:val="Heading1Char"/>
          <w:b/>
          <w:bCs/>
        </w:rPr>
      </w:pPr>
      <w:bookmarkStart w:id="10" w:name="_Toc141088979"/>
      <w:r w:rsidRPr="00755A11">
        <w:rPr>
          <w:rStyle w:val="Heading1Char"/>
          <w:b/>
          <w:bCs/>
        </w:rPr>
        <w:lastRenderedPageBreak/>
        <w:t xml:space="preserve">Decisions on </w:t>
      </w:r>
      <w:r w:rsidR="008C578A">
        <w:rPr>
          <w:rStyle w:val="Heading1Char"/>
          <w:b/>
          <w:bCs/>
        </w:rPr>
        <w:t xml:space="preserve">the </w:t>
      </w:r>
      <w:r w:rsidR="00FE057E" w:rsidRPr="00FE057E">
        <w:rPr>
          <w:rStyle w:val="Heading1Char"/>
          <w:b/>
          <w:bCs/>
        </w:rPr>
        <w:t>New Zealand Emissions Trading Scheme</w:t>
      </w:r>
      <w:r w:rsidRPr="00755A11">
        <w:rPr>
          <w:rStyle w:val="Heading1Char"/>
          <w:b/>
          <w:bCs/>
        </w:rPr>
        <w:t xml:space="preserve"> unit settings announced in </w:t>
      </w:r>
      <w:proofErr w:type="gramStart"/>
      <w:r w:rsidRPr="00755A11">
        <w:rPr>
          <w:rStyle w:val="Heading1Char"/>
          <w:b/>
          <w:bCs/>
        </w:rPr>
        <w:t>2022</w:t>
      </w:r>
      <w:bookmarkEnd w:id="10"/>
      <w:proofErr w:type="gramEnd"/>
    </w:p>
    <w:p w14:paraId="64B111E7" w14:textId="697CBB66" w:rsidR="006374C7" w:rsidRPr="00755A11" w:rsidRDefault="006374C7" w:rsidP="00003A29">
      <w:pPr>
        <w:pStyle w:val="Heading4"/>
      </w:pPr>
      <w:r w:rsidRPr="00755A11">
        <w:t>Question 1: Do you think the decisions on NZ ETS unit settings announced in December 2022 had any impact on NZ ETS market</w:t>
      </w:r>
      <w:r w:rsidR="00C55E40">
        <w:t> </w:t>
      </w:r>
      <w:r w:rsidRPr="00755A11">
        <w:t xml:space="preserve">behaviour? </w:t>
      </w:r>
    </w:p>
    <w:p w14:paraId="6683AAF0" w14:textId="0E10FCCD" w:rsidR="00C9148F" w:rsidRPr="00755A11" w:rsidRDefault="00C9148F" w:rsidP="00003A29">
      <w:pPr>
        <w:pStyle w:val="BodyText"/>
      </w:pPr>
      <w:r w:rsidRPr="00755A11">
        <w:t xml:space="preserve">Of </w:t>
      </w:r>
      <w:r w:rsidR="000B704F" w:rsidRPr="00755A11">
        <w:t>those</w:t>
      </w:r>
      <w:r w:rsidRPr="00755A11">
        <w:t xml:space="preserve"> submitters who selected an option in response to this question, </w:t>
      </w:r>
      <w:r w:rsidR="00563BC9" w:rsidRPr="00755A11">
        <w:t xml:space="preserve">all but one agreed that the decisions in December 2022 </w:t>
      </w:r>
      <w:proofErr w:type="gramStart"/>
      <w:r w:rsidR="00563BC9" w:rsidRPr="00755A11">
        <w:t>had an effect on</w:t>
      </w:r>
      <w:proofErr w:type="gramEnd"/>
      <w:r w:rsidR="00563BC9" w:rsidRPr="00755A11">
        <w:t xml:space="preserve"> NZ ETS market behaviour. The </w:t>
      </w:r>
      <w:r w:rsidR="00483D66" w:rsidRPr="00755A11">
        <w:t>final submitter from this group was unsure.</w:t>
      </w:r>
    </w:p>
    <w:p w14:paraId="4F28EB3C" w14:textId="68A5098F" w:rsidR="00063351" w:rsidRPr="00755A11" w:rsidRDefault="00483D66" w:rsidP="00003A29">
      <w:pPr>
        <w:pStyle w:val="BodyText"/>
      </w:pPr>
      <w:r w:rsidRPr="00755A11">
        <w:t>This trend is mirrored in substantive responses by submitters, including as part of the survey or</w:t>
      </w:r>
      <w:r w:rsidR="00C55E40">
        <w:t> </w:t>
      </w:r>
      <w:r w:rsidRPr="00755A11">
        <w:t>in separately uploaded documents</w:t>
      </w:r>
      <w:r w:rsidR="008C578A">
        <w:t>:</w:t>
      </w:r>
      <w:r w:rsidRPr="00755A11">
        <w:t xml:space="preserve"> </w:t>
      </w:r>
    </w:p>
    <w:p w14:paraId="70715F0C" w14:textId="731DE026" w:rsidR="000F753A" w:rsidRPr="00755A11" w:rsidRDefault="00F05D12" w:rsidP="00003A29">
      <w:pPr>
        <w:pStyle w:val="Bullet"/>
      </w:pPr>
      <w:r w:rsidRPr="00755A11">
        <w:t>Most</w:t>
      </w:r>
      <w:r w:rsidR="001F0FF5" w:rsidRPr="00755A11">
        <w:t xml:space="preserve"> submitters believed the decisions made by Cabinet at the end of 2022 created uncertainty and lost</w:t>
      </w:r>
      <w:r w:rsidR="00E32E40" w:rsidRPr="00755A11">
        <w:t xml:space="preserve"> confidence</w:t>
      </w:r>
      <w:r w:rsidR="0053362E" w:rsidRPr="00755A11">
        <w:t xml:space="preserve"> in both the market itself and the policy decisions underlying it. </w:t>
      </w:r>
    </w:p>
    <w:p w14:paraId="5F6F28C9" w14:textId="34A49AFE" w:rsidR="00483D66" w:rsidRPr="00755A11" w:rsidRDefault="0053362E" w:rsidP="00003A29">
      <w:pPr>
        <w:pStyle w:val="Bullet"/>
      </w:pPr>
      <w:r w:rsidRPr="00755A11">
        <w:t xml:space="preserve">Many submitters referenced </w:t>
      </w:r>
      <w:r w:rsidR="002569D9" w:rsidRPr="00755A11">
        <w:t xml:space="preserve">Cabinet not adopting (in part or </w:t>
      </w:r>
      <w:r w:rsidR="00D46B4D" w:rsidRPr="00755A11">
        <w:t xml:space="preserve">in </w:t>
      </w:r>
      <w:r w:rsidR="002569D9" w:rsidRPr="00755A11">
        <w:t>full) the advice o</w:t>
      </w:r>
      <w:r w:rsidR="00381553" w:rsidRPr="00755A11">
        <w:t>f</w:t>
      </w:r>
      <w:r w:rsidR="002569D9" w:rsidRPr="00755A11">
        <w:t xml:space="preserve"> the Climate Change Commission (the Commission) as causing or contributing to th</w:t>
      </w:r>
      <w:r w:rsidR="0044436F" w:rsidRPr="00755A11">
        <w:t>is uncertainty and lost confidence.</w:t>
      </w:r>
    </w:p>
    <w:p w14:paraId="745F655A" w14:textId="264E48B5" w:rsidR="0044436F" w:rsidRPr="00755A11" w:rsidRDefault="0044436F" w:rsidP="00003A29">
      <w:pPr>
        <w:pStyle w:val="Bullet"/>
      </w:pPr>
      <w:r w:rsidRPr="00755A11">
        <w:t>One submitter articulated this</w:t>
      </w:r>
      <w:r w:rsidR="00004ECF" w:rsidRPr="00755A11">
        <w:t xml:space="preserve"> </w:t>
      </w:r>
      <w:r w:rsidR="00A946B3" w:rsidRPr="00755A11">
        <w:t xml:space="preserve">shared </w:t>
      </w:r>
      <w:r w:rsidR="00004ECF" w:rsidRPr="00755A11">
        <w:t>position</w:t>
      </w:r>
      <w:r w:rsidR="00A946B3" w:rsidRPr="00755A11">
        <w:t>,</w:t>
      </w:r>
      <w:r w:rsidR="00004ECF" w:rsidRPr="00755A11">
        <w:t xml:space="preserve"> despite whether participants in the NZ</w:t>
      </w:r>
      <w:r w:rsidR="00C55E40">
        <w:t> </w:t>
      </w:r>
      <w:r w:rsidR="00004ECF" w:rsidRPr="00755A11">
        <w:t>ETS</w:t>
      </w:r>
      <w:r w:rsidR="00C55E40">
        <w:t> </w:t>
      </w:r>
      <w:r w:rsidR="00A946B3" w:rsidRPr="00755A11">
        <w:t>supported the Commission’s advice or not, as</w:t>
      </w:r>
      <w:r w:rsidR="000B704F" w:rsidRPr="00755A11">
        <w:t xml:space="preserve"> follows</w:t>
      </w:r>
      <w:r w:rsidR="00A946B3" w:rsidRPr="00755A11">
        <w:t>:</w:t>
      </w:r>
    </w:p>
    <w:p w14:paraId="2BF02216" w14:textId="3562949D" w:rsidR="00D26083" w:rsidRPr="003A5932" w:rsidRDefault="00A946B3" w:rsidP="00003A29">
      <w:pPr>
        <w:pStyle w:val="Quote"/>
        <w:rPr>
          <w:i/>
          <w:iCs/>
        </w:rPr>
      </w:pPr>
      <w:r w:rsidRPr="003A5932">
        <w:rPr>
          <w:i/>
          <w:iCs/>
        </w:rPr>
        <w:t xml:space="preserve">Whilst participants were divided on whether the CCC’s </w:t>
      </w:r>
      <w:r w:rsidR="00381553" w:rsidRPr="003A5932">
        <w:rPr>
          <w:i/>
          <w:iCs/>
        </w:rPr>
        <w:t>[Climate Change Commission’s]</w:t>
      </w:r>
      <w:r w:rsidR="00755A11" w:rsidRPr="003A5932">
        <w:rPr>
          <w:i/>
          <w:iCs/>
        </w:rPr>
        <w:t xml:space="preserve"> </w:t>
      </w:r>
      <w:r w:rsidRPr="003A5932">
        <w:rPr>
          <w:i/>
          <w:iCs/>
        </w:rPr>
        <w:t>recommendations should be accepted in part or in their entirety, the fact that the price settings were completely dismissed was considered a wider reaching signal that the recommendations of the CCC held less weight than previously thought. This created uncertainty around the shape and regulatory stability of the market going forward.</w:t>
      </w:r>
    </w:p>
    <w:p w14:paraId="300009C5" w14:textId="7F18BB8B" w:rsidR="00631AEB" w:rsidRPr="00755A11" w:rsidRDefault="00631AEB" w:rsidP="00003A29">
      <w:pPr>
        <w:pStyle w:val="BodyText"/>
        <w:rPr>
          <w:rStyle w:val="Heading1Char"/>
          <w:rFonts w:ascii="Calibri" w:hAnsi="Calibri"/>
          <w:b w:val="0"/>
          <w:bCs w:val="0"/>
          <w:color w:val="auto"/>
          <w:sz w:val="22"/>
          <w:szCs w:val="22"/>
        </w:rPr>
      </w:pPr>
      <w:bookmarkStart w:id="11" w:name="_Cost_Containment_Reserve"/>
      <w:bookmarkEnd w:id="11"/>
      <w:r w:rsidRPr="00755A11">
        <w:rPr>
          <w:rStyle w:val="Heading1Char"/>
          <w:rFonts w:ascii="Calibri" w:hAnsi="Calibri"/>
          <w:b w:val="0"/>
          <w:bCs w:val="0"/>
          <w:color w:val="auto"/>
          <w:sz w:val="22"/>
          <w:szCs w:val="22"/>
        </w:rPr>
        <w:br w:type="page"/>
      </w:r>
    </w:p>
    <w:p w14:paraId="655F37C3" w14:textId="5F402F94" w:rsidR="00AE0109" w:rsidRPr="00755A11" w:rsidRDefault="00FE057E" w:rsidP="00003A29">
      <w:pPr>
        <w:pStyle w:val="Heading1"/>
        <w:rPr>
          <w:rStyle w:val="Heading1Char"/>
          <w:b/>
        </w:rPr>
      </w:pPr>
      <w:bookmarkStart w:id="12" w:name="_Toc141088980"/>
      <w:r w:rsidRPr="00FE057E">
        <w:rPr>
          <w:rStyle w:val="Heading1Char"/>
          <w:b/>
        </w:rPr>
        <w:lastRenderedPageBreak/>
        <w:t>New Zealand Emissions Trading Scheme</w:t>
      </w:r>
      <w:r w:rsidR="00295FEB" w:rsidRPr="00755A11">
        <w:rPr>
          <w:rStyle w:val="Heading1Char"/>
          <w:b/>
        </w:rPr>
        <w:t xml:space="preserve"> </w:t>
      </w:r>
      <w:r w:rsidR="006374C7" w:rsidRPr="00755A11">
        <w:rPr>
          <w:rStyle w:val="Heading1Char"/>
          <w:b/>
        </w:rPr>
        <w:t xml:space="preserve">unit </w:t>
      </w:r>
      <w:r w:rsidR="00096B79" w:rsidRPr="00755A11">
        <w:rPr>
          <w:rStyle w:val="Heading1Char"/>
          <w:b/>
        </w:rPr>
        <w:t>settings</w:t>
      </w:r>
      <w:bookmarkEnd w:id="12"/>
    </w:p>
    <w:p w14:paraId="7E53D606" w14:textId="77777777" w:rsidR="00163A35" w:rsidRPr="00755A11" w:rsidRDefault="003673E4" w:rsidP="00003A29">
      <w:pPr>
        <w:pStyle w:val="Heading4"/>
      </w:pPr>
      <w:bookmarkStart w:id="13" w:name="_Auction_reserve_price"/>
      <w:bookmarkEnd w:id="13"/>
      <w:r w:rsidRPr="00755A11">
        <w:t>Question</w:t>
      </w:r>
      <w:r w:rsidR="00AC52D8" w:rsidRPr="00755A11">
        <w:t xml:space="preserve"> </w:t>
      </w:r>
      <w:r w:rsidR="00163A35" w:rsidRPr="00755A11">
        <w:t>2: Do you think that the proposed update to auction volumes to reflect a change in forestry emissions outside the NZ ETS is sufficient to allow unit settings for 2024 and 2025 to be updated?</w:t>
      </w:r>
    </w:p>
    <w:p w14:paraId="3B3D3675" w14:textId="4A00D5CF" w:rsidR="00163A35" w:rsidRPr="00755A11" w:rsidRDefault="000B704F" w:rsidP="00003A29">
      <w:pPr>
        <w:pStyle w:val="BodyText"/>
      </w:pPr>
      <w:r w:rsidRPr="00755A11">
        <w:t xml:space="preserve">Of those submitters who selected an option in response to this question, </w:t>
      </w:r>
      <w:r w:rsidR="008956E7" w:rsidRPr="00755A11">
        <w:t>most</w:t>
      </w:r>
      <w:r w:rsidRPr="00755A11">
        <w:t xml:space="preserve"> </w:t>
      </w:r>
      <w:r w:rsidR="00466191" w:rsidRPr="00755A11">
        <w:t xml:space="preserve">agreed that the proposed update to auction volumes is sufficient to update </w:t>
      </w:r>
      <w:proofErr w:type="gramStart"/>
      <w:r w:rsidR="00466191" w:rsidRPr="00755A11">
        <w:t>2024 and 2025 unit</w:t>
      </w:r>
      <w:proofErr w:type="gramEnd"/>
      <w:r w:rsidR="00466191" w:rsidRPr="00755A11">
        <w:t xml:space="preserve"> settings. </w:t>
      </w:r>
      <w:r w:rsidR="007708F8" w:rsidRPr="00755A11">
        <w:t>Several submitters were unsure, and a minority did not believe this proposal was sufficient to allow an update of settings.</w:t>
      </w:r>
    </w:p>
    <w:p w14:paraId="76F777DD" w14:textId="66F6EA36" w:rsidR="00C75C44" w:rsidRPr="00755A11" w:rsidRDefault="00C75C44" w:rsidP="00003A29">
      <w:pPr>
        <w:pStyle w:val="Heading4"/>
      </w:pPr>
      <w:r w:rsidRPr="00755A11">
        <w:t>Question 3: What other special circumstances, if any, do you think</w:t>
      </w:r>
      <w:r w:rsidR="00E902D6" w:rsidRPr="00755A11">
        <w:t> </w:t>
      </w:r>
      <w:r w:rsidRPr="00755A11">
        <w:t>exist that might enable updating NZ ETS unit settings for 2024</w:t>
      </w:r>
      <w:r w:rsidR="00E902D6" w:rsidRPr="00755A11">
        <w:t> </w:t>
      </w:r>
      <w:r w:rsidRPr="00755A11">
        <w:t>and 2025?</w:t>
      </w:r>
    </w:p>
    <w:p w14:paraId="0EBE5B5D" w14:textId="77777777" w:rsidR="00C75C44" w:rsidRPr="00755A11" w:rsidRDefault="00C75C44" w:rsidP="00003A29">
      <w:pPr>
        <w:pStyle w:val="BodyText"/>
      </w:pPr>
      <w:r w:rsidRPr="00755A11">
        <w:t>This question did not provide discrete options for selection.</w:t>
      </w:r>
    </w:p>
    <w:p w14:paraId="674467B1" w14:textId="4B77E39E" w:rsidR="00C75C44" w:rsidRPr="00755A11" w:rsidRDefault="00C75C44" w:rsidP="00003A29">
      <w:pPr>
        <w:pStyle w:val="Heading4"/>
      </w:pPr>
      <w:r w:rsidRPr="00755A11">
        <w:t>Question 4: If there are special circumstances, do you think updates to NZ ETS unit settings for 2024 and 2025 are justified and should be</w:t>
      </w:r>
      <w:r w:rsidR="00E902D6" w:rsidRPr="00755A11">
        <w:t> </w:t>
      </w:r>
      <w:r w:rsidRPr="00755A11">
        <w:t>made?</w:t>
      </w:r>
    </w:p>
    <w:p w14:paraId="464ACE83" w14:textId="70321CD5" w:rsidR="00C75C44" w:rsidRPr="00755A11" w:rsidRDefault="00C75C44" w:rsidP="00003A29">
      <w:pPr>
        <w:pStyle w:val="BodyText"/>
      </w:pPr>
      <w:r w:rsidRPr="00755A11">
        <w:t xml:space="preserve">Of those submitters who selected an option in response to this question, </w:t>
      </w:r>
      <w:r w:rsidR="003C0856" w:rsidRPr="00755A11">
        <w:t>most</w:t>
      </w:r>
      <w:r w:rsidRPr="00755A11">
        <w:t xml:space="preserve"> agreed that the updates to 2024 and 2025 NZ ETS unit settings are justified and should be made if there are special circumstances. Only one submitter was unsure, and one submitter did not</w:t>
      </w:r>
      <w:r w:rsidR="00E902D6" w:rsidRPr="00755A11">
        <w:t> </w:t>
      </w:r>
      <w:r w:rsidRPr="00755A11">
        <w:t>agree.</w:t>
      </w:r>
    </w:p>
    <w:p w14:paraId="3C4B148C" w14:textId="432D1D7F" w:rsidR="00C75C44" w:rsidRPr="00755A11" w:rsidRDefault="00C75C44" w:rsidP="00003A29">
      <w:pPr>
        <w:pStyle w:val="Heading4"/>
      </w:pPr>
      <w:r w:rsidRPr="00755A11">
        <w:t>Question 5: Do you think that updates to NZ ETS unit settings for 2024 and 2025 should occur if NZUs from the cost containment reserve are sold at the June NZ ETS auction? Note, the Commission recommends that settings for 2024 and 2025 are updated in this</w:t>
      </w:r>
      <w:r w:rsidR="00E902D6" w:rsidRPr="00755A11">
        <w:t> </w:t>
      </w:r>
      <w:r w:rsidRPr="00755A11">
        <w:t>situation.</w:t>
      </w:r>
    </w:p>
    <w:p w14:paraId="27601D1F" w14:textId="4C9FA39E" w:rsidR="00C75C44" w:rsidRPr="0017230E" w:rsidRDefault="00C75C44" w:rsidP="00003A29">
      <w:pPr>
        <w:pStyle w:val="BodyText"/>
      </w:pPr>
      <w:r w:rsidRPr="0017230E">
        <w:t xml:space="preserve">Note: </w:t>
      </w:r>
      <w:r w:rsidR="00D60BD9" w:rsidRPr="0017230E">
        <w:t>New Zealand Units (</w:t>
      </w:r>
      <w:r w:rsidRPr="0017230E">
        <w:t>NZUs</w:t>
      </w:r>
      <w:r w:rsidR="00D60BD9" w:rsidRPr="0017230E">
        <w:t>)</w:t>
      </w:r>
      <w:r w:rsidRPr="0017230E">
        <w:t xml:space="preserve"> from the </w:t>
      </w:r>
      <w:r w:rsidR="008739AD">
        <w:t>cost</w:t>
      </w:r>
      <w:r w:rsidR="00F14FDE">
        <w:t xml:space="preserve"> </w:t>
      </w:r>
      <w:r w:rsidR="008739AD">
        <w:t>containment reserve</w:t>
      </w:r>
      <w:r w:rsidRPr="0017230E">
        <w:t xml:space="preserve"> </w:t>
      </w:r>
      <w:r w:rsidR="00F14FDE">
        <w:t xml:space="preserve">(CCR) </w:t>
      </w:r>
      <w:r w:rsidRPr="0017230E">
        <w:t>were not sold at the June 2023 NZ ETS auction.</w:t>
      </w:r>
    </w:p>
    <w:p w14:paraId="2D49F512" w14:textId="55FADB61" w:rsidR="00C75C44" w:rsidRPr="00755A11" w:rsidRDefault="00C75C44" w:rsidP="00003A29">
      <w:pPr>
        <w:pStyle w:val="BodyText"/>
      </w:pPr>
      <w:r w:rsidRPr="00755A11">
        <w:t xml:space="preserve">Of those submitters who selected an option in response to this question, </w:t>
      </w:r>
      <w:r w:rsidR="00D60BD9" w:rsidRPr="00755A11">
        <w:t>most</w:t>
      </w:r>
      <w:r w:rsidRPr="00755A11">
        <w:t xml:space="preserve"> agreed that updates to 2024 and 2025 NZ ETS unit settings should occur if the June 2023 auction includes sale of NZUs from the cost containment reserve. A few submitters were unsure, and one submitter did not agree.</w:t>
      </w:r>
    </w:p>
    <w:p w14:paraId="410EA0AA" w14:textId="77777777" w:rsidR="00407FFB" w:rsidRDefault="00407FFB" w:rsidP="00003A29">
      <w:pPr>
        <w:spacing w:before="0" w:after="160" w:line="259" w:lineRule="auto"/>
        <w:jc w:val="left"/>
        <w:rPr>
          <w:rFonts w:ascii="Georgia" w:eastAsiaTheme="majorEastAsia" w:hAnsi="Georgia" w:cstheme="majorBidi"/>
          <w:b/>
          <w:bCs/>
          <w:sz w:val="24"/>
        </w:rPr>
      </w:pPr>
      <w:r>
        <w:br w:type="page"/>
      </w:r>
    </w:p>
    <w:p w14:paraId="4A24F5E4" w14:textId="147E49D2" w:rsidR="00C75C44" w:rsidRPr="00755A11" w:rsidRDefault="00C75C44" w:rsidP="00003A29">
      <w:pPr>
        <w:pStyle w:val="Heading4"/>
      </w:pPr>
      <w:r w:rsidRPr="00755A11">
        <w:lastRenderedPageBreak/>
        <w:t>Detailed feedback on questions 2–5</w:t>
      </w:r>
    </w:p>
    <w:p w14:paraId="18094EB9" w14:textId="21FD8EE9" w:rsidR="00CA0891" w:rsidRPr="00755A11" w:rsidRDefault="00454BA1" w:rsidP="00003A29">
      <w:pPr>
        <w:pStyle w:val="BodyText"/>
      </w:pPr>
      <w:r w:rsidRPr="00755A11">
        <w:t>S</w:t>
      </w:r>
      <w:r w:rsidR="00CA0891" w:rsidRPr="00755A11">
        <w:t xml:space="preserve">ubstantive responses from submitters </w:t>
      </w:r>
      <w:r w:rsidRPr="00755A11">
        <w:t xml:space="preserve">as part of the survey or in separately uploaded documents, </w:t>
      </w:r>
      <w:r w:rsidR="00261F1B" w:rsidRPr="00755A11">
        <w:t xml:space="preserve">which tended to cover issues across </w:t>
      </w:r>
      <w:r w:rsidR="00AD389B" w:rsidRPr="00755A11">
        <w:t>these</w:t>
      </w:r>
      <w:r w:rsidR="00261F1B" w:rsidRPr="00755A11">
        <w:t xml:space="preserve"> questions, </w:t>
      </w:r>
      <w:r w:rsidR="00BB4347" w:rsidRPr="00755A11">
        <w:t>provided the following perspective</w:t>
      </w:r>
      <w:r w:rsidR="0058710C" w:rsidRPr="00755A11">
        <w:t>s</w:t>
      </w:r>
      <w:r w:rsidR="008C578A">
        <w:t>:</w:t>
      </w:r>
    </w:p>
    <w:p w14:paraId="4BFE32FA" w14:textId="6D479568" w:rsidR="00477E62" w:rsidRPr="00755A11" w:rsidRDefault="00477E62" w:rsidP="00003A29">
      <w:pPr>
        <w:pStyle w:val="Bullet"/>
        <w:keepLines/>
      </w:pPr>
      <w:r w:rsidRPr="00755A11">
        <w:rPr>
          <w:szCs w:val="22"/>
        </w:rPr>
        <w:t xml:space="preserve">Views from submitters were divided regarding whether changes to auction volumes based on updates to forestry estimates is a sufficient reason for updating settings for years 2024 and 2025. </w:t>
      </w:r>
      <w:r w:rsidR="00DA6381" w:rsidRPr="00755A11">
        <w:rPr>
          <w:szCs w:val="22"/>
        </w:rPr>
        <w:t>Most</w:t>
      </w:r>
      <w:r w:rsidRPr="00755A11">
        <w:rPr>
          <w:szCs w:val="22"/>
        </w:rPr>
        <w:t xml:space="preserve"> supported updates to these years for various reasons. Some supported it as a pathway for correcting settings adjustments made in 2022 that they believe to be out of line with emissions budgets. Others supported changes to the first two years </w:t>
      </w:r>
      <w:r w:rsidR="00DA6381" w:rsidRPr="00755A11">
        <w:rPr>
          <w:szCs w:val="22"/>
        </w:rPr>
        <w:t>because</w:t>
      </w:r>
      <w:r w:rsidRPr="00755A11">
        <w:rPr>
          <w:szCs w:val="22"/>
        </w:rPr>
        <w:t xml:space="preserve"> the updated estimates</w:t>
      </w:r>
      <w:r w:rsidRPr="00755A11">
        <w:t xml:space="preserve"> have </w:t>
      </w:r>
      <w:r w:rsidR="004F785B" w:rsidRPr="00755A11">
        <w:t>“</w:t>
      </w:r>
      <w:r w:rsidRPr="00755A11">
        <w:rPr>
          <w:szCs w:val="22"/>
        </w:rPr>
        <w:t>a significant effect on the proportion of emissions budgets that can be allocated to economic activity covered by the ETS</w:t>
      </w:r>
      <w:r w:rsidR="004F785B" w:rsidRPr="00755A11">
        <w:rPr>
          <w:szCs w:val="22"/>
        </w:rPr>
        <w:t>”</w:t>
      </w:r>
      <w:r w:rsidRPr="00755A11">
        <w:rPr>
          <w:szCs w:val="22"/>
        </w:rPr>
        <w:t xml:space="preserve"> (Oxfam)</w:t>
      </w:r>
      <w:r w:rsidR="00DA6381" w:rsidRPr="00755A11">
        <w:rPr>
          <w:szCs w:val="22"/>
        </w:rPr>
        <w:t>.</w:t>
      </w:r>
    </w:p>
    <w:p w14:paraId="60CFA97C" w14:textId="0AF31211" w:rsidR="001312FD" w:rsidRPr="00755A11" w:rsidRDefault="001312FD" w:rsidP="00003A29">
      <w:pPr>
        <w:pStyle w:val="Bullet"/>
      </w:pPr>
      <w:r w:rsidRPr="00755A11">
        <w:t xml:space="preserve">A smaller but significant group of submitters did not support changes to years 2024 and 2025. Some in this group supported the Commission’s analysis noting that </w:t>
      </w:r>
      <w:r w:rsidR="006F0D63" w:rsidRPr="00755A11">
        <w:t>its</w:t>
      </w:r>
      <w:r w:rsidRPr="00755A11">
        <w:t xml:space="preserve"> reasoning for not recommending updates to these years was sound. Others had concerns regarding the impact changes would have on regulatory certainty and on businesses</w:t>
      </w:r>
      <w:r w:rsidR="00E0665D" w:rsidRPr="00755A11">
        <w:t>.</w:t>
      </w:r>
    </w:p>
    <w:p w14:paraId="19A5E918" w14:textId="4E73F3B2" w:rsidR="001312FD" w:rsidRPr="00755A11" w:rsidRDefault="001312FD" w:rsidP="00003A29">
      <w:pPr>
        <w:pStyle w:val="Bullet"/>
      </w:pPr>
      <w:r w:rsidRPr="00755A11">
        <w:t>Other reasons were given by some submitters to support updates to these years such as the decline for the 2023 March and June auctions as well as the drop in the secondary market price for NZUs. A few submitters held the opinion that cyclone Gabrielle could be considered a force majeure</w:t>
      </w:r>
      <w:r w:rsidR="001410BD" w:rsidRPr="00755A11">
        <w:t>.</w:t>
      </w:r>
    </w:p>
    <w:p w14:paraId="1E012976" w14:textId="196CA809" w:rsidR="00C75C44" w:rsidRPr="00755A11" w:rsidRDefault="001312FD" w:rsidP="00003A29">
      <w:pPr>
        <w:pStyle w:val="Bullet"/>
      </w:pPr>
      <w:r w:rsidRPr="00755A11">
        <w:t xml:space="preserve">Feedback for submitters showed majority support for updates to 2024 and 2025 if the </w:t>
      </w:r>
      <w:r w:rsidR="001410BD" w:rsidRPr="00755A11">
        <w:t>G</w:t>
      </w:r>
      <w:r w:rsidRPr="00755A11">
        <w:t xml:space="preserve">overnment decided special circumstances </w:t>
      </w:r>
      <w:r w:rsidR="002F2778" w:rsidRPr="00755A11">
        <w:t xml:space="preserve">existed </w:t>
      </w:r>
      <w:r w:rsidRPr="00755A11">
        <w:t>that allowed updates to these years or</w:t>
      </w:r>
      <w:r w:rsidR="00C55E40">
        <w:t> </w:t>
      </w:r>
      <w:r w:rsidRPr="00755A11">
        <w:t xml:space="preserve">if the </w:t>
      </w:r>
      <w:r w:rsidR="00C75C44" w:rsidRPr="00755A11">
        <w:t>CCR</w:t>
      </w:r>
      <w:r w:rsidRPr="00755A11">
        <w:t xml:space="preserve"> is sold.</w:t>
      </w:r>
    </w:p>
    <w:p w14:paraId="4F1E9065" w14:textId="082F69F9" w:rsidR="00163A35" w:rsidRPr="00755A11" w:rsidRDefault="00163A35" w:rsidP="00003A29">
      <w:pPr>
        <w:pStyle w:val="BodyText"/>
        <w:rPr>
          <w:highlight w:val="yellow"/>
        </w:rPr>
      </w:pPr>
      <w:r w:rsidRPr="00755A11">
        <w:br w:type="page"/>
      </w:r>
    </w:p>
    <w:p w14:paraId="37D053DF" w14:textId="7B2F68A3" w:rsidR="00163A35" w:rsidRPr="00755A11" w:rsidRDefault="00163A35" w:rsidP="00003A29">
      <w:pPr>
        <w:pStyle w:val="Heading1"/>
      </w:pPr>
      <w:bookmarkStart w:id="14" w:name="_Toc141088981"/>
      <w:r w:rsidRPr="00755A11">
        <w:lastRenderedPageBreak/>
        <w:t xml:space="preserve">Updating </w:t>
      </w:r>
      <w:r w:rsidR="00FE057E" w:rsidRPr="00FE057E">
        <w:t>New Zealand Emissions Trading Scheme</w:t>
      </w:r>
      <w:r w:rsidRPr="00755A11">
        <w:t xml:space="preserve"> limits for units</w:t>
      </w:r>
      <w:bookmarkEnd w:id="14"/>
    </w:p>
    <w:p w14:paraId="40BD0E9A" w14:textId="77777777" w:rsidR="004E3C9B" w:rsidRPr="00755A11" w:rsidRDefault="004E3C9B" w:rsidP="00003A29">
      <w:pPr>
        <w:pStyle w:val="Heading4"/>
      </w:pPr>
      <w:r w:rsidRPr="00755A11">
        <w:t>Question 6: Do you think the Commission’s updated estimates of forestry emissions outside the NZ ETS are accurate?</w:t>
      </w:r>
    </w:p>
    <w:p w14:paraId="79171FAC" w14:textId="37358EB0" w:rsidR="0058710C" w:rsidRPr="00755A11" w:rsidRDefault="0058710C" w:rsidP="00003A29">
      <w:pPr>
        <w:pStyle w:val="BodyText"/>
      </w:pPr>
      <w:r w:rsidRPr="00755A11">
        <w:t xml:space="preserve">Of those submitters who selected an option in response to this question, </w:t>
      </w:r>
      <w:r w:rsidR="009B35BF" w:rsidRPr="00755A11">
        <w:t>most</w:t>
      </w:r>
      <w:r w:rsidRPr="00755A11">
        <w:t xml:space="preserve"> agreed that the</w:t>
      </w:r>
      <w:r w:rsidR="00C55E40">
        <w:t> </w:t>
      </w:r>
      <w:r w:rsidR="005743C5" w:rsidRPr="00755A11">
        <w:t>Commission’s updated estimates of forestry emissions outside the NZ ETS were accurate</w:t>
      </w:r>
      <w:r w:rsidRPr="00755A11">
        <w:t>. Several submitters were unsure, and a minority did not believe this proposal was sufficient to allow an update of settings.</w:t>
      </w:r>
    </w:p>
    <w:p w14:paraId="0726F8C2" w14:textId="655F8585" w:rsidR="0058710C" w:rsidRPr="00755A11" w:rsidRDefault="0058710C" w:rsidP="00003A29">
      <w:pPr>
        <w:pStyle w:val="BodyText"/>
      </w:pPr>
      <w:r w:rsidRPr="00755A11">
        <w:t>Substantive responses from submitters, as part of the survey or in separately uploaded documents, provided the following perspectives</w:t>
      </w:r>
      <w:r w:rsidR="008C578A">
        <w:t>:</w:t>
      </w:r>
    </w:p>
    <w:p w14:paraId="39E78801" w14:textId="191024E6" w:rsidR="004F785B" w:rsidRPr="00755A11" w:rsidRDefault="00467762" w:rsidP="00003A29">
      <w:pPr>
        <w:pStyle w:val="Bullet"/>
      </w:pPr>
      <w:r w:rsidRPr="00755A11">
        <w:t>M</w:t>
      </w:r>
      <w:r w:rsidR="00522FAA" w:rsidRPr="00755A11">
        <w:t xml:space="preserve">ost </w:t>
      </w:r>
      <w:r w:rsidRPr="00755A11">
        <w:t xml:space="preserve">submitters were </w:t>
      </w:r>
      <w:r w:rsidR="00522FAA" w:rsidRPr="00755A11">
        <w:t>satisfied that the Commission’s forestry estimates were accurate</w:t>
      </w:r>
      <w:r w:rsidR="00584DE2" w:rsidRPr="00755A11">
        <w:t>.</w:t>
      </w:r>
    </w:p>
    <w:p w14:paraId="39EBC77C" w14:textId="2CBFC496" w:rsidR="00161C69" w:rsidRPr="00755A11" w:rsidRDefault="00522FAA" w:rsidP="00003A29">
      <w:pPr>
        <w:pStyle w:val="Bullet"/>
      </w:pPr>
      <w:r w:rsidRPr="00755A11">
        <w:t xml:space="preserve">Two business submitters questioned the reliability of the </w:t>
      </w:r>
      <w:r w:rsidR="009B35BF" w:rsidRPr="00755A11">
        <w:t>Ministry for Primary Industr</w:t>
      </w:r>
      <w:r w:rsidR="00484B26" w:rsidRPr="00755A11">
        <w:t>ies</w:t>
      </w:r>
      <w:r w:rsidR="009B35BF" w:rsidRPr="00755A11">
        <w:t xml:space="preserve"> </w:t>
      </w:r>
      <w:r w:rsidRPr="00755A11">
        <w:t>data used in these estimates.</w:t>
      </w:r>
    </w:p>
    <w:p w14:paraId="0C49B3A3" w14:textId="4F6CF0B7" w:rsidR="00163A35" w:rsidRPr="00755A11" w:rsidRDefault="004E3C9B" w:rsidP="00003A29">
      <w:pPr>
        <w:pStyle w:val="Heading4"/>
      </w:pPr>
      <w:r w:rsidRPr="00755A11">
        <w:t>Question 7: Do you think that an update to calculations, and a corresponding reduction in auction volumes, should be made to reflect this updated estimate?</w:t>
      </w:r>
    </w:p>
    <w:p w14:paraId="4B98C600" w14:textId="0E3D558C" w:rsidR="005743C5" w:rsidRPr="00755A11" w:rsidRDefault="005743C5" w:rsidP="00003A29">
      <w:pPr>
        <w:pStyle w:val="BodyText"/>
      </w:pPr>
      <w:r w:rsidRPr="00755A11">
        <w:t xml:space="preserve">Of those submitters who selected an option in response to this question, </w:t>
      </w:r>
      <w:r w:rsidR="008C21F4" w:rsidRPr="00755A11">
        <w:t>most</w:t>
      </w:r>
      <w:r w:rsidRPr="00755A11">
        <w:t xml:space="preserve"> agreed that </w:t>
      </w:r>
      <w:r w:rsidR="006F5DEB" w:rsidRPr="00755A11">
        <w:t xml:space="preserve">this </w:t>
      </w:r>
      <w:r w:rsidR="00F368DA" w:rsidRPr="00755A11">
        <w:t xml:space="preserve">revised </w:t>
      </w:r>
      <w:r w:rsidR="006F5DEB" w:rsidRPr="00755A11">
        <w:t xml:space="preserve">estimate should be reflected in an update to calculations and </w:t>
      </w:r>
      <w:r w:rsidR="005C475F" w:rsidRPr="00755A11">
        <w:t xml:space="preserve">a </w:t>
      </w:r>
      <w:r w:rsidR="006F5DEB" w:rsidRPr="00755A11">
        <w:t>reduction in auction volumes</w:t>
      </w:r>
      <w:r w:rsidRPr="00755A11">
        <w:t xml:space="preserve">. Several submitters were unsure, and </w:t>
      </w:r>
      <w:r w:rsidR="006F5DEB" w:rsidRPr="00755A11">
        <w:t>none disagreed</w:t>
      </w:r>
      <w:r w:rsidRPr="00755A11">
        <w:t>.</w:t>
      </w:r>
    </w:p>
    <w:p w14:paraId="397F4EA0" w14:textId="2F70DBF3" w:rsidR="005743C5" w:rsidRPr="00755A11" w:rsidRDefault="005743C5" w:rsidP="00003A29">
      <w:pPr>
        <w:pStyle w:val="BodyText"/>
      </w:pPr>
      <w:r w:rsidRPr="00755A11">
        <w:t>Substantive responses from submitters, as part of the survey or in separately uploaded documents, provided the following perspectives</w:t>
      </w:r>
      <w:r w:rsidR="008C578A">
        <w:t>:</w:t>
      </w:r>
    </w:p>
    <w:p w14:paraId="4E3E77E7" w14:textId="1B197E39" w:rsidR="00087233" w:rsidRPr="00755A11" w:rsidRDefault="007A151B" w:rsidP="00003A29">
      <w:pPr>
        <w:pStyle w:val="Bullet"/>
      </w:pPr>
      <w:r w:rsidRPr="00755A11">
        <w:t>M</w:t>
      </w:r>
      <w:r w:rsidR="00EB3976" w:rsidRPr="00755A11">
        <w:t>ost</w:t>
      </w:r>
      <w:r w:rsidR="00087233" w:rsidRPr="00755A11">
        <w:t xml:space="preserve"> submitters agreed a reduction in auction volumes to reflect the updated estimates was the best course of action. </w:t>
      </w:r>
      <w:r w:rsidR="00EB3976" w:rsidRPr="00755A11">
        <w:t>R</w:t>
      </w:r>
      <w:r w:rsidR="00087233" w:rsidRPr="00755A11">
        <w:t xml:space="preserve">easons given for making this adjustment were that it maintains the integrity of the </w:t>
      </w:r>
      <w:r w:rsidR="004F785B" w:rsidRPr="00755A11">
        <w:t xml:space="preserve">NZ </w:t>
      </w:r>
      <w:r w:rsidR="00087233" w:rsidRPr="00755A11">
        <w:t xml:space="preserve">ETS </w:t>
      </w:r>
      <w:proofErr w:type="gramStart"/>
      <w:r w:rsidR="00087233" w:rsidRPr="00755A11">
        <w:t>through the use of</w:t>
      </w:r>
      <w:proofErr w:type="gramEnd"/>
      <w:r w:rsidR="00087233" w:rsidRPr="00755A11">
        <w:t xml:space="preserve"> accurate and up</w:t>
      </w:r>
      <w:r w:rsidR="004F785B" w:rsidRPr="00755A11">
        <w:t>-</w:t>
      </w:r>
      <w:r w:rsidR="00087233" w:rsidRPr="00755A11">
        <w:t>to</w:t>
      </w:r>
      <w:r w:rsidR="004F785B" w:rsidRPr="00755A11">
        <w:t>-</w:t>
      </w:r>
      <w:r w:rsidR="00087233" w:rsidRPr="00755A11">
        <w:t>date data</w:t>
      </w:r>
      <w:r w:rsidR="004F785B" w:rsidRPr="00755A11">
        <w:t xml:space="preserve"> and provides</w:t>
      </w:r>
      <w:r w:rsidR="00087233" w:rsidRPr="00755A11">
        <w:t xml:space="preserve"> the best chance of meeting </w:t>
      </w:r>
      <w:r w:rsidR="004F785B" w:rsidRPr="00755A11">
        <w:t>Aotearoa</w:t>
      </w:r>
      <w:r w:rsidRPr="00755A11">
        <w:t xml:space="preserve"> New Zealand</w:t>
      </w:r>
      <w:r w:rsidR="004F785B" w:rsidRPr="00755A11">
        <w:t xml:space="preserve">’s </w:t>
      </w:r>
      <w:r w:rsidR="00087233" w:rsidRPr="00755A11">
        <w:t>emissions reduction targets</w:t>
      </w:r>
      <w:r w:rsidRPr="00755A11">
        <w:t>.</w:t>
      </w:r>
    </w:p>
    <w:p w14:paraId="49922EA3" w14:textId="174B56B7" w:rsidR="004F785B" w:rsidRPr="00755A11" w:rsidRDefault="00087233" w:rsidP="00003A29">
      <w:pPr>
        <w:pStyle w:val="Bullet"/>
      </w:pPr>
      <w:r w:rsidRPr="00755A11">
        <w:t>Some submitters were opposed to making the adjustment to auction volumes and stated this could pose a risk to necessary market liquidity and drive NZU prices higher</w:t>
      </w:r>
      <w:r w:rsidR="001C2143" w:rsidRPr="00755A11">
        <w:t>.</w:t>
      </w:r>
    </w:p>
    <w:p w14:paraId="41720534" w14:textId="72267CE4" w:rsidR="00087233" w:rsidRPr="00755A11" w:rsidRDefault="00087233" w:rsidP="00003A29">
      <w:pPr>
        <w:pStyle w:val="Bullet"/>
      </w:pPr>
      <w:r w:rsidRPr="00755A11">
        <w:t xml:space="preserve">A few submitters took a broad approach to the consultation by opposing all auction and surplus stockpile volume reductions due to economic concerns regarding the impacts on businesses and the cost of living. </w:t>
      </w:r>
    </w:p>
    <w:p w14:paraId="2D76B78F" w14:textId="77777777" w:rsidR="00407FFB" w:rsidRDefault="00407FFB" w:rsidP="00003A29">
      <w:pPr>
        <w:spacing w:before="0" w:after="160" w:line="259" w:lineRule="auto"/>
        <w:jc w:val="left"/>
        <w:rPr>
          <w:rFonts w:ascii="Georgia" w:eastAsiaTheme="majorEastAsia" w:hAnsi="Georgia" w:cstheme="majorBidi"/>
          <w:b/>
          <w:bCs/>
          <w:sz w:val="24"/>
        </w:rPr>
      </w:pPr>
      <w:r>
        <w:br w:type="page"/>
      </w:r>
    </w:p>
    <w:p w14:paraId="635CA2FA" w14:textId="19CECC0C" w:rsidR="00320E41" w:rsidRPr="00755A11" w:rsidRDefault="00320E41" w:rsidP="00003A29">
      <w:pPr>
        <w:pStyle w:val="Heading4"/>
      </w:pPr>
      <w:r w:rsidRPr="00755A11">
        <w:lastRenderedPageBreak/>
        <w:t>Question 8: Do you think that reductions in auction volumes and</w:t>
      </w:r>
      <w:r w:rsidR="004C3B01" w:rsidRPr="00755A11">
        <w:t> </w:t>
      </w:r>
      <w:r w:rsidRPr="00755A11">
        <w:t>limits should occur to reflect the identified discrepancies between emissions reported in the Greenhouse Gas Inventory and</w:t>
      </w:r>
      <w:r w:rsidR="004C3B01" w:rsidRPr="00755A11">
        <w:t> </w:t>
      </w:r>
      <w:r w:rsidRPr="00755A11">
        <w:t>the NZ ETS?</w:t>
      </w:r>
    </w:p>
    <w:p w14:paraId="37F7ABA4" w14:textId="518AB560" w:rsidR="006F5DEB" w:rsidRPr="00755A11" w:rsidRDefault="006F5DEB" w:rsidP="00003A29">
      <w:pPr>
        <w:pStyle w:val="BodyText"/>
      </w:pPr>
      <w:r w:rsidRPr="00755A11">
        <w:t xml:space="preserve">Of those submitters who selected an option in response to this question, </w:t>
      </w:r>
      <w:r w:rsidR="00DB1B67" w:rsidRPr="00755A11">
        <w:t>most</w:t>
      </w:r>
      <w:r w:rsidRPr="00755A11">
        <w:t xml:space="preserve"> agreed that </w:t>
      </w:r>
      <w:r w:rsidR="00AA18D4" w:rsidRPr="00755A11">
        <w:t>auction volumes and limits should occur to reflect discrepancies with the</w:t>
      </w:r>
      <w:r w:rsidR="00DB1B67" w:rsidRPr="00755A11">
        <w:t xml:space="preserve"> Greenhouse Gas</w:t>
      </w:r>
      <w:r w:rsidR="00AA18D4" w:rsidRPr="00755A11">
        <w:t xml:space="preserve"> Inventory</w:t>
      </w:r>
      <w:r w:rsidRPr="00755A11">
        <w:t>. A few submitters were unsure, and one submitter did not agree.</w:t>
      </w:r>
    </w:p>
    <w:p w14:paraId="6FC18CEC" w14:textId="40BEEA10" w:rsidR="006F5DEB" w:rsidRPr="00755A11" w:rsidRDefault="006F5DEB" w:rsidP="00003A29">
      <w:pPr>
        <w:pStyle w:val="BodyText"/>
      </w:pPr>
      <w:r w:rsidRPr="00755A11">
        <w:t>Substantive responses from submitters, as part of the survey or in separately uploaded documents, provided the following perspectives</w:t>
      </w:r>
      <w:r w:rsidR="008C578A">
        <w:t>:</w:t>
      </w:r>
    </w:p>
    <w:p w14:paraId="3EBB6422" w14:textId="071F6109" w:rsidR="004F785B" w:rsidRPr="00755A11" w:rsidRDefault="009730A0" w:rsidP="00003A29">
      <w:pPr>
        <w:pStyle w:val="Bullet"/>
      </w:pPr>
      <w:r w:rsidRPr="00755A11">
        <w:t xml:space="preserve">Feedback from </w:t>
      </w:r>
      <w:r w:rsidR="009D765C" w:rsidRPr="00755A11">
        <w:t>various</w:t>
      </w:r>
      <w:r w:rsidRPr="00755A11">
        <w:t xml:space="preserve"> submitters</w:t>
      </w:r>
      <w:r w:rsidR="009D765C" w:rsidRPr="00755A11">
        <w:t>,</w:t>
      </w:r>
      <w:r w:rsidRPr="00755A11">
        <w:t xml:space="preserve"> including individuals, </w:t>
      </w:r>
      <w:r w:rsidR="009D765C" w:rsidRPr="00755A11">
        <w:t>non-governmental organisation</w:t>
      </w:r>
      <w:r w:rsidR="007E6E53" w:rsidRPr="00755A11">
        <w:t>s</w:t>
      </w:r>
      <w:r w:rsidRPr="00755A11">
        <w:t>, businesses, and industry participants</w:t>
      </w:r>
      <w:r w:rsidR="009D765C" w:rsidRPr="00755A11">
        <w:t>,</w:t>
      </w:r>
      <w:r w:rsidRPr="00755A11">
        <w:t xml:space="preserve"> showed strong support for a reduction in auction volumes to address the technical discrepancy</w:t>
      </w:r>
      <w:r w:rsidR="009D765C" w:rsidRPr="00755A11">
        <w:t>.</w:t>
      </w:r>
    </w:p>
    <w:p w14:paraId="45D0A178" w14:textId="3B3EDFB7" w:rsidR="004F785B" w:rsidRPr="00755A11" w:rsidRDefault="009730A0" w:rsidP="00003A29">
      <w:pPr>
        <w:pStyle w:val="Bullet"/>
      </w:pPr>
      <w:r w:rsidRPr="00755A11">
        <w:t xml:space="preserve">Some submitters supported the adjustment </w:t>
      </w:r>
      <w:r w:rsidR="00404530" w:rsidRPr="00755A11">
        <w:t xml:space="preserve">on </w:t>
      </w:r>
      <w:r w:rsidRPr="00755A11">
        <w:t>the condition that the nature of the discrepancy was well understood</w:t>
      </w:r>
      <w:r w:rsidR="00404530" w:rsidRPr="00755A11">
        <w:t>.</w:t>
      </w:r>
    </w:p>
    <w:p w14:paraId="0C5A96D5" w14:textId="01CC4F18" w:rsidR="009730A0" w:rsidRPr="00755A11" w:rsidRDefault="009730A0" w:rsidP="00003A29">
      <w:pPr>
        <w:pStyle w:val="Bullet"/>
      </w:pPr>
      <w:r w:rsidRPr="00755A11">
        <w:t xml:space="preserve">Submitters </w:t>
      </w:r>
      <w:proofErr w:type="gramStart"/>
      <w:r w:rsidRPr="00755A11">
        <w:t>were of the opinion that</w:t>
      </w:r>
      <w:proofErr w:type="gramEnd"/>
      <w:r w:rsidRPr="00755A11">
        <w:t xml:space="preserve"> the </w:t>
      </w:r>
      <w:r w:rsidR="00404530" w:rsidRPr="00755A11">
        <w:t>Greenhouse Gas I</w:t>
      </w:r>
      <w:r w:rsidRPr="00755A11">
        <w:t xml:space="preserve">nventory and </w:t>
      </w:r>
      <w:r w:rsidR="004F785B" w:rsidRPr="00755A11">
        <w:t xml:space="preserve">NZ </w:t>
      </w:r>
      <w:r w:rsidRPr="00755A11">
        <w:t>ETS should be</w:t>
      </w:r>
      <w:r w:rsidR="00C55E40">
        <w:t> </w:t>
      </w:r>
      <w:r w:rsidRPr="00755A11">
        <w:t>aligned</w:t>
      </w:r>
      <w:r w:rsidR="00404530" w:rsidRPr="00755A11">
        <w:t>.</w:t>
      </w:r>
    </w:p>
    <w:p w14:paraId="68C486D0" w14:textId="567BD819" w:rsidR="004F785B" w:rsidRPr="00755A11" w:rsidRDefault="009730A0" w:rsidP="00003A29">
      <w:pPr>
        <w:pStyle w:val="Bullet"/>
      </w:pPr>
      <w:r w:rsidRPr="00755A11">
        <w:t>A smaller group of submitters</w:t>
      </w:r>
      <w:r w:rsidR="004F785B" w:rsidRPr="00755A11">
        <w:t>,</w:t>
      </w:r>
      <w:r w:rsidRPr="00755A11">
        <w:t xml:space="preserve"> </w:t>
      </w:r>
      <w:r w:rsidR="00274A97" w:rsidRPr="00755A11">
        <w:t xml:space="preserve">mainly </w:t>
      </w:r>
      <w:r w:rsidRPr="00755A11">
        <w:t>from business and industry</w:t>
      </w:r>
      <w:r w:rsidR="004F785B" w:rsidRPr="00755A11">
        <w:t>,</w:t>
      </w:r>
      <w:r w:rsidRPr="00755A11">
        <w:t xml:space="preserve"> </w:t>
      </w:r>
      <w:r w:rsidR="004F785B" w:rsidRPr="00755A11">
        <w:t xml:space="preserve">did </w:t>
      </w:r>
      <w:r w:rsidRPr="00755A11">
        <w:t xml:space="preserve">not support any adjustment until a greater understanding </w:t>
      </w:r>
      <w:r w:rsidR="00C516E2" w:rsidRPr="00755A11">
        <w:t xml:space="preserve">has been achieved </w:t>
      </w:r>
      <w:r w:rsidRPr="00755A11">
        <w:t>of the discrepancy</w:t>
      </w:r>
      <w:r w:rsidR="00274A97" w:rsidRPr="00755A11">
        <w:t>.</w:t>
      </w:r>
    </w:p>
    <w:p w14:paraId="7480CD8D" w14:textId="2DA22C84" w:rsidR="009730A0" w:rsidRPr="00755A11" w:rsidRDefault="009730A0" w:rsidP="00003A29">
      <w:pPr>
        <w:pStyle w:val="Bullet"/>
      </w:pPr>
      <w:r w:rsidRPr="00755A11">
        <w:t xml:space="preserve">Some </w:t>
      </w:r>
      <w:r w:rsidR="004F785B" w:rsidRPr="00755A11">
        <w:t xml:space="preserve">submitters </w:t>
      </w:r>
      <w:r w:rsidRPr="00755A11">
        <w:t>supported no change to volumes at all</w:t>
      </w:r>
      <w:r w:rsidR="00C516E2" w:rsidRPr="00755A11">
        <w:t>,</w:t>
      </w:r>
      <w:r w:rsidRPr="00755A11">
        <w:t xml:space="preserve"> due to economic concerns.</w:t>
      </w:r>
    </w:p>
    <w:p w14:paraId="7DA72FC8" w14:textId="2EC906F2" w:rsidR="00320E41" w:rsidRPr="00755A11" w:rsidRDefault="009F066A" w:rsidP="00003A29">
      <w:pPr>
        <w:pStyle w:val="Heading4"/>
      </w:pPr>
      <w:r w:rsidRPr="00755A11">
        <w:t>Question 9: Do you think the status quo approach to stockpile reduction should be retained?</w:t>
      </w:r>
    </w:p>
    <w:p w14:paraId="2C35DBF0" w14:textId="3B18FF03" w:rsidR="00AA18D4" w:rsidRPr="00755A11" w:rsidRDefault="00AA18D4" w:rsidP="00003A29">
      <w:pPr>
        <w:pStyle w:val="BodyText"/>
      </w:pPr>
      <w:r w:rsidRPr="00755A11">
        <w:t xml:space="preserve">Of those submitters who selected an option in response to this question, </w:t>
      </w:r>
      <w:r w:rsidR="00385D76" w:rsidRPr="00755A11">
        <w:t xml:space="preserve">the </w:t>
      </w:r>
      <w:r w:rsidRPr="00755A11">
        <w:t xml:space="preserve">split </w:t>
      </w:r>
      <w:r w:rsidR="00385D76" w:rsidRPr="00755A11">
        <w:t xml:space="preserve">was </w:t>
      </w:r>
      <w:proofErr w:type="gramStart"/>
      <w:r w:rsidR="00385D76" w:rsidRPr="00755A11">
        <w:t>fairly even</w:t>
      </w:r>
      <w:proofErr w:type="gramEnd"/>
      <w:r w:rsidR="00385D76" w:rsidRPr="00755A11">
        <w:t xml:space="preserve"> </w:t>
      </w:r>
      <w:r w:rsidRPr="00755A11">
        <w:t xml:space="preserve">between </w:t>
      </w:r>
      <w:r w:rsidR="00E61D88" w:rsidRPr="00755A11">
        <w:t>agreement, disagreement</w:t>
      </w:r>
      <w:r w:rsidR="00DD6F9D">
        <w:t>,</w:t>
      </w:r>
      <w:r w:rsidR="00E61D88" w:rsidRPr="00755A11">
        <w:t xml:space="preserve"> and uncertainty about whether the status quo approach should be retained to stockpile reduction, with a slight favour for disagreement.</w:t>
      </w:r>
    </w:p>
    <w:p w14:paraId="154CA64F" w14:textId="77264F10" w:rsidR="00AA18D4" w:rsidRPr="00755A11" w:rsidRDefault="00AA18D4" w:rsidP="00003A29">
      <w:pPr>
        <w:pStyle w:val="BodyText"/>
      </w:pPr>
      <w:r w:rsidRPr="00755A11">
        <w:t>Substantive responses from submitters, as part of the survey or in separately uploaded documents, provided the following perspectives</w:t>
      </w:r>
      <w:r w:rsidR="008C578A">
        <w:t>:</w:t>
      </w:r>
    </w:p>
    <w:p w14:paraId="74ABD11A" w14:textId="4B655491" w:rsidR="004F785B" w:rsidRPr="00755A11" w:rsidRDefault="004F785B" w:rsidP="00003A29">
      <w:pPr>
        <w:pStyle w:val="Bullet"/>
      </w:pPr>
      <w:r w:rsidRPr="00755A11">
        <w:t>Most submitters</w:t>
      </w:r>
      <w:r w:rsidR="00AE4C91" w:rsidRPr="00755A11">
        <w:t xml:space="preserve"> were in favour of retaining the status quo approach to the stockpile reduction</w:t>
      </w:r>
      <w:r w:rsidR="00CA32E4" w:rsidRPr="00755A11">
        <w:t>,</w:t>
      </w:r>
      <w:r w:rsidR="00AE4C91" w:rsidRPr="00755A11">
        <w:t xml:space="preserve"> with the addition of the Commission’s recommended discrepancy adjustment step. These submitters view the existing stockpile as a risk to achieving emissions budgets</w:t>
      </w:r>
      <w:r w:rsidR="00CA32E4" w:rsidRPr="00755A11">
        <w:t>.</w:t>
      </w:r>
    </w:p>
    <w:p w14:paraId="0366D092" w14:textId="070CFB95" w:rsidR="00AE4C91" w:rsidRPr="00755A11" w:rsidRDefault="00AE4C91" w:rsidP="00003A29">
      <w:pPr>
        <w:pStyle w:val="Bullet"/>
      </w:pPr>
      <w:r w:rsidRPr="00755A11">
        <w:t xml:space="preserve">Some </w:t>
      </w:r>
      <w:r w:rsidR="004F785B" w:rsidRPr="00755A11">
        <w:t xml:space="preserve">submitters </w:t>
      </w:r>
      <w:r w:rsidRPr="00755A11">
        <w:t>stated that the alternative</w:t>
      </w:r>
      <w:r w:rsidR="00C132C7">
        <w:t xml:space="preserve"> method</w:t>
      </w:r>
      <w:r w:rsidR="00107212" w:rsidRPr="00755A11">
        <w:t>,</w:t>
      </w:r>
      <w:r w:rsidRPr="00755A11">
        <w:t xml:space="preserve"> of addressing discrepancies as part of the annual updates </w:t>
      </w:r>
      <w:r w:rsidR="00C53742" w:rsidRPr="00755A11">
        <w:t xml:space="preserve">to </w:t>
      </w:r>
      <w:r w:rsidRPr="00755A11">
        <w:t>stockpile estimates</w:t>
      </w:r>
      <w:r w:rsidR="004A05ED" w:rsidRPr="00755A11">
        <w:t>,</w:t>
      </w:r>
      <w:r w:rsidRPr="00755A11">
        <w:t xml:space="preserve"> risks over</w:t>
      </w:r>
      <w:r w:rsidR="004A05ED" w:rsidRPr="00755A11">
        <w:t xml:space="preserve"> </w:t>
      </w:r>
      <w:r w:rsidRPr="00755A11">
        <w:t>supply of units in the short term</w:t>
      </w:r>
      <w:r w:rsidR="00731746">
        <w:t>,</w:t>
      </w:r>
      <w:r w:rsidRPr="00755A11">
        <w:t xml:space="preserve"> and no guarantee </w:t>
      </w:r>
      <w:r w:rsidR="00375F62" w:rsidRPr="00755A11">
        <w:t xml:space="preserve">exists </w:t>
      </w:r>
      <w:r w:rsidRPr="00755A11">
        <w:t>that these can easily be reduced from the stockpile in future</w:t>
      </w:r>
      <w:r w:rsidR="00375F62" w:rsidRPr="00755A11">
        <w:t>.</w:t>
      </w:r>
    </w:p>
    <w:p w14:paraId="194E1A5F" w14:textId="376327CD" w:rsidR="004F785B" w:rsidRPr="00755A11" w:rsidRDefault="00AE4C91" w:rsidP="00003A29">
      <w:pPr>
        <w:pStyle w:val="Bullet"/>
      </w:pPr>
      <w:r w:rsidRPr="00755A11">
        <w:t xml:space="preserve">A small number of submitters from business and industry </w:t>
      </w:r>
      <w:r w:rsidR="00375F62" w:rsidRPr="00755A11">
        <w:t xml:space="preserve">did </w:t>
      </w:r>
      <w:r w:rsidRPr="00755A11">
        <w:t>not support the Commission’s discrepancy adjustment. They held that reductions to the stockpile in any form pose a risk to market liquidity and the ability for participants to secure the NZUs needed to meet their obligations</w:t>
      </w:r>
      <w:r w:rsidR="008C32D2" w:rsidRPr="00755A11">
        <w:t>.</w:t>
      </w:r>
    </w:p>
    <w:p w14:paraId="29B0EC52" w14:textId="340E7FFF" w:rsidR="00AE4C91" w:rsidRPr="00755A11" w:rsidRDefault="00AE4C91" w:rsidP="00003A29">
      <w:pPr>
        <w:pStyle w:val="Bullet"/>
      </w:pPr>
      <w:r w:rsidRPr="00755A11">
        <w:t xml:space="preserve">Genesis Energy stated that </w:t>
      </w:r>
      <w:r w:rsidR="008C32D2" w:rsidRPr="00755A11">
        <w:t xml:space="preserve">it </w:t>
      </w:r>
      <w:r w:rsidRPr="00755A11">
        <w:t xml:space="preserve">believed the Commission had over-estimated the surplus component of the stockpile and much of this was hedged for future surrender obligations. </w:t>
      </w:r>
    </w:p>
    <w:p w14:paraId="261B9BD2" w14:textId="77777777" w:rsidR="00407FFB" w:rsidRDefault="00407FFB" w:rsidP="00003A29">
      <w:pPr>
        <w:spacing w:before="0" w:after="160" w:line="259" w:lineRule="auto"/>
        <w:jc w:val="left"/>
        <w:rPr>
          <w:rFonts w:ascii="Georgia" w:eastAsiaTheme="majorEastAsia" w:hAnsi="Georgia" w:cstheme="majorBidi"/>
          <w:b/>
          <w:bCs/>
          <w:sz w:val="24"/>
        </w:rPr>
      </w:pPr>
      <w:r>
        <w:br w:type="page"/>
      </w:r>
    </w:p>
    <w:p w14:paraId="4B7C089C" w14:textId="680F1814" w:rsidR="009F066A" w:rsidRPr="00755A11" w:rsidRDefault="009F066A" w:rsidP="00003A29">
      <w:pPr>
        <w:pStyle w:val="Heading4"/>
      </w:pPr>
      <w:r w:rsidRPr="00755A11">
        <w:lastRenderedPageBreak/>
        <w:t>Question 10: Should a new sub-step be added this year to address projected impacts on surplus stockpile liquidity rather than addressing it through annual updates to estimates of surplus stockpile liquidity?</w:t>
      </w:r>
    </w:p>
    <w:p w14:paraId="03C37D1C" w14:textId="4D1F856C" w:rsidR="00E61D88" w:rsidRPr="00755A11" w:rsidRDefault="00E61D88" w:rsidP="00003A29">
      <w:pPr>
        <w:pStyle w:val="BodyText"/>
      </w:pPr>
      <w:r w:rsidRPr="00755A11">
        <w:t xml:space="preserve">Of those submitters who selected an option in response to this question, </w:t>
      </w:r>
      <w:r w:rsidR="00BB3F64" w:rsidRPr="00755A11">
        <w:t>most</w:t>
      </w:r>
      <w:r w:rsidRPr="00755A11">
        <w:t xml:space="preserve"> agreed </w:t>
      </w:r>
      <w:r w:rsidR="006E08B7" w:rsidRPr="00755A11">
        <w:t xml:space="preserve">a new sub-step should be added to address surplus stockpile impacts rather than addressing </w:t>
      </w:r>
      <w:r w:rsidR="001345BB" w:rsidRPr="00755A11">
        <w:t xml:space="preserve">these </w:t>
      </w:r>
      <w:r w:rsidR="00FA2D92" w:rsidRPr="00755A11">
        <w:t>through annual updates</w:t>
      </w:r>
      <w:r w:rsidRPr="00755A11">
        <w:t xml:space="preserve">. </w:t>
      </w:r>
      <w:r w:rsidR="00FA2D92" w:rsidRPr="00755A11">
        <w:t xml:space="preserve">Several </w:t>
      </w:r>
      <w:r w:rsidRPr="00755A11">
        <w:t>submitters were unsure</w:t>
      </w:r>
      <w:r w:rsidR="002F72D6" w:rsidRPr="00755A11">
        <w:t>,</w:t>
      </w:r>
      <w:r w:rsidRPr="00755A11">
        <w:t xml:space="preserve"> and </w:t>
      </w:r>
      <w:r w:rsidR="00FA2D92" w:rsidRPr="00755A11">
        <w:t xml:space="preserve">a few </w:t>
      </w:r>
      <w:r w:rsidRPr="00755A11">
        <w:t>submitter</w:t>
      </w:r>
      <w:r w:rsidR="00FA2D92" w:rsidRPr="00755A11">
        <w:t>s</w:t>
      </w:r>
      <w:r w:rsidRPr="00755A11">
        <w:t xml:space="preserve"> did not agree.</w:t>
      </w:r>
    </w:p>
    <w:p w14:paraId="7DA34547" w14:textId="7B2B6E7F" w:rsidR="00E61D88" w:rsidRPr="00755A11" w:rsidRDefault="00E61D88" w:rsidP="00003A29">
      <w:pPr>
        <w:pStyle w:val="BodyText"/>
        <w:spacing w:after="100"/>
      </w:pPr>
      <w:r w:rsidRPr="00755A11">
        <w:t>Substantive responses from submitters, as part of the survey or in separately uploaded documents, provided the following perspectives</w:t>
      </w:r>
      <w:r w:rsidR="008C578A">
        <w:t>:</w:t>
      </w:r>
    </w:p>
    <w:p w14:paraId="7BA5B824" w14:textId="183C936D" w:rsidR="00E61D88" w:rsidRPr="00755A11" w:rsidRDefault="000D0BD5" w:rsidP="00003A29">
      <w:pPr>
        <w:pStyle w:val="Bullet"/>
        <w:spacing w:after="100"/>
      </w:pPr>
      <w:r w:rsidRPr="00755A11">
        <w:t>Submitters</w:t>
      </w:r>
      <w:r w:rsidR="003D3EB4" w:rsidRPr="00755A11">
        <w:t xml:space="preserve"> generally support aligning with the Commission’s advice, with several citing the restoration of confidence in the market</w:t>
      </w:r>
      <w:r w:rsidR="000B365A" w:rsidRPr="00755A11">
        <w:t xml:space="preserve"> and ensuring alignment with emissions budgets</w:t>
      </w:r>
      <w:r w:rsidR="00331695" w:rsidRPr="00755A11">
        <w:t>.</w:t>
      </w:r>
    </w:p>
    <w:p w14:paraId="40B4A963" w14:textId="2D4A1BC7" w:rsidR="00F65474" w:rsidRPr="00755A11" w:rsidRDefault="000B365A" w:rsidP="00003A29">
      <w:pPr>
        <w:pStyle w:val="Bullet"/>
        <w:spacing w:after="100"/>
      </w:pPr>
      <w:r w:rsidRPr="00755A11">
        <w:t>A smaller number of submitters</w:t>
      </w:r>
      <w:r w:rsidR="00472019" w:rsidRPr="00755A11">
        <w:t xml:space="preserve"> </w:t>
      </w:r>
      <w:r w:rsidR="0039646C" w:rsidRPr="00755A11">
        <w:t xml:space="preserve">stated that they did not </w:t>
      </w:r>
      <w:r w:rsidR="00472019" w:rsidRPr="00755A11">
        <w:t xml:space="preserve">support </w:t>
      </w:r>
      <w:r w:rsidR="0039646C" w:rsidRPr="00755A11">
        <w:t>this as a stockpile reduction measure</w:t>
      </w:r>
      <w:r w:rsidR="00297CDD" w:rsidRPr="00755A11">
        <w:t xml:space="preserve"> (</w:t>
      </w:r>
      <w:r w:rsidR="00F65474" w:rsidRPr="00755A11">
        <w:t>with one opposing all stockpile reduction measures entirely</w:t>
      </w:r>
      <w:r w:rsidR="00297CDD" w:rsidRPr="00755A11">
        <w:t>)</w:t>
      </w:r>
      <w:r w:rsidR="008C32EC" w:rsidRPr="00755A11">
        <w:t>,</w:t>
      </w:r>
      <w:r w:rsidR="00297CDD" w:rsidRPr="00755A11">
        <w:t xml:space="preserve"> </w:t>
      </w:r>
      <w:r w:rsidR="00F22756" w:rsidRPr="00755A11">
        <w:t xml:space="preserve">they </w:t>
      </w:r>
      <w:r w:rsidR="00472019" w:rsidRPr="00755A11">
        <w:t>question</w:t>
      </w:r>
      <w:r w:rsidR="00F65474" w:rsidRPr="00755A11">
        <w:t>ed</w:t>
      </w:r>
      <w:r w:rsidR="00472019" w:rsidRPr="00755A11">
        <w:t xml:space="preserve"> the accuracy of the Commission’s surplus estimates, </w:t>
      </w:r>
      <w:r w:rsidR="00E47EFC" w:rsidRPr="00755A11">
        <w:t>and cit</w:t>
      </w:r>
      <w:r w:rsidR="00F65474" w:rsidRPr="00755A11">
        <w:t>ed</w:t>
      </w:r>
      <w:r w:rsidR="00E47EFC" w:rsidRPr="00755A11">
        <w:t xml:space="preserve"> concerns about unintended consequences and price increases if the stockpile reduces</w:t>
      </w:r>
      <w:r w:rsidR="00F65474" w:rsidRPr="00755A11">
        <w:t>.</w:t>
      </w:r>
    </w:p>
    <w:p w14:paraId="60F74F1C" w14:textId="508348F1" w:rsidR="009F066A" w:rsidRPr="00755A11" w:rsidRDefault="009F066A" w:rsidP="00003A29">
      <w:pPr>
        <w:pStyle w:val="Heading4"/>
      </w:pPr>
      <w:r w:rsidRPr="00755A11">
        <w:t>Question 11: Should adjustments to auction volumes be made to address historic actions?</w:t>
      </w:r>
    </w:p>
    <w:p w14:paraId="4949FF9B" w14:textId="53113F1D" w:rsidR="00490F34" w:rsidRPr="00755A11" w:rsidRDefault="00490F34" w:rsidP="00003A29">
      <w:pPr>
        <w:pStyle w:val="BodyText"/>
        <w:spacing w:after="100"/>
      </w:pPr>
      <w:r w:rsidRPr="00755A11">
        <w:t xml:space="preserve">Of those submitters who selected an option in response to this question, </w:t>
      </w:r>
      <w:r w:rsidR="00725199" w:rsidRPr="00755A11">
        <w:t>most</w:t>
      </w:r>
      <w:r w:rsidRPr="00755A11">
        <w:t xml:space="preserve"> agreed that historical actions should be reflected in adjustments to auction volumes. Several submitters were unsure, and a few did not agree.</w:t>
      </w:r>
    </w:p>
    <w:p w14:paraId="36DFC130" w14:textId="0C1719FB" w:rsidR="00490F34" w:rsidRPr="00755A11" w:rsidRDefault="00490F34" w:rsidP="00003A29">
      <w:pPr>
        <w:pStyle w:val="BodyText"/>
        <w:spacing w:after="100"/>
      </w:pPr>
      <w:r w:rsidRPr="00755A11">
        <w:t>Substantive responses from submitters, as part of the survey or in separately uploaded documents, provided the following perspectives</w:t>
      </w:r>
      <w:r w:rsidR="008C578A">
        <w:t>:</w:t>
      </w:r>
    </w:p>
    <w:p w14:paraId="41032D26" w14:textId="40EC3CE4" w:rsidR="00490F34" w:rsidRPr="00755A11" w:rsidRDefault="00D002B6" w:rsidP="00003A29">
      <w:pPr>
        <w:pStyle w:val="Bullet"/>
        <w:spacing w:after="100"/>
      </w:pPr>
      <w:r w:rsidRPr="00755A11">
        <w:t>A</w:t>
      </w:r>
      <w:r w:rsidR="008A36C7" w:rsidRPr="00755A11">
        <w:t xml:space="preserve"> variety of views </w:t>
      </w:r>
      <w:r w:rsidRPr="00755A11">
        <w:t xml:space="preserve">were expressed </w:t>
      </w:r>
      <w:r w:rsidR="008A36C7" w:rsidRPr="00755A11">
        <w:t xml:space="preserve">on addressing historic actions, </w:t>
      </w:r>
      <w:r w:rsidR="00C24A8B" w:rsidRPr="00755A11">
        <w:t>al</w:t>
      </w:r>
      <w:r w:rsidR="008A36C7" w:rsidRPr="00755A11">
        <w:t>though general support</w:t>
      </w:r>
      <w:r w:rsidR="00C55E40">
        <w:t> </w:t>
      </w:r>
      <w:r w:rsidR="008A36C7" w:rsidRPr="00755A11">
        <w:t xml:space="preserve">of the Commission’s recommendations </w:t>
      </w:r>
      <w:r w:rsidR="000C1BB8" w:rsidRPr="00755A11">
        <w:t xml:space="preserve">as they relate to this issue </w:t>
      </w:r>
      <w:r w:rsidR="008A36C7" w:rsidRPr="00755A11">
        <w:t>remained a strong theme</w:t>
      </w:r>
      <w:r w:rsidR="00C24A8B" w:rsidRPr="00755A11">
        <w:t>.</w:t>
      </w:r>
    </w:p>
    <w:p w14:paraId="5F2C442F" w14:textId="1AD0CFCE" w:rsidR="008A36C7" w:rsidRPr="00755A11" w:rsidRDefault="008A36C7" w:rsidP="00003A29">
      <w:pPr>
        <w:pStyle w:val="Bullet"/>
      </w:pPr>
      <w:r w:rsidRPr="00755A11">
        <w:t xml:space="preserve">The </w:t>
      </w:r>
      <w:r w:rsidR="00B516C6" w:rsidRPr="00755A11">
        <w:t>split responses were large</w:t>
      </w:r>
      <w:r w:rsidR="00832C9C" w:rsidRPr="00755A11">
        <w:t>ly</w:t>
      </w:r>
      <w:r w:rsidR="00B516C6" w:rsidRPr="00755A11">
        <w:t xml:space="preserve"> driven by uncertainty around the intended meaning of</w:t>
      </w:r>
      <w:r w:rsidR="00C55E40">
        <w:t> </w:t>
      </w:r>
      <w:r w:rsidR="00B516C6" w:rsidRPr="00755A11">
        <w:t xml:space="preserve">‘historic </w:t>
      </w:r>
      <w:proofErr w:type="gramStart"/>
      <w:r w:rsidR="00B516C6" w:rsidRPr="00755A11">
        <w:t>actions</w:t>
      </w:r>
      <w:r w:rsidR="00FC5D29" w:rsidRPr="00755A11">
        <w:t>’</w:t>
      </w:r>
      <w:proofErr w:type="gramEnd"/>
      <w:r w:rsidR="00B516C6" w:rsidRPr="00755A11">
        <w:t xml:space="preserve">. Some submitters </w:t>
      </w:r>
      <w:r w:rsidR="001B5E3F" w:rsidRPr="00755A11">
        <w:t>interpreted this as changes to estimates of past emissions; some as past decisions made by the Government (</w:t>
      </w:r>
      <w:proofErr w:type="spellStart"/>
      <w:r w:rsidR="001B5E3F" w:rsidRPr="00755A11">
        <w:t>e</w:t>
      </w:r>
      <w:r w:rsidR="00E034BD">
        <w:t>g</w:t>
      </w:r>
      <w:proofErr w:type="spellEnd"/>
      <w:r w:rsidR="00E034BD">
        <w:t>,</w:t>
      </w:r>
      <w:r w:rsidR="001B5E3F" w:rsidRPr="00755A11">
        <w:t xml:space="preserve"> </w:t>
      </w:r>
      <w:r w:rsidR="00E003AB" w:rsidRPr="00755A11">
        <w:t xml:space="preserve">not </w:t>
      </w:r>
      <w:r w:rsidR="001B5E3F" w:rsidRPr="00755A11">
        <w:t xml:space="preserve">to adopt the Commission’s </w:t>
      </w:r>
      <w:r w:rsidR="000C1BB8" w:rsidRPr="00755A11">
        <w:t>advice); and a significant number explicitly called for clarification of terminology before any decisions are made in this space.</w:t>
      </w:r>
    </w:p>
    <w:p w14:paraId="44FFAF2E" w14:textId="77777777" w:rsidR="00407FFB" w:rsidRDefault="00407FFB" w:rsidP="00003A29">
      <w:pPr>
        <w:spacing w:before="0" w:after="160" w:line="259" w:lineRule="auto"/>
        <w:jc w:val="left"/>
        <w:rPr>
          <w:rFonts w:ascii="Georgia" w:eastAsiaTheme="majorEastAsia" w:hAnsi="Georgia" w:cstheme="majorBidi"/>
          <w:b/>
          <w:bCs/>
          <w:sz w:val="24"/>
        </w:rPr>
      </w:pPr>
      <w:r>
        <w:br w:type="page"/>
      </w:r>
    </w:p>
    <w:p w14:paraId="5FD66099" w14:textId="6FA917B7" w:rsidR="009F066A" w:rsidRPr="00755A11" w:rsidRDefault="00B6686C" w:rsidP="00003A29">
      <w:pPr>
        <w:pStyle w:val="Heading4"/>
      </w:pPr>
      <w:r w:rsidRPr="00755A11">
        <w:lastRenderedPageBreak/>
        <w:t>Question 12: What do you think of the methodology used to calculate auction volumes, including on each specific step?</w:t>
      </w:r>
    </w:p>
    <w:p w14:paraId="13166915" w14:textId="77777777" w:rsidR="00490F34" w:rsidRPr="00755A11" w:rsidRDefault="00490F34" w:rsidP="00003A29">
      <w:pPr>
        <w:pStyle w:val="BodyText"/>
      </w:pPr>
      <w:r w:rsidRPr="00755A11">
        <w:t>This question did not provide discrete options for selection.</w:t>
      </w:r>
    </w:p>
    <w:p w14:paraId="5DCA10E9" w14:textId="29CD5493" w:rsidR="00490F34" w:rsidRPr="00755A11" w:rsidRDefault="00490F34" w:rsidP="00003A29">
      <w:pPr>
        <w:pStyle w:val="BodyText"/>
      </w:pPr>
      <w:r w:rsidRPr="00755A11">
        <w:t>Substantive responses from submitters, as part of the survey or in separately uploaded documents, provided the following perspectives</w:t>
      </w:r>
      <w:r w:rsidR="008C578A">
        <w:t>:</w:t>
      </w:r>
    </w:p>
    <w:p w14:paraId="2BF7A305" w14:textId="404B23FB" w:rsidR="00490F34" w:rsidRPr="00755A11" w:rsidRDefault="001B7DC7" w:rsidP="00003A29">
      <w:pPr>
        <w:pStyle w:val="Bullet"/>
      </w:pPr>
      <w:r w:rsidRPr="00755A11">
        <w:t>G</w:t>
      </w:r>
      <w:r w:rsidR="00572187" w:rsidRPr="00755A11">
        <w:t xml:space="preserve">eneral support </w:t>
      </w:r>
      <w:r w:rsidRPr="00755A11">
        <w:t xml:space="preserve">was expressed </w:t>
      </w:r>
      <w:r w:rsidR="00874E79" w:rsidRPr="00755A11">
        <w:t xml:space="preserve">by most submitters </w:t>
      </w:r>
      <w:r w:rsidR="00572187" w:rsidRPr="00755A11">
        <w:t>for aligning with the Commission’s recommendations</w:t>
      </w:r>
      <w:r w:rsidR="00874E79" w:rsidRPr="00755A11">
        <w:t>.</w:t>
      </w:r>
    </w:p>
    <w:p w14:paraId="278D634F" w14:textId="3026783B" w:rsidR="00572187" w:rsidRPr="00755A11" w:rsidRDefault="00572187" w:rsidP="00003A29">
      <w:pPr>
        <w:pStyle w:val="Bullet"/>
      </w:pPr>
      <w:r w:rsidRPr="005656EB">
        <w:rPr>
          <w:spacing w:val="-2"/>
        </w:rPr>
        <w:t xml:space="preserve">Where submitters commented in detail on the </w:t>
      </w:r>
      <w:r w:rsidR="001D286F" w:rsidRPr="005656EB">
        <w:rPr>
          <w:spacing w:val="-2"/>
        </w:rPr>
        <w:t>accuracy</w:t>
      </w:r>
      <w:r w:rsidR="00874E79" w:rsidRPr="005656EB">
        <w:rPr>
          <w:spacing w:val="-2"/>
        </w:rPr>
        <w:t xml:space="preserve"> and</w:t>
      </w:r>
      <w:r w:rsidR="001D286F" w:rsidRPr="005656EB">
        <w:rPr>
          <w:spacing w:val="-2"/>
        </w:rPr>
        <w:t>/</w:t>
      </w:r>
      <w:r w:rsidR="00874E79" w:rsidRPr="005656EB">
        <w:rPr>
          <w:spacing w:val="-2"/>
        </w:rPr>
        <w:t xml:space="preserve">or </w:t>
      </w:r>
      <w:r w:rsidR="001D286F" w:rsidRPr="005656EB">
        <w:rPr>
          <w:spacing w:val="-2"/>
        </w:rPr>
        <w:t>validity of the methodology</w:t>
      </w:r>
      <w:r w:rsidR="001D286F" w:rsidRPr="00755A11">
        <w:t xml:space="preserve">, </w:t>
      </w:r>
      <w:r w:rsidR="00874E79" w:rsidRPr="00755A11">
        <w:t>several</w:t>
      </w:r>
      <w:r w:rsidR="001D286F" w:rsidRPr="00755A11">
        <w:t xml:space="preserve"> expressed that the details of the methodology itself were acceptable, but the</w:t>
      </w:r>
      <w:r w:rsidR="0036603A" w:rsidRPr="00755A11">
        <w:t>ir</w:t>
      </w:r>
      <w:r w:rsidR="001D286F" w:rsidRPr="00755A11">
        <w:t xml:space="preserve"> </w:t>
      </w:r>
      <w:r w:rsidR="00DC51EA" w:rsidRPr="00755A11">
        <w:t xml:space="preserve">use or implementation is where it </w:t>
      </w:r>
      <w:proofErr w:type="gramStart"/>
      <w:r w:rsidR="00DC51EA" w:rsidRPr="00755A11">
        <w:t>falls down</w:t>
      </w:r>
      <w:proofErr w:type="gramEnd"/>
      <w:r w:rsidR="00DC51EA" w:rsidRPr="00755A11">
        <w:t xml:space="preserve">. Subsequent comments </w:t>
      </w:r>
      <w:r w:rsidR="001C7433" w:rsidRPr="00755A11">
        <w:t>var</w:t>
      </w:r>
      <w:r w:rsidR="0036603A" w:rsidRPr="00755A11">
        <w:t>ied</w:t>
      </w:r>
      <w:r w:rsidR="001C7433" w:rsidRPr="00755A11">
        <w:t xml:space="preserve"> between support of the methodology and the steps, versus taking approaches outside of tweaks to auction volumes</w:t>
      </w:r>
      <w:r w:rsidR="00084486" w:rsidRPr="00755A11">
        <w:t>,</w:t>
      </w:r>
      <w:r w:rsidR="001C7433" w:rsidRPr="00755A11">
        <w:t xml:space="preserve"> with preference for </w:t>
      </w:r>
      <w:r w:rsidR="00EE77FF" w:rsidRPr="00755A11">
        <w:t xml:space="preserve">directly addressing insufficient emissions reductions </w:t>
      </w:r>
      <w:r w:rsidR="009036B5" w:rsidRPr="00755A11">
        <w:t>through</w:t>
      </w:r>
      <w:r w:rsidR="00084486" w:rsidRPr="00755A11">
        <w:t>, for example,</w:t>
      </w:r>
      <w:r w:rsidR="009036B5" w:rsidRPr="00755A11">
        <w:t xml:space="preserve"> reduced free allocation</w:t>
      </w:r>
      <w:r w:rsidR="002A3E52" w:rsidRPr="00755A11">
        <w:t xml:space="preserve"> and</w:t>
      </w:r>
      <w:r w:rsidR="009036B5" w:rsidRPr="00755A11">
        <w:t xml:space="preserve"> better management of the stockpile</w:t>
      </w:r>
      <w:r w:rsidR="00084486" w:rsidRPr="00755A11">
        <w:t>.</w:t>
      </w:r>
    </w:p>
    <w:p w14:paraId="7EBCDB1A" w14:textId="22C47A7C" w:rsidR="002A3E52" w:rsidRPr="00755A11" w:rsidRDefault="002A3E52" w:rsidP="00003A29">
      <w:pPr>
        <w:pStyle w:val="Bullet"/>
      </w:pPr>
      <w:r w:rsidRPr="00755A11">
        <w:t xml:space="preserve">Some submitters commented on </w:t>
      </w:r>
      <w:r w:rsidR="00F369CE" w:rsidRPr="00755A11">
        <w:t xml:space="preserve">the potential </w:t>
      </w:r>
      <w:r w:rsidRPr="00755A11">
        <w:t>inclu</w:t>
      </w:r>
      <w:r w:rsidR="00F369CE" w:rsidRPr="00755A11">
        <w:t>sion of</w:t>
      </w:r>
      <w:r w:rsidRPr="00755A11">
        <w:t xml:space="preserve"> </w:t>
      </w:r>
      <w:r w:rsidR="00F369CE" w:rsidRPr="00755A11">
        <w:t>international carbon credits, with mixed views on whether this would be positive or negative</w:t>
      </w:r>
      <w:r w:rsidR="00084486" w:rsidRPr="00755A11">
        <w:t>.</w:t>
      </w:r>
    </w:p>
    <w:p w14:paraId="6A820488" w14:textId="21736E8D" w:rsidR="00B6686C" w:rsidRPr="00755A11" w:rsidRDefault="004B5CD8" w:rsidP="00003A29">
      <w:pPr>
        <w:pStyle w:val="Bullet"/>
        <w:spacing w:after="160" w:line="259" w:lineRule="auto"/>
      </w:pPr>
      <w:r w:rsidRPr="00755A11">
        <w:t xml:space="preserve">A small number of </w:t>
      </w:r>
      <w:r w:rsidR="00E85349" w:rsidRPr="00755A11">
        <w:t xml:space="preserve">submitters </w:t>
      </w:r>
      <w:r w:rsidR="00C9493B" w:rsidRPr="00755A11">
        <w:t xml:space="preserve">responded to this question by </w:t>
      </w:r>
      <w:r w:rsidR="00D91912" w:rsidRPr="00755A11">
        <w:t>reiterating their support for</w:t>
      </w:r>
      <w:r w:rsidR="005656EB">
        <w:t> </w:t>
      </w:r>
      <w:r w:rsidR="00B02E72" w:rsidRPr="00755A11">
        <w:t xml:space="preserve">the ‘status quo’ </w:t>
      </w:r>
      <w:r w:rsidR="00D91912" w:rsidRPr="00755A11">
        <w:t>and</w:t>
      </w:r>
      <w:r w:rsidR="00B02E72" w:rsidRPr="00755A11">
        <w:t xml:space="preserve"> </w:t>
      </w:r>
      <w:r w:rsidR="00C9493B" w:rsidRPr="00755A11">
        <w:t>disagreeing with the premise behind the methodology (</w:t>
      </w:r>
      <w:proofErr w:type="spellStart"/>
      <w:r w:rsidR="00E034BD">
        <w:t>ie</w:t>
      </w:r>
      <w:proofErr w:type="spellEnd"/>
      <w:r w:rsidR="00E034BD">
        <w:t>,</w:t>
      </w:r>
      <w:r w:rsidR="00C9493B" w:rsidRPr="00755A11">
        <w:t xml:space="preserve"> not agreeing with the sub-step proposed in question 10)</w:t>
      </w:r>
      <w:r w:rsidR="00D91912" w:rsidRPr="00755A11">
        <w:t>.</w:t>
      </w:r>
      <w:r w:rsidR="004C3B01" w:rsidRPr="00755A11">
        <w:t xml:space="preserve"> </w:t>
      </w:r>
      <w:r w:rsidR="00B6686C" w:rsidRPr="00755A11">
        <w:br w:type="page"/>
      </w:r>
    </w:p>
    <w:p w14:paraId="02A1C7AF" w14:textId="20F3CA96" w:rsidR="00B6686C" w:rsidRPr="00755A11" w:rsidRDefault="00B6686C" w:rsidP="00003A29">
      <w:pPr>
        <w:pStyle w:val="Heading1"/>
      </w:pPr>
      <w:bookmarkStart w:id="15" w:name="_Toc141088982"/>
      <w:r w:rsidRPr="00755A11">
        <w:lastRenderedPageBreak/>
        <w:t>Update price control settings</w:t>
      </w:r>
      <w:bookmarkEnd w:id="15"/>
    </w:p>
    <w:p w14:paraId="7D85CEE0" w14:textId="512F09BF" w:rsidR="00B6686C" w:rsidRPr="00755A11" w:rsidRDefault="00ED7B49" w:rsidP="00003A29">
      <w:pPr>
        <w:pStyle w:val="Heading4"/>
        <w:spacing w:before="120"/>
      </w:pPr>
      <w:r w:rsidRPr="00755A11">
        <w:t>Question 13: To what extent do you believe that increasing the CCR</w:t>
      </w:r>
      <w:r w:rsidR="004C3B01" w:rsidRPr="00755A11">
        <w:t> </w:t>
      </w:r>
      <w:r w:rsidRPr="00755A11">
        <w:t>trigger price would influence NZU prices? Do you think that this</w:t>
      </w:r>
      <w:r w:rsidR="004C3B01" w:rsidRPr="00755A11">
        <w:t> </w:t>
      </w:r>
      <w:r w:rsidRPr="00755A11">
        <w:t>influence would remain if CCR trigger prices were increased more significantly?</w:t>
      </w:r>
    </w:p>
    <w:p w14:paraId="59CAE652" w14:textId="77777777" w:rsidR="00490F34" w:rsidRPr="00755A11" w:rsidRDefault="00490F34" w:rsidP="00003A29">
      <w:pPr>
        <w:pStyle w:val="BodyText"/>
      </w:pPr>
      <w:r w:rsidRPr="00755A11">
        <w:t>This question did not provide discrete options for selection.</w:t>
      </w:r>
    </w:p>
    <w:p w14:paraId="57F2AAA9" w14:textId="349A444A" w:rsidR="00490F34" w:rsidRPr="00755A11" w:rsidRDefault="00490F34" w:rsidP="00003A29">
      <w:pPr>
        <w:pStyle w:val="BodyText"/>
      </w:pPr>
      <w:r w:rsidRPr="00755A11">
        <w:t>Substantive responses from submitters, as part of the survey or in separately uploaded documents, provided the following perspectives</w:t>
      </w:r>
      <w:r w:rsidR="008C578A">
        <w:t>:</w:t>
      </w:r>
    </w:p>
    <w:p w14:paraId="0920EABD" w14:textId="55F4CF0B" w:rsidR="00A82862" w:rsidRPr="00755A11" w:rsidRDefault="002073CE" w:rsidP="00003A29">
      <w:pPr>
        <w:pStyle w:val="Bullet"/>
      </w:pPr>
      <w:r w:rsidRPr="00755A11">
        <w:t xml:space="preserve">Submitters varied </w:t>
      </w:r>
      <w:r w:rsidR="00940E05" w:rsidRPr="00755A11">
        <w:t>i</w:t>
      </w:r>
      <w:r w:rsidRPr="00755A11">
        <w:t>n their perspective</w:t>
      </w:r>
      <w:r w:rsidR="00FE4AB7" w:rsidRPr="00755A11">
        <w:t>s</w:t>
      </w:r>
      <w:r w:rsidRPr="00755A11">
        <w:t xml:space="preserve"> </w:t>
      </w:r>
      <w:r w:rsidR="00940E05" w:rsidRPr="00755A11">
        <w:t xml:space="preserve">on the extent to which the CCR trigger price would influence NZU prices. Many </w:t>
      </w:r>
      <w:r w:rsidR="0095572B" w:rsidRPr="00755A11">
        <w:t xml:space="preserve">nevertheless supported an approach that results in higher NZU prices. Their differences largely stemmed from </w:t>
      </w:r>
      <w:r w:rsidR="00791826" w:rsidRPr="00755A11">
        <w:t>multiple interpretations of ‘influence’:</w:t>
      </w:r>
    </w:p>
    <w:p w14:paraId="79EA1099" w14:textId="6AD66137" w:rsidR="00A82862" w:rsidRPr="00755A11" w:rsidRDefault="008C578A" w:rsidP="00003A29">
      <w:pPr>
        <w:pStyle w:val="Sub-list"/>
      </w:pPr>
      <w:r>
        <w:t>T</w:t>
      </w:r>
      <w:r w:rsidR="002C46F8" w:rsidRPr="00755A11">
        <w:t xml:space="preserve">hat </w:t>
      </w:r>
      <w:r w:rsidR="00791826" w:rsidRPr="00755A11">
        <w:t>a high CCR trigger price would have no</w:t>
      </w:r>
      <w:r w:rsidR="00A82862" w:rsidRPr="00755A11">
        <w:t xml:space="preserve"> or </w:t>
      </w:r>
      <w:r w:rsidR="00791826" w:rsidRPr="00755A11">
        <w:t xml:space="preserve">negligible influence because it would become less of a </w:t>
      </w:r>
      <w:r w:rsidR="00DD0A8C" w:rsidRPr="00755A11">
        <w:t xml:space="preserve">consideration in the secondary market and allow for price </w:t>
      </w:r>
      <w:proofErr w:type="gramStart"/>
      <w:r w:rsidR="00DD0A8C" w:rsidRPr="00755A11">
        <w:t>discovery</w:t>
      </w:r>
      <w:r>
        <w:t>;</w:t>
      </w:r>
      <w:proofErr w:type="gramEnd"/>
    </w:p>
    <w:p w14:paraId="1389EB31" w14:textId="27842603" w:rsidR="00490F34" w:rsidRPr="00755A11" w:rsidRDefault="008C578A" w:rsidP="00003A29">
      <w:pPr>
        <w:pStyle w:val="Sub-list"/>
      </w:pPr>
      <w:r>
        <w:t>O</w:t>
      </w:r>
      <w:r w:rsidR="002C46F8" w:rsidRPr="00755A11">
        <w:t xml:space="preserve">r </w:t>
      </w:r>
      <w:r w:rsidR="00DD0A8C" w:rsidRPr="00755A11">
        <w:t xml:space="preserve">the act of increasing the CCR trigger price </w:t>
      </w:r>
      <w:r w:rsidR="001B0E13" w:rsidRPr="00755A11">
        <w:t>constitutes</w:t>
      </w:r>
      <w:r w:rsidR="00DD0A8C" w:rsidRPr="00755A11">
        <w:t xml:space="preserve"> </w:t>
      </w:r>
      <w:r w:rsidR="001B0E13" w:rsidRPr="00755A11">
        <w:t>a ‘significant influence’</w:t>
      </w:r>
      <w:r w:rsidR="002C46F8" w:rsidRPr="00755A11">
        <w:t>.</w:t>
      </w:r>
    </w:p>
    <w:p w14:paraId="5463ADF4" w14:textId="77E6B334" w:rsidR="001B0E13" w:rsidRPr="00755A11" w:rsidRDefault="00237526" w:rsidP="00003A29">
      <w:pPr>
        <w:pStyle w:val="Bullet"/>
      </w:pPr>
      <w:r w:rsidRPr="00755A11">
        <w:t xml:space="preserve">Some submitters </w:t>
      </w:r>
      <w:r w:rsidR="00E522CF" w:rsidRPr="00755A11">
        <w:t xml:space="preserve">stated they did not believe the CCR trigger price </w:t>
      </w:r>
      <w:r w:rsidR="00E9019B" w:rsidRPr="00755A11">
        <w:t>was a significant influence on NZU prices regardless of its level, instead seeing factors such as total auction volumes as having a stronger impact</w:t>
      </w:r>
      <w:r w:rsidR="000D6D69" w:rsidRPr="00755A11">
        <w:t>.</w:t>
      </w:r>
    </w:p>
    <w:p w14:paraId="4CC6C64C" w14:textId="698E4481" w:rsidR="00E9019B" w:rsidRPr="00755A11" w:rsidRDefault="000D6D69" w:rsidP="00003A29">
      <w:pPr>
        <w:pStyle w:val="Bullet"/>
      </w:pPr>
      <w:r w:rsidRPr="005656EB">
        <w:rPr>
          <w:spacing w:val="-2"/>
        </w:rPr>
        <w:t>V</w:t>
      </w:r>
      <w:r w:rsidR="00D15F70" w:rsidRPr="005656EB">
        <w:rPr>
          <w:spacing w:val="-2"/>
        </w:rPr>
        <w:t xml:space="preserve">aried perspectives </w:t>
      </w:r>
      <w:r w:rsidRPr="005656EB">
        <w:rPr>
          <w:spacing w:val="-2"/>
        </w:rPr>
        <w:t xml:space="preserve">were expressed </w:t>
      </w:r>
      <w:r w:rsidR="00D15F70" w:rsidRPr="005656EB">
        <w:rPr>
          <w:spacing w:val="-2"/>
        </w:rPr>
        <w:t>on whether the ‘magnet effect’ of the trigger price was</w:t>
      </w:r>
      <w:r w:rsidR="00D15F70" w:rsidRPr="00755A11">
        <w:t xml:space="preserve"> </w:t>
      </w:r>
      <w:r w:rsidR="00DF5253" w:rsidRPr="00755A11">
        <w:t>real and whether an increased trigger price would have a greater or lesser magnet effect</w:t>
      </w:r>
      <w:r w:rsidR="00EA0846" w:rsidRPr="00755A11">
        <w:t>.</w:t>
      </w:r>
    </w:p>
    <w:p w14:paraId="5A3DF1AE" w14:textId="5843A5B1" w:rsidR="00DF5253" w:rsidRPr="00755A11" w:rsidRDefault="00DF5253" w:rsidP="00003A29">
      <w:pPr>
        <w:pStyle w:val="Bullet"/>
      </w:pPr>
      <w:r w:rsidRPr="00755A11">
        <w:t>Several submitters noted the trigger price is</w:t>
      </w:r>
      <w:r w:rsidR="00EA0846" w:rsidRPr="00755A11">
        <w:t xml:space="preserve"> or </w:t>
      </w:r>
      <w:r w:rsidRPr="00755A11">
        <w:t xml:space="preserve">should be only one </w:t>
      </w:r>
      <w:r w:rsidR="007E6A98" w:rsidRPr="00755A11">
        <w:t>factor in the determination of NZU prices and must not be assessed and set in isolation.</w:t>
      </w:r>
    </w:p>
    <w:p w14:paraId="75CE7C66" w14:textId="5316818E" w:rsidR="00ED7B49" w:rsidRPr="00755A11" w:rsidRDefault="00ED7B49" w:rsidP="00003A29">
      <w:pPr>
        <w:pStyle w:val="Heading4"/>
      </w:pPr>
      <w:r w:rsidRPr="00755A11">
        <w:t>Question 14: What do you think of the approach of setting price controls with reference to prices required to deliver gross emissions</w:t>
      </w:r>
      <w:r w:rsidR="004C3B01" w:rsidRPr="00755A11">
        <w:t> </w:t>
      </w:r>
      <w:r w:rsidRPr="00755A11">
        <w:t>reductions?</w:t>
      </w:r>
    </w:p>
    <w:p w14:paraId="5CF78136" w14:textId="77777777" w:rsidR="00490F34" w:rsidRPr="00755A11" w:rsidRDefault="00490F34" w:rsidP="00003A29">
      <w:pPr>
        <w:pStyle w:val="BodyText"/>
      </w:pPr>
      <w:r w:rsidRPr="00755A11">
        <w:t>This question did not provide discrete options for selection.</w:t>
      </w:r>
    </w:p>
    <w:p w14:paraId="084FEACE" w14:textId="1C28B747" w:rsidR="00490F34" w:rsidRPr="00755A11" w:rsidRDefault="00490F34" w:rsidP="00003A29">
      <w:pPr>
        <w:pStyle w:val="BodyText"/>
      </w:pPr>
      <w:r w:rsidRPr="00755A11">
        <w:t>Substantive responses from submitters, as part of the survey or in separately uploaded documents, provided the following perspectives</w:t>
      </w:r>
      <w:r w:rsidR="008C578A">
        <w:t>:</w:t>
      </w:r>
    </w:p>
    <w:p w14:paraId="31DC1496" w14:textId="6C926E7E" w:rsidR="00483C37" w:rsidRPr="00755A11" w:rsidRDefault="00097E12" w:rsidP="00003A29">
      <w:pPr>
        <w:pStyle w:val="Bullet"/>
      </w:pPr>
      <w:r w:rsidRPr="005656EB">
        <w:rPr>
          <w:spacing w:val="-2"/>
        </w:rPr>
        <w:t>Submitters to the consultation varied on whether they agreed with the proposed approac</w:t>
      </w:r>
      <w:r w:rsidRPr="00755A11">
        <w:t>h to setting price controls</w:t>
      </w:r>
      <w:r w:rsidR="005E5985" w:rsidRPr="00755A11">
        <w:t>,</w:t>
      </w:r>
      <w:r w:rsidRPr="00755A11">
        <w:t xml:space="preserve"> with reference to prices required to deliver gross reductions</w:t>
      </w:r>
      <w:r w:rsidR="005E5985" w:rsidRPr="00755A11">
        <w:t>.</w:t>
      </w:r>
    </w:p>
    <w:p w14:paraId="5CCBCCA5" w14:textId="393DB71E" w:rsidR="00097E12" w:rsidRPr="00755A11" w:rsidRDefault="00097E12" w:rsidP="00003A29">
      <w:pPr>
        <w:pStyle w:val="Bullet"/>
      </w:pPr>
      <w:r w:rsidRPr="00755A11">
        <w:t xml:space="preserve">Of those submitters whose </w:t>
      </w:r>
      <w:proofErr w:type="gramStart"/>
      <w:r w:rsidR="005E5985" w:rsidRPr="00755A11">
        <w:t xml:space="preserve">main </w:t>
      </w:r>
      <w:r w:rsidRPr="00755A11">
        <w:t>focus</w:t>
      </w:r>
      <w:proofErr w:type="gramEnd"/>
      <w:r w:rsidRPr="00755A11">
        <w:t xml:space="preserve"> was driving behaviour change and meeting targets, </w:t>
      </w:r>
      <w:r w:rsidR="00A352A1" w:rsidRPr="00755A11">
        <w:t>most</w:t>
      </w:r>
      <w:r w:rsidRPr="00755A11">
        <w:t xml:space="preserve"> agreed a focus on gross reductions is necessary, potentially through reflecting this in setting price controls or otherwise avoiding over</w:t>
      </w:r>
      <w:r w:rsidR="00A352A1" w:rsidRPr="00755A11">
        <w:t>-</w:t>
      </w:r>
      <w:r w:rsidRPr="00755A11">
        <w:t>reliance on afforestation</w:t>
      </w:r>
      <w:r w:rsidR="00A352A1" w:rsidRPr="00755A11">
        <w:t>.</w:t>
      </w:r>
    </w:p>
    <w:p w14:paraId="1176BFBE" w14:textId="67163F6E" w:rsidR="00097E12" w:rsidRPr="00755A11" w:rsidRDefault="00097E12" w:rsidP="00003A29">
      <w:pPr>
        <w:pStyle w:val="Bullet"/>
      </w:pPr>
      <w:r w:rsidRPr="00755A11">
        <w:t xml:space="preserve">Conversely, other submitters saw this approach as a departure from the Commission’s role in advising how to meet the net-zero target, and that the division of gross versus net reductions should fall to the market not the Government. These submitters were split between prioritising net reductions </w:t>
      </w:r>
      <w:r w:rsidR="00B0229B" w:rsidRPr="00755A11">
        <w:t xml:space="preserve">and </w:t>
      </w:r>
      <w:r w:rsidRPr="00755A11">
        <w:t>balancing gross</w:t>
      </w:r>
      <w:r w:rsidR="00BC28B6">
        <w:t xml:space="preserve"> and </w:t>
      </w:r>
      <w:r w:rsidRPr="00755A11">
        <w:t>net reductions</w:t>
      </w:r>
      <w:r w:rsidR="00B0229B" w:rsidRPr="00755A11">
        <w:t>.</w:t>
      </w:r>
    </w:p>
    <w:p w14:paraId="21EE19B2" w14:textId="3406ACF6" w:rsidR="00097E12" w:rsidRPr="00755A11" w:rsidRDefault="00097E12" w:rsidP="00003A29">
      <w:pPr>
        <w:pStyle w:val="Bullet"/>
      </w:pPr>
      <w:r w:rsidRPr="00755A11">
        <w:t xml:space="preserve">Some submitters agreed gross reductions were important but that setting price controls with reference to gross reductions would </w:t>
      </w:r>
      <w:r w:rsidR="0090543C" w:rsidRPr="00755A11">
        <w:t xml:space="preserve">instead </w:t>
      </w:r>
      <w:r w:rsidRPr="00755A11">
        <w:t>unintentionally drive afforestation, where difficult-to-abate emissions existed.</w:t>
      </w:r>
    </w:p>
    <w:p w14:paraId="4B8C8523" w14:textId="1A24D95B" w:rsidR="00ED7B49" w:rsidRPr="00755A11" w:rsidRDefault="00ED7B49" w:rsidP="00003A29">
      <w:pPr>
        <w:pStyle w:val="Heading4"/>
      </w:pPr>
      <w:r w:rsidRPr="00755A11">
        <w:lastRenderedPageBreak/>
        <w:t>Question 15: What do you think of the proposed auction price floor</w:t>
      </w:r>
      <w:r w:rsidR="004C3B01" w:rsidRPr="00755A11">
        <w:t> </w:t>
      </w:r>
      <w:r w:rsidRPr="00755A11">
        <w:t>settings? What impacts do you think will result from different</w:t>
      </w:r>
      <w:r w:rsidR="004C3B01" w:rsidRPr="00755A11">
        <w:t> </w:t>
      </w:r>
      <w:r w:rsidRPr="00755A11">
        <w:t>settings?</w:t>
      </w:r>
    </w:p>
    <w:p w14:paraId="47FBB41B" w14:textId="77777777" w:rsidR="00490F34" w:rsidRPr="00755A11" w:rsidRDefault="00490F34" w:rsidP="00003A29">
      <w:pPr>
        <w:pStyle w:val="BodyText"/>
      </w:pPr>
      <w:r w:rsidRPr="00755A11">
        <w:t>This question did not provide discrete options for selection.</w:t>
      </w:r>
    </w:p>
    <w:p w14:paraId="15C2C2E1" w14:textId="1F128148" w:rsidR="00490F34" w:rsidRPr="00755A11" w:rsidRDefault="00490F34" w:rsidP="00003A29">
      <w:pPr>
        <w:pStyle w:val="BodyText"/>
      </w:pPr>
      <w:r w:rsidRPr="00755A11">
        <w:t>Substantive responses from submitters, as part of the survey or in separately uploaded documents, provided the following perspectives</w:t>
      </w:r>
      <w:r w:rsidR="008C578A">
        <w:t>:</w:t>
      </w:r>
    </w:p>
    <w:p w14:paraId="52B3DD0D" w14:textId="3EB3F0D6" w:rsidR="000E5072" w:rsidRPr="00755A11" w:rsidRDefault="000E5072" w:rsidP="00003A29">
      <w:pPr>
        <w:pStyle w:val="Bullet"/>
      </w:pPr>
      <w:r w:rsidRPr="00755A11">
        <w:t>Submitters generally supported option 4, following the Commission’s recommendations if</w:t>
      </w:r>
      <w:r w:rsidR="00B10581">
        <w:t> </w:t>
      </w:r>
      <w:r w:rsidRPr="00755A11">
        <w:t>all years are updated</w:t>
      </w:r>
      <w:r w:rsidR="008024CF" w:rsidRPr="00755A11">
        <w:t>.</w:t>
      </w:r>
    </w:p>
    <w:p w14:paraId="593421D9" w14:textId="2653FB21" w:rsidR="000E5072" w:rsidRPr="00755A11" w:rsidRDefault="008024CF" w:rsidP="00003A29">
      <w:pPr>
        <w:pStyle w:val="Bullet"/>
      </w:pPr>
      <w:r w:rsidRPr="00755A11">
        <w:t>A</w:t>
      </w:r>
      <w:r w:rsidR="000E5072" w:rsidRPr="00755A11">
        <w:t xml:space="preserve"> small number of submitters supported options </w:t>
      </w:r>
      <w:r w:rsidR="00D9625F" w:rsidRPr="00755A11">
        <w:t>1</w:t>
      </w:r>
      <w:r w:rsidR="000E5072" w:rsidRPr="00755A11">
        <w:t xml:space="preserve">, </w:t>
      </w:r>
      <w:r w:rsidR="00D9625F" w:rsidRPr="00755A11">
        <w:t>2</w:t>
      </w:r>
      <w:r w:rsidR="000E5072" w:rsidRPr="00755A11">
        <w:t xml:space="preserve"> or </w:t>
      </w:r>
      <w:r w:rsidR="00D9625F" w:rsidRPr="00755A11">
        <w:t xml:space="preserve">3 </w:t>
      </w:r>
      <w:r w:rsidR="000E5072" w:rsidRPr="00755A11">
        <w:t>where they were concerned about creating an expectation of rapidly rising prices</w:t>
      </w:r>
      <w:r w:rsidR="00361E2D" w:rsidRPr="00755A11">
        <w:t>.</w:t>
      </w:r>
    </w:p>
    <w:p w14:paraId="19869B8E" w14:textId="52A4800B" w:rsidR="000E5072" w:rsidRPr="00755A11" w:rsidRDefault="000E5072" w:rsidP="00003A29">
      <w:pPr>
        <w:pStyle w:val="Bullet"/>
      </w:pPr>
      <w:r w:rsidRPr="00755A11">
        <w:t xml:space="preserve">In either case, submitters agreed that increasing the price floor would result in increased prices, with </w:t>
      </w:r>
      <w:r w:rsidR="00361E2D" w:rsidRPr="00755A11">
        <w:t>most</w:t>
      </w:r>
      <w:r w:rsidRPr="00755A11">
        <w:t xml:space="preserve"> disagreement centring on whether this was desirable to achieve gross and/or net reductions or would have negative market, economic or other impacts</w:t>
      </w:r>
      <w:r w:rsidR="00AD3757" w:rsidRPr="00755A11">
        <w:t>.</w:t>
      </w:r>
    </w:p>
    <w:p w14:paraId="0E37BAAB" w14:textId="22746EB5" w:rsidR="00631E55" w:rsidRPr="00755A11" w:rsidRDefault="00631E55" w:rsidP="00003A29">
      <w:pPr>
        <w:pStyle w:val="Bullet"/>
      </w:pPr>
      <w:r w:rsidRPr="00755A11">
        <w:t>Feedback from submitters showed little support for the mid-range options</w:t>
      </w:r>
      <w:r w:rsidR="0080049D" w:rsidRPr="00755A11">
        <w:t>,</w:t>
      </w:r>
      <w:r w:rsidRPr="00755A11">
        <w:t xml:space="preserve"> with </w:t>
      </w:r>
      <w:r w:rsidR="00187AEF" w:rsidRPr="00755A11">
        <w:t>most</w:t>
      </w:r>
      <w:r w:rsidRPr="00755A11">
        <w:t xml:space="preserve"> feedback supporting either the status quo or the Commission’s recommendations.</w:t>
      </w:r>
    </w:p>
    <w:p w14:paraId="22D87A7A" w14:textId="7E7A59DC" w:rsidR="00ED7B49" w:rsidRPr="00755A11" w:rsidRDefault="00ED7B49" w:rsidP="00003A29">
      <w:pPr>
        <w:pStyle w:val="Heading4"/>
      </w:pPr>
      <w:r w:rsidRPr="00755A11">
        <w:t>Question 16: Do you think the cost containment reserve should be</w:t>
      </w:r>
      <w:r w:rsidR="004C3B01" w:rsidRPr="00755A11">
        <w:t> </w:t>
      </w:r>
      <w:r w:rsidRPr="00755A11">
        <w:t>disabled by having no reserve volume?</w:t>
      </w:r>
    </w:p>
    <w:p w14:paraId="352E5257" w14:textId="222F17FD" w:rsidR="004F7581" w:rsidRPr="00755A11" w:rsidRDefault="004F7581" w:rsidP="00003A29">
      <w:pPr>
        <w:pStyle w:val="BodyText"/>
      </w:pPr>
      <w:r w:rsidRPr="00755A11">
        <w:t xml:space="preserve">Of those submitters who selected an option in response to this question, </w:t>
      </w:r>
      <w:r w:rsidR="003623D4" w:rsidRPr="00755A11">
        <w:t>most</w:t>
      </w:r>
      <w:r w:rsidRPr="00755A11">
        <w:t xml:space="preserve"> disagreed with disabling the CCR by having no reserve volume. Several submitters agreed or</w:t>
      </w:r>
      <w:r w:rsidR="004C3B01" w:rsidRPr="00755A11">
        <w:t> </w:t>
      </w:r>
      <w:r w:rsidRPr="00755A11">
        <w:t>were unsure.</w:t>
      </w:r>
    </w:p>
    <w:p w14:paraId="69A7880C" w14:textId="3FCB8A52" w:rsidR="004F7581" w:rsidRPr="00755A11" w:rsidRDefault="004F7581" w:rsidP="00003A29">
      <w:pPr>
        <w:pStyle w:val="BodyText"/>
      </w:pPr>
      <w:r w:rsidRPr="00755A11">
        <w:t>Substantive responses from submitters, as part of the survey or in separately uploaded documents, provided the following perspectives</w:t>
      </w:r>
      <w:r w:rsidR="008C578A">
        <w:t>:</w:t>
      </w:r>
    </w:p>
    <w:p w14:paraId="1DC96D07" w14:textId="5B12429F" w:rsidR="00B55300" w:rsidRPr="00755A11" w:rsidRDefault="007D70D3" w:rsidP="00003A29">
      <w:pPr>
        <w:pStyle w:val="Bullet"/>
      </w:pPr>
      <w:r w:rsidRPr="00755A11">
        <w:t xml:space="preserve">Submitter views were mostly aligned </w:t>
      </w:r>
      <w:r w:rsidR="00483C37" w:rsidRPr="00755A11">
        <w:t xml:space="preserve">in </w:t>
      </w:r>
      <w:r w:rsidRPr="00755A11">
        <w:t>support</w:t>
      </w:r>
      <w:r w:rsidR="00483C37" w:rsidRPr="00755A11">
        <w:t xml:space="preserve"> of</w:t>
      </w:r>
      <w:r w:rsidRPr="00755A11">
        <w:t xml:space="preserve"> the CCR remaining in place</w:t>
      </w:r>
      <w:r w:rsidR="007112F0" w:rsidRPr="00755A11">
        <w:t>.</w:t>
      </w:r>
    </w:p>
    <w:p w14:paraId="4ACB868B" w14:textId="6549FA35" w:rsidR="00B55300" w:rsidRPr="00755A11" w:rsidRDefault="00B55300" w:rsidP="00003A29">
      <w:pPr>
        <w:pStyle w:val="Bullet"/>
      </w:pPr>
      <w:r w:rsidRPr="00755A11">
        <w:t xml:space="preserve">Submitters generally expressed </w:t>
      </w:r>
      <w:r w:rsidR="007D70D3" w:rsidRPr="00755A11">
        <w:t>that</w:t>
      </w:r>
      <w:r w:rsidR="00584755" w:rsidRPr="00755A11">
        <w:t>, at present,</w:t>
      </w:r>
      <w:r w:rsidR="007D70D3" w:rsidRPr="00755A11">
        <w:t xml:space="preserve"> the CCR plays an important role in mitigating extreme market conditions, however, there were differences in opinion regarding the appropriate trigger price level</w:t>
      </w:r>
      <w:r w:rsidR="007112F0" w:rsidRPr="00755A11">
        <w:t>.</w:t>
      </w:r>
    </w:p>
    <w:p w14:paraId="1B499DA3" w14:textId="67B66E4E" w:rsidR="00B55300" w:rsidRPr="00755A11" w:rsidRDefault="007D70D3" w:rsidP="00003A29">
      <w:pPr>
        <w:pStyle w:val="Bullet"/>
      </w:pPr>
      <w:r w:rsidRPr="00755A11">
        <w:t>Some submitters expressed support for the CCR being disabled in future but were comfortable deferring to the Commission’s advice for now</w:t>
      </w:r>
      <w:r w:rsidR="00760217" w:rsidRPr="00755A11">
        <w:t>.</w:t>
      </w:r>
    </w:p>
    <w:p w14:paraId="3BE76102" w14:textId="7853F0A8" w:rsidR="007D70D3" w:rsidRPr="00755A11" w:rsidRDefault="007D70D3" w:rsidP="00003A29">
      <w:pPr>
        <w:pStyle w:val="Bullet"/>
      </w:pPr>
      <w:r w:rsidRPr="00755A11">
        <w:t xml:space="preserve">A smaller portion of submitters argued for the removal of the CCR stating that supply and demand should set the price and the CCR is a risk to achieving </w:t>
      </w:r>
      <w:r w:rsidR="00B55300" w:rsidRPr="00755A11">
        <w:t>Aotearoa</w:t>
      </w:r>
      <w:r w:rsidR="00760217" w:rsidRPr="00755A11">
        <w:t xml:space="preserve"> New Zealand</w:t>
      </w:r>
      <w:r w:rsidRPr="00755A11">
        <w:t>’s required emissions reductions</w:t>
      </w:r>
      <w:r w:rsidR="00760217" w:rsidRPr="00755A11">
        <w:t>.</w:t>
      </w:r>
    </w:p>
    <w:p w14:paraId="033A0180" w14:textId="5845FF0A" w:rsidR="00F90EAE" w:rsidRPr="00755A11" w:rsidRDefault="00B55300" w:rsidP="00003A29">
      <w:pPr>
        <w:pStyle w:val="Bullet"/>
      </w:pPr>
      <w:r w:rsidRPr="00755A11">
        <w:t>F</w:t>
      </w:r>
      <w:r w:rsidR="00F90EAE" w:rsidRPr="00755A11">
        <w:t>eedback from submitters showed little support for the mid-range options</w:t>
      </w:r>
      <w:r w:rsidR="005245D9" w:rsidRPr="00755A11">
        <w:t>,</w:t>
      </w:r>
      <w:r w:rsidR="00F90EAE" w:rsidRPr="00755A11">
        <w:t xml:space="preserve"> with </w:t>
      </w:r>
      <w:r w:rsidR="00760217" w:rsidRPr="00755A11">
        <w:t>most</w:t>
      </w:r>
      <w:r w:rsidR="00721E4F" w:rsidRPr="00755A11">
        <w:t xml:space="preserve"> feedback supporting either the status quo or the Commission’s recommendations.</w:t>
      </w:r>
    </w:p>
    <w:p w14:paraId="1A261F69" w14:textId="77777777" w:rsidR="00706066" w:rsidRDefault="00706066" w:rsidP="00003A29">
      <w:pPr>
        <w:spacing w:before="0" w:after="160" w:line="259" w:lineRule="auto"/>
        <w:jc w:val="left"/>
        <w:rPr>
          <w:rFonts w:ascii="Georgia" w:eastAsiaTheme="majorEastAsia" w:hAnsi="Georgia" w:cstheme="majorBidi"/>
          <w:b/>
          <w:bCs/>
          <w:sz w:val="24"/>
        </w:rPr>
      </w:pPr>
      <w:r>
        <w:br w:type="page"/>
      </w:r>
    </w:p>
    <w:p w14:paraId="458B6110" w14:textId="04E6826C" w:rsidR="00ED7B49" w:rsidRPr="00755A11" w:rsidRDefault="00ED7B49" w:rsidP="00003A29">
      <w:pPr>
        <w:pStyle w:val="Heading4"/>
      </w:pPr>
      <w:r w:rsidRPr="00755A11">
        <w:lastRenderedPageBreak/>
        <w:t>Question 17: If retained, do you think the cost containment reserve</w:t>
      </w:r>
      <w:r w:rsidR="004C3B01" w:rsidRPr="00755A11">
        <w:t> </w:t>
      </w:r>
      <w:r w:rsidRPr="00755A11">
        <w:t>should consist of one or two tiers?</w:t>
      </w:r>
    </w:p>
    <w:p w14:paraId="05EA5455" w14:textId="0510D18F" w:rsidR="004F7581" w:rsidRPr="00755A11" w:rsidRDefault="004F7581" w:rsidP="00003A29">
      <w:pPr>
        <w:pStyle w:val="BodyText"/>
      </w:pPr>
      <w:r w:rsidRPr="00755A11">
        <w:t xml:space="preserve">Of those submitters who selected an option in response to this question, </w:t>
      </w:r>
      <w:r w:rsidR="0090063F" w:rsidRPr="00755A11">
        <w:t>most</w:t>
      </w:r>
      <w:r w:rsidRPr="00755A11">
        <w:t xml:space="preserve"> preferred </w:t>
      </w:r>
      <w:r w:rsidR="0020531E" w:rsidRPr="00755A11">
        <w:t>a two-tier approach to the CCR, with a minority supporting a one-tier approach</w:t>
      </w:r>
      <w:r w:rsidRPr="00755A11">
        <w:t>.</w:t>
      </w:r>
      <w:r w:rsidR="0020531E" w:rsidRPr="00755A11">
        <w:t xml:space="preserve"> These were the only two selectable options.</w:t>
      </w:r>
    </w:p>
    <w:p w14:paraId="499D78A3" w14:textId="6CEB12FF" w:rsidR="00ED7B49" w:rsidRPr="00755A11" w:rsidRDefault="00ED7B49" w:rsidP="00003A29">
      <w:pPr>
        <w:pStyle w:val="Heading4"/>
      </w:pPr>
      <w:r w:rsidRPr="00755A11">
        <w:t>Question 18: If a technical adjustment is included as part of the stockpile reduction component of auction volumes, should this technical adjustment amount be included in the total cost containment reserve volume?</w:t>
      </w:r>
    </w:p>
    <w:p w14:paraId="02B3F7DD" w14:textId="050007ED" w:rsidR="002A4892" w:rsidRPr="00755A11" w:rsidRDefault="002A4892" w:rsidP="00003A29">
      <w:pPr>
        <w:pStyle w:val="BodyText"/>
      </w:pPr>
      <w:r w:rsidRPr="00755A11">
        <w:t xml:space="preserve">Of those submitters who selected an option in response to this question, </w:t>
      </w:r>
      <w:r w:rsidR="00F42D42" w:rsidRPr="00755A11">
        <w:t xml:space="preserve">feedback </w:t>
      </w:r>
      <w:r w:rsidRPr="00755A11">
        <w:t>was a split between</w:t>
      </w:r>
      <w:r w:rsidR="00E35413" w:rsidRPr="00755A11">
        <w:t xml:space="preserve"> supporting and not supporting</w:t>
      </w:r>
      <w:r w:rsidR="00D47DE7" w:rsidRPr="00755A11">
        <w:t>,</w:t>
      </w:r>
      <w:r w:rsidR="00E35413" w:rsidRPr="00755A11">
        <w:t xml:space="preserve"> including a technical adjustment in the CCR volume. </w:t>
      </w:r>
      <w:r w:rsidR="001543B5" w:rsidRPr="00755A11">
        <w:t>Most</w:t>
      </w:r>
      <w:r w:rsidR="00E35413" w:rsidRPr="00755A11">
        <w:t xml:space="preserve"> respondent</w:t>
      </w:r>
      <w:r w:rsidR="009C2641" w:rsidRPr="00755A11">
        <w:t>s</w:t>
      </w:r>
      <w:r w:rsidR="00E35413" w:rsidRPr="00755A11">
        <w:t>, however, were unsure.</w:t>
      </w:r>
    </w:p>
    <w:p w14:paraId="6F9654F1" w14:textId="2ED58977" w:rsidR="00ED7B49" w:rsidRPr="00755A11" w:rsidRDefault="00BF3B27" w:rsidP="00003A29">
      <w:pPr>
        <w:pStyle w:val="Heading4"/>
      </w:pPr>
      <w:r w:rsidRPr="00755A11">
        <w:t>Question 19: If a multi-tier cost containment reserve is progressed, how should the volume of units in these tiers be decided on?</w:t>
      </w:r>
    </w:p>
    <w:p w14:paraId="741A163B" w14:textId="77777777" w:rsidR="00490F34" w:rsidRPr="00755A11" w:rsidRDefault="00490F34" w:rsidP="00003A29">
      <w:pPr>
        <w:pStyle w:val="BodyText"/>
      </w:pPr>
      <w:r w:rsidRPr="00755A11">
        <w:t>This question did not provide discrete options for selection.</w:t>
      </w:r>
    </w:p>
    <w:p w14:paraId="02DA2E8F" w14:textId="507CE49F" w:rsidR="0082005B" w:rsidRPr="00755A11" w:rsidRDefault="0082005B" w:rsidP="00003A29">
      <w:pPr>
        <w:pStyle w:val="Heading4"/>
      </w:pPr>
      <w:r w:rsidRPr="00755A11">
        <w:t>Detailed feedback on questions 17–19</w:t>
      </w:r>
    </w:p>
    <w:p w14:paraId="0738CDB0" w14:textId="018B9342" w:rsidR="0082005B" w:rsidRPr="00755A11" w:rsidRDefault="0082005B" w:rsidP="00003A29">
      <w:pPr>
        <w:pStyle w:val="BodyText"/>
      </w:pPr>
      <w:r w:rsidRPr="00755A11">
        <w:t xml:space="preserve">Substantive responses from submitters as part of the survey or in separately uploaded documents, which tended to cover issues across </w:t>
      </w:r>
      <w:r w:rsidR="0039285B" w:rsidRPr="00755A11">
        <w:t>these</w:t>
      </w:r>
      <w:r w:rsidRPr="00755A11">
        <w:t xml:space="preserve"> questions, provided the following perspectives</w:t>
      </w:r>
      <w:r w:rsidR="008C578A">
        <w:t>:</w:t>
      </w:r>
    </w:p>
    <w:p w14:paraId="2D90B783" w14:textId="09A3AFF3" w:rsidR="0082005B" w:rsidRPr="00755A11" w:rsidRDefault="00242227" w:rsidP="00003A29">
      <w:pPr>
        <w:pStyle w:val="Bullet"/>
      </w:pPr>
      <w:r w:rsidRPr="00755A11">
        <w:t xml:space="preserve">Consistent with other </w:t>
      </w:r>
      <w:r w:rsidR="00FC4411" w:rsidRPr="00755A11">
        <w:t>areas of feedback, most submitters voiced support for following the</w:t>
      </w:r>
      <w:r w:rsidR="00B10581">
        <w:t> </w:t>
      </w:r>
      <w:r w:rsidR="00FC4411" w:rsidRPr="00755A11">
        <w:t>Commission’s recommendations</w:t>
      </w:r>
      <w:r w:rsidR="009D122E" w:rsidRPr="00755A11">
        <w:t>.</w:t>
      </w:r>
    </w:p>
    <w:p w14:paraId="06EEE8D3" w14:textId="2B03ACB0" w:rsidR="00FC4411" w:rsidRPr="00755A11" w:rsidRDefault="009D122E" w:rsidP="00003A29">
      <w:pPr>
        <w:pStyle w:val="Bullet"/>
      </w:pPr>
      <w:r w:rsidRPr="00755A11">
        <w:t>Several</w:t>
      </w:r>
      <w:r w:rsidR="00C12E2B" w:rsidRPr="00755A11">
        <w:t xml:space="preserve"> submitters cited the increased complexity that </w:t>
      </w:r>
      <w:r w:rsidR="008E0264" w:rsidRPr="00755A11">
        <w:t xml:space="preserve">a two-tier </w:t>
      </w:r>
      <w:r w:rsidR="005B0C7F" w:rsidRPr="00755A11">
        <w:t xml:space="preserve">CCR </w:t>
      </w:r>
      <w:r w:rsidR="00C12E2B" w:rsidRPr="00755A11">
        <w:t>would introduce to</w:t>
      </w:r>
      <w:r w:rsidR="00B10581">
        <w:t> </w:t>
      </w:r>
      <w:r w:rsidR="00C12E2B" w:rsidRPr="00755A11">
        <w:t xml:space="preserve">the NZ ETS, on top of existing complexity for participants. Submitters with this view </w:t>
      </w:r>
      <w:r w:rsidR="00F41E44" w:rsidRPr="00755A11">
        <w:t xml:space="preserve">appeared to vary across whether they supported simplicity as a way of making </w:t>
      </w:r>
      <w:r w:rsidR="00F135D3" w:rsidRPr="00755A11">
        <w:t>the pathway for necessary emissions reductions clearer</w:t>
      </w:r>
      <w:r w:rsidR="00D066CE" w:rsidRPr="00755A11">
        <w:t>,</w:t>
      </w:r>
      <w:r w:rsidR="00F135D3" w:rsidRPr="00755A11">
        <w:t xml:space="preserve"> and avoiding further regulatory uncertainty, or supported </w:t>
      </w:r>
      <w:r w:rsidR="00C5577D" w:rsidRPr="00755A11">
        <w:t>a single-tier approach as part of a general preference for maintaining the status quo</w:t>
      </w:r>
      <w:r w:rsidR="00CF6AF4" w:rsidRPr="00755A11">
        <w:t>.</w:t>
      </w:r>
    </w:p>
    <w:p w14:paraId="0F7C40F7" w14:textId="76C7FF7B" w:rsidR="00C5577D" w:rsidRPr="00755A11" w:rsidRDefault="00420523" w:rsidP="00003A29">
      <w:pPr>
        <w:pStyle w:val="Bullet"/>
      </w:pPr>
      <w:r w:rsidRPr="00755A11">
        <w:t>One submitter stated that the</w:t>
      </w:r>
      <w:r w:rsidR="00BC28B6">
        <w:t xml:space="preserve"> Climate Change Response</w:t>
      </w:r>
      <w:r w:rsidRPr="00755A11">
        <w:t xml:space="preserve"> Act</w:t>
      </w:r>
      <w:r w:rsidR="00BC28B6">
        <w:t xml:space="preserve"> 2002</w:t>
      </w:r>
      <w:r w:rsidRPr="00755A11">
        <w:t xml:space="preserve"> ought to specify </w:t>
      </w:r>
      <w:r w:rsidR="00467A00" w:rsidRPr="00755A11">
        <w:t>a clearer purpose for the CCR</w:t>
      </w:r>
      <w:r w:rsidR="00EC4898" w:rsidRPr="00755A11">
        <w:t>,</w:t>
      </w:r>
      <w:r w:rsidR="00467A00" w:rsidRPr="00755A11">
        <w:t xml:space="preserve"> if settings are to be established that are intended to stop prices from rising too high</w:t>
      </w:r>
      <w:r w:rsidR="00E15308" w:rsidRPr="00755A11">
        <w:t>.</w:t>
      </w:r>
    </w:p>
    <w:p w14:paraId="1780A73B" w14:textId="56D8D2F0" w:rsidR="0085398E" w:rsidRPr="00755A11" w:rsidRDefault="0085398E" w:rsidP="00003A29">
      <w:pPr>
        <w:pStyle w:val="Bullet"/>
      </w:pPr>
      <w:r w:rsidRPr="00755A11">
        <w:t xml:space="preserve">In line with the Commission’s advice, </w:t>
      </w:r>
      <w:r w:rsidR="00E15308" w:rsidRPr="00755A11">
        <w:t>most submitters</w:t>
      </w:r>
      <w:r w:rsidR="00FE22A5" w:rsidRPr="00755A11">
        <w:t xml:space="preserve"> support</w:t>
      </w:r>
      <w:r w:rsidR="00E15308" w:rsidRPr="00755A11">
        <w:t>ed</w:t>
      </w:r>
      <w:r w:rsidR="00FE22A5" w:rsidRPr="00755A11">
        <w:t xml:space="preserve"> not making technical adjustments as part of stockpile reduction</w:t>
      </w:r>
      <w:r w:rsidR="00E15308" w:rsidRPr="00755A11">
        <w:t>.</w:t>
      </w:r>
    </w:p>
    <w:p w14:paraId="54F80697" w14:textId="41384FDC" w:rsidR="001B071A" w:rsidRPr="00755A11" w:rsidRDefault="005878F7" w:rsidP="00003A29">
      <w:pPr>
        <w:pStyle w:val="Bullet"/>
      </w:pPr>
      <w:r w:rsidRPr="00755A11">
        <w:t>S</w:t>
      </w:r>
      <w:r w:rsidR="001B071A" w:rsidRPr="00755A11">
        <w:t>ome submitters</w:t>
      </w:r>
      <w:r w:rsidR="00E15308" w:rsidRPr="00755A11">
        <w:t xml:space="preserve">, however, </w:t>
      </w:r>
      <w:r w:rsidR="001B071A" w:rsidRPr="00755A11">
        <w:t xml:space="preserve">preferred that, if technical adjustment </w:t>
      </w:r>
      <w:r w:rsidR="00497406" w:rsidRPr="00755A11">
        <w:t>were</w:t>
      </w:r>
      <w:r w:rsidR="001B071A" w:rsidRPr="00755A11">
        <w:t xml:space="preserve"> to take place, this</w:t>
      </w:r>
      <w:r w:rsidR="00B10581">
        <w:t> </w:t>
      </w:r>
      <w:r w:rsidR="001B071A" w:rsidRPr="00755A11">
        <w:t xml:space="preserve">ought to be done through the CCR rather than </w:t>
      </w:r>
      <w:r w:rsidR="00D376FC" w:rsidRPr="00755A11">
        <w:t xml:space="preserve">via </w:t>
      </w:r>
      <w:r w:rsidR="001B071A" w:rsidRPr="00755A11">
        <w:t>another measure</w:t>
      </w:r>
      <w:r w:rsidRPr="00755A11">
        <w:t>.</w:t>
      </w:r>
    </w:p>
    <w:p w14:paraId="31265960" w14:textId="37485BC3" w:rsidR="001B071A" w:rsidRPr="00755A11" w:rsidRDefault="00A00551" w:rsidP="00003A29">
      <w:pPr>
        <w:pStyle w:val="Bullet"/>
      </w:pPr>
      <w:r w:rsidRPr="00755A11">
        <w:t xml:space="preserve">Feedback varied on </w:t>
      </w:r>
      <w:r w:rsidR="0031152E" w:rsidRPr="00755A11">
        <w:t>how the tiers should be determined, and most responses to this topic</w:t>
      </w:r>
      <w:r w:rsidR="004C3B01" w:rsidRPr="00755A11">
        <w:t> </w:t>
      </w:r>
      <w:r w:rsidR="0031152E" w:rsidRPr="00755A11">
        <w:t>simply reiterated their previously stated support for the Commission’s advice or lack</w:t>
      </w:r>
      <w:r w:rsidR="004C3B01" w:rsidRPr="00755A11">
        <w:t> </w:t>
      </w:r>
      <w:r w:rsidR="0031152E" w:rsidRPr="00755A11">
        <w:t>thereof.</w:t>
      </w:r>
    </w:p>
    <w:p w14:paraId="66640C34" w14:textId="2C6EB133" w:rsidR="00BF3B27" w:rsidRPr="00755A11" w:rsidRDefault="00BF3B27" w:rsidP="00003A29">
      <w:pPr>
        <w:pStyle w:val="Heading4"/>
      </w:pPr>
      <w:r w:rsidRPr="00755A11">
        <w:lastRenderedPageBreak/>
        <w:t>Question 20: What do you think of the proposed cost containment reserve trigger price settings? What impacts do you think will result from different settings?</w:t>
      </w:r>
    </w:p>
    <w:p w14:paraId="21038424" w14:textId="77777777" w:rsidR="00490F34" w:rsidRPr="00755A11" w:rsidRDefault="00490F34" w:rsidP="00003A29">
      <w:pPr>
        <w:pStyle w:val="BodyText"/>
      </w:pPr>
      <w:r w:rsidRPr="00755A11">
        <w:t>This question did not provide discrete options for selection.</w:t>
      </w:r>
    </w:p>
    <w:p w14:paraId="1EF128BB" w14:textId="3A92C88F" w:rsidR="00490F34" w:rsidRPr="00755A11" w:rsidRDefault="00490F34" w:rsidP="00003A29">
      <w:pPr>
        <w:pStyle w:val="BodyText"/>
      </w:pPr>
      <w:r w:rsidRPr="00755A11">
        <w:t>Substantive responses from submitters, as part of the survey or in separately uploaded documents, provided the following perspectives</w:t>
      </w:r>
      <w:r w:rsidR="008C578A">
        <w:t>:</w:t>
      </w:r>
    </w:p>
    <w:p w14:paraId="4862D315" w14:textId="1978815D" w:rsidR="00680936" w:rsidRPr="00755A11" w:rsidRDefault="009F4C15" w:rsidP="00003A29">
      <w:pPr>
        <w:pStyle w:val="Bullet"/>
      </w:pPr>
      <w:r w:rsidRPr="00755A11">
        <w:t>Most</w:t>
      </w:r>
      <w:r w:rsidR="00680936" w:rsidRPr="00755A11">
        <w:t xml:space="preserve"> submitters supported options 4 or 5, either supporting the Commission’s recommended low tier trigger or high tier trigger, but in both cases supporting an increase in the CCR trigger price. These submitters tended to highlight either the positive impact of</w:t>
      </w:r>
      <w:r w:rsidR="00B10581">
        <w:t> </w:t>
      </w:r>
      <w:r w:rsidR="00680936" w:rsidRPr="00755A11">
        <w:t>a general increase in prices for achieving gross and/or net emissions reductions, or because of the effects on the market: for example, “the Commission’s recommended low and high triggers […] are the only options that offer sufficiently high trigger prices to limit the risks and impacts of the price controlling mechanism</w:t>
      </w:r>
      <w:r w:rsidR="00B164E6" w:rsidRPr="00755A11">
        <w:t>”</w:t>
      </w:r>
      <w:r w:rsidR="00680936" w:rsidRPr="00755A11">
        <w:t>. These submitters generally saw options 1, 2</w:t>
      </w:r>
      <w:r w:rsidR="00CC26CF">
        <w:t>,</w:t>
      </w:r>
      <w:r w:rsidR="00680936" w:rsidRPr="00755A11">
        <w:t xml:space="preserve"> and 3 as more likely to result in the possible ‘magnet’ effect</w:t>
      </w:r>
      <w:r w:rsidR="002432E0" w:rsidRPr="00755A11">
        <w:t>.</w:t>
      </w:r>
    </w:p>
    <w:p w14:paraId="0B40850D" w14:textId="5F3D0BB9" w:rsidR="00D522E1" w:rsidRPr="00755A11" w:rsidRDefault="00C53CCE" w:rsidP="00003A29">
      <w:pPr>
        <w:pStyle w:val="Bullet"/>
      </w:pPr>
      <w:r w:rsidRPr="00755A11">
        <w:t xml:space="preserve">Submitters </w:t>
      </w:r>
      <w:r w:rsidR="002432E0" w:rsidRPr="00755A11">
        <w:t xml:space="preserve">who </w:t>
      </w:r>
      <w:r w:rsidRPr="00755A11">
        <w:t>did not support the Commission’s recommendation</w:t>
      </w:r>
      <w:r w:rsidR="00D603A0" w:rsidRPr="00755A11">
        <w:t xml:space="preserve">s, or otherwise stated support for </w:t>
      </w:r>
      <w:r w:rsidR="00261F1B" w:rsidRPr="00755A11">
        <w:t>options 1, 2 or 3</w:t>
      </w:r>
      <w:r w:rsidRPr="00755A11">
        <w:t>, generally supported the status quo settings. The</w:t>
      </w:r>
      <w:r w:rsidR="00D603A0" w:rsidRPr="00755A11">
        <w:t>y were c</w:t>
      </w:r>
      <w:r w:rsidRPr="00755A11">
        <w:t>oncern</w:t>
      </w:r>
      <w:r w:rsidR="00D603A0" w:rsidRPr="00755A11">
        <w:t>ed</w:t>
      </w:r>
      <w:r w:rsidRPr="00755A11">
        <w:t xml:space="preserve"> that the Commission’s option could create rapidly rising prices, noting this could have unacceptable market, economic or other impacts</w:t>
      </w:r>
      <w:r w:rsidR="00261F1B" w:rsidRPr="00755A11">
        <w:t>.</w:t>
      </w:r>
    </w:p>
    <w:p w14:paraId="78D292FF" w14:textId="453CEA29" w:rsidR="00BF3B27" w:rsidRPr="00755A11" w:rsidRDefault="00BF3B27" w:rsidP="00003A29">
      <w:pPr>
        <w:spacing w:before="0" w:after="160" w:line="259" w:lineRule="auto"/>
        <w:jc w:val="left"/>
      </w:pPr>
      <w:r w:rsidRPr="00755A11">
        <w:br w:type="page"/>
      </w:r>
    </w:p>
    <w:p w14:paraId="73B27D43" w14:textId="37F6A79C" w:rsidR="00BF3B27" w:rsidRPr="00755A11" w:rsidRDefault="00BF3B27" w:rsidP="00003A29">
      <w:pPr>
        <w:pStyle w:val="Heading1"/>
      </w:pPr>
      <w:bookmarkStart w:id="16" w:name="_Toc141088983"/>
      <w:r w:rsidRPr="00755A11">
        <w:lastRenderedPageBreak/>
        <w:t>Impacts</w:t>
      </w:r>
      <w:bookmarkEnd w:id="16"/>
    </w:p>
    <w:p w14:paraId="28ABA3C3" w14:textId="77777777" w:rsidR="00B958B3" w:rsidRPr="00755A11" w:rsidRDefault="00B958B3" w:rsidP="00003A29">
      <w:pPr>
        <w:pStyle w:val="Heading4"/>
      </w:pPr>
      <w:r w:rsidRPr="00755A11">
        <w:t>Question 21: Are there further impacts at these prices that should be considered?</w:t>
      </w:r>
    </w:p>
    <w:p w14:paraId="250271E6" w14:textId="2AA79DB8" w:rsidR="00655751" w:rsidRPr="00755A11" w:rsidRDefault="00655751" w:rsidP="00003A29">
      <w:pPr>
        <w:pStyle w:val="BodyText"/>
      </w:pPr>
      <w:r w:rsidRPr="00755A11">
        <w:t xml:space="preserve">Of those submitters who selected an option in response to this question, </w:t>
      </w:r>
      <w:r w:rsidR="00BD1A5E" w:rsidRPr="00755A11">
        <w:t>most</w:t>
      </w:r>
      <w:r w:rsidRPr="00755A11">
        <w:t xml:space="preserve"> agreed that further impacts </w:t>
      </w:r>
      <w:r w:rsidR="00AD53D2" w:rsidRPr="00755A11">
        <w:t xml:space="preserve">existed </w:t>
      </w:r>
      <w:r w:rsidRPr="00755A11">
        <w:t>that should be considered at the prices presented. Several submitters disagreed or were unsure.</w:t>
      </w:r>
    </w:p>
    <w:p w14:paraId="16BCF1D5" w14:textId="73BCE168" w:rsidR="00B958B3" w:rsidRPr="00755A11" w:rsidRDefault="00B958B3" w:rsidP="00003A29">
      <w:pPr>
        <w:pStyle w:val="Heading4"/>
      </w:pPr>
      <w:r w:rsidRPr="00755A11">
        <w:t>Question 22: What role should price controls play in containing the level of impacts, and what price control settings would be required for this?</w:t>
      </w:r>
    </w:p>
    <w:p w14:paraId="4CC6640B" w14:textId="77777777" w:rsidR="00E35413" w:rsidRPr="00755A11" w:rsidRDefault="00E35413" w:rsidP="00003A29">
      <w:pPr>
        <w:pStyle w:val="BodyText"/>
      </w:pPr>
      <w:r w:rsidRPr="00755A11">
        <w:t>This question did not provide discrete options for selection.</w:t>
      </w:r>
    </w:p>
    <w:p w14:paraId="4068A2D5" w14:textId="724ABCB2" w:rsidR="00B958B3" w:rsidRPr="00755A11" w:rsidRDefault="00B958B3" w:rsidP="00003A29">
      <w:pPr>
        <w:pStyle w:val="Heading4"/>
      </w:pPr>
      <w:r w:rsidRPr="00755A11">
        <w:t>Question 23: If prices reached those presented in the cost containment reserve trigger price options above, do you feel that you</w:t>
      </w:r>
      <w:r w:rsidR="004C3B01" w:rsidRPr="00755A11">
        <w:t> </w:t>
      </w:r>
      <w:r w:rsidRPr="00755A11">
        <w:t>have options to change behaviours or make new investments to</w:t>
      </w:r>
      <w:r w:rsidR="004C3B01" w:rsidRPr="00755A11">
        <w:t> </w:t>
      </w:r>
      <w:r w:rsidRPr="00755A11">
        <w:t>address the impacts?</w:t>
      </w:r>
    </w:p>
    <w:p w14:paraId="107E11F8" w14:textId="587EAAF9" w:rsidR="00655751" w:rsidRPr="00755A11" w:rsidRDefault="00655751" w:rsidP="00003A29">
      <w:pPr>
        <w:pStyle w:val="BodyText"/>
      </w:pPr>
      <w:r w:rsidRPr="00755A11">
        <w:t xml:space="preserve">Of those submitters who selected an option in response to this question, </w:t>
      </w:r>
      <w:r w:rsidR="00CC6866" w:rsidRPr="00755A11">
        <w:t>most</w:t>
      </w:r>
      <w:r w:rsidRPr="00755A11">
        <w:t xml:space="preserve"> </w:t>
      </w:r>
      <w:r w:rsidR="006F2ED5" w:rsidRPr="00755A11">
        <w:t>believed they have options to change behaviours or make investments under the CCR trigger price options presented</w:t>
      </w:r>
      <w:r w:rsidRPr="00755A11">
        <w:t xml:space="preserve">. Several submitters </w:t>
      </w:r>
      <w:r w:rsidR="006F2ED5" w:rsidRPr="00755A11">
        <w:t>were unsure, and one disagreed</w:t>
      </w:r>
      <w:r w:rsidRPr="00755A11">
        <w:t>.</w:t>
      </w:r>
    </w:p>
    <w:p w14:paraId="7BB15190" w14:textId="2627C1FB" w:rsidR="00BF3B27" w:rsidRPr="00755A11" w:rsidRDefault="00B958B3" w:rsidP="00003A29">
      <w:pPr>
        <w:pStyle w:val="Heading4"/>
      </w:pPr>
      <w:r w:rsidRPr="00755A11">
        <w:t>Question 24: Could you change behaviours or make new investments to mitigate the impact of higher prices on yourself?</w:t>
      </w:r>
    </w:p>
    <w:p w14:paraId="60BA6F02" w14:textId="600BA478" w:rsidR="006F2ED5" w:rsidRPr="00755A11" w:rsidRDefault="006F2ED5" w:rsidP="00003A29">
      <w:pPr>
        <w:pStyle w:val="BodyText"/>
      </w:pPr>
      <w:bookmarkStart w:id="17" w:name="_Toc95731392"/>
      <w:r w:rsidRPr="00755A11">
        <w:t>Of those submitters who selected an option in response to this question, all respondents agreed they could change behaviours or make new investments to mitigate the impact of higher prices on themselves.</w:t>
      </w:r>
    </w:p>
    <w:p w14:paraId="62766797" w14:textId="77777777" w:rsidR="00706066" w:rsidRDefault="00706066" w:rsidP="00003A29">
      <w:pPr>
        <w:spacing w:before="0" w:after="160" w:line="259" w:lineRule="auto"/>
        <w:jc w:val="left"/>
        <w:rPr>
          <w:rFonts w:ascii="Georgia" w:eastAsiaTheme="majorEastAsia" w:hAnsi="Georgia" w:cstheme="majorBidi"/>
          <w:b/>
          <w:bCs/>
          <w:sz w:val="24"/>
        </w:rPr>
      </w:pPr>
      <w:r>
        <w:br w:type="page"/>
      </w:r>
    </w:p>
    <w:p w14:paraId="03370C46" w14:textId="43A9BBB1" w:rsidR="00B53B26" w:rsidRPr="00755A11" w:rsidRDefault="00B53B26" w:rsidP="00003A29">
      <w:pPr>
        <w:pStyle w:val="Heading4"/>
      </w:pPr>
      <w:r w:rsidRPr="00755A11">
        <w:lastRenderedPageBreak/>
        <w:t>Detailed feedback on questions 21–24</w:t>
      </w:r>
    </w:p>
    <w:p w14:paraId="71DE8915" w14:textId="1D60E8F7" w:rsidR="00B53B26" w:rsidRPr="00755A11" w:rsidRDefault="00B53B26" w:rsidP="00003A29">
      <w:pPr>
        <w:pStyle w:val="BodyText"/>
      </w:pPr>
      <w:r w:rsidRPr="00755A11">
        <w:t xml:space="preserve">Substantive responses from submitters as part of the survey or in separately uploaded documents, which tended to cover issues across </w:t>
      </w:r>
      <w:r w:rsidR="00F164BD" w:rsidRPr="00755A11">
        <w:t xml:space="preserve">these </w:t>
      </w:r>
      <w:r w:rsidRPr="00755A11">
        <w:t>questions, provided the following perspectives</w:t>
      </w:r>
      <w:r w:rsidR="008C578A">
        <w:t>:</w:t>
      </w:r>
    </w:p>
    <w:p w14:paraId="46B564F5" w14:textId="518A9E17" w:rsidR="00B53B26" w:rsidRPr="00755A11" w:rsidRDefault="00E025CF" w:rsidP="00003A29">
      <w:pPr>
        <w:pStyle w:val="Bullet"/>
      </w:pPr>
      <w:r w:rsidRPr="00755A11">
        <w:t xml:space="preserve">Submitters generally </w:t>
      </w:r>
      <w:r w:rsidR="000B41C9" w:rsidRPr="00755A11">
        <w:t xml:space="preserve">reiterated </w:t>
      </w:r>
      <w:r w:rsidR="00AD389B" w:rsidRPr="00755A11">
        <w:t xml:space="preserve">the </w:t>
      </w:r>
      <w:r w:rsidR="000B41C9" w:rsidRPr="00755A11">
        <w:t xml:space="preserve">types of impacts discussed in the consultation document, with frequent reference to </w:t>
      </w:r>
      <w:r w:rsidR="003C4C8F" w:rsidRPr="00755A11">
        <w:t xml:space="preserve">effects </w:t>
      </w:r>
      <w:r w:rsidR="000B41C9" w:rsidRPr="00755A11">
        <w:t>on business</w:t>
      </w:r>
      <w:r w:rsidR="00017F16" w:rsidRPr="00755A11">
        <w:t>es</w:t>
      </w:r>
      <w:r w:rsidR="00117E5F" w:rsidRPr="00755A11">
        <w:t xml:space="preserve"> and the broader economy</w:t>
      </w:r>
      <w:r w:rsidR="000B41C9" w:rsidRPr="00755A11">
        <w:t xml:space="preserve">, </w:t>
      </w:r>
      <w:r w:rsidR="00017F16" w:rsidRPr="00755A11">
        <w:t xml:space="preserve">increased </w:t>
      </w:r>
      <w:r w:rsidR="0044300D" w:rsidRPr="00755A11">
        <w:t>g</w:t>
      </w:r>
      <w:r w:rsidR="00017F16" w:rsidRPr="00755A11">
        <w:t xml:space="preserve">overnment revenue, </w:t>
      </w:r>
      <w:r w:rsidR="00483685" w:rsidRPr="00755A11">
        <w:t>drivers for decarbonisation, and the roles of complementary and equity policies</w:t>
      </w:r>
      <w:r w:rsidR="0044300D" w:rsidRPr="00755A11">
        <w:t>.</w:t>
      </w:r>
    </w:p>
    <w:p w14:paraId="36C59CE4" w14:textId="5BEAD847" w:rsidR="00EA5705" w:rsidRPr="00755A11" w:rsidRDefault="000961A2" w:rsidP="00003A29">
      <w:pPr>
        <w:pStyle w:val="Bullet"/>
      </w:pPr>
      <w:r w:rsidRPr="00755A11">
        <w:t xml:space="preserve">Almost all submitters, regardless of their </w:t>
      </w:r>
      <w:r w:rsidR="001E4977" w:rsidRPr="00755A11">
        <w:t xml:space="preserve">perspective on what impacts are most important, believed complementary policies or other measures are the best ways </w:t>
      </w:r>
      <w:r w:rsidR="001B5F57" w:rsidRPr="00755A11">
        <w:t>to manage other impacts</w:t>
      </w:r>
      <w:r w:rsidR="00BC28B6">
        <w:t>; or</w:t>
      </w:r>
      <w:r w:rsidR="001B5F57" w:rsidRPr="00755A11">
        <w:t xml:space="preserve"> that</w:t>
      </w:r>
      <w:r w:rsidR="006F09D6" w:rsidRPr="00755A11">
        <w:t>,</w:t>
      </w:r>
      <w:r w:rsidR="001B5F57" w:rsidRPr="00755A11">
        <w:t xml:space="preserve"> at most</w:t>
      </w:r>
      <w:r w:rsidR="006F09D6" w:rsidRPr="00755A11">
        <w:t>,</w:t>
      </w:r>
      <w:r w:rsidR="001B5F57" w:rsidRPr="00755A11">
        <w:t xml:space="preserve"> settings could consider not unduly exacerbating impacts but with non-market measures still being the </w:t>
      </w:r>
      <w:r w:rsidR="002003EE">
        <w:t>main</w:t>
      </w:r>
      <w:r w:rsidR="002003EE" w:rsidRPr="00755A11">
        <w:t xml:space="preserve"> </w:t>
      </w:r>
      <w:r w:rsidR="001B5F57" w:rsidRPr="00755A11">
        <w:t>channel for addressing these impacts</w:t>
      </w:r>
      <w:r w:rsidR="002A5560" w:rsidRPr="00755A11">
        <w:t>.</w:t>
      </w:r>
    </w:p>
    <w:p w14:paraId="570D1798" w14:textId="71627C9A" w:rsidR="00BF3702" w:rsidRPr="00755A11" w:rsidRDefault="00BF3702" w:rsidP="00003A29">
      <w:pPr>
        <w:pStyle w:val="Bullet"/>
      </w:pPr>
      <w:r w:rsidRPr="00755A11">
        <w:t>One submitter noted that</w:t>
      </w:r>
      <w:r w:rsidR="00FD5D57" w:rsidRPr="00755A11">
        <w:t>, to be effective and equitable,</w:t>
      </w:r>
      <w:r w:rsidRPr="00755A11">
        <w:t xml:space="preserve"> complementary policies need to be in place </w:t>
      </w:r>
      <w:r w:rsidR="007C7EA7" w:rsidRPr="00755A11">
        <w:t>before</w:t>
      </w:r>
      <w:r w:rsidRPr="00755A11">
        <w:t xml:space="preserve"> </w:t>
      </w:r>
      <w:r w:rsidR="00683EE1" w:rsidRPr="00755A11">
        <w:t>significant changes in or removal of price controls</w:t>
      </w:r>
      <w:r w:rsidR="006A18D7" w:rsidRPr="00755A11">
        <w:t>.</w:t>
      </w:r>
      <w:r w:rsidR="00683EE1" w:rsidRPr="00755A11">
        <w:t xml:space="preserve"> </w:t>
      </w:r>
    </w:p>
    <w:p w14:paraId="0AAACD27" w14:textId="41BF4087" w:rsidR="00AD37E2" w:rsidRPr="00755A11" w:rsidRDefault="00AD37E2" w:rsidP="00003A29">
      <w:pPr>
        <w:pStyle w:val="Bullet"/>
      </w:pPr>
      <w:r w:rsidRPr="00755A11">
        <w:t xml:space="preserve">Most individual submitters, </w:t>
      </w:r>
      <w:r w:rsidR="00BC28B6">
        <w:t>in particular</w:t>
      </w:r>
      <w:r w:rsidR="00DE6F59">
        <w:t xml:space="preserve"> those</w:t>
      </w:r>
      <w:r w:rsidRPr="00755A11">
        <w:t xml:space="preserve"> submitters who prioritised behaviour change and</w:t>
      </w:r>
      <w:r w:rsidR="00741517">
        <w:t> </w:t>
      </w:r>
      <w:r w:rsidRPr="00755A11">
        <w:t>emissions reductions</w:t>
      </w:r>
      <w:r w:rsidR="006F5C7A" w:rsidRPr="00755A11">
        <w:t>,</w:t>
      </w:r>
      <w:r w:rsidRPr="00755A11">
        <w:t xml:space="preserve"> </w:t>
      </w:r>
      <w:r w:rsidR="006F5C7A" w:rsidRPr="00755A11">
        <w:t xml:space="preserve">believed actions can </w:t>
      </w:r>
      <w:r w:rsidR="006A18D7" w:rsidRPr="00755A11">
        <w:t xml:space="preserve">always </w:t>
      </w:r>
      <w:r w:rsidR="006F5C7A" w:rsidRPr="00755A11">
        <w:t>be taken to address impacts</w:t>
      </w:r>
      <w:r w:rsidR="006A18D7" w:rsidRPr="00755A11">
        <w:t>.</w:t>
      </w:r>
    </w:p>
    <w:p w14:paraId="34BF2B5F" w14:textId="661C0EF4" w:rsidR="009C74AC" w:rsidRPr="00755A11" w:rsidRDefault="009C74AC" w:rsidP="00003A29">
      <w:pPr>
        <w:pStyle w:val="Bullet"/>
      </w:pPr>
      <w:r w:rsidRPr="00755A11">
        <w:t xml:space="preserve">Many business or industry submitters </w:t>
      </w:r>
      <w:r w:rsidR="00183DF9" w:rsidRPr="00755A11">
        <w:t>expressed concern that mitigations</w:t>
      </w:r>
      <w:r w:rsidR="00882BAE" w:rsidRPr="00755A11">
        <w:t xml:space="preserve"> and</w:t>
      </w:r>
      <w:r w:rsidR="00675F8B" w:rsidRPr="00755A11">
        <w:t>/</w:t>
      </w:r>
      <w:r w:rsidR="00882BAE" w:rsidRPr="00755A11">
        <w:t xml:space="preserve">or </w:t>
      </w:r>
      <w:r w:rsidR="00675F8B" w:rsidRPr="00755A11">
        <w:t>investments</w:t>
      </w:r>
      <w:r w:rsidR="002B02C9">
        <w:t>,</w:t>
      </w:r>
      <w:r w:rsidR="00183DF9" w:rsidRPr="00755A11">
        <w:t xml:space="preserve"> and the resource</w:t>
      </w:r>
      <w:r w:rsidR="00882BAE" w:rsidRPr="00755A11">
        <w:t>s</w:t>
      </w:r>
      <w:r w:rsidR="00183DF9" w:rsidRPr="00755A11">
        <w:t xml:space="preserve"> to </w:t>
      </w:r>
      <w:r w:rsidR="00675F8B" w:rsidRPr="00755A11">
        <w:t>act on them</w:t>
      </w:r>
      <w:r w:rsidR="0058791D">
        <w:t>,</w:t>
      </w:r>
      <w:r w:rsidR="00675F8B" w:rsidRPr="00755A11">
        <w:t xml:space="preserve"> are not sufficiently available or cost</w:t>
      </w:r>
      <w:r w:rsidR="0058791D">
        <w:noBreakHyphen/>
      </w:r>
      <w:r w:rsidR="00675F8B" w:rsidRPr="00755A11">
        <w:t>effective.</w:t>
      </w:r>
    </w:p>
    <w:p w14:paraId="2FEE0AF9" w14:textId="1CB2CAC6" w:rsidR="00631AEB" w:rsidRPr="00755A11" w:rsidRDefault="00631AEB" w:rsidP="00003A29">
      <w:pPr>
        <w:pStyle w:val="Bullet"/>
      </w:pPr>
      <w:r w:rsidRPr="00755A11">
        <w:br w:type="page"/>
      </w:r>
    </w:p>
    <w:p w14:paraId="62EFEADD" w14:textId="5A27C7A6" w:rsidR="00AE0109" w:rsidRPr="00755A11" w:rsidRDefault="003A7B19" w:rsidP="00003A29">
      <w:pPr>
        <w:pStyle w:val="Heading1"/>
        <w:rPr>
          <w:rStyle w:val="Heading1Char"/>
          <w:b/>
          <w:bCs/>
        </w:rPr>
      </w:pPr>
      <w:bookmarkStart w:id="18" w:name="_Toc141088984"/>
      <w:bookmarkEnd w:id="17"/>
      <w:r w:rsidRPr="00755A11">
        <w:rPr>
          <w:rStyle w:val="Heading1Char"/>
          <w:b/>
          <w:bCs/>
        </w:rPr>
        <w:lastRenderedPageBreak/>
        <w:t>Feedback and</w:t>
      </w:r>
      <w:r w:rsidR="00AE0109" w:rsidRPr="00755A11">
        <w:rPr>
          <w:rStyle w:val="Heading1Char"/>
          <w:b/>
          <w:bCs/>
        </w:rPr>
        <w:t xml:space="preserve"> comments</w:t>
      </w:r>
      <w:bookmarkEnd w:id="18"/>
    </w:p>
    <w:p w14:paraId="5E048347" w14:textId="05E9C3BD" w:rsidR="0082005B" w:rsidRPr="00755A11" w:rsidRDefault="0082005B" w:rsidP="00003A29">
      <w:pPr>
        <w:pStyle w:val="Heading4"/>
      </w:pPr>
      <w:r w:rsidRPr="00755A11">
        <w:t>General feedback</w:t>
      </w:r>
    </w:p>
    <w:p w14:paraId="0056D087" w14:textId="157ADA16" w:rsidR="00AE0109" w:rsidRPr="00755A11" w:rsidRDefault="00AF73EB" w:rsidP="00003A29">
      <w:pPr>
        <w:pStyle w:val="BodyText"/>
      </w:pPr>
      <w:r w:rsidRPr="00755A11">
        <w:t xml:space="preserve">Additional feedback from submitters </w:t>
      </w:r>
      <w:r w:rsidR="001F3958" w:rsidRPr="00755A11">
        <w:t xml:space="preserve">mainly </w:t>
      </w:r>
      <w:r w:rsidRPr="00755A11">
        <w:t xml:space="preserve">fell under the following topics, </w:t>
      </w:r>
      <w:r w:rsidR="001A2A64" w:rsidRPr="00755A11">
        <w:t>some of which are considered out-of-scope for this consultation</w:t>
      </w:r>
      <w:r w:rsidR="008C578A">
        <w:t>:</w:t>
      </w:r>
    </w:p>
    <w:p w14:paraId="44F92391" w14:textId="660AD64E" w:rsidR="002A437A" w:rsidRPr="00755A11" w:rsidRDefault="00306632" w:rsidP="00003A29">
      <w:pPr>
        <w:pStyle w:val="Bullet"/>
      </w:pPr>
      <w:r w:rsidRPr="00755A11">
        <w:t>Many submitters r</w:t>
      </w:r>
      <w:r w:rsidR="001A2A64" w:rsidRPr="00755A11">
        <w:t>eiterat</w:t>
      </w:r>
      <w:r w:rsidRPr="00755A11">
        <w:t>ed</w:t>
      </w:r>
      <w:r w:rsidR="001A2A64" w:rsidRPr="00755A11">
        <w:t xml:space="preserve"> support for the Commission’s recommendations</w:t>
      </w:r>
      <w:r w:rsidR="00B53199" w:rsidRPr="00755A11">
        <w:t xml:space="preserve"> and reduced political decision-making </w:t>
      </w:r>
      <w:r w:rsidR="00E37D01" w:rsidRPr="00755A11">
        <w:t>in the adjustment of settings</w:t>
      </w:r>
      <w:r w:rsidR="001F3958" w:rsidRPr="00755A11">
        <w:t>.</w:t>
      </w:r>
    </w:p>
    <w:p w14:paraId="671A9978" w14:textId="63599037" w:rsidR="001A2A64" w:rsidRPr="00755A11" w:rsidRDefault="00306632" w:rsidP="00003A29">
      <w:pPr>
        <w:pStyle w:val="Bullet"/>
      </w:pPr>
      <w:r w:rsidRPr="00755A11">
        <w:t>Some expressed i</w:t>
      </w:r>
      <w:r w:rsidR="00B53199" w:rsidRPr="00755A11">
        <w:t>nterest in alignment with international carbon markets</w:t>
      </w:r>
      <w:r w:rsidR="0080120A" w:rsidRPr="00755A11">
        <w:t xml:space="preserve"> and more opportunities for offshore mitigation</w:t>
      </w:r>
      <w:r w:rsidR="00F03023" w:rsidRPr="00755A11">
        <w:t>.</w:t>
      </w:r>
    </w:p>
    <w:p w14:paraId="210BBF88" w14:textId="452A94EB" w:rsidR="0080120A" w:rsidRPr="00755A11" w:rsidRDefault="00F03023" w:rsidP="00003A29">
      <w:pPr>
        <w:pStyle w:val="Bullet"/>
      </w:pPr>
      <w:r w:rsidRPr="00755A11">
        <w:t>Several</w:t>
      </w:r>
      <w:r w:rsidR="00C33ECF" w:rsidRPr="00755A11">
        <w:t xml:space="preserve"> submitters commented on the role of forestry </w:t>
      </w:r>
      <w:r w:rsidR="00E46F68">
        <w:t>(</w:t>
      </w:r>
      <w:r w:rsidR="00E84BC9">
        <w:t xml:space="preserve">both </w:t>
      </w:r>
      <w:r w:rsidR="00E46F68" w:rsidRPr="00755A11">
        <w:t xml:space="preserve">positive </w:t>
      </w:r>
      <w:r w:rsidR="00E46F68">
        <w:t>and</w:t>
      </w:r>
      <w:r w:rsidR="00E46F68" w:rsidRPr="00755A11">
        <w:t xml:space="preserve"> negative</w:t>
      </w:r>
      <w:r w:rsidR="00E46F68">
        <w:t>)</w:t>
      </w:r>
      <w:r w:rsidR="00E46F68" w:rsidRPr="00755A11">
        <w:t xml:space="preserve"> </w:t>
      </w:r>
      <w:r w:rsidR="00C33ECF" w:rsidRPr="00755A11">
        <w:t>in the NZ</w:t>
      </w:r>
      <w:r w:rsidR="004C3B01" w:rsidRPr="00755A11">
        <w:t> </w:t>
      </w:r>
      <w:r w:rsidR="00C33ECF" w:rsidRPr="00755A11">
        <w:t xml:space="preserve">ETS, most of which fell more </w:t>
      </w:r>
      <w:r w:rsidR="009B453D" w:rsidRPr="00755A11">
        <w:t>with</w:t>
      </w:r>
      <w:r w:rsidR="00C33ECF" w:rsidRPr="00755A11">
        <w:t xml:space="preserve">in </w:t>
      </w:r>
      <w:r w:rsidR="00377BF9">
        <w:t xml:space="preserve">the </w:t>
      </w:r>
      <w:r w:rsidR="00C33ECF" w:rsidRPr="00755A11">
        <w:t>scope of the consultations on the NZ ETS review or the redesign of permanent forestry</w:t>
      </w:r>
      <w:r w:rsidRPr="00755A11">
        <w:t>.</w:t>
      </w:r>
    </w:p>
    <w:p w14:paraId="39256D92" w14:textId="5A60798B" w:rsidR="00EC32FE" w:rsidRPr="00755A11" w:rsidRDefault="00EC32FE" w:rsidP="00003A29">
      <w:pPr>
        <w:pStyle w:val="Bullet"/>
      </w:pPr>
      <w:r w:rsidRPr="00755A11">
        <w:t xml:space="preserve">Several submitters stated the </w:t>
      </w:r>
      <w:r w:rsidR="000B3217" w:rsidRPr="00755A11">
        <w:t xml:space="preserve">urgency of climate action both </w:t>
      </w:r>
      <w:r w:rsidR="00A649D3" w:rsidRPr="00755A11">
        <w:t xml:space="preserve">in terms of reducing emissions and supporting communities already experiencing the worst </w:t>
      </w:r>
      <w:r w:rsidR="007E158F" w:rsidRPr="00755A11">
        <w:t xml:space="preserve">effects </w:t>
      </w:r>
      <w:r w:rsidR="00A649D3" w:rsidRPr="00755A11">
        <w:t>of climate</w:t>
      </w:r>
      <w:r w:rsidR="004C3B01" w:rsidRPr="00755A11">
        <w:t> </w:t>
      </w:r>
      <w:r w:rsidR="00A649D3" w:rsidRPr="00755A11">
        <w:t>change.</w:t>
      </w:r>
    </w:p>
    <w:bookmarkEnd w:id="0"/>
    <w:p w14:paraId="037EF469" w14:textId="348E6B53" w:rsidR="00F61CF8" w:rsidRPr="00755A11" w:rsidRDefault="00CA7851" w:rsidP="00003A29">
      <w:pPr>
        <w:pStyle w:val="Heading2"/>
      </w:pPr>
      <w:r w:rsidRPr="00755A11">
        <w:t xml:space="preserve">Additional </w:t>
      </w:r>
      <w:r w:rsidR="00631AEB" w:rsidRPr="00755A11">
        <w:t>i</w:t>
      </w:r>
      <w:r w:rsidRPr="00755A11">
        <w:t>nformation</w:t>
      </w:r>
    </w:p>
    <w:p w14:paraId="6BC363D7" w14:textId="12C2F10B" w:rsidR="00F96F31" w:rsidRPr="00755A11" w:rsidRDefault="004405F9" w:rsidP="00003A29">
      <w:pPr>
        <w:pStyle w:val="BodyText"/>
      </w:pPr>
      <w:r>
        <w:t>F</w:t>
      </w:r>
      <w:r w:rsidR="005B2770" w:rsidRPr="00755A11">
        <w:t xml:space="preserve">urther information and documents </w:t>
      </w:r>
      <w:r w:rsidR="00BB656B" w:rsidRPr="00755A11">
        <w:t>about</w:t>
      </w:r>
      <w:r w:rsidR="005B2770" w:rsidRPr="00755A11">
        <w:t xml:space="preserve"> the </w:t>
      </w:r>
      <w:r w:rsidR="00BB656B" w:rsidRPr="00755A11">
        <w:t>a</w:t>
      </w:r>
      <w:r w:rsidR="00BA5DB0" w:rsidRPr="00755A11">
        <w:t xml:space="preserve">nnual update for </w:t>
      </w:r>
      <w:r w:rsidR="005B2770" w:rsidRPr="00755A11">
        <w:t>NZ ETS l</w:t>
      </w:r>
      <w:r w:rsidR="003663A2" w:rsidRPr="00755A11">
        <w:t>imits and price control settings</w:t>
      </w:r>
      <w:r w:rsidR="00FA0EB1" w:rsidRPr="00755A11">
        <w:t xml:space="preserve"> for units 202</w:t>
      </w:r>
      <w:r w:rsidR="00F91746" w:rsidRPr="00755A11">
        <w:t>3</w:t>
      </w:r>
      <w:r w:rsidR="00FA0EB1" w:rsidRPr="00755A11">
        <w:t xml:space="preserve"> </w:t>
      </w:r>
      <w:r w:rsidR="00BB656B" w:rsidRPr="00755A11">
        <w:t xml:space="preserve">are available on </w:t>
      </w:r>
      <w:r w:rsidR="009E2E46" w:rsidRPr="00755A11">
        <w:t xml:space="preserve">the Ministry’s </w:t>
      </w:r>
      <w:r w:rsidR="00BB656B" w:rsidRPr="00755A11">
        <w:t>website</w:t>
      </w:r>
      <w:r w:rsidR="00FA0EB1" w:rsidRPr="00755A11">
        <w:t>:</w:t>
      </w:r>
      <w:r w:rsidR="003663A2" w:rsidRPr="00755A11">
        <w:t xml:space="preserve"> </w:t>
      </w:r>
      <w:hyperlink r:id="rId21" w:history="1">
        <w:r w:rsidR="00F623AD" w:rsidRPr="00755A11">
          <w:rPr>
            <w:rStyle w:val="Hyperlink"/>
          </w:rPr>
          <w:t>Annual updates to New</w:t>
        </w:r>
        <w:r w:rsidR="00D15E68">
          <w:rPr>
            <w:rStyle w:val="Hyperlink"/>
          </w:rPr>
          <w:t> </w:t>
        </w:r>
        <w:r w:rsidR="00F623AD" w:rsidRPr="00755A11">
          <w:rPr>
            <w:rStyle w:val="Hyperlink"/>
          </w:rPr>
          <w:t>Zealand Emissions Trading Scheme limits and price control settings for units 2023: Consultation document</w:t>
        </w:r>
      </w:hyperlink>
      <w:r w:rsidR="007E158F" w:rsidRPr="0051042D">
        <w:rPr>
          <w:rStyle w:val="Hyperlink"/>
          <w:color w:val="auto"/>
        </w:rPr>
        <w:t>.</w:t>
      </w:r>
    </w:p>
    <w:p w14:paraId="4856B6CE" w14:textId="77777777" w:rsidR="00F61CF8" w:rsidRPr="00755A11" w:rsidRDefault="00F61CF8" w:rsidP="00003A29">
      <w:pPr>
        <w:pStyle w:val="BodyText"/>
      </w:pPr>
      <w:r w:rsidRPr="00755A11">
        <w:br w:type="page"/>
      </w:r>
    </w:p>
    <w:p w14:paraId="7D07CE52" w14:textId="2308152A" w:rsidR="00BD46E5" w:rsidRPr="00755A11" w:rsidRDefault="00BD46E5" w:rsidP="00003A29">
      <w:pPr>
        <w:pStyle w:val="Heading1"/>
        <w:spacing w:after="480"/>
      </w:pPr>
      <w:bookmarkStart w:id="19" w:name="_Appendix_1:_Tables"/>
      <w:bookmarkStart w:id="20" w:name="_Appendix:_Tables_showing"/>
      <w:bookmarkStart w:id="21" w:name="_Toc141088985"/>
      <w:bookmarkEnd w:id="19"/>
      <w:bookmarkEnd w:id="20"/>
      <w:r w:rsidRPr="00755A11">
        <w:lastRenderedPageBreak/>
        <w:t>Appendix</w:t>
      </w:r>
      <w:r w:rsidR="00197868" w:rsidRPr="00755A11">
        <w:t>:</w:t>
      </w:r>
      <w:r w:rsidR="008C578A">
        <w:br/>
      </w:r>
      <w:r w:rsidR="00197868" w:rsidRPr="00755A11">
        <w:t>Tables</w:t>
      </w:r>
      <w:r w:rsidR="00076474" w:rsidRPr="00755A11">
        <w:t xml:space="preserve"> </w:t>
      </w:r>
      <w:r w:rsidR="00EA1D1B" w:rsidRPr="00755A11">
        <w:t>showing</w:t>
      </w:r>
      <w:r w:rsidR="00076474" w:rsidRPr="00755A11">
        <w:t xml:space="preserve"> </w:t>
      </w:r>
      <w:r w:rsidR="0069223D" w:rsidRPr="00755A11">
        <w:t>percentage of total sub</w:t>
      </w:r>
      <w:r w:rsidR="00B52EC8" w:rsidRPr="00755A11">
        <w:t>missions in</w:t>
      </w:r>
      <w:r w:rsidR="004C3B01" w:rsidRPr="00755A11">
        <w:t> </w:t>
      </w:r>
      <w:r w:rsidR="00B52EC8" w:rsidRPr="00755A11">
        <w:t>support of options</w:t>
      </w:r>
      <w:r w:rsidR="00A849EF" w:rsidRPr="00755A11">
        <w:t xml:space="preserve"> </w:t>
      </w:r>
      <w:r w:rsidR="000813AA" w:rsidRPr="00755A11">
        <w:t>presented</w:t>
      </w:r>
      <w:bookmarkEnd w:id="21"/>
    </w:p>
    <w:tbl>
      <w:tblPr>
        <w:tblStyle w:val="TableGrid"/>
        <w:tblW w:w="8505" w:type="dxa"/>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none" w:sz="0" w:space="0" w:color="auto"/>
          <w:insideV w:val="none" w:sz="0" w:space="0" w:color="auto"/>
        </w:tblBorders>
        <w:shd w:val="clear" w:color="auto" w:fill="D2DDE2"/>
        <w:tblCellMar>
          <w:left w:w="57" w:type="dxa"/>
          <w:right w:w="57" w:type="dxa"/>
        </w:tblCellMar>
        <w:tblLook w:val="04A0" w:firstRow="1" w:lastRow="0" w:firstColumn="1" w:lastColumn="0" w:noHBand="0" w:noVBand="1"/>
      </w:tblPr>
      <w:tblGrid>
        <w:gridCol w:w="8505"/>
      </w:tblGrid>
      <w:tr w:rsidR="00047C77" w:rsidRPr="00755A11" w14:paraId="1183AC1F" w14:textId="77777777" w:rsidTr="00DD6F9D">
        <w:tc>
          <w:tcPr>
            <w:tcW w:w="0" w:type="auto"/>
            <w:shd w:val="clear" w:color="auto" w:fill="D2DDE2"/>
          </w:tcPr>
          <w:p w14:paraId="254CE1EB" w14:textId="35369C33" w:rsidR="00047C77" w:rsidRPr="00755A11" w:rsidRDefault="00047C77" w:rsidP="00003A29">
            <w:pPr>
              <w:pStyle w:val="Boxtext"/>
              <w:spacing w:before="180" w:after="180"/>
            </w:pPr>
            <w:bookmarkStart w:id="22" w:name="_Hlk87629146"/>
            <w:r w:rsidRPr="00755A11">
              <w:rPr>
                <w:b/>
                <w:bCs/>
              </w:rPr>
              <w:t>Note:</w:t>
            </w:r>
            <w:r w:rsidRPr="00755A11">
              <w:t xml:space="preserve"> These results only reflect where submitters have self-selected preferences from a list of options. This means submissions provided within a separately uploaded document are captured as ‘not answered’ even if the text of their submissions suggests a preference. Uploaded submissions are also not counted toward ‘explanation provided’ unless they added text directly into the survey fields. Uploaded submissions often include greater detail and are often received from major stakeholders or larger organisations.</w:t>
            </w:r>
          </w:p>
        </w:tc>
      </w:tr>
    </w:tbl>
    <w:bookmarkEnd w:id="22"/>
    <w:p w14:paraId="67572BC1" w14:textId="4A9A4272" w:rsidR="006C7FFA" w:rsidRPr="00755A11" w:rsidRDefault="006C7FFA" w:rsidP="00003A29">
      <w:pPr>
        <w:pStyle w:val="BodyText"/>
        <w:spacing w:before="360"/>
        <w:rPr>
          <w:b/>
          <w:bCs/>
          <w:lang w:eastAsia="en-US"/>
        </w:rPr>
      </w:pPr>
      <w:r w:rsidRPr="00755A11">
        <w:rPr>
          <w:b/>
          <w:bCs/>
          <w:lang w:eastAsia="en-US"/>
        </w:rPr>
        <w:t>1: Do you think the decisions on NZ ETS unit settings announced in December 2022 had any</w:t>
      </w:r>
      <w:r w:rsidR="00137854">
        <w:rPr>
          <w:b/>
          <w:bCs/>
          <w:lang w:eastAsia="en-US"/>
        </w:rPr>
        <w:t> </w:t>
      </w:r>
      <w:r w:rsidRPr="00755A11">
        <w:rPr>
          <w:b/>
          <w:bCs/>
          <w:lang w:eastAsia="en-US"/>
        </w:rPr>
        <w:t>impact on NZ ETS market behaviour?</w:t>
      </w:r>
    </w:p>
    <w:tbl>
      <w:tblPr>
        <w:tblStyle w:val="Style4"/>
        <w:tblW w:w="8640" w:type="dxa"/>
        <w:tblLook w:val="04A0" w:firstRow="1" w:lastRow="0" w:firstColumn="1" w:lastColumn="0" w:noHBand="0" w:noVBand="1"/>
      </w:tblPr>
      <w:tblGrid>
        <w:gridCol w:w="6372"/>
        <w:gridCol w:w="1134"/>
        <w:gridCol w:w="1134"/>
      </w:tblGrid>
      <w:tr w:rsidR="006C7FFA" w:rsidRPr="00755A11" w14:paraId="1F870E02" w14:textId="77777777" w:rsidTr="000D16DE">
        <w:trPr>
          <w:cnfStyle w:val="100000000000" w:firstRow="1" w:lastRow="0" w:firstColumn="0" w:lastColumn="0" w:oddVBand="0" w:evenVBand="0" w:oddHBand="0" w:evenHBand="0" w:firstRowFirstColumn="0" w:firstRowLastColumn="0" w:lastRowFirstColumn="0" w:lastRowLastColumn="0"/>
          <w:trHeight w:val="283"/>
        </w:trPr>
        <w:tc>
          <w:tcPr>
            <w:tcW w:w="6372" w:type="dxa"/>
            <w:tcBorders>
              <w:top w:val="single" w:sz="4" w:space="0" w:color="1B556B" w:themeColor="text2"/>
            </w:tcBorders>
            <w:vAlign w:val="center"/>
          </w:tcPr>
          <w:p w14:paraId="16368BFE" w14:textId="77777777" w:rsidR="006C7FFA" w:rsidRPr="00755A11" w:rsidRDefault="006C7FFA" w:rsidP="00003A29">
            <w:pPr>
              <w:pStyle w:val="TableTextbold"/>
              <w:rPr>
                <w:b/>
              </w:rPr>
            </w:pPr>
            <w:r w:rsidRPr="00755A11">
              <w:rPr>
                <w:b/>
              </w:rPr>
              <w:t>Option</w:t>
            </w:r>
          </w:p>
        </w:tc>
        <w:tc>
          <w:tcPr>
            <w:tcW w:w="1134" w:type="dxa"/>
            <w:tcBorders>
              <w:top w:val="single" w:sz="4" w:space="0" w:color="1B556B" w:themeColor="text2"/>
            </w:tcBorders>
            <w:vAlign w:val="center"/>
          </w:tcPr>
          <w:p w14:paraId="45A552EF" w14:textId="77777777" w:rsidR="006C7FFA" w:rsidRPr="00755A11" w:rsidRDefault="006C7FFA" w:rsidP="00003A29">
            <w:pPr>
              <w:pStyle w:val="TableTextbold"/>
              <w:rPr>
                <w:b/>
              </w:rPr>
            </w:pPr>
            <w:r w:rsidRPr="00755A11">
              <w:rPr>
                <w:b/>
              </w:rPr>
              <w:t>Total</w:t>
            </w:r>
          </w:p>
        </w:tc>
        <w:tc>
          <w:tcPr>
            <w:tcW w:w="1134" w:type="dxa"/>
            <w:tcBorders>
              <w:top w:val="single" w:sz="4" w:space="0" w:color="1B556B" w:themeColor="text2"/>
            </w:tcBorders>
            <w:vAlign w:val="center"/>
          </w:tcPr>
          <w:p w14:paraId="726B757C" w14:textId="420394AA" w:rsidR="006C7FFA" w:rsidRPr="00755A11" w:rsidRDefault="006C7FFA" w:rsidP="00003A29">
            <w:pPr>
              <w:pStyle w:val="TableTextbold"/>
              <w:rPr>
                <w:b/>
              </w:rPr>
            </w:pPr>
            <w:r w:rsidRPr="00755A11">
              <w:rPr>
                <w:b/>
              </w:rPr>
              <w:t>Percent</w:t>
            </w:r>
            <w:r w:rsidR="001A240B" w:rsidRPr="00755A11">
              <w:rPr>
                <w:b/>
              </w:rPr>
              <w:t xml:space="preserve"> (%)</w:t>
            </w:r>
          </w:p>
        </w:tc>
      </w:tr>
      <w:tr w:rsidR="006C7FFA" w:rsidRPr="00755A11" w14:paraId="49C0FE90" w14:textId="77777777" w:rsidTr="009E682B">
        <w:trPr>
          <w:trHeight w:val="283"/>
        </w:trPr>
        <w:tc>
          <w:tcPr>
            <w:tcW w:w="6372" w:type="dxa"/>
            <w:vAlign w:val="center"/>
          </w:tcPr>
          <w:p w14:paraId="1B31353A" w14:textId="77777777" w:rsidR="006C7FFA" w:rsidRPr="00755A11" w:rsidRDefault="006C7FFA" w:rsidP="00003A29">
            <w:pPr>
              <w:pStyle w:val="TableText"/>
            </w:pPr>
            <w:r w:rsidRPr="00755A11">
              <w:t>Yes</w:t>
            </w:r>
          </w:p>
        </w:tc>
        <w:tc>
          <w:tcPr>
            <w:tcW w:w="1134" w:type="dxa"/>
            <w:vAlign w:val="center"/>
          </w:tcPr>
          <w:p w14:paraId="49D3A505" w14:textId="77777777" w:rsidR="006C7FFA" w:rsidRPr="00755A11" w:rsidRDefault="006C7FFA" w:rsidP="00003A29">
            <w:pPr>
              <w:pStyle w:val="TableText"/>
            </w:pPr>
            <w:r w:rsidRPr="00755A11">
              <w:t>33</w:t>
            </w:r>
          </w:p>
        </w:tc>
        <w:tc>
          <w:tcPr>
            <w:tcW w:w="1134" w:type="dxa"/>
            <w:vAlign w:val="center"/>
          </w:tcPr>
          <w:p w14:paraId="576E9E6F" w14:textId="05E19967" w:rsidR="006C7FFA" w:rsidRPr="00755A11" w:rsidRDefault="006C7FFA" w:rsidP="00003A29">
            <w:pPr>
              <w:pStyle w:val="TableText"/>
            </w:pPr>
            <w:r w:rsidRPr="00755A11">
              <w:t>54.10</w:t>
            </w:r>
          </w:p>
        </w:tc>
      </w:tr>
      <w:tr w:rsidR="006C7FFA" w:rsidRPr="00755A11" w14:paraId="0C2AB1EA" w14:textId="77777777" w:rsidTr="009E682B">
        <w:trPr>
          <w:trHeight w:val="283"/>
        </w:trPr>
        <w:tc>
          <w:tcPr>
            <w:tcW w:w="6372" w:type="dxa"/>
            <w:vAlign w:val="center"/>
          </w:tcPr>
          <w:p w14:paraId="0BF2A5EB" w14:textId="77777777" w:rsidR="006C7FFA" w:rsidRPr="00755A11" w:rsidRDefault="006C7FFA" w:rsidP="00003A29">
            <w:pPr>
              <w:pStyle w:val="TableText"/>
            </w:pPr>
            <w:r w:rsidRPr="00755A11">
              <w:t>No</w:t>
            </w:r>
          </w:p>
        </w:tc>
        <w:tc>
          <w:tcPr>
            <w:tcW w:w="1134" w:type="dxa"/>
            <w:vAlign w:val="center"/>
          </w:tcPr>
          <w:p w14:paraId="76D3E669" w14:textId="77777777" w:rsidR="006C7FFA" w:rsidRPr="00755A11" w:rsidRDefault="006C7FFA" w:rsidP="00003A29">
            <w:pPr>
              <w:pStyle w:val="TableText"/>
            </w:pPr>
            <w:r w:rsidRPr="00755A11">
              <w:t>0</w:t>
            </w:r>
          </w:p>
        </w:tc>
        <w:tc>
          <w:tcPr>
            <w:tcW w:w="1134" w:type="dxa"/>
            <w:vAlign w:val="center"/>
          </w:tcPr>
          <w:p w14:paraId="3A3B3345" w14:textId="693B8EDC" w:rsidR="006C7FFA" w:rsidRPr="00755A11" w:rsidRDefault="006C7FFA" w:rsidP="00003A29">
            <w:pPr>
              <w:pStyle w:val="TableText"/>
            </w:pPr>
            <w:r w:rsidRPr="00755A11">
              <w:t>0.00</w:t>
            </w:r>
          </w:p>
        </w:tc>
      </w:tr>
      <w:tr w:rsidR="006C7FFA" w:rsidRPr="00755A11" w14:paraId="5DEF7D95" w14:textId="77777777" w:rsidTr="009E682B">
        <w:trPr>
          <w:trHeight w:val="283"/>
        </w:trPr>
        <w:tc>
          <w:tcPr>
            <w:tcW w:w="6372" w:type="dxa"/>
            <w:vAlign w:val="center"/>
          </w:tcPr>
          <w:p w14:paraId="5CF81B4C" w14:textId="77777777" w:rsidR="006C7FFA" w:rsidRPr="00755A11" w:rsidRDefault="006C7FFA" w:rsidP="00003A29">
            <w:pPr>
              <w:pStyle w:val="TableText"/>
            </w:pPr>
            <w:r w:rsidRPr="00755A11">
              <w:t>Unsure</w:t>
            </w:r>
          </w:p>
        </w:tc>
        <w:tc>
          <w:tcPr>
            <w:tcW w:w="1134" w:type="dxa"/>
            <w:vAlign w:val="center"/>
          </w:tcPr>
          <w:p w14:paraId="353C22C7" w14:textId="77777777" w:rsidR="006C7FFA" w:rsidRPr="00755A11" w:rsidRDefault="006C7FFA" w:rsidP="00003A29">
            <w:pPr>
              <w:pStyle w:val="TableText"/>
            </w:pPr>
            <w:r w:rsidRPr="00755A11">
              <w:t>1</w:t>
            </w:r>
          </w:p>
        </w:tc>
        <w:tc>
          <w:tcPr>
            <w:tcW w:w="1134" w:type="dxa"/>
            <w:vAlign w:val="center"/>
          </w:tcPr>
          <w:p w14:paraId="5F0F02E9" w14:textId="5B48A2F0" w:rsidR="006C7FFA" w:rsidRPr="00755A11" w:rsidRDefault="006C7FFA" w:rsidP="00003A29">
            <w:pPr>
              <w:pStyle w:val="TableText"/>
            </w:pPr>
            <w:r w:rsidRPr="00755A11">
              <w:t>1.64</w:t>
            </w:r>
          </w:p>
        </w:tc>
      </w:tr>
      <w:tr w:rsidR="006C7FFA" w:rsidRPr="00755A11" w14:paraId="0AB45D82" w14:textId="77777777" w:rsidTr="00086026">
        <w:trPr>
          <w:trHeight w:val="283"/>
        </w:trPr>
        <w:tc>
          <w:tcPr>
            <w:tcW w:w="6372" w:type="dxa"/>
            <w:tcBorders>
              <w:bottom w:val="double" w:sz="4" w:space="0" w:color="1B556B"/>
            </w:tcBorders>
            <w:vAlign w:val="center"/>
          </w:tcPr>
          <w:p w14:paraId="47B1AE45" w14:textId="3F4F7CB7" w:rsidR="006C7FFA" w:rsidRPr="00755A11" w:rsidRDefault="006C7FFA" w:rsidP="00003A29">
            <w:pPr>
              <w:pStyle w:val="TableText"/>
            </w:pPr>
            <w:r w:rsidRPr="00755A11">
              <w:t xml:space="preserve">Not </w:t>
            </w:r>
            <w:r w:rsidR="00876523" w:rsidRPr="00755A11">
              <w:t>a</w:t>
            </w:r>
            <w:r w:rsidRPr="00755A11">
              <w:t>nswered</w:t>
            </w:r>
          </w:p>
        </w:tc>
        <w:tc>
          <w:tcPr>
            <w:tcW w:w="1134" w:type="dxa"/>
            <w:tcBorders>
              <w:bottom w:val="double" w:sz="4" w:space="0" w:color="1B556B"/>
            </w:tcBorders>
            <w:vAlign w:val="center"/>
          </w:tcPr>
          <w:p w14:paraId="0677718D" w14:textId="77777777" w:rsidR="006C7FFA" w:rsidRPr="00755A11" w:rsidRDefault="006C7FFA" w:rsidP="00003A29">
            <w:pPr>
              <w:pStyle w:val="TableText"/>
            </w:pPr>
            <w:r w:rsidRPr="00755A11">
              <w:t>27</w:t>
            </w:r>
          </w:p>
        </w:tc>
        <w:tc>
          <w:tcPr>
            <w:tcW w:w="1134" w:type="dxa"/>
            <w:tcBorders>
              <w:bottom w:val="double" w:sz="4" w:space="0" w:color="1B556B"/>
            </w:tcBorders>
            <w:vAlign w:val="center"/>
          </w:tcPr>
          <w:p w14:paraId="2F4BD197" w14:textId="6A962006" w:rsidR="006C7FFA" w:rsidRPr="00755A11" w:rsidRDefault="006C7FFA" w:rsidP="00003A29">
            <w:pPr>
              <w:pStyle w:val="TableText"/>
            </w:pPr>
            <w:r w:rsidRPr="00755A11">
              <w:t>44.26</w:t>
            </w:r>
          </w:p>
        </w:tc>
      </w:tr>
      <w:tr w:rsidR="006C7FFA" w:rsidRPr="00755A11" w14:paraId="6D232AD5" w14:textId="77777777" w:rsidTr="00086026">
        <w:trPr>
          <w:trHeight w:val="283"/>
        </w:trPr>
        <w:tc>
          <w:tcPr>
            <w:tcW w:w="6372" w:type="dxa"/>
            <w:tcBorders>
              <w:top w:val="double" w:sz="4" w:space="0" w:color="1B556B"/>
            </w:tcBorders>
            <w:vAlign w:val="center"/>
          </w:tcPr>
          <w:p w14:paraId="4473FAED" w14:textId="77777777" w:rsidR="006C7FFA" w:rsidRPr="00755A11" w:rsidRDefault="006C7FFA" w:rsidP="00003A29">
            <w:pPr>
              <w:pStyle w:val="TableText"/>
            </w:pPr>
            <w:r w:rsidRPr="00755A11">
              <w:t>Explanation provided</w:t>
            </w:r>
          </w:p>
        </w:tc>
        <w:tc>
          <w:tcPr>
            <w:tcW w:w="1134" w:type="dxa"/>
            <w:tcBorders>
              <w:top w:val="double" w:sz="4" w:space="0" w:color="1B556B"/>
            </w:tcBorders>
            <w:vAlign w:val="center"/>
          </w:tcPr>
          <w:p w14:paraId="306E2081" w14:textId="77777777" w:rsidR="006C7FFA" w:rsidRPr="00755A11" w:rsidRDefault="006C7FFA" w:rsidP="00003A29">
            <w:pPr>
              <w:pStyle w:val="TableText"/>
            </w:pPr>
            <w:r w:rsidRPr="00755A11">
              <w:t>34</w:t>
            </w:r>
          </w:p>
        </w:tc>
        <w:tc>
          <w:tcPr>
            <w:tcW w:w="1134" w:type="dxa"/>
            <w:tcBorders>
              <w:top w:val="double" w:sz="4" w:space="0" w:color="1B556B"/>
            </w:tcBorders>
            <w:vAlign w:val="center"/>
          </w:tcPr>
          <w:p w14:paraId="0BE1B681" w14:textId="77777777" w:rsidR="006C7FFA" w:rsidRPr="00755A11" w:rsidRDefault="006C7FFA" w:rsidP="00003A29">
            <w:pPr>
              <w:pStyle w:val="TableText"/>
            </w:pPr>
          </w:p>
        </w:tc>
      </w:tr>
    </w:tbl>
    <w:p w14:paraId="2025B3C6" w14:textId="390002D1" w:rsidR="006C7FFA" w:rsidRPr="00755A11" w:rsidRDefault="006C7FFA" w:rsidP="00003A29">
      <w:pPr>
        <w:pStyle w:val="BodyText"/>
        <w:spacing w:before="360"/>
        <w:rPr>
          <w:b/>
          <w:bCs/>
          <w:lang w:eastAsia="en-US"/>
        </w:rPr>
      </w:pPr>
      <w:r w:rsidRPr="00755A11">
        <w:rPr>
          <w:b/>
          <w:bCs/>
          <w:lang w:eastAsia="en-US"/>
        </w:rPr>
        <w:t>2: Do you think that the proposed update to auction volumes to reflect a change in forestry</w:t>
      </w:r>
      <w:r w:rsidR="00137854">
        <w:rPr>
          <w:b/>
          <w:bCs/>
          <w:lang w:eastAsia="en-US"/>
        </w:rPr>
        <w:t> </w:t>
      </w:r>
      <w:r w:rsidRPr="00755A11">
        <w:rPr>
          <w:b/>
          <w:bCs/>
          <w:lang w:eastAsia="en-US"/>
        </w:rPr>
        <w:t>emissions outside the NZ ETS is sufficient to allow unit settings for 2024 and 2025 to</w:t>
      </w:r>
      <w:r w:rsidR="00137854">
        <w:rPr>
          <w:b/>
          <w:bCs/>
          <w:lang w:eastAsia="en-US"/>
        </w:rPr>
        <w:t> </w:t>
      </w:r>
      <w:r w:rsidRPr="00755A11">
        <w:rPr>
          <w:b/>
          <w:bCs/>
          <w:lang w:eastAsia="en-US"/>
        </w:rPr>
        <w:t>be updated?</w:t>
      </w:r>
    </w:p>
    <w:tbl>
      <w:tblPr>
        <w:tblStyle w:val="Style4"/>
        <w:tblW w:w="8647" w:type="dxa"/>
        <w:tblLook w:val="04A0" w:firstRow="1" w:lastRow="0" w:firstColumn="1" w:lastColumn="0" w:noHBand="0" w:noVBand="1"/>
      </w:tblPr>
      <w:tblGrid>
        <w:gridCol w:w="6379"/>
        <w:gridCol w:w="1134"/>
        <w:gridCol w:w="1134"/>
      </w:tblGrid>
      <w:tr w:rsidR="006C7FFA" w:rsidRPr="00755A11" w14:paraId="0C067EF4" w14:textId="77777777" w:rsidTr="005C1FC4">
        <w:trPr>
          <w:cnfStyle w:val="100000000000" w:firstRow="1" w:lastRow="0" w:firstColumn="0" w:lastColumn="0" w:oddVBand="0" w:evenVBand="0" w:oddHBand="0" w:evenHBand="0" w:firstRowFirstColumn="0" w:firstRowLastColumn="0" w:lastRowFirstColumn="0" w:lastRowLastColumn="0"/>
          <w:trHeight w:val="283"/>
        </w:trPr>
        <w:tc>
          <w:tcPr>
            <w:tcW w:w="6379" w:type="dxa"/>
            <w:tcBorders>
              <w:top w:val="single" w:sz="4" w:space="0" w:color="1B556B" w:themeColor="text2"/>
            </w:tcBorders>
          </w:tcPr>
          <w:p w14:paraId="616E7F48" w14:textId="77777777" w:rsidR="006C7FFA" w:rsidRPr="00755A11" w:rsidRDefault="006C7FFA" w:rsidP="00003A29">
            <w:pPr>
              <w:pStyle w:val="TableText"/>
            </w:pPr>
            <w:r w:rsidRPr="00755A11">
              <w:t>Option</w:t>
            </w:r>
          </w:p>
        </w:tc>
        <w:tc>
          <w:tcPr>
            <w:tcW w:w="1134" w:type="dxa"/>
            <w:tcBorders>
              <w:top w:val="single" w:sz="4" w:space="0" w:color="1B556B" w:themeColor="text2"/>
            </w:tcBorders>
          </w:tcPr>
          <w:p w14:paraId="6715CA84" w14:textId="77777777" w:rsidR="006C7FFA" w:rsidRPr="00755A11" w:rsidRDefault="006C7FFA" w:rsidP="00003A29">
            <w:pPr>
              <w:pStyle w:val="TableText"/>
            </w:pPr>
            <w:r w:rsidRPr="00755A11">
              <w:t>Total</w:t>
            </w:r>
          </w:p>
        </w:tc>
        <w:tc>
          <w:tcPr>
            <w:tcW w:w="1134" w:type="dxa"/>
            <w:tcBorders>
              <w:top w:val="single" w:sz="4" w:space="0" w:color="1B556B" w:themeColor="text2"/>
            </w:tcBorders>
          </w:tcPr>
          <w:p w14:paraId="4A07103B" w14:textId="00049AC3" w:rsidR="006C7FFA" w:rsidRPr="00755A11" w:rsidRDefault="006C7FFA" w:rsidP="00003A29">
            <w:pPr>
              <w:pStyle w:val="TableText"/>
            </w:pPr>
            <w:r w:rsidRPr="00755A11">
              <w:t>Percent</w:t>
            </w:r>
            <w:r w:rsidR="007C36E1" w:rsidRPr="00755A11">
              <w:t xml:space="preserve"> (%)</w:t>
            </w:r>
          </w:p>
        </w:tc>
      </w:tr>
      <w:tr w:rsidR="006C7FFA" w:rsidRPr="00755A11" w14:paraId="1DF2AE27" w14:textId="77777777" w:rsidTr="005C1FC4">
        <w:trPr>
          <w:trHeight w:val="283"/>
        </w:trPr>
        <w:tc>
          <w:tcPr>
            <w:tcW w:w="6379" w:type="dxa"/>
          </w:tcPr>
          <w:p w14:paraId="7041101C" w14:textId="77777777" w:rsidR="006C7FFA" w:rsidRPr="00755A11" w:rsidRDefault="006C7FFA" w:rsidP="00003A29">
            <w:pPr>
              <w:pStyle w:val="TableText"/>
            </w:pPr>
            <w:r w:rsidRPr="00755A11">
              <w:t>Yes</w:t>
            </w:r>
          </w:p>
        </w:tc>
        <w:tc>
          <w:tcPr>
            <w:tcW w:w="1134" w:type="dxa"/>
          </w:tcPr>
          <w:p w14:paraId="0B13E83A" w14:textId="77777777" w:rsidR="006C7FFA" w:rsidRPr="00755A11" w:rsidRDefault="006C7FFA" w:rsidP="00003A29">
            <w:pPr>
              <w:pStyle w:val="TableText"/>
            </w:pPr>
            <w:r w:rsidRPr="00755A11">
              <w:t>21</w:t>
            </w:r>
          </w:p>
        </w:tc>
        <w:tc>
          <w:tcPr>
            <w:tcW w:w="1134" w:type="dxa"/>
          </w:tcPr>
          <w:p w14:paraId="15C0BBD6" w14:textId="5C9D4930" w:rsidR="006C7FFA" w:rsidRPr="00755A11" w:rsidRDefault="006C7FFA" w:rsidP="00003A29">
            <w:pPr>
              <w:pStyle w:val="TableText"/>
            </w:pPr>
            <w:r w:rsidRPr="00755A11">
              <w:t>34.43</w:t>
            </w:r>
          </w:p>
        </w:tc>
      </w:tr>
      <w:tr w:rsidR="009E682B" w:rsidRPr="00755A11" w14:paraId="0417EA89" w14:textId="77777777" w:rsidTr="005C1FC4">
        <w:trPr>
          <w:trHeight w:val="283"/>
        </w:trPr>
        <w:tc>
          <w:tcPr>
            <w:tcW w:w="6379" w:type="dxa"/>
          </w:tcPr>
          <w:p w14:paraId="020FC47F" w14:textId="77777777" w:rsidR="006C7FFA" w:rsidRPr="00755A11" w:rsidRDefault="006C7FFA" w:rsidP="00003A29">
            <w:pPr>
              <w:pStyle w:val="TableText"/>
            </w:pPr>
            <w:r w:rsidRPr="00755A11">
              <w:t>No</w:t>
            </w:r>
          </w:p>
        </w:tc>
        <w:tc>
          <w:tcPr>
            <w:tcW w:w="1134" w:type="dxa"/>
          </w:tcPr>
          <w:p w14:paraId="31F1E3B3" w14:textId="77777777" w:rsidR="006C7FFA" w:rsidRPr="00755A11" w:rsidRDefault="006C7FFA" w:rsidP="00003A29">
            <w:pPr>
              <w:pStyle w:val="TableText"/>
            </w:pPr>
            <w:r w:rsidRPr="00755A11">
              <w:t>3</w:t>
            </w:r>
          </w:p>
        </w:tc>
        <w:tc>
          <w:tcPr>
            <w:tcW w:w="1134" w:type="dxa"/>
          </w:tcPr>
          <w:p w14:paraId="27B92046" w14:textId="190D9E97" w:rsidR="006C7FFA" w:rsidRPr="00755A11" w:rsidRDefault="006C7FFA" w:rsidP="00003A29">
            <w:pPr>
              <w:pStyle w:val="TableText"/>
            </w:pPr>
            <w:r w:rsidRPr="00755A11">
              <w:t>4.92</w:t>
            </w:r>
          </w:p>
        </w:tc>
      </w:tr>
      <w:tr w:rsidR="006C7FFA" w:rsidRPr="00755A11" w14:paraId="38B2EC4D" w14:textId="77777777" w:rsidTr="005C1FC4">
        <w:trPr>
          <w:trHeight w:val="283"/>
        </w:trPr>
        <w:tc>
          <w:tcPr>
            <w:tcW w:w="6379" w:type="dxa"/>
          </w:tcPr>
          <w:p w14:paraId="248D39BA" w14:textId="77777777" w:rsidR="006C7FFA" w:rsidRPr="00755A11" w:rsidRDefault="006C7FFA" w:rsidP="00003A29">
            <w:pPr>
              <w:pStyle w:val="TableText"/>
            </w:pPr>
            <w:r w:rsidRPr="00755A11">
              <w:t>Unsure</w:t>
            </w:r>
          </w:p>
        </w:tc>
        <w:tc>
          <w:tcPr>
            <w:tcW w:w="1134" w:type="dxa"/>
          </w:tcPr>
          <w:p w14:paraId="58EC51A3" w14:textId="77777777" w:rsidR="006C7FFA" w:rsidRPr="00755A11" w:rsidRDefault="006C7FFA" w:rsidP="00003A29">
            <w:pPr>
              <w:pStyle w:val="TableText"/>
            </w:pPr>
            <w:r w:rsidRPr="00755A11">
              <w:t>8</w:t>
            </w:r>
          </w:p>
        </w:tc>
        <w:tc>
          <w:tcPr>
            <w:tcW w:w="1134" w:type="dxa"/>
          </w:tcPr>
          <w:p w14:paraId="7D04B579" w14:textId="1AC4F08C" w:rsidR="006C7FFA" w:rsidRPr="00755A11" w:rsidRDefault="006C7FFA" w:rsidP="00003A29">
            <w:pPr>
              <w:pStyle w:val="TableText"/>
            </w:pPr>
            <w:r w:rsidRPr="00755A11">
              <w:t>13.11</w:t>
            </w:r>
          </w:p>
        </w:tc>
      </w:tr>
      <w:tr w:rsidR="006C7FFA" w:rsidRPr="00755A11" w14:paraId="61583564" w14:textId="77777777" w:rsidTr="005C1FC4">
        <w:trPr>
          <w:trHeight w:val="283"/>
        </w:trPr>
        <w:tc>
          <w:tcPr>
            <w:tcW w:w="6379" w:type="dxa"/>
            <w:tcBorders>
              <w:bottom w:val="double" w:sz="4" w:space="0" w:color="1B556B"/>
            </w:tcBorders>
          </w:tcPr>
          <w:p w14:paraId="43201DDD" w14:textId="1D642D63" w:rsidR="006C7FFA" w:rsidRPr="00755A11" w:rsidRDefault="006C7FFA" w:rsidP="00003A29">
            <w:pPr>
              <w:pStyle w:val="TableText"/>
            </w:pPr>
            <w:r w:rsidRPr="00755A11">
              <w:t xml:space="preserve">Not </w:t>
            </w:r>
            <w:r w:rsidR="00876523" w:rsidRPr="00755A11">
              <w:t>a</w:t>
            </w:r>
            <w:r w:rsidRPr="00755A11">
              <w:t>nswered</w:t>
            </w:r>
          </w:p>
        </w:tc>
        <w:tc>
          <w:tcPr>
            <w:tcW w:w="1134" w:type="dxa"/>
            <w:tcBorders>
              <w:bottom w:val="double" w:sz="4" w:space="0" w:color="1B556B"/>
            </w:tcBorders>
          </w:tcPr>
          <w:p w14:paraId="42268399" w14:textId="77777777" w:rsidR="006C7FFA" w:rsidRPr="00755A11" w:rsidRDefault="006C7FFA" w:rsidP="00003A29">
            <w:pPr>
              <w:pStyle w:val="TableText"/>
            </w:pPr>
            <w:r w:rsidRPr="00755A11">
              <w:t>29</w:t>
            </w:r>
          </w:p>
        </w:tc>
        <w:tc>
          <w:tcPr>
            <w:tcW w:w="1134" w:type="dxa"/>
            <w:tcBorders>
              <w:bottom w:val="double" w:sz="4" w:space="0" w:color="1B556B"/>
            </w:tcBorders>
          </w:tcPr>
          <w:p w14:paraId="5A935607" w14:textId="6842C2A5" w:rsidR="006C7FFA" w:rsidRPr="00755A11" w:rsidRDefault="006C7FFA" w:rsidP="00003A29">
            <w:pPr>
              <w:pStyle w:val="TableText"/>
            </w:pPr>
            <w:r w:rsidRPr="00755A11">
              <w:t>47.54</w:t>
            </w:r>
          </w:p>
        </w:tc>
      </w:tr>
      <w:tr w:rsidR="006C7FFA" w:rsidRPr="00755A11" w14:paraId="5DCC6977" w14:textId="77777777" w:rsidTr="005C1FC4">
        <w:trPr>
          <w:trHeight w:val="283"/>
        </w:trPr>
        <w:tc>
          <w:tcPr>
            <w:tcW w:w="6379" w:type="dxa"/>
            <w:tcBorders>
              <w:top w:val="double" w:sz="4" w:space="0" w:color="1B556B"/>
            </w:tcBorders>
          </w:tcPr>
          <w:p w14:paraId="100517EB" w14:textId="77777777" w:rsidR="006C7FFA" w:rsidRPr="00755A11" w:rsidRDefault="006C7FFA" w:rsidP="00003A29">
            <w:pPr>
              <w:pStyle w:val="TableText"/>
            </w:pPr>
            <w:r w:rsidRPr="00755A11">
              <w:t>Explanation provided</w:t>
            </w:r>
          </w:p>
        </w:tc>
        <w:tc>
          <w:tcPr>
            <w:tcW w:w="1134" w:type="dxa"/>
            <w:tcBorders>
              <w:top w:val="double" w:sz="4" w:space="0" w:color="1B556B"/>
            </w:tcBorders>
          </w:tcPr>
          <w:p w14:paraId="2E735D00" w14:textId="77777777" w:rsidR="006C7FFA" w:rsidRPr="00755A11" w:rsidRDefault="006C7FFA" w:rsidP="00003A29">
            <w:pPr>
              <w:pStyle w:val="TableText"/>
            </w:pPr>
            <w:r w:rsidRPr="00755A11">
              <w:t>22</w:t>
            </w:r>
          </w:p>
        </w:tc>
        <w:tc>
          <w:tcPr>
            <w:tcW w:w="1134" w:type="dxa"/>
            <w:tcBorders>
              <w:top w:val="double" w:sz="4" w:space="0" w:color="1B556B"/>
            </w:tcBorders>
          </w:tcPr>
          <w:p w14:paraId="1AC39F8B" w14:textId="77777777" w:rsidR="006C7FFA" w:rsidRPr="00755A11" w:rsidRDefault="006C7FFA" w:rsidP="00003A29">
            <w:pPr>
              <w:pStyle w:val="TableText"/>
            </w:pPr>
          </w:p>
        </w:tc>
      </w:tr>
    </w:tbl>
    <w:p w14:paraId="6D4E98E0" w14:textId="78F008FF" w:rsidR="006C7FFA" w:rsidRPr="00755A11" w:rsidRDefault="006C7FFA" w:rsidP="00003A29">
      <w:pPr>
        <w:pStyle w:val="BodyText"/>
        <w:spacing w:before="360"/>
        <w:rPr>
          <w:b/>
          <w:bCs/>
          <w:lang w:eastAsia="en-US"/>
        </w:rPr>
      </w:pPr>
      <w:r w:rsidRPr="00755A11">
        <w:rPr>
          <w:b/>
          <w:bCs/>
          <w:lang w:eastAsia="en-US"/>
        </w:rPr>
        <w:t>3: What other special circumstances, if any, do you think exist that might enable updating NZ</w:t>
      </w:r>
      <w:r w:rsidR="002B5C13" w:rsidRPr="00755A11">
        <w:rPr>
          <w:b/>
          <w:bCs/>
          <w:lang w:eastAsia="en-US"/>
        </w:rPr>
        <w:t> </w:t>
      </w:r>
      <w:r w:rsidRPr="00755A11">
        <w:rPr>
          <w:b/>
          <w:bCs/>
          <w:lang w:eastAsia="en-US"/>
        </w:rPr>
        <w:t>ETS unit settings for 2024 and 2025?</w:t>
      </w:r>
    </w:p>
    <w:tbl>
      <w:tblPr>
        <w:tblStyle w:val="Style4"/>
        <w:tblW w:w="8647" w:type="dxa"/>
        <w:tblBorders>
          <w:top w:val="single" w:sz="4" w:space="0" w:color="1B556B" w:themeColor="text2"/>
        </w:tblBorders>
        <w:tblLook w:val="04A0" w:firstRow="1" w:lastRow="0" w:firstColumn="1" w:lastColumn="0" w:noHBand="0" w:noVBand="1"/>
      </w:tblPr>
      <w:tblGrid>
        <w:gridCol w:w="6379"/>
        <w:gridCol w:w="1134"/>
        <w:gridCol w:w="1134"/>
      </w:tblGrid>
      <w:tr w:rsidR="006C7FFA" w:rsidRPr="00755A11" w14:paraId="4D547330" w14:textId="77777777" w:rsidTr="005C1FC4">
        <w:trPr>
          <w:cnfStyle w:val="100000000000" w:firstRow="1" w:lastRow="0" w:firstColumn="0" w:lastColumn="0" w:oddVBand="0" w:evenVBand="0" w:oddHBand="0" w:evenHBand="0" w:firstRowFirstColumn="0" w:firstRowLastColumn="0" w:lastRowFirstColumn="0" w:lastRowLastColumn="0"/>
          <w:trHeight w:val="283"/>
        </w:trPr>
        <w:tc>
          <w:tcPr>
            <w:tcW w:w="6379" w:type="dxa"/>
          </w:tcPr>
          <w:p w14:paraId="7B4BBCFC" w14:textId="77777777" w:rsidR="006C7FFA" w:rsidRPr="00755A11" w:rsidRDefault="006C7FFA" w:rsidP="00003A29">
            <w:pPr>
              <w:pStyle w:val="TableText"/>
            </w:pPr>
            <w:r w:rsidRPr="00755A11">
              <w:t>No selectable options</w:t>
            </w:r>
          </w:p>
        </w:tc>
        <w:tc>
          <w:tcPr>
            <w:tcW w:w="1134" w:type="dxa"/>
          </w:tcPr>
          <w:p w14:paraId="239E1A3E" w14:textId="77777777" w:rsidR="006C7FFA" w:rsidRPr="00755A11" w:rsidRDefault="006C7FFA" w:rsidP="00003A29">
            <w:pPr>
              <w:pStyle w:val="TableText"/>
            </w:pPr>
            <w:r w:rsidRPr="00755A11">
              <w:t>Total</w:t>
            </w:r>
          </w:p>
        </w:tc>
        <w:tc>
          <w:tcPr>
            <w:tcW w:w="1134" w:type="dxa"/>
          </w:tcPr>
          <w:p w14:paraId="03617865" w14:textId="77777777" w:rsidR="006C7FFA" w:rsidRPr="00755A11" w:rsidRDefault="006C7FFA" w:rsidP="00003A29">
            <w:pPr>
              <w:pStyle w:val="TableText"/>
            </w:pPr>
            <w:r w:rsidRPr="00755A11">
              <w:t>Percent</w:t>
            </w:r>
          </w:p>
        </w:tc>
      </w:tr>
      <w:tr w:rsidR="00086026" w:rsidRPr="00755A11" w14:paraId="598DEA86" w14:textId="77777777" w:rsidTr="005C1FC4">
        <w:trPr>
          <w:trHeight w:val="283"/>
        </w:trPr>
        <w:tc>
          <w:tcPr>
            <w:tcW w:w="6379" w:type="dxa"/>
          </w:tcPr>
          <w:p w14:paraId="3BD3D0A1" w14:textId="77777777" w:rsidR="006C7FFA" w:rsidRPr="00755A11" w:rsidRDefault="006C7FFA" w:rsidP="00003A29">
            <w:pPr>
              <w:pStyle w:val="TableText"/>
            </w:pPr>
            <w:r w:rsidRPr="00755A11">
              <w:t>Explanation provided</w:t>
            </w:r>
          </w:p>
        </w:tc>
        <w:tc>
          <w:tcPr>
            <w:tcW w:w="1134" w:type="dxa"/>
          </w:tcPr>
          <w:p w14:paraId="47F7824F" w14:textId="77777777" w:rsidR="006C7FFA" w:rsidRPr="00755A11" w:rsidRDefault="006C7FFA" w:rsidP="00003A29">
            <w:pPr>
              <w:pStyle w:val="TableText"/>
            </w:pPr>
            <w:r w:rsidRPr="00755A11">
              <w:t>30</w:t>
            </w:r>
          </w:p>
        </w:tc>
        <w:tc>
          <w:tcPr>
            <w:tcW w:w="1134" w:type="dxa"/>
          </w:tcPr>
          <w:p w14:paraId="7D4EF806" w14:textId="77777777" w:rsidR="006C7FFA" w:rsidRPr="00755A11" w:rsidRDefault="006C7FFA" w:rsidP="00003A29">
            <w:pPr>
              <w:pStyle w:val="TableText"/>
            </w:pPr>
          </w:p>
        </w:tc>
      </w:tr>
    </w:tbl>
    <w:p w14:paraId="095FC48A" w14:textId="77777777" w:rsidR="006C7FFA" w:rsidRPr="00755A11" w:rsidRDefault="006C7FFA" w:rsidP="00003A29">
      <w:pPr>
        <w:pStyle w:val="BodyText"/>
        <w:keepNext/>
        <w:spacing w:before="360"/>
        <w:rPr>
          <w:b/>
          <w:bCs/>
          <w:lang w:eastAsia="en-US"/>
        </w:rPr>
      </w:pPr>
      <w:r w:rsidRPr="00755A11">
        <w:rPr>
          <w:b/>
          <w:bCs/>
          <w:lang w:eastAsia="en-US"/>
        </w:rPr>
        <w:lastRenderedPageBreak/>
        <w:t>4: If there are special circumstances, do you think updates to NZ ETS unit settings for 2024 and 2025 are justified and should be made?</w:t>
      </w:r>
    </w:p>
    <w:tbl>
      <w:tblPr>
        <w:tblStyle w:val="Style4"/>
        <w:tblW w:w="8647" w:type="dxa"/>
        <w:tblLook w:val="04A0" w:firstRow="1" w:lastRow="0" w:firstColumn="1" w:lastColumn="0" w:noHBand="0" w:noVBand="1"/>
      </w:tblPr>
      <w:tblGrid>
        <w:gridCol w:w="6379"/>
        <w:gridCol w:w="1134"/>
        <w:gridCol w:w="1134"/>
      </w:tblGrid>
      <w:tr w:rsidR="006C7FFA" w:rsidRPr="00755A11" w14:paraId="329C1CB3" w14:textId="77777777" w:rsidTr="00B7245B">
        <w:trPr>
          <w:cnfStyle w:val="100000000000" w:firstRow="1" w:lastRow="0" w:firstColumn="0" w:lastColumn="0" w:oddVBand="0" w:evenVBand="0" w:oddHBand="0" w:evenHBand="0" w:firstRowFirstColumn="0" w:firstRowLastColumn="0" w:lastRowFirstColumn="0" w:lastRowLastColumn="0"/>
          <w:trHeight w:val="283"/>
        </w:trPr>
        <w:tc>
          <w:tcPr>
            <w:tcW w:w="6379" w:type="dxa"/>
            <w:tcBorders>
              <w:top w:val="single" w:sz="4" w:space="0" w:color="1B556B" w:themeColor="text2"/>
            </w:tcBorders>
          </w:tcPr>
          <w:p w14:paraId="3A039190" w14:textId="77777777" w:rsidR="006C7FFA" w:rsidRPr="00755A11" w:rsidRDefault="006C7FFA" w:rsidP="00003A29">
            <w:pPr>
              <w:pStyle w:val="TableText"/>
              <w:keepNext/>
            </w:pPr>
            <w:r w:rsidRPr="00755A11">
              <w:t>Option</w:t>
            </w:r>
          </w:p>
        </w:tc>
        <w:tc>
          <w:tcPr>
            <w:tcW w:w="1134" w:type="dxa"/>
            <w:tcBorders>
              <w:top w:val="single" w:sz="4" w:space="0" w:color="1B556B" w:themeColor="text2"/>
            </w:tcBorders>
          </w:tcPr>
          <w:p w14:paraId="35F41A54" w14:textId="77777777" w:rsidR="006C7FFA" w:rsidRPr="00755A11" w:rsidRDefault="006C7FFA" w:rsidP="00003A29">
            <w:pPr>
              <w:pStyle w:val="TableText"/>
              <w:keepNext/>
            </w:pPr>
            <w:r w:rsidRPr="00755A11">
              <w:t>Total</w:t>
            </w:r>
          </w:p>
        </w:tc>
        <w:tc>
          <w:tcPr>
            <w:tcW w:w="1134" w:type="dxa"/>
            <w:tcBorders>
              <w:top w:val="single" w:sz="4" w:space="0" w:color="1B556B" w:themeColor="text2"/>
            </w:tcBorders>
          </w:tcPr>
          <w:p w14:paraId="70A2DA42" w14:textId="38F3B06B" w:rsidR="006C7FFA" w:rsidRPr="00755A11" w:rsidRDefault="006C7FFA" w:rsidP="00003A29">
            <w:pPr>
              <w:pStyle w:val="TableText"/>
              <w:keepNext/>
            </w:pPr>
            <w:r w:rsidRPr="00755A11">
              <w:t>Percent</w:t>
            </w:r>
            <w:r w:rsidR="00876523" w:rsidRPr="00755A11">
              <w:t xml:space="preserve"> (%)</w:t>
            </w:r>
          </w:p>
        </w:tc>
      </w:tr>
      <w:tr w:rsidR="006C7FFA" w:rsidRPr="00755A11" w14:paraId="32B0BDC3" w14:textId="77777777" w:rsidTr="00B7245B">
        <w:trPr>
          <w:trHeight w:val="283"/>
        </w:trPr>
        <w:tc>
          <w:tcPr>
            <w:tcW w:w="6379" w:type="dxa"/>
          </w:tcPr>
          <w:p w14:paraId="2A05C948" w14:textId="77777777" w:rsidR="006C7FFA" w:rsidRPr="00755A11" w:rsidRDefault="006C7FFA" w:rsidP="00003A29">
            <w:pPr>
              <w:pStyle w:val="TableText"/>
              <w:keepNext/>
            </w:pPr>
            <w:r w:rsidRPr="00755A11">
              <w:t>Yes</w:t>
            </w:r>
          </w:p>
        </w:tc>
        <w:tc>
          <w:tcPr>
            <w:tcW w:w="1134" w:type="dxa"/>
          </w:tcPr>
          <w:p w14:paraId="3B07A938" w14:textId="77777777" w:rsidR="006C7FFA" w:rsidRPr="00755A11" w:rsidRDefault="006C7FFA" w:rsidP="00003A29">
            <w:pPr>
              <w:pStyle w:val="TableText"/>
              <w:keepNext/>
            </w:pPr>
            <w:r w:rsidRPr="00755A11">
              <w:t>26</w:t>
            </w:r>
          </w:p>
        </w:tc>
        <w:tc>
          <w:tcPr>
            <w:tcW w:w="1134" w:type="dxa"/>
          </w:tcPr>
          <w:p w14:paraId="2FF3AFEC" w14:textId="781D4921" w:rsidR="006C7FFA" w:rsidRPr="00755A11" w:rsidRDefault="006C7FFA" w:rsidP="00003A29">
            <w:pPr>
              <w:pStyle w:val="TableText"/>
              <w:keepNext/>
            </w:pPr>
            <w:r w:rsidRPr="00755A11">
              <w:t>42.62</w:t>
            </w:r>
          </w:p>
        </w:tc>
      </w:tr>
      <w:tr w:rsidR="009E682B" w:rsidRPr="00755A11" w14:paraId="1A9AF99E" w14:textId="77777777" w:rsidTr="00B7245B">
        <w:trPr>
          <w:trHeight w:val="283"/>
        </w:trPr>
        <w:tc>
          <w:tcPr>
            <w:tcW w:w="6379" w:type="dxa"/>
          </w:tcPr>
          <w:p w14:paraId="416CB130" w14:textId="77777777" w:rsidR="006C7FFA" w:rsidRPr="00755A11" w:rsidRDefault="006C7FFA" w:rsidP="00003A29">
            <w:pPr>
              <w:pStyle w:val="TableText"/>
            </w:pPr>
            <w:r w:rsidRPr="00755A11">
              <w:t>No</w:t>
            </w:r>
          </w:p>
        </w:tc>
        <w:tc>
          <w:tcPr>
            <w:tcW w:w="1134" w:type="dxa"/>
          </w:tcPr>
          <w:p w14:paraId="01D665FE" w14:textId="77777777" w:rsidR="006C7FFA" w:rsidRPr="00755A11" w:rsidRDefault="006C7FFA" w:rsidP="00003A29">
            <w:pPr>
              <w:pStyle w:val="TableText"/>
            </w:pPr>
            <w:r w:rsidRPr="00755A11">
              <w:t>1</w:t>
            </w:r>
          </w:p>
        </w:tc>
        <w:tc>
          <w:tcPr>
            <w:tcW w:w="1134" w:type="dxa"/>
          </w:tcPr>
          <w:p w14:paraId="191375CD" w14:textId="168B7240" w:rsidR="006C7FFA" w:rsidRPr="00755A11" w:rsidRDefault="006C7FFA" w:rsidP="00003A29">
            <w:pPr>
              <w:pStyle w:val="TableText"/>
            </w:pPr>
            <w:r w:rsidRPr="00755A11">
              <w:t>1.64</w:t>
            </w:r>
          </w:p>
        </w:tc>
      </w:tr>
      <w:tr w:rsidR="006C7FFA" w:rsidRPr="00755A11" w14:paraId="62B7E1B1" w14:textId="77777777" w:rsidTr="00B7245B">
        <w:trPr>
          <w:trHeight w:val="283"/>
        </w:trPr>
        <w:tc>
          <w:tcPr>
            <w:tcW w:w="6379" w:type="dxa"/>
          </w:tcPr>
          <w:p w14:paraId="4666D919" w14:textId="77777777" w:rsidR="006C7FFA" w:rsidRPr="00755A11" w:rsidRDefault="006C7FFA" w:rsidP="00003A29">
            <w:pPr>
              <w:pStyle w:val="TableText"/>
            </w:pPr>
            <w:r w:rsidRPr="00755A11">
              <w:t>Unsure</w:t>
            </w:r>
          </w:p>
        </w:tc>
        <w:tc>
          <w:tcPr>
            <w:tcW w:w="1134" w:type="dxa"/>
          </w:tcPr>
          <w:p w14:paraId="72A35E7C" w14:textId="77777777" w:rsidR="006C7FFA" w:rsidRPr="00755A11" w:rsidRDefault="006C7FFA" w:rsidP="00003A29">
            <w:pPr>
              <w:pStyle w:val="TableText"/>
            </w:pPr>
            <w:r w:rsidRPr="00755A11">
              <w:t>1</w:t>
            </w:r>
          </w:p>
        </w:tc>
        <w:tc>
          <w:tcPr>
            <w:tcW w:w="1134" w:type="dxa"/>
          </w:tcPr>
          <w:p w14:paraId="006CA30D" w14:textId="7EAAAD14" w:rsidR="006C7FFA" w:rsidRPr="00755A11" w:rsidRDefault="006C7FFA" w:rsidP="00003A29">
            <w:pPr>
              <w:pStyle w:val="TableText"/>
            </w:pPr>
            <w:r w:rsidRPr="00755A11">
              <w:t>1.64</w:t>
            </w:r>
          </w:p>
        </w:tc>
      </w:tr>
      <w:tr w:rsidR="006C7FFA" w:rsidRPr="00755A11" w14:paraId="30172DD2" w14:textId="77777777" w:rsidTr="00B7245B">
        <w:trPr>
          <w:trHeight w:val="283"/>
        </w:trPr>
        <w:tc>
          <w:tcPr>
            <w:tcW w:w="6379" w:type="dxa"/>
            <w:tcBorders>
              <w:bottom w:val="double" w:sz="4" w:space="0" w:color="1B556B"/>
            </w:tcBorders>
          </w:tcPr>
          <w:p w14:paraId="435A3771" w14:textId="311B37BF" w:rsidR="006C7FFA" w:rsidRPr="00755A11" w:rsidRDefault="006C7FFA" w:rsidP="00003A29">
            <w:pPr>
              <w:pStyle w:val="TableText"/>
            </w:pPr>
            <w:r w:rsidRPr="00755A11">
              <w:t xml:space="preserve">Not </w:t>
            </w:r>
            <w:r w:rsidR="00876523" w:rsidRPr="00755A11">
              <w:t>a</w:t>
            </w:r>
            <w:r w:rsidRPr="00755A11">
              <w:t>nswered</w:t>
            </w:r>
          </w:p>
        </w:tc>
        <w:tc>
          <w:tcPr>
            <w:tcW w:w="1134" w:type="dxa"/>
            <w:tcBorders>
              <w:bottom w:val="double" w:sz="4" w:space="0" w:color="1B556B"/>
            </w:tcBorders>
          </w:tcPr>
          <w:p w14:paraId="770DBDD1" w14:textId="77777777" w:rsidR="006C7FFA" w:rsidRPr="00755A11" w:rsidRDefault="006C7FFA" w:rsidP="00003A29">
            <w:pPr>
              <w:pStyle w:val="TableText"/>
            </w:pPr>
            <w:r w:rsidRPr="00755A11">
              <w:t>33</w:t>
            </w:r>
          </w:p>
        </w:tc>
        <w:tc>
          <w:tcPr>
            <w:tcW w:w="1134" w:type="dxa"/>
            <w:tcBorders>
              <w:bottom w:val="double" w:sz="4" w:space="0" w:color="1B556B"/>
            </w:tcBorders>
          </w:tcPr>
          <w:p w14:paraId="6537FDF9" w14:textId="021C1E1D" w:rsidR="006C7FFA" w:rsidRPr="00755A11" w:rsidRDefault="006C7FFA" w:rsidP="00003A29">
            <w:pPr>
              <w:pStyle w:val="TableText"/>
            </w:pPr>
            <w:r w:rsidRPr="00755A11">
              <w:t>54.10</w:t>
            </w:r>
          </w:p>
        </w:tc>
      </w:tr>
      <w:tr w:rsidR="006C7FFA" w:rsidRPr="00755A11" w14:paraId="05D87460" w14:textId="77777777" w:rsidTr="00B7245B">
        <w:trPr>
          <w:trHeight w:val="283"/>
        </w:trPr>
        <w:tc>
          <w:tcPr>
            <w:tcW w:w="6379" w:type="dxa"/>
            <w:tcBorders>
              <w:top w:val="double" w:sz="4" w:space="0" w:color="1B556B"/>
            </w:tcBorders>
          </w:tcPr>
          <w:p w14:paraId="0445AE81" w14:textId="77777777" w:rsidR="006C7FFA" w:rsidRPr="00755A11" w:rsidRDefault="006C7FFA" w:rsidP="00003A29">
            <w:pPr>
              <w:pStyle w:val="TableText"/>
            </w:pPr>
            <w:r w:rsidRPr="00755A11">
              <w:t>Explanation provided</w:t>
            </w:r>
          </w:p>
        </w:tc>
        <w:tc>
          <w:tcPr>
            <w:tcW w:w="1134" w:type="dxa"/>
            <w:tcBorders>
              <w:top w:val="double" w:sz="4" w:space="0" w:color="1B556B"/>
            </w:tcBorders>
          </w:tcPr>
          <w:p w14:paraId="00443CD8" w14:textId="77777777" w:rsidR="006C7FFA" w:rsidRPr="00755A11" w:rsidRDefault="006C7FFA" w:rsidP="00003A29">
            <w:pPr>
              <w:pStyle w:val="TableText"/>
            </w:pPr>
            <w:r w:rsidRPr="00755A11">
              <w:t>22</w:t>
            </w:r>
          </w:p>
        </w:tc>
        <w:tc>
          <w:tcPr>
            <w:tcW w:w="1134" w:type="dxa"/>
            <w:tcBorders>
              <w:top w:val="double" w:sz="4" w:space="0" w:color="1B556B"/>
            </w:tcBorders>
          </w:tcPr>
          <w:p w14:paraId="54DEE3DD" w14:textId="77777777" w:rsidR="006C7FFA" w:rsidRPr="00755A11" w:rsidRDefault="006C7FFA" w:rsidP="00003A29">
            <w:pPr>
              <w:pStyle w:val="TableText"/>
            </w:pPr>
          </w:p>
        </w:tc>
      </w:tr>
    </w:tbl>
    <w:p w14:paraId="69174883" w14:textId="77777777" w:rsidR="006C7FFA" w:rsidRPr="00755A11" w:rsidRDefault="006C7FFA" w:rsidP="00003A29">
      <w:pPr>
        <w:pStyle w:val="BodyText"/>
        <w:spacing w:before="360"/>
        <w:rPr>
          <w:b/>
          <w:bCs/>
          <w:lang w:eastAsia="en-US"/>
        </w:rPr>
      </w:pPr>
      <w:r w:rsidRPr="00755A11">
        <w:rPr>
          <w:b/>
          <w:bCs/>
          <w:lang w:eastAsia="en-US"/>
        </w:rPr>
        <w:t xml:space="preserve">5: Do you think that updates to NZ ETS unit settings for 2024 and 2025 should occur if NZUs from the cost containment reserve are sold at the June NZ ETS auction? </w:t>
      </w:r>
    </w:p>
    <w:tbl>
      <w:tblPr>
        <w:tblStyle w:val="Style4"/>
        <w:tblW w:w="8628" w:type="dxa"/>
        <w:tblLook w:val="04A0" w:firstRow="1" w:lastRow="0" w:firstColumn="1" w:lastColumn="0" w:noHBand="0" w:noVBand="1"/>
      </w:tblPr>
      <w:tblGrid>
        <w:gridCol w:w="6379"/>
        <w:gridCol w:w="1122"/>
        <w:gridCol w:w="1127"/>
      </w:tblGrid>
      <w:tr w:rsidR="006C7FFA" w:rsidRPr="00755A11" w14:paraId="483E9B38" w14:textId="77777777" w:rsidTr="00876523">
        <w:trPr>
          <w:cnfStyle w:val="100000000000" w:firstRow="1" w:lastRow="0" w:firstColumn="0" w:lastColumn="0" w:oddVBand="0" w:evenVBand="0" w:oddHBand="0" w:evenHBand="0" w:firstRowFirstColumn="0" w:firstRowLastColumn="0" w:lastRowFirstColumn="0" w:lastRowLastColumn="0"/>
          <w:trHeight w:val="283"/>
        </w:trPr>
        <w:tc>
          <w:tcPr>
            <w:tcW w:w="6379" w:type="dxa"/>
            <w:tcBorders>
              <w:top w:val="single" w:sz="4" w:space="0" w:color="1B556B"/>
            </w:tcBorders>
          </w:tcPr>
          <w:p w14:paraId="3D45C06D" w14:textId="77777777" w:rsidR="006C7FFA" w:rsidRPr="00755A11" w:rsidRDefault="006C7FFA" w:rsidP="00003A29">
            <w:pPr>
              <w:pStyle w:val="TableText"/>
            </w:pPr>
            <w:r w:rsidRPr="00755A11">
              <w:t>Option</w:t>
            </w:r>
          </w:p>
        </w:tc>
        <w:tc>
          <w:tcPr>
            <w:tcW w:w="1122" w:type="dxa"/>
            <w:tcBorders>
              <w:top w:val="single" w:sz="4" w:space="0" w:color="1B556B"/>
            </w:tcBorders>
          </w:tcPr>
          <w:p w14:paraId="37F3F296" w14:textId="77777777" w:rsidR="006C7FFA" w:rsidRPr="00755A11" w:rsidRDefault="006C7FFA" w:rsidP="00003A29">
            <w:pPr>
              <w:pStyle w:val="TableText"/>
            </w:pPr>
            <w:r w:rsidRPr="00755A11">
              <w:t>Total</w:t>
            </w:r>
          </w:p>
        </w:tc>
        <w:tc>
          <w:tcPr>
            <w:tcW w:w="1127" w:type="dxa"/>
            <w:tcBorders>
              <w:top w:val="single" w:sz="4" w:space="0" w:color="1B556B"/>
            </w:tcBorders>
          </w:tcPr>
          <w:p w14:paraId="24AE27EE" w14:textId="1D07849F" w:rsidR="006C7FFA" w:rsidRPr="00755A11" w:rsidRDefault="006C7FFA" w:rsidP="00003A29">
            <w:pPr>
              <w:pStyle w:val="TableText"/>
            </w:pPr>
            <w:r w:rsidRPr="00755A11">
              <w:t>Percent</w:t>
            </w:r>
            <w:r w:rsidR="00876523" w:rsidRPr="00755A11">
              <w:t xml:space="preserve"> (%)</w:t>
            </w:r>
          </w:p>
        </w:tc>
      </w:tr>
      <w:tr w:rsidR="006C7FFA" w:rsidRPr="00755A11" w14:paraId="2BC7F0AC" w14:textId="77777777" w:rsidTr="00876523">
        <w:trPr>
          <w:trHeight w:val="283"/>
        </w:trPr>
        <w:tc>
          <w:tcPr>
            <w:tcW w:w="6379" w:type="dxa"/>
          </w:tcPr>
          <w:p w14:paraId="24D5914E" w14:textId="77777777" w:rsidR="006C7FFA" w:rsidRPr="00755A11" w:rsidRDefault="006C7FFA" w:rsidP="00003A29">
            <w:pPr>
              <w:pStyle w:val="TableText"/>
            </w:pPr>
            <w:r w:rsidRPr="00755A11">
              <w:t>Yes</w:t>
            </w:r>
          </w:p>
        </w:tc>
        <w:tc>
          <w:tcPr>
            <w:tcW w:w="1122" w:type="dxa"/>
          </w:tcPr>
          <w:p w14:paraId="30342EA2" w14:textId="77777777" w:rsidR="006C7FFA" w:rsidRPr="00755A11" w:rsidRDefault="006C7FFA" w:rsidP="00003A29">
            <w:pPr>
              <w:pStyle w:val="TableText"/>
            </w:pPr>
            <w:r w:rsidRPr="00755A11">
              <w:t>24</w:t>
            </w:r>
          </w:p>
        </w:tc>
        <w:tc>
          <w:tcPr>
            <w:tcW w:w="1127" w:type="dxa"/>
          </w:tcPr>
          <w:p w14:paraId="5CEDD9C3" w14:textId="1BB50975" w:rsidR="006C7FFA" w:rsidRPr="00755A11" w:rsidRDefault="006C7FFA" w:rsidP="00003A29">
            <w:pPr>
              <w:pStyle w:val="TableText"/>
            </w:pPr>
            <w:r w:rsidRPr="00755A11">
              <w:t>39.34</w:t>
            </w:r>
          </w:p>
        </w:tc>
      </w:tr>
      <w:tr w:rsidR="009E682B" w:rsidRPr="00755A11" w14:paraId="04E46A09" w14:textId="77777777" w:rsidTr="00876523">
        <w:trPr>
          <w:trHeight w:val="283"/>
        </w:trPr>
        <w:tc>
          <w:tcPr>
            <w:tcW w:w="6379" w:type="dxa"/>
          </w:tcPr>
          <w:p w14:paraId="3068C05D" w14:textId="77777777" w:rsidR="006C7FFA" w:rsidRPr="00755A11" w:rsidRDefault="006C7FFA" w:rsidP="00003A29">
            <w:pPr>
              <w:pStyle w:val="TableText"/>
            </w:pPr>
            <w:r w:rsidRPr="00755A11">
              <w:t>No</w:t>
            </w:r>
          </w:p>
        </w:tc>
        <w:tc>
          <w:tcPr>
            <w:tcW w:w="1122" w:type="dxa"/>
          </w:tcPr>
          <w:p w14:paraId="3DA88D5F" w14:textId="77777777" w:rsidR="006C7FFA" w:rsidRPr="00755A11" w:rsidRDefault="006C7FFA" w:rsidP="00003A29">
            <w:pPr>
              <w:pStyle w:val="TableText"/>
            </w:pPr>
            <w:r w:rsidRPr="00755A11">
              <w:t>1</w:t>
            </w:r>
          </w:p>
        </w:tc>
        <w:tc>
          <w:tcPr>
            <w:tcW w:w="1127" w:type="dxa"/>
          </w:tcPr>
          <w:p w14:paraId="06444A56" w14:textId="0B3893A4" w:rsidR="006C7FFA" w:rsidRPr="00755A11" w:rsidRDefault="006C7FFA" w:rsidP="00003A29">
            <w:pPr>
              <w:pStyle w:val="TableText"/>
            </w:pPr>
            <w:r w:rsidRPr="00755A11">
              <w:t>1.64</w:t>
            </w:r>
          </w:p>
        </w:tc>
      </w:tr>
      <w:tr w:rsidR="006C7FFA" w:rsidRPr="00755A11" w14:paraId="2B480098" w14:textId="77777777" w:rsidTr="00876523">
        <w:trPr>
          <w:trHeight w:val="283"/>
        </w:trPr>
        <w:tc>
          <w:tcPr>
            <w:tcW w:w="6379" w:type="dxa"/>
          </w:tcPr>
          <w:p w14:paraId="49C495DD" w14:textId="77777777" w:rsidR="006C7FFA" w:rsidRPr="00755A11" w:rsidRDefault="006C7FFA" w:rsidP="00003A29">
            <w:pPr>
              <w:pStyle w:val="TableText"/>
            </w:pPr>
            <w:r w:rsidRPr="00755A11">
              <w:t>Unsure</w:t>
            </w:r>
          </w:p>
        </w:tc>
        <w:tc>
          <w:tcPr>
            <w:tcW w:w="1122" w:type="dxa"/>
          </w:tcPr>
          <w:p w14:paraId="15B61AC7" w14:textId="77777777" w:rsidR="006C7FFA" w:rsidRPr="00755A11" w:rsidRDefault="006C7FFA" w:rsidP="00003A29">
            <w:pPr>
              <w:pStyle w:val="TableText"/>
            </w:pPr>
            <w:r w:rsidRPr="00755A11">
              <w:t>4</w:t>
            </w:r>
          </w:p>
        </w:tc>
        <w:tc>
          <w:tcPr>
            <w:tcW w:w="1127" w:type="dxa"/>
          </w:tcPr>
          <w:p w14:paraId="062DEF75" w14:textId="1484AEA8" w:rsidR="006C7FFA" w:rsidRPr="00755A11" w:rsidRDefault="006C7FFA" w:rsidP="00003A29">
            <w:pPr>
              <w:pStyle w:val="TableText"/>
            </w:pPr>
            <w:r w:rsidRPr="00755A11">
              <w:t>6.56</w:t>
            </w:r>
          </w:p>
        </w:tc>
      </w:tr>
      <w:tr w:rsidR="006C7FFA" w:rsidRPr="00755A11" w14:paraId="606DFFC4" w14:textId="77777777" w:rsidTr="00876523">
        <w:trPr>
          <w:trHeight w:val="283"/>
        </w:trPr>
        <w:tc>
          <w:tcPr>
            <w:tcW w:w="6379" w:type="dxa"/>
            <w:tcBorders>
              <w:bottom w:val="double" w:sz="4" w:space="0" w:color="1B556B"/>
            </w:tcBorders>
          </w:tcPr>
          <w:p w14:paraId="044B9DB1" w14:textId="1074C515" w:rsidR="006C7FFA" w:rsidRPr="00755A11" w:rsidRDefault="006C7FFA" w:rsidP="00003A29">
            <w:pPr>
              <w:pStyle w:val="TableText"/>
            </w:pPr>
            <w:r w:rsidRPr="00755A11">
              <w:t xml:space="preserve">Not </w:t>
            </w:r>
            <w:r w:rsidR="00876523" w:rsidRPr="00755A11">
              <w:t>a</w:t>
            </w:r>
            <w:r w:rsidRPr="00755A11">
              <w:t>nswered</w:t>
            </w:r>
          </w:p>
        </w:tc>
        <w:tc>
          <w:tcPr>
            <w:tcW w:w="1122" w:type="dxa"/>
            <w:tcBorders>
              <w:bottom w:val="double" w:sz="4" w:space="0" w:color="1B556B"/>
            </w:tcBorders>
          </w:tcPr>
          <w:p w14:paraId="63ED33F0" w14:textId="77777777" w:rsidR="006C7FFA" w:rsidRPr="00755A11" w:rsidRDefault="006C7FFA" w:rsidP="00003A29">
            <w:pPr>
              <w:pStyle w:val="TableText"/>
            </w:pPr>
            <w:r w:rsidRPr="00755A11">
              <w:t>32</w:t>
            </w:r>
          </w:p>
        </w:tc>
        <w:tc>
          <w:tcPr>
            <w:tcW w:w="1127" w:type="dxa"/>
            <w:tcBorders>
              <w:bottom w:val="double" w:sz="4" w:space="0" w:color="1B556B"/>
            </w:tcBorders>
          </w:tcPr>
          <w:p w14:paraId="1DEE7793" w14:textId="18062DF1" w:rsidR="006C7FFA" w:rsidRPr="00755A11" w:rsidRDefault="006C7FFA" w:rsidP="00003A29">
            <w:pPr>
              <w:pStyle w:val="TableText"/>
            </w:pPr>
            <w:r w:rsidRPr="00755A11">
              <w:t>52.46</w:t>
            </w:r>
          </w:p>
        </w:tc>
      </w:tr>
      <w:tr w:rsidR="006C7FFA" w:rsidRPr="00755A11" w14:paraId="47997F0B" w14:textId="77777777" w:rsidTr="00876523">
        <w:trPr>
          <w:trHeight w:val="283"/>
        </w:trPr>
        <w:tc>
          <w:tcPr>
            <w:tcW w:w="6379" w:type="dxa"/>
            <w:tcBorders>
              <w:top w:val="double" w:sz="4" w:space="0" w:color="1B556B"/>
            </w:tcBorders>
          </w:tcPr>
          <w:p w14:paraId="76F9F956" w14:textId="77777777" w:rsidR="006C7FFA" w:rsidRPr="00755A11" w:rsidRDefault="006C7FFA" w:rsidP="00003A29">
            <w:pPr>
              <w:pStyle w:val="TableText"/>
            </w:pPr>
            <w:r w:rsidRPr="00755A11">
              <w:t>Explanation provided</w:t>
            </w:r>
          </w:p>
        </w:tc>
        <w:tc>
          <w:tcPr>
            <w:tcW w:w="1122" w:type="dxa"/>
            <w:tcBorders>
              <w:top w:val="double" w:sz="4" w:space="0" w:color="1B556B"/>
            </w:tcBorders>
          </w:tcPr>
          <w:p w14:paraId="6EDF5119" w14:textId="77777777" w:rsidR="006C7FFA" w:rsidRPr="00755A11" w:rsidRDefault="006C7FFA" w:rsidP="00003A29">
            <w:pPr>
              <w:pStyle w:val="TableText"/>
            </w:pPr>
            <w:r w:rsidRPr="00755A11">
              <w:t>23</w:t>
            </w:r>
          </w:p>
        </w:tc>
        <w:tc>
          <w:tcPr>
            <w:tcW w:w="1127" w:type="dxa"/>
            <w:tcBorders>
              <w:top w:val="double" w:sz="4" w:space="0" w:color="1B556B"/>
            </w:tcBorders>
          </w:tcPr>
          <w:p w14:paraId="08372BD7" w14:textId="77777777" w:rsidR="006C7FFA" w:rsidRPr="00755A11" w:rsidRDefault="006C7FFA" w:rsidP="00003A29">
            <w:pPr>
              <w:pStyle w:val="TableText"/>
            </w:pPr>
          </w:p>
        </w:tc>
      </w:tr>
    </w:tbl>
    <w:p w14:paraId="6081A9B3" w14:textId="3D163482" w:rsidR="006C7FFA" w:rsidRPr="00755A11" w:rsidRDefault="006C7FFA" w:rsidP="00003A29">
      <w:pPr>
        <w:pStyle w:val="BodyText"/>
        <w:spacing w:before="360"/>
        <w:rPr>
          <w:b/>
          <w:bCs/>
          <w:lang w:eastAsia="en-US"/>
        </w:rPr>
      </w:pPr>
      <w:r w:rsidRPr="00755A11">
        <w:rPr>
          <w:b/>
          <w:bCs/>
          <w:lang w:eastAsia="en-US"/>
        </w:rPr>
        <w:t>6: Do you think the Commission’s updated estimates of forestry emissions outside the NZ</w:t>
      </w:r>
      <w:r w:rsidR="007762E7" w:rsidRPr="00755A11">
        <w:rPr>
          <w:b/>
          <w:bCs/>
          <w:lang w:eastAsia="en-US"/>
        </w:rPr>
        <w:t> </w:t>
      </w:r>
      <w:r w:rsidRPr="00755A11">
        <w:rPr>
          <w:b/>
          <w:bCs/>
          <w:lang w:eastAsia="en-US"/>
        </w:rPr>
        <w:t>ETS are accurate?</w:t>
      </w:r>
    </w:p>
    <w:tbl>
      <w:tblPr>
        <w:tblStyle w:val="Style4"/>
        <w:tblW w:w="8628" w:type="dxa"/>
        <w:tblLook w:val="04A0" w:firstRow="1" w:lastRow="0" w:firstColumn="1" w:lastColumn="0" w:noHBand="0" w:noVBand="1"/>
      </w:tblPr>
      <w:tblGrid>
        <w:gridCol w:w="6379"/>
        <w:gridCol w:w="1122"/>
        <w:gridCol w:w="1127"/>
      </w:tblGrid>
      <w:tr w:rsidR="006C7FFA" w:rsidRPr="00755A11" w14:paraId="1B580903" w14:textId="77777777" w:rsidTr="001E231A">
        <w:trPr>
          <w:cnfStyle w:val="100000000000" w:firstRow="1" w:lastRow="0" w:firstColumn="0" w:lastColumn="0" w:oddVBand="0" w:evenVBand="0" w:oddHBand="0" w:evenHBand="0" w:firstRowFirstColumn="0" w:firstRowLastColumn="0" w:lastRowFirstColumn="0" w:lastRowLastColumn="0"/>
          <w:trHeight w:val="283"/>
        </w:trPr>
        <w:tc>
          <w:tcPr>
            <w:tcW w:w="6379" w:type="dxa"/>
            <w:tcBorders>
              <w:top w:val="single" w:sz="4" w:space="0" w:color="1B556B"/>
            </w:tcBorders>
          </w:tcPr>
          <w:p w14:paraId="69581948" w14:textId="77777777" w:rsidR="006C7FFA" w:rsidRPr="00755A11" w:rsidRDefault="006C7FFA" w:rsidP="00003A29">
            <w:pPr>
              <w:pStyle w:val="TableText"/>
            </w:pPr>
            <w:r w:rsidRPr="00755A11">
              <w:t>Option</w:t>
            </w:r>
          </w:p>
        </w:tc>
        <w:tc>
          <w:tcPr>
            <w:tcW w:w="1122" w:type="dxa"/>
            <w:tcBorders>
              <w:top w:val="single" w:sz="4" w:space="0" w:color="1B556B"/>
            </w:tcBorders>
          </w:tcPr>
          <w:p w14:paraId="73CED684" w14:textId="77777777" w:rsidR="006C7FFA" w:rsidRPr="00755A11" w:rsidRDefault="006C7FFA" w:rsidP="00003A29">
            <w:pPr>
              <w:pStyle w:val="TableText"/>
            </w:pPr>
            <w:r w:rsidRPr="00755A11">
              <w:t>Total</w:t>
            </w:r>
          </w:p>
        </w:tc>
        <w:tc>
          <w:tcPr>
            <w:tcW w:w="1127" w:type="dxa"/>
            <w:tcBorders>
              <w:top w:val="single" w:sz="4" w:space="0" w:color="1B556B"/>
            </w:tcBorders>
          </w:tcPr>
          <w:p w14:paraId="61086D5A" w14:textId="3149E332" w:rsidR="006C7FFA" w:rsidRPr="00755A11" w:rsidRDefault="006C7FFA" w:rsidP="00003A29">
            <w:pPr>
              <w:pStyle w:val="TableText"/>
            </w:pPr>
            <w:r w:rsidRPr="00755A11">
              <w:t>Percent</w:t>
            </w:r>
            <w:r w:rsidR="001E231A" w:rsidRPr="00755A11">
              <w:t xml:space="preserve"> (%)</w:t>
            </w:r>
          </w:p>
        </w:tc>
      </w:tr>
      <w:tr w:rsidR="006C7FFA" w:rsidRPr="00755A11" w14:paraId="2FBD0601" w14:textId="77777777" w:rsidTr="001E231A">
        <w:trPr>
          <w:trHeight w:val="283"/>
        </w:trPr>
        <w:tc>
          <w:tcPr>
            <w:tcW w:w="6379" w:type="dxa"/>
          </w:tcPr>
          <w:p w14:paraId="1B5E8079" w14:textId="77777777" w:rsidR="006C7FFA" w:rsidRPr="00755A11" w:rsidRDefault="006C7FFA" w:rsidP="00003A29">
            <w:pPr>
              <w:pStyle w:val="TableText"/>
            </w:pPr>
            <w:r w:rsidRPr="00755A11">
              <w:t>Yes</w:t>
            </w:r>
          </w:p>
        </w:tc>
        <w:tc>
          <w:tcPr>
            <w:tcW w:w="1122" w:type="dxa"/>
          </w:tcPr>
          <w:p w14:paraId="13736745" w14:textId="77777777" w:rsidR="006C7FFA" w:rsidRPr="00755A11" w:rsidRDefault="006C7FFA" w:rsidP="00003A29">
            <w:pPr>
              <w:pStyle w:val="TableText"/>
            </w:pPr>
            <w:r w:rsidRPr="00755A11">
              <w:t>20</w:t>
            </w:r>
          </w:p>
        </w:tc>
        <w:tc>
          <w:tcPr>
            <w:tcW w:w="1127" w:type="dxa"/>
          </w:tcPr>
          <w:p w14:paraId="4D4D7637" w14:textId="78F365E2" w:rsidR="006C7FFA" w:rsidRPr="00755A11" w:rsidRDefault="006C7FFA" w:rsidP="00003A29">
            <w:pPr>
              <w:pStyle w:val="TableText"/>
            </w:pPr>
            <w:r w:rsidRPr="00755A11">
              <w:t>32.79</w:t>
            </w:r>
          </w:p>
        </w:tc>
      </w:tr>
      <w:tr w:rsidR="009E682B" w:rsidRPr="00755A11" w14:paraId="0B764050" w14:textId="77777777" w:rsidTr="001E231A">
        <w:trPr>
          <w:trHeight w:val="283"/>
        </w:trPr>
        <w:tc>
          <w:tcPr>
            <w:tcW w:w="6379" w:type="dxa"/>
          </w:tcPr>
          <w:p w14:paraId="019C2F08" w14:textId="77777777" w:rsidR="006C7FFA" w:rsidRPr="00755A11" w:rsidRDefault="006C7FFA" w:rsidP="00003A29">
            <w:pPr>
              <w:pStyle w:val="TableText"/>
            </w:pPr>
            <w:r w:rsidRPr="00755A11">
              <w:t>No</w:t>
            </w:r>
          </w:p>
        </w:tc>
        <w:tc>
          <w:tcPr>
            <w:tcW w:w="1122" w:type="dxa"/>
          </w:tcPr>
          <w:p w14:paraId="5FC4F123" w14:textId="77777777" w:rsidR="006C7FFA" w:rsidRPr="00755A11" w:rsidRDefault="006C7FFA" w:rsidP="00003A29">
            <w:pPr>
              <w:pStyle w:val="TableText"/>
            </w:pPr>
            <w:r w:rsidRPr="00755A11">
              <w:t>1</w:t>
            </w:r>
          </w:p>
        </w:tc>
        <w:tc>
          <w:tcPr>
            <w:tcW w:w="1127" w:type="dxa"/>
          </w:tcPr>
          <w:p w14:paraId="2163C481" w14:textId="2C988EDB" w:rsidR="006C7FFA" w:rsidRPr="00755A11" w:rsidRDefault="006C7FFA" w:rsidP="00003A29">
            <w:pPr>
              <w:pStyle w:val="TableText"/>
            </w:pPr>
            <w:r w:rsidRPr="00755A11">
              <w:t>1.64</w:t>
            </w:r>
          </w:p>
        </w:tc>
      </w:tr>
      <w:tr w:rsidR="006C7FFA" w:rsidRPr="00755A11" w14:paraId="4BCF2948" w14:textId="77777777" w:rsidTr="001E231A">
        <w:trPr>
          <w:trHeight w:val="283"/>
        </w:trPr>
        <w:tc>
          <w:tcPr>
            <w:tcW w:w="6379" w:type="dxa"/>
          </w:tcPr>
          <w:p w14:paraId="528E006C" w14:textId="77777777" w:rsidR="006C7FFA" w:rsidRPr="00755A11" w:rsidRDefault="006C7FFA" w:rsidP="00003A29">
            <w:pPr>
              <w:pStyle w:val="TableText"/>
            </w:pPr>
            <w:r w:rsidRPr="00755A11">
              <w:t>Unsure</w:t>
            </w:r>
          </w:p>
        </w:tc>
        <w:tc>
          <w:tcPr>
            <w:tcW w:w="1122" w:type="dxa"/>
          </w:tcPr>
          <w:p w14:paraId="2CB31464" w14:textId="77777777" w:rsidR="006C7FFA" w:rsidRPr="00755A11" w:rsidRDefault="006C7FFA" w:rsidP="00003A29">
            <w:pPr>
              <w:pStyle w:val="TableText"/>
            </w:pPr>
            <w:r w:rsidRPr="00755A11">
              <w:t>9</w:t>
            </w:r>
          </w:p>
        </w:tc>
        <w:tc>
          <w:tcPr>
            <w:tcW w:w="1127" w:type="dxa"/>
          </w:tcPr>
          <w:p w14:paraId="6D21FC0B" w14:textId="73AD35DB" w:rsidR="006C7FFA" w:rsidRPr="00755A11" w:rsidRDefault="006C7FFA" w:rsidP="00003A29">
            <w:pPr>
              <w:pStyle w:val="TableText"/>
            </w:pPr>
            <w:r w:rsidRPr="00755A11">
              <w:t>14.75</w:t>
            </w:r>
          </w:p>
        </w:tc>
      </w:tr>
      <w:tr w:rsidR="006C7FFA" w:rsidRPr="00755A11" w14:paraId="74CAB26C" w14:textId="77777777" w:rsidTr="001E231A">
        <w:trPr>
          <w:trHeight w:val="283"/>
        </w:trPr>
        <w:tc>
          <w:tcPr>
            <w:tcW w:w="6379" w:type="dxa"/>
            <w:tcBorders>
              <w:bottom w:val="double" w:sz="4" w:space="0" w:color="1B556B"/>
            </w:tcBorders>
          </w:tcPr>
          <w:p w14:paraId="656F8F96" w14:textId="56F80BA4" w:rsidR="006C7FFA" w:rsidRPr="00755A11" w:rsidRDefault="006C7FFA" w:rsidP="00003A29">
            <w:pPr>
              <w:pStyle w:val="TableText"/>
            </w:pPr>
            <w:r w:rsidRPr="00755A11">
              <w:t xml:space="preserve">Not </w:t>
            </w:r>
            <w:r w:rsidR="001E231A" w:rsidRPr="00755A11">
              <w:t>a</w:t>
            </w:r>
            <w:r w:rsidRPr="00755A11">
              <w:t>nswered</w:t>
            </w:r>
          </w:p>
        </w:tc>
        <w:tc>
          <w:tcPr>
            <w:tcW w:w="1122" w:type="dxa"/>
            <w:tcBorders>
              <w:bottom w:val="double" w:sz="4" w:space="0" w:color="1B556B"/>
            </w:tcBorders>
          </w:tcPr>
          <w:p w14:paraId="03E464EF" w14:textId="77777777" w:rsidR="006C7FFA" w:rsidRPr="00755A11" w:rsidRDefault="006C7FFA" w:rsidP="00003A29">
            <w:pPr>
              <w:pStyle w:val="TableText"/>
            </w:pPr>
            <w:r w:rsidRPr="00755A11">
              <w:t>31</w:t>
            </w:r>
          </w:p>
        </w:tc>
        <w:tc>
          <w:tcPr>
            <w:tcW w:w="1127" w:type="dxa"/>
            <w:tcBorders>
              <w:bottom w:val="double" w:sz="4" w:space="0" w:color="1B556B"/>
            </w:tcBorders>
          </w:tcPr>
          <w:p w14:paraId="6C00C677" w14:textId="4BC598A7" w:rsidR="006C7FFA" w:rsidRPr="00755A11" w:rsidRDefault="006C7FFA" w:rsidP="00003A29">
            <w:pPr>
              <w:pStyle w:val="TableText"/>
            </w:pPr>
            <w:r w:rsidRPr="00755A11">
              <w:t>50.82</w:t>
            </w:r>
          </w:p>
        </w:tc>
      </w:tr>
      <w:tr w:rsidR="006C7FFA" w:rsidRPr="00755A11" w14:paraId="2986F699" w14:textId="77777777" w:rsidTr="001E231A">
        <w:trPr>
          <w:trHeight w:val="283"/>
        </w:trPr>
        <w:tc>
          <w:tcPr>
            <w:tcW w:w="6379" w:type="dxa"/>
            <w:tcBorders>
              <w:top w:val="double" w:sz="4" w:space="0" w:color="1B556B"/>
            </w:tcBorders>
          </w:tcPr>
          <w:p w14:paraId="1F2BC85B" w14:textId="77777777" w:rsidR="006C7FFA" w:rsidRPr="00755A11" w:rsidRDefault="006C7FFA" w:rsidP="00003A29">
            <w:pPr>
              <w:pStyle w:val="TableText"/>
            </w:pPr>
            <w:r w:rsidRPr="00755A11">
              <w:t>Explanation provided</w:t>
            </w:r>
          </w:p>
        </w:tc>
        <w:tc>
          <w:tcPr>
            <w:tcW w:w="1122" w:type="dxa"/>
            <w:tcBorders>
              <w:top w:val="double" w:sz="4" w:space="0" w:color="1B556B"/>
            </w:tcBorders>
          </w:tcPr>
          <w:p w14:paraId="6DB20CEB" w14:textId="77777777" w:rsidR="006C7FFA" w:rsidRPr="00755A11" w:rsidRDefault="006C7FFA" w:rsidP="00003A29">
            <w:pPr>
              <w:pStyle w:val="TableText"/>
            </w:pPr>
            <w:r w:rsidRPr="00755A11">
              <w:t>17</w:t>
            </w:r>
          </w:p>
        </w:tc>
        <w:tc>
          <w:tcPr>
            <w:tcW w:w="1127" w:type="dxa"/>
            <w:tcBorders>
              <w:top w:val="double" w:sz="4" w:space="0" w:color="1B556B"/>
            </w:tcBorders>
          </w:tcPr>
          <w:p w14:paraId="62A6869C" w14:textId="77777777" w:rsidR="006C7FFA" w:rsidRPr="00755A11" w:rsidRDefault="006C7FFA" w:rsidP="00003A29">
            <w:pPr>
              <w:pStyle w:val="TableText"/>
            </w:pPr>
          </w:p>
        </w:tc>
      </w:tr>
    </w:tbl>
    <w:p w14:paraId="0EDC962D" w14:textId="77777777" w:rsidR="006C7FFA" w:rsidRPr="00755A11" w:rsidRDefault="006C7FFA" w:rsidP="00003A29">
      <w:pPr>
        <w:pStyle w:val="BodyText"/>
        <w:spacing w:before="360"/>
        <w:rPr>
          <w:b/>
          <w:bCs/>
          <w:lang w:eastAsia="en-US"/>
        </w:rPr>
      </w:pPr>
      <w:r w:rsidRPr="00755A11">
        <w:rPr>
          <w:b/>
          <w:bCs/>
          <w:lang w:eastAsia="en-US"/>
        </w:rPr>
        <w:t>7: Do you think that an update to calculations, and a corresponding reduction in auction volumes, should be made to reflect this updated estimate?</w:t>
      </w:r>
    </w:p>
    <w:tbl>
      <w:tblPr>
        <w:tblStyle w:val="Style4"/>
        <w:tblW w:w="8628" w:type="dxa"/>
        <w:tblLook w:val="04A0" w:firstRow="1" w:lastRow="0" w:firstColumn="1" w:lastColumn="0" w:noHBand="0" w:noVBand="1"/>
      </w:tblPr>
      <w:tblGrid>
        <w:gridCol w:w="6379"/>
        <w:gridCol w:w="1122"/>
        <w:gridCol w:w="1127"/>
      </w:tblGrid>
      <w:tr w:rsidR="006C7FFA" w:rsidRPr="00755A11" w14:paraId="6A364A13" w14:textId="77777777" w:rsidTr="001E231A">
        <w:trPr>
          <w:cnfStyle w:val="100000000000" w:firstRow="1" w:lastRow="0" w:firstColumn="0" w:lastColumn="0" w:oddVBand="0" w:evenVBand="0" w:oddHBand="0" w:evenHBand="0" w:firstRowFirstColumn="0" w:firstRowLastColumn="0" w:lastRowFirstColumn="0" w:lastRowLastColumn="0"/>
          <w:trHeight w:val="283"/>
        </w:trPr>
        <w:tc>
          <w:tcPr>
            <w:tcW w:w="6379" w:type="dxa"/>
            <w:tcBorders>
              <w:top w:val="single" w:sz="4" w:space="0" w:color="1B556B"/>
            </w:tcBorders>
          </w:tcPr>
          <w:p w14:paraId="3F7A0447" w14:textId="77777777" w:rsidR="006C7FFA" w:rsidRPr="00755A11" w:rsidRDefault="006C7FFA" w:rsidP="00003A29">
            <w:pPr>
              <w:pStyle w:val="TableText"/>
            </w:pPr>
            <w:r w:rsidRPr="00755A11">
              <w:t>Option</w:t>
            </w:r>
          </w:p>
        </w:tc>
        <w:tc>
          <w:tcPr>
            <w:tcW w:w="1122" w:type="dxa"/>
            <w:tcBorders>
              <w:top w:val="single" w:sz="4" w:space="0" w:color="1B556B"/>
            </w:tcBorders>
          </w:tcPr>
          <w:p w14:paraId="47030005" w14:textId="77777777" w:rsidR="006C7FFA" w:rsidRPr="00755A11" w:rsidRDefault="006C7FFA" w:rsidP="00003A29">
            <w:pPr>
              <w:pStyle w:val="TableText"/>
            </w:pPr>
            <w:r w:rsidRPr="00755A11">
              <w:t>Total</w:t>
            </w:r>
          </w:p>
        </w:tc>
        <w:tc>
          <w:tcPr>
            <w:tcW w:w="1127" w:type="dxa"/>
            <w:tcBorders>
              <w:top w:val="single" w:sz="4" w:space="0" w:color="1B556B"/>
            </w:tcBorders>
          </w:tcPr>
          <w:p w14:paraId="59248CB1" w14:textId="378A8BF6" w:rsidR="006C7FFA" w:rsidRPr="00755A11" w:rsidRDefault="006C7FFA" w:rsidP="00003A29">
            <w:pPr>
              <w:pStyle w:val="TableText"/>
            </w:pPr>
            <w:r w:rsidRPr="00755A11">
              <w:t>Percent</w:t>
            </w:r>
            <w:r w:rsidR="001E231A" w:rsidRPr="00755A11">
              <w:t xml:space="preserve"> (%)</w:t>
            </w:r>
          </w:p>
        </w:tc>
      </w:tr>
      <w:tr w:rsidR="006C7FFA" w:rsidRPr="00755A11" w14:paraId="702A5EDE" w14:textId="77777777" w:rsidTr="001E231A">
        <w:trPr>
          <w:trHeight w:val="283"/>
        </w:trPr>
        <w:tc>
          <w:tcPr>
            <w:tcW w:w="6379" w:type="dxa"/>
          </w:tcPr>
          <w:p w14:paraId="3FC4AAB2" w14:textId="77777777" w:rsidR="006C7FFA" w:rsidRPr="00755A11" w:rsidRDefault="006C7FFA" w:rsidP="00003A29">
            <w:pPr>
              <w:pStyle w:val="TableText"/>
            </w:pPr>
            <w:r w:rsidRPr="00755A11">
              <w:t>Yes</w:t>
            </w:r>
          </w:p>
        </w:tc>
        <w:tc>
          <w:tcPr>
            <w:tcW w:w="1122" w:type="dxa"/>
          </w:tcPr>
          <w:p w14:paraId="76D548CD" w14:textId="77777777" w:rsidR="006C7FFA" w:rsidRPr="00755A11" w:rsidRDefault="006C7FFA" w:rsidP="00003A29">
            <w:pPr>
              <w:pStyle w:val="TableText"/>
            </w:pPr>
            <w:r w:rsidRPr="00755A11">
              <w:t>23</w:t>
            </w:r>
          </w:p>
        </w:tc>
        <w:tc>
          <w:tcPr>
            <w:tcW w:w="1127" w:type="dxa"/>
          </w:tcPr>
          <w:p w14:paraId="6F56CE04" w14:textId="25072B92" w:rsidR="006C7FFA" w:rsidRPr="00755A11" w:rsidRDefault="006C7FFA" w:rsidP="00003A29">
            <w:pPr>
              <w:pStyle w:val="TableText"/>
            </w:pPr>
            <w:r w:rsidRPr="00755A11">
              <w:t>37.70</w:t>
            </w:r>
          </w:p>
        </w:tc>
      </w:tr>
      <w:tr w:rsidR="009E682B" w:rsidRPr="00755A11" w14:paraId="73BC564A" w14:textId="77777777" w:rsidTr="001E231A">
        <w:trPr>
          <w:trHeight w:val="283"/>
        </w:trPr>
        <w:tc>
          <w:tcPr>
            <w:tcW w:w="6379" w:type="dxa"/>
          </w:tcPr>
          <w:p w14:paraId="24866EC0" w14:textId="77777777" w:rsidR="006C7FFA" w:rsidRPr="00755A11" w:rsidRDefault="006C7FFA" w:rsidP="00003A29">
            <w:pPr>
              <w:pStyle w:val="TableText"/>
            </w:pPr>
            <w:r w:rsidRPr="00755A11">
              <w:t>No</w:t>
            </w:r>
          </w:p>
        </w:tc>
        <w:tc>
          <w:tcPr>
            <w:tcW w:w="1122" w:type="dxa"/>
          </w:tcPr>
          <w:p w14:paraId="54537837" w14:textId="77777777" w:rsidR="006C7FFA" w:rsidRPr="00755A11" w:rsidRDefault="006C7FFA" w:rsidP="00003A29">
            <w:pPr>
              <w:pStyle w:val="TableText"/>
            </w:pPr>
            <w:r w:rsidRPr="00755A11">
              <w:t>0</w:t>
            </w:r>
          </w:p>
        </w:tc>
        <w:tc>
          <w:tcPr>
            <w:tcW w:w="1127" w:type="dxa"/>
          </w:tcPr>
          <w:p w14:paraId="2137C63A" w14:textId="1D834B9B" w:rsidR="006C7FFA" w:rsidRPr="00755A11" w:rsidRDefault="006C7FFA" w:rsidP="00003A29">
            <w:pPr>
              <w:pStyle w:val="TableText"/>
            </w:pPr>
            <w:r w:rsidRPr="00755A11">
              <w:t>0.00</w:t>
            </w:r>
          </w:p>
        </w:tc>
      </w:tr>
      <w:tr w:rsidR="006C7FFA" w:rsidRPr="00755A11" w14:paraId="65341771" w14:textId="77777777" w:rsidTr="001E231A">
        <w:trPr>
          <w:trHeight w:val="283"/>
        </w:trPr>
        <w:tc>
          <w:tcPr>
            <w:tcW w:w="6379" w:type="dxa"/>
          </w:tcPr>
          <w:p w14:paraId="1B475011" w14:textId="77777777" w:rsidR="006C7FFA" w:rsidRPr="00755A11" w:rsidRDefault="006C7FFA" w:rsidP="00003A29">
            <w:pPr>
              <w:pStyle w:val="TableText"/>
            </w:pPr>
            <w:r w:rsidRPr="00755A11">
              <w:t>Unsure</w:t>
            </w:r>
          </w:p>
        </w:tc>
        <w:tc>
          <w:tcPr>
            <w:tcW w:w="1122" w:type="dxa"/>
          </w:tcPr>
          <w:p w14:paraId="19D76755" w14:textId="77777777" w:rsidR="006C7FFA" w:rsidRPr="00755A11" w:rsidRDefault="006C7FFA" w:rsidP="00003A29">
            <w:pPr>
              <w:pStyle w:val="TableText"/>
            </w:pPr>
            <w:r w:rsidRPr="00755A11">
              <w:t>8</w:t>
            </w:r>
          </w:p>
        </w:tc>
        <w:tc>
          <w:tcPr>
            <w:tcW w:w="1127" w:type="dxa"/>
          </w:tcPr>
          <w:p w14:paraId="77A3E278" w14:textId="50F832A1" w:rsidR="006C7FFA" w:rsidRPr="00755A11" w:rsidRDefault="006C7FFA" w:rsidP="00003A29">
            <w:pPr>
              <w:pStyle w:val="TableText"/>
            </w:pPr>
            <w:r w:rsidRPr="00755A11">
              <w:t>13.11</w:t>
            </w:r>
          </w:p>
        </w:tc>
      </w:tr>
      <w:tr w:rsidR="006C7FFA" w:rsidRPr="00755A11" w14:paraId="093E00A5" w14:textId="77777777" w:rsidTr="001E231A">
        <w:trPr>
          <w:trHeight w:val="283"/>
        </w:trPr>
        <w:tc>
          <w:tcPr>
            <w:tcW w:w="6379" w:type="dxa"/>
            <w:tcBorders>
              <w:bottom w:val="double" w:sz="4" w:space="0" w:color="1B556B"/>
            </w:tcBorders>
          </w:tcPr>
          <w:p w14:paraId="1A744203" w14:textId="31258706" w:rsidR="006C7FFA" w:rsidRPr="00755A11" w:rsidRDefault="006C7FFA" w:rsidP="00003A29">
            <w:pPr>
              <w:pStyle w:val="TableText"/>
            </w:pPr>
            <w:r w:rsidRPr="00755A11">
              <w:t xml:space="preserve">Not </w:t>
            </w:r>
            <w:r w:rsidR="001E231A" w:rsidRPr="00755A11">
              <w:t>a</w:t>
            </w:r>
            <w:r w:rsidRPr="00755A11">
              <w:t>nswered</w:t>
            </w:r>
          </w:p>
        </w:tc>
        <w:tc>
          <w:tcPr>
            <w:tcW w:w="1122" w:type="dxa"/>
            <w:tcBorders>
              <w:bottom w:val="double" w:sz="4" w:space="0" w:color="1B556B"/>
            </w:tcBorders>
          </w:tcPr>
          <w:p w14:paraId="79153F82" w14:textId="77777777" w:rsidR="006C7FFA" w:rsidRPr="00755A11" w:rsidRDefault="006C7FFA" w:rsidP="00003A29">
            <w:pPr>
              <w:pStyle w:val="TableText"/>
            </w:pPr>
            <w:r w:rsidRPr="00755A11">
              <w:t>30</w:t>
            </w:r>
          </w:p>
        </w:tc>
        <w:tc>
          <w:tcPr>
            <w:tcW w:w="1127" w:type="dxa"/>
            <w:tcBorders>
              <w:bottom w:val="double" w:sz="4" w:space="0" w:color="1B556B"/>
            </w:tcBorders>
          </w:tcPr>
          <w:p w14:paraId="3F3256F0" w14:textId="01D8AEA8" w:rsidR="006C7FFA" w:rsidRPr="00755A11" w:rsidRDefault="006C7FFA" w:rsidP="00003A29">
            <w:pPr>
              <w:pStyle w:val="TableText"/>
            </w:pPr>
            <w:r w:rsidRPr="00755A11">
              <w:t>49.18</w:t>
            </w:r>
          </w:p>
        </w:tc>
      </w:tr>
      <w:tr w:rsidR="006C7FFA" w:rsidRPr="00755A11" w14:paraId="37C8DD91" w14:textId="77777777" w:rsidTr="001E231A">
        <w:trPr>
          <w:trHeight w:val="283"/>
        </w:trPr>
        <w:tc>
          <w:tcPr>
            <w:tcW w:w="6379" w:type="dxa"/>
            <w:tcBorders>
              <w:top w:val="double" w:sz="4" w:space="0" w:color="1B556B"/>
            </w:tcBorders>
          </w:tcPr>
          <w:p w14:paraId="2AAB6A0C" w14:textId="77777777" w:rsidR="006C7FFA" w:rsidRPr="00755A11" w:rsidRDefault="006C7FFA" w:rsidP="00003A29">
            <w:pPr>
              <w:pStyle w:val="TableText"/>
            </w:pPr>
            <w:r w:rsidRPr="00755A11">
              <w:t>Explanation provided</w:t>
            </w:r>
          </w:p>
        </w:tc>
        <w:tc>
          <w:tcPr>
            <w:tcW w:w="1122" w:type="dxa"/>
            <w:tcBorders>
              <w:top w:val="double" w:sz="4" w:space="0" w:color="1B556B"/>
            </w:tcBorders>
          </w:tcPr>
          <w:p w14:paraId="0D10195E" w14:textId="77777777" w:rsidR="006C7FFA" w:rsidRPr="00755A11" w:rsidRDefault="006C7FFA" w:rsidP="00003A29">
            <w:pPr>
              <w:pStyle w:val="TableText"/>
            </w:pPr>
            <w:r w:rsidRPr="00755A11">
              <w:t>19</w:t>
            </w:r>
          </w:p>
        </w:tc>
        <w:tc>
          <w:tcPr>
            <w:tcW w:w="1127" w:type="dxa"/>
            <w:tcBorders>
              <w:top w:val="double" w:sz="4" w:space="0" w:color="1B556B"/>
            </w:tcBorders>
          </w:tcPr>
          <w:p w14:paraId="3DA9D7CE" w14:textId="77777777" w:rsidR="006C7FFA" w:rsidRPr="00755A11" w:rsidRDefault="006C7FFA" w:rsidP="00003A29">
            <w:pPr>
              <w:pStyle w:val="TableText"/>
            </w:pPr>
          </w:p>
        </w:tc>
      </w:tr>
    </w:tbl>
    <w:p w14:paraId="122B1247" w14:textId="77777777" w:rsidR="006C7FFA" w:rsidRPr="00755A11" w:rsidRDefault="006C7FFA" w:rsidP="00003A29">
      <w:pPr>
        <w:pStyle w:val="BodyText"/>
        <w:keepNext/>
        <w:spacing w:before="360"/>
        <w:rPr>
          <w:b/>
          <w:bCs/>
          <w:lang w:eastAsia="en-US"/>
        </w:rPr>
      </w:pPr>
      <w:r w:rsidRPr="00755A11">
        <w:rPr>
          <w:b/>
          <w:bCs/>
          <w:lang w:eastAsia="en-US"/>
        </w:rPr>
        <w:lastRenderedPageBreak/>
        <w:t>8: Do you think that reductions in auction volumes and limits should occur to reflect the identified discrepancies between emissions reported in the Greenhouse Gas Inventory and the NZ ETS?</w:t>
      </w:r>
    </w:p>
    <w:tbl>
      <w:tblPr>
        <w:tblStyle w:val="Style4"/>
        <w:tblW w:w="0" w:type="auto"/>
        <w:tblLook w:val="04A0" w:firstRow="1" w:lastRow="0" w:firstColumn="1" w:lastColumn="0" w:noHBand="0" w:noVBand="1"/>
      </w:tblPr>
      <w:tblGrid>
        <w:gridCol w:w="6256"/>
        <w:gridCol w:w="1122"/>
        <w:gridCol w:w="1127"/>
      </w:tblGrid>
      <w:tr w:rsidR="006C7FFA" w:rsidRPr="00755A11" w14:paraId="16005888" w14:textId="77777777" w:rsidTr="00617F2E">
        <w:trPr>
          <w:cnfStyle w:val="100000000000" w:firstRow="1" w:lastRow="0" w:firstColumn="0" w:lastColumn="0" w:oddVBand="0" w:evenVBand="0" w:oddHBand="0" w:evenHBand="0" w:firstRowFirstColumn="0" w:firstRowLastColumn="0" w:lastRowFirstColumn="0" w:lastRowLastColumn="0"/>
          <w:trHeight w:val="283"/>
        </w:trPr>
        <w:tc>
          <w:tcPr>
            <w:tcW w:w="6372" w:type="dxa"/>
            <w:tcBorders>
              <w:top w:val="single" w:sz="4" w:space="0" w:color="1B556B" w:themeColor="text2"/>
            </w:tcBorders>
          </w:tcPr>
          <w:p w14:paraId="1968E0BF" w14:textId="77777777" w:rsidR="006C7FFA" w:rsidRPr="00755A11" w:rsidRDefault="006C7FFA" w:rsidP="00003A29">
            <w:pPr>
              <w:pStyle w:val="TableText"/>
              <w:keepNext/>
            </w:pPr>
            <w:r w:rsidRPr="00755A11">
              <w:t>Option</w:t>
            </w:r>
          </w:p>
        </w:tc>
        <w:tc>
          <w:tcPr>
            <w:tcW w:w="1134" w:type="dxa"/>
            <w:tcBorders>
              <w:top w:val="single" w:sz="4" w:space="0" w:color="1B556B" w:themeColor="text2"/>
            </w:tcBorders>
          </w:tcPr>
          <w:p w14:paraId="6782C6A4" w14:textId="77777777" w:rsidR="006C7FFA" w:rsidRPr="00755A11" w:rsidRDefault="006C7FFA" w:rsidP="00003A29">
            <w:pPr>
              <w:pStyle w:val="TableText"/>
              <w:keepNext/>
            </w:pPr>
            <w:r w:rsidRPr="00755A11">
              <w:t>Total</w:t>
            </w:r>
          </w:p>
        </w:tc>
        <w:tc>
          <w:tcPr>
            <w:tcW w:w="1134" w:type="dxa"/>
            <w:tcBorders>
              <w:top w:val="single" w:sz="4" w:space="0" w:color="1B556B" w:themeColor="text2"/>
            </w:tcBorders>
          </w:tcPr>
          <w:p w14:paraId="1F0B77D1" w14:textId="0BF1BD78" w:rsidR="006C7FFA" w:rsidRPr="00755A11" w:rsidRDefault="006C7FFA" w:rsidP="00003A29">
            <w:pPr>
              <w:pStyle w:val="TableText"/>
              <w:keepNext/>
            </w:pPr>
            <w:r w:rsidRPr="00755A11">
              <w:t>Percent</w:t>
            </w:r>
            <w:r w:rsidR="00D17EF2" w:rsidRPr="00755A11">
              <w:t xml:space="preserve"> (%)</w:t>
            </w:r>
          </w:p>
        </w:tc>
      </w:tr>
      <w:tr w:rsidR="006C7FFA" w:rsidRPr="00755A11" w14:paraId="6F21389A" w14:textId="77777777" w:rsidTr="009E682B">
        <w:trPr>
          <w:trHeight w:val="283"/>
        </w:trPr>
        <w:tc>
          <w:tcPr>
            <w:tcW w:w="6372" w:type="dxa"/>
          </w:tcPr>
          <w:p w14:paraId="26511773" w14:textId="77777777" w:rsidR="006C7FFA" w:rsidRPr="00755A11" w:rsidRDefault="006C7FFA" w:rsidP="00003A29">
            <w:pPr>
              <w:pStyle w:val="TableText"/>
              <w:keepNext/>
            </w:pPr>
            <w:r w:rsidRPr="00755A11">
              <w:t>Yes</w:t>
            </w:r>
          </w:p>
        </w:tc>
        <w:tc>
          <w:tcPr>
            <w:tcW w:w="1134" w:type="dxa"/>
          </w:tcPr>
          <w:p w14:paraId="0FFD598B" w14:textId="77777777" w:rsidR="006C7FFA" w:rsidRPr="00755A11" w:rsidRDefault="006C7FFA" w:rsidP="00003A29">
            <w:pPr>
              <w:pStyle w:val="TableText"/>
              <w:keepNext/>
            </w:pPr>
            <w:r w:rsidRPr="00755A11">
              <w:t>22</w:t>
            </w:r>
          </w:p>
        </w:tc>
        <w:tc>
          <w:tcPr>
            <w:tcW w:w="1134" w:type="dxa"/>
          </w:tcPr>
          <w:p w14:paraId="0560D6E8" w14:textId="70820BBE" w:rsidR="006C7FFA" w:rsidRPr="00755A11" w:rsidRDefault="006C7FFA" w:rsidP="00003A29">
            <w:pPr>
              <w:pStyle w:val="TableText"/>
              <w:keepNext/>
            </w:pPr>
            <w:r w:rsidRPr="00755A11">
              <w:t>36.07</w:t>
            </w:r>
          </w:p>
        </w:tc>
      </w:tr>
      <w:tr w:rsidR="009E682B" w:rsidRPr="00755A11" w14:paraId="7C323819" w14:textId="77777777" w:rsidTr="009E682B">
        <w:trPr>
          <w:trHeight w:val="283"/>
        </w:trPr>
        <w:tc>
          <w:tcPr>
            <w:tcW w:w="6372" w:type="dxa"/>
          </w:tcPr>
          <w:p w14:paraId="6885603B" w14:textId="77777777" w:rsidR="006C7FFA" w:rsidRPr="00755A11" w:rsidRDefault="006C7FFA" w:rsidP="00003A29">
            <w:pPr>
              <w:pStyle w:val="TableText"/>
              <w:keepNext/>
            </w:pPr>
            <w:r w:rsidRPr="00755A11">
              <w:t>No</w:t>
            </w:r>
          </w:p>
        </w:tc>
        <w:tc>
          <w:tcPr>
            <w:tcW w:w="1134" w:type="dxa"/>
          </w:tcPr>
          <w:p w14:paraId="5FC9B40A" w14:textId="77777777" w:rsidR="006C7FFA" w:rsidRPr="00755A11" w:rsidRDefault="006C7FFA" w:rsidP="00003A29">
            <w:pPr>
              <w:pStyle w:val="TableText"/>
              <w:keepNext/>
            </w:pPr>
            <w:r w:rsidRPr="00755A11">
              <w:t>1</w:t>
            </w:r>
          </w:p>
        </w:tc>
        <w:tc>
          <w:tcPr>
            <w:tcW w:w="1134" w:type="dxa"/>
          </w:tcPr>
          <w:p w14:paraId="580CC018" w14:textId="480965B8" w:rsidR="006C7FFA" w:rsidRPr="00755A11" w:rsidRDefault="006C7FFA" w:rsidP="00003A29">
            <w:pPr>
              <w:pStyle w:val="TableText"/>
              <w:keepNext/>
            </w:pPr>
            <w:r w:rsidRPr="00755A11">
              <w:t>1.64</w:t>
            </w:r>
          </w:p>
        </w:tc>
      </w:tr>
      <w:tr w:rsidR="006C7FFA" w:rsidRPr="00755A11" w14:paraId="23855FC0" w14:textId="77777777" w:rsidTr="009E682B">
        <w:trPr>
          <w:trHeight w:val="283"/>
        </w:trPr>
        <w:tc>
          <w:tcPr>
            <w:tcW w:w="6372" w:type="dxa"/>
          </w:tcPr>
          <w:p w14:paraId="2D9F200D" w14:textId="77777777" w:rsidR="006C7FFA" w:rsidRPr="00755A11" w:rsidRDefault="006C7FFA" w:rsidP="00003A29">
            <w:pPr>
              <w:pStyle w:val="TableText"/>
              <w:keepNext/>
            </w:pPr>
            <w:r w:rsidRPr="00755A11">
              <w:t>Unsure</w:t>
            </w:r>
          </w:p>
        </w:tc>
        <w:tc>
          <w:tcPr>
            <w:tcW w:w="1134" w:type="dxa"/>
          </w:tcPr>
          <w:p w14:paraId="4C9D6E0F" w14:textId="77777777" w:rsidR="006C7FFA" w:rsidRPr="00755A11" w:rsidRDefault="006C7FFA" w:rsidP="00003A29">
            <w:pPr>
              <w:pStyle w:val="TableText"/>
              <w:keepNext/>
            </w:pPr>
            <w:r w:rsidRPr="00755A11">
              <w:t>7</w:t>
            </w:r>
          </w:p>
        </w:tc>
        <w:tc>
          <w:tcPr>
            <w:tcW w:w="1134" w:type="dxa"/>
          </w:tcPr>
          <w:p w14:paraId="4E941F66" w14:textId="2B901AB0" w:rsidR="006C7FFA" w:rsidRPr="00755A11" w:rsidRDefault="006C7FFA" w:rsidP="00003A29">
            <w:pPr>
              <w:pStyle w:val="TableText"/>
              <w:keepNext/>
            </w:pPr>
            <w:r w:rsidRPr="00755A11">
              <w:t>11.48</w:t>
            </w:r>
          </w:p>
        </w:tc>
      </w:tr>
      <w:tr w:rsidR="006C7FFA" w:rsidRPr="00755A11" w14:paraId="53D6A565" w14:textId="77777777" w:rsidTr="00086026">
        <w:trPr>
          <w:trHeight w:val="283"/>
        </w:trPr>
        <w:tc>
          <w:tcPr>
            <w:tcW w:w="6372" w:type="dxa"/>
            <w:tcBorders>
              <w:bottom w:val="double" w:sz="4" w:space="0" w:color="1B556B"/>
            </w:tcBorders>
          </w:tcPr>
          <w:p w14:paraId="4EB71E78" w14:textId="525C996B" w:rsidR="006C7FFA" w:rsidRPr="00755A11" w:rsidRDefault="006C7FFA" w:rsidP="00003A29">
            <w:pPr>
              <w:pStyle w:val="TableText"/>
            </w:pPr>
            <w:r w:rsidRPr="00755A11">
              <w:t xml:space="preserve">Not </w:t>
            </w:r>
            <w:r w:rsidR="00D17EF2" w:rsidRPr="00755A11">
              <w:t>a</w:t>
            </w:r>
            <w:r w:rsidRPr="00755A11">
              <w:t>nswered</w:t>
            </w:r>
          </w:p>
        </w:tc>
        <w:tc>
          <w:tcPr>
            <w:tcW w:w="1134" w:type="dxa"/>
            <w:tcBorders>
              <w:bottom w:val="double" w:sz="4" w:space="0" w:color="1B556B"/>
            </w:tcBorders>
          </w:tcPr>
          <w:p w14:paraId="6218B3A3" w14:textId="77777777" w:rsidR="006C7FFA" w:rsidRPr="00755A11" w:rsidRDefault="006C7FFA" w:rsidP="00003A29">
            <w:pPr>
              <w:pStyle w:val="TableText"/>
            </w:pPr>
            <w:r w:rsidRPr="00755A11">
              <w:t>31</w:t>
            </w:r>
          </w:p>
        </w:tc>
        <w:tc>
          <w:tcPr>
            <w:tcW w:w="1134" w:type="dxa"/>
            <w:tcBorders>
              <w:bottom w:val="double" w:sz="4" w:space="0" w:color="1B556B"/>
            </w:tcBorders>
          </w:tcPr>
          <w:p w14:paraId="68B07072" w14:textId="457682A6" w:rsidR="006C7FFA" w:rsidRPr="00755A11" w:rsidRDefault="006C7FFA" w:rsidP="00003A29">
            <w:pPr>
              <w:pStyle w:val="TableText"/>
            </w:pPr>
            <w:r w:rsidRPr="00755A11">
              <w:t>50.82</w:t>
            </w:r>
          </w:p>
        </w:tc>
      </w:tr>
      <w:tr w:rsidR="006C7FFA" w:rsidRPr="00755A11" w14:paraId="2CC755E5" w14:textId="77777777" w:rsidTr="00086026">
        <w:trPr>
          <w:trHeight w:val="283"/>
        </w:trPr>
        <w:tc>
          <w:tcPr>
            <w:tcW w:w="6372" w:type="dxa"/>
            <w:tcBorders>
              <w:top w:val="double" w:sz="4" w:space="0" w:color="1B556B"/>
            </w:tcBorders>
          </w:tcPr>
          <w:p w14:paraId="6C9407AE" w14:textId="77777777" w:rsidR="006C7FFA" w:rsidRPr="00755A11" w:rsidRDefault="006C7FFA" w:rsidP="00003A29">
            <w:pPr>
              <w:pStyle w:val="TableText"/>
            </w:pPr>
            <w:r w:rsidRPr="00755A11">
              <w:t>Explanation provided</w:t>
            </w:r>
          </w:p>
        </w:tc>
        <w:tc>
          <w:tcPr>
            <w:tcW w:w="1134" w:type="dxa"/>
            <w:tcBorders>
              <w:top w:val="double" w:sz="4" w:space="0" w:color="1B556B"/>
            </w:tcBorders>
          </w:tcPr>
          <w:p w14:paraId="05F77EF2" w14:textId="77777777" w:rsidR="006C7FFA" w:rsidRPr="00755A11" w:rsidRDefault="006C7FFA" w:rsidP="00003A29">
            <w:pPr>
              <w:pStyle w:val="TableText"/>
            </w:pPr>
            <w:r w:rsidRPr="00755A11">
              <w:t>18</w:t>
            </w:r>
          </w:p>
        </w:tc>
        <w:tc>
          <w:tcPr>
            <w:tcW w:w="1134" w:type="dxa"/>
            <w:tcBorders>
              <w:top w:val="double" w:sz="4" w:space="0" w:color="1B556B"/>
            </w:tcBorders>
          </w:tcPr>
          <w:p w14:paraId="02CDD093" w14:textId="77777777" w:rsidR="006C7FFA" w:rsidRPr="00755A11" w:rsidRDefault="006C7FFA" w:rsidP="00003A29">
            <w:pPr>
              <w:pStyle w:val="TableText"/>
            </w:pPr>
          </w:p>
        </w:tc>
      </w:tr>
    </w:tbl>
    <w:p w14:paraId="35E45977" w14:textId="77777777" w:rsidR="006C7FFA" w:rsidRPr="00755A11" w:rsidRDefault="006C7FFA" w:rsidP="00003A29">
      <w:pPr>
        <w:pStyle w:val="BodyText"/>
        <w:spacing w:before="360"/>
        <w:rPr>
          <w:b/>
          <w:bCs/>
          <w:lang w:eastAsia="en-US"/>
        </w:rPr>
      </w:pPr>
      <w:r w:rsidRPr="00755A11">
        <w:rPr>
          <w:b/>
          <w:bCs/>
          <w:lang w:eastAsia="en-US"/>
        </w:rPr>
        <w:t>9: Do you think the status quo approach to stockpile reduction should be retained?</w:t>
      </w:r>
    </w:p>
    <w:tbl>
      <w:tblPr>
        <w:tblStyle w:val="Style4"/>
        <w:tblW w:w="0" w:type="auto"/>
        <w:tblLook w:val="04A0" w:firstRow="1" w:lastRow="0" w:firstColumn="1" w:lastColumn="0" w:noHBand="0" w:noVBand="1"/>
      </w:tblPr>
      <w:tblGrid>
        <w:gridCol w:w="6256"/>
        <w:gridCol w:w="1122"/>
        <w:gridCol w:w="1127"/>
      </w:tblGrid>
      <w:tr w:rsidR="006C7FFA" w:rsidRPr="00755A11" w14:paraId="4E1E1568" w14:textId="77777777" w:rsidTr="00617F2E">
        <w:trPr>
          <w:cnfStyle w:val="100000000000" w:firstRow="1" w:lastRow="0" w:firstColumn="0" w:lastColumn="0" w:oddVBand="0" w:evenVBand="0" w:oddHBand="0" w:evenHBand="0" w:firstRowFirstColumn="0" w:firstRowLastColumn="0" w:lastRowFirstColumn="0" w:lastRowLastColumn="0"/>
          <w:trHeight w:val="283"/>
        </w:trPr>
        <w:tc>
          <w:tcPr>
            <w:tcW w:w="6372" w:type="dxa"/>
            <w:tcBorders>
              <w:top w:val="single" w:sz="4" w:space="0" w:color="1B556B" w:themeColor="text2"/>
            </w:tcBorders>
          </w:tcPr>
          <w:p w14:paraId="1449002D" w14:textId="77777777" w:rsidR="006C7FFA" w:rsidRPr="00755A11" w:rsidRDefault="006C7FFA" w:rsidP="00003A29">
            <w:pPr>
              <w:pStyle w:val="TableText"/>
            </w:pPr>
            <w:r w:rsidRPr="00755A11">
              <w:t>Option</w:t>
            </w:r>
          </w:p>
        </w:tc>
        <w:tc>
          <w:tcPr>
            <w:tcW w:w="1134" w:type="dxa"/>
            <w:tcBorders>
              <w:top w:val="single" w:sz="4" w:space="0" w:color="1B556B" w:themeColor="text2"/>
            </w:tcBorders>
          </w:tcPr>
          <w:p w14:paraId="4F987EEF" w14:textId="77777777" w:rsidR="006C7FFA" w:rsidRPr="00755A11" w:rsidRDefault="006C7FFA" w:rsidP="00003A29">
            <w:pPr>
              <w:pStyle w:val="TableText"/>
            </w:pPr>
            <w:r w:rsidRPr="00755A11">
              <w:t>Total</w:t>
            </w:r>
          </w:p>
        </w:tc>
        <w:tc>
          <w:tcPr>
            <w:tcW w:w="1134" w:type="dxa"/>
            <w:tcBorders>
              <w:top w:val="single" w:sz="4" w:space="0" w:color="1B556B" w:themeColor="text2"/>
            </w:tcBorders>
          </w:tcPr>
          <w:p w14:paraId="284A86B2" w14:textId="636FE91C" w:rsidR="006C7FFA" w:rsidRPr="00755A11" w:rsidRDefault="006C7FFA" w:rsidP="00003A29">
            <w:pPr>
              <w:pStyle w:val="TableText"/>
            </w:pPr>
            <w:r w:rsidRPr="00755A11">
              <w:t>Percent</w:t>
            </w:r>
            <w:r w:rsidR="00D17EF2" w:rsidRPr="00755A11">
              <w:t xml:space="preserve"> (%)</w:t>
            </w:r>
          </w:p>
        </w:tc>
      </w:tr>
      <w:tr w:rsidR="006C7FFA" w:rsidRPr="00755A11" w14:paraId="3805B0A0" w14:textId="77777777" w:rsidTr="009E682B">
        <w:trPr>
          <w:trHeight w:val="283"/>
        </w:trPr>
        <w:tc>
          <w:tcPr>
            <w:tcW w:w="6372" w:type="dxa"/>
          </w:tcPr>
          <w:p w14:paraId="73282034" w14:textId="77777777" w:rsidR="006C7FFA" w:rsidRPr="00755A11" w:rsidRDefault="006C7FFA" w:rsidP="00003A29">
            <w:pPr>
              <w:pStyle w:val="TableText"/>
            </w:pPr>
            <w:r w:rsidRPr="00755A11">
              <w:t>Yes</w:t>
            </w:r>
          </w:p>
        </w:tc>
        <w:tc>
          <w:tcPr>
            <w:tcW w:w="1134" w:type="dxa"/>
          </w:tcPr>
          <w:p w14:paraId="65685A88" w14:textId="77777777" w:rsidR="006C7FFA" w:rsidRPr="00755A11" w:rsidRDefault="006C7FFA" w:rsidP="00003A29">
            <w:pPr>
              <w:pStyle w:val="TableText"/>
            </w:pPr>
            <w:r w:rsidRPr="00755A11">
              <w:t>10</w:t>
            </w:r>
          </w:p>
        </w:tc>
        <w:tc>
          <w:tcPr>
            <w:tcW w:w="1134" w:type="dxa"/>
          </w:tcPr>
          <w:p w14:paraId="6F66061E" w14:textId="6E7EFFE8" w:rsidR="006C7FFA" w:rsidRPr="00755A11" w:rsidRDefault="006C7FFA" w:rsidP="00003A29">
            <w:pPr>
              <w:pStyle w:val="TableText"/>
            </w:pPr>
            <w:r w:rsidRPr="00755A11">
              <w:t>16.39</w:t>
            </w:r>
          </w:p>
        </w:tc>
      </w:tr>
      <w:tr w:rsidR="009E682B" w:rsidRPr="00755A11" w14:paraId="03FC41AD" w14:textId="77777777" w:rsidTr="009E682B">
        <w:trPr>
          <w:trHeight w:val="283"/>
        </w:trPr>
        <w:tc>
          <w:tcPr>
            <w:tcW w:w="6372" w:type="dxa"/>
          </w:tcPr>
          <w:p w14:paraId="4D55AA30" w14:textId="77777777" w:rsidR="006C7FFA" w:rsidRPr="00755A11" w:rsidRDefault="006C7FFA" w:rsidP="00003A29">
            <w:pPr>
              <w:pStyle w:val="TableText"/>
            </w:pPr>
            <w:r w:rsidRPr="00755A11">
              <w:t>No</w:t>
            </w:r>
          </w:p>
        </w:tc>
        <w:tc>
          <w:tcPr>
            <w:tcW w:w="1134" w:type="dxa"/>
          </w:tcPr>
          <w:p w14:paraId="6A6ED8E3" w14:textId="77777777" w:rsidR="006C7FFA" w:rsidRPr="00755A11" w:rsidRDefault="006C7FFA" w:rsidP="00003A29">
            <w:pPr>
              <w:pStyle w:val="TableText"/>
            </w:pPr>
            <w:r w:rsidRPr="00755A11">
              <w:t>11</w:t>
            </w:r>
          </w:p>
        </w:tc>
        <w:tc>
          <w:tcPr>
            <w:tcW w:w="1134" w:type="dxa"/>
          </w:tcPr>
          <w:p w14:paraId="39837A6C" w14:textId="192C4CD0" w:rsidR="006C7FFA" w:rsidRPr="00755A11" w:rsidRDefault="006C7FFA" w:rsidP="00003A29">
            <w:pPr>
              <w:pStyle w:val="TableText"/>
            </w:pPr>
            <w:r w:rsidRPr="00755A11">
              <w:t>18.03</w:t>
            </w:r>
          </w:p>
        </w:tc>
      </w:tr>
      <w:tr w:rsidR="006C7FFA" w:rsidRPr="00755A11" w14:paraId="56E7DBDC" w14:textId="77777777" w:rsidTr="009E682B">
        <w:trPr>
          <w:trHeight w:val="283"/>
        </w:trPr>
        <w:tc>
          <w:tcPr>
            <w:tcW w:w="6372" w:type="dxa"/>
          </w:tcPr>
          <w:p w14:paraId="7F704569" w14:textId="77777777" w:rsidR="006C7FFA" w:rsidRPr="00755A11" w:rsidRDefault="006C7FFA" w:rsidP="00003A29">
            <w:pPr>
              <w:pStyle w:val="TableText"/>
            </w:pPr>
            <w:r w:rsidRPr="00755A11">
              <w:t>Unsure</w:t>
            </w:r>
          </w:p>
        </w:tc>
        <w:tc>
          <w:tcPr>
            <w:tcW w:w="1134" w:type="dxa"/>
          </w:tcPr>
          <w:p w14:paraId="1123DCDC" w14:textId="77777777" w:rsidR="006C7FFA" w:rsidRPr="00755A11" w:rsidRDefault="006C7FFA" w:rsidP="00003A29">
            <w:pPr>
              <w:pStyle w:val="TableText"/>
            </w:pPr>
            <w:r w:rsidRPr="00755A11">
              <w:t>8</w:t>
            </w:r>
          </w:p>
        </w:tc>
        <w:tc>
          <w:tcPr>
            <w:tcW w:w="1134" w:type="dxa"/>
          </w:tcPr>
          <w:p w14:paraId="27DCA663" w14:textId="538B7FD5" w:rsidR="006C7FFA" w:rsidRPr="00755A11" w:rsidRDefault="006C7FFA" w:rsidP="00003A29">
            <w:pPr>
              <w:pStyle w:val="TableText"/>
            </w:pPr>
            <w:r w:rsidRPr="00755A11">
              <w:t>13.11</w:t>
            </w:r>
          </w:p>
        </w:tc>
      </w:tr>
      <w:tr w:rsidR="006C7FFA" w:rsidRPr="00755A11" w14:paraId="20FB4BBA" w14:textId="77777777" w:rsidTr="00086026">
        <w:trPr>
          <w:trHeight w:val="283"/>
        </w:trPr>
        <w:tc>
          <w:tcPr>
            <w:tcW w:w="6372" w:type="dxa"/>
            <w:tcBorders>
              <w:bottom w:val="double" w:sz="4" w:space="0" w:color="1B556B"/>
            </w:tcBorders>
          </w:tcPr>
          <w:p w14:paraId="17EA7418" w14:textId="29B3F808" w:rsidR="006C7FFA" w:rsidRPr="00755A11" w:rsidRDefault="006C7FFA" w:rsidP="00003A29">
            <w:pPr>
              <w:pStyle w:val="TableText"/>
            </w:pPr>
            <w:r w:rsidRPr="00755A11">
              <w:t xml:space="preserve">Not </w:t>
            </w:r>
            <w:r w:rsidR="00D17EF2" w:rsidRPr="00755A11">
              <w:t>a</w:t>
            </w:r>
            <w:r w:rsidRPr="00755A11">
              <w:t>nswered</w:t>
            </w:r>
          </w:p>
        </w:tc>
        <w:tc>
          <w:tcPr>
            <w:tcW w:w="1134" w:type="dxa"/>
            <w:tcBorders>
              <w:bottom w:val="double" w:sz="4" w:space="0" w:color="1B556B"/>
            </w:tcBorders>
          </w:tcPr>
          <w:p w14:paraId="18748926" w14:textId="77777777" w:rsidR="006C7FFA" w:rsidRPr="00755A11" w:rsidRDefault="006C7FFA" w:rsidP="00003A29">
            <w:pPr>
              <w:pStyle w:val="TableText"/>
            </w:pPr>
            <w:r w:rsidRPr="00755A11">
              <w:t>32</w:t>
            </w:r>
          </w:p>
        </w:tc>
        <w:tc>
          <w:tcPr>
            <w:tcW w:w="1134" w:type="dxa"/>
            <w:tcBorders>
              <w:bottom w:val="double" w:sz="4" w:space="0" w:color="1B556B"/>
            </w:tcBorders>
          </w:tcPr>
          <w:p w14:paraId="49BE34C5" w14:textId="783F02BA" w:rsidR="006C7FFA" w:rsidRPr="00755A11" w:rsidRDefault="006C7FFA" w:rsidP="00003A29">
            <w:pPr>
              <w:pStyle w:val="TableText"/>
            </w:pPr>
            <w:r w:rsidRPr="00755A11">
              <w:t>52.46</w:t>
            </w:r>
          </w:p>
        </w:tc>
      </w:tr>
      <w:tr w:rsidR="006C7FFA" w:rsidRPr="00755A11" w14:paraId="66529090" w14:textId="77777777" w:rsidTr="00086026">
        <w:trPr>
          <w:trHeight w:val="283"/>
        </w:trPr>
        <w:tc>
          <w:tcPr>
            <w:tcW w:w="6372" w:type="dxa"/>
            <w:tcBorders>
              <w:top w:val="double" w:sz="4" w:space="0" w:color="1B556B"/>
            </w:tcBorders>
          </w:tcPr>
          <w:p w14:paraId="6394D019" w14:textId="77777777" w:rsidR="006C7FFA" w:rsidRPr="00755A11" w:rsidRDefault="006C7FFA" w:rsidP="00003A29">
            <w:pPr>
              <w:pStyle w:val="TableText"/>
            </w:pPr>
            <w:r w:rsidRPr="00755A11">
              <w:t>Explanation provided</w:t>
            </w:r>
          </w:p>
        </w:tc>
        <w:tc>
          <w:tcPr>
            <w:tcW w:w="1134" w:type="dxa"/>
            <w:tcBorders>
              <w:top w:val="double" w:sz="4" w:space="0" w:color="1B556B"/>
            </w:tcBorders>
          </w:tcPr>
          <w:p w14:paraId="5F002B64" w14:textId="77777777" w:rsidR="006C7FFA" w:rsidRPr="00755A11" w:rsidRDefault="006C7FFA" w:rsidP="00003A29">
            <w:pPr>
              <w:pStyle w:val="TableText"/>
            </w:pPr>
            <w:r w:rsidRPr="00755A11">
              <w:t>17</w:t>
            </w:r>
          </w:p>
        </w:tc>
        <w:tc>
          <w:tcPr>
            <w:tcW w:w="1134" w:type="dxa"/>
            <w:tcBorders>
              <w:top w:val="double" w:sz="4" w:space="0" w:color="1B556B"/>
            </w:tcBorders>
          </w:tcPr>
          <w:p w14:paraId="248D9324" w14:textId="77777777" w:rsidR="006C7FFA" w:rsidRPr="00755A11" w:rsidRDefault="006C7FFA" w:rsidP="00003A29">
            <w:pPr>
              <w:pStyle w:val="TableText"/>
            </w:pPr>
          </w:p>
        </w:tc>
      </w:tr>
    </w:tbl>
    <w:p w14:paraId="4E286E8C" w14:textId="77777777" w:rsidR="006C7FFA" w:rsidRPr="00755A11" w:rsidRDefault="006C7FFA" w:rsidP="00003A29">
      <w:pPr>
        <w:pStyle w:val="BodyText"/>
        <w:spacing w:before="360"/>
        <w:rPr>
          <w:b/>
          <w:bCs/>
          <w:lang w:eastAsia="en-US"/>
        </w:rPr>
      </w:pPr>
      <w:r w:rsidRPr="00755A11">
        <w:rPr>
          <w:b/>
          <w:bCs/>
          <w:lang w:eastAsia="en-US"/>
        </w:rPr>
        <w:t>10: Should a new sub-step be added this year to address projected impacts on surplus stockpile liquidity rather than addressing it through annual updates to estimates of surplus stockpile liquidity?</w:t>
      </w:r>
    </w:p>
    <w:tbl>
      <w:tblPr>
        <w:tblStyle w:val="Style4"/>
        <w:tblW w:w="0" w:type="auto"/>
        <w:tblLook w:val="04A0" w:firstRow="1" w:lastRow="0" w:firstColumn="1" w:lastColumn="0" w:noHBand="0" w:noVBand="1"/>
      </w:tblPr>
      <w:tblGrid>
        <w:gridCol w:w="6256"/>
        <w:gridCol w:w="1122"/>
        <w:gridCol w:w="1127"/>
      </w:tblGrid>
      <w:tr w:rsidR="006C7FFA" w:rsidRPr="00755A11" w14:paraId="41B14E90" w14:textId="77777777" w:rsidTr="00617F2E">
        <w:trPr>
          <w:cnfStyle w:val="100000000000" w:firstRow="1" w:lastRow="0" w:firstColumn="0" w:lastColumn="0" w:oddVBand="0" w:evenVBand="0" w:oddHBand="0" w:evenHBand="0" w:firstRowFirstColumn="0" w:firstRowLastColumn="0" w:lastRowFirstColumn="0" w:lastRowLastColumn="0"/>
          <w:trHeight w:val="283"/>
        </w:trPr>
        <w:tc>
          <w:tcPr>
            <w:tcW w:w="6372" w:type="dxa"/>
            <w:tcBorders>
              <w:top w:val="single" w:sz="4" w:space="0" w:color="1B556B" w:themeColor="text2"/>
            </w:tcBorders>
          </w:tcPr>
          <w:p w14:paraId="0025C768" w14:textId="77777777" w:rsidR="006C7FFA" w:rsidRPr="00755A11" w:rsidRDefault="006C7FFA" w:rsidP="00003A29">
            <w:pPr>
              <w:pStyle w:val="TableText"/>
            </w:pPr>
            <w:r w:rsidRPr="00755A11">
              <w:t>Option</w:t>
            </w:r>
          </w:p>
        </w:tc>
        <w:tc>
          <w:tcPr>
            <w:tcW w:w="1134" w:type="dxa"/>
            <w:tcBorders>
              <w:top w:val="single" w:sz="4" w:space="0" w:color="1B556B" w:themeColor="text2"/>
            </w:tcBorders>
          </w:tcPr>
          <w:p w14:paraId="445F8C64" w14:textId="77777777" w:rsidR="006C7FFA" w:rsidRPr="00755A11" w:rsidRDefault="006C7FFA" w:rsidP="00003A29">
            <w:pPr>
              <w:pStyle w:val="TableText"/>
            </w:pPr>
            <w:r w:rsidRPr="00755A11">
              <w:t>Total</w:t>
            </w:r>
          </w:p>
        </w:tc>
        <w:tc>
          <w:tcPr>
            <w:tcW w:w="1134" w:type="dxa"/>
            <w:tcBorders>
              <w:top w:val="single" w:sz="4" w:space="0" w:color="1B556B" w:themeColor="text2"/>
            </w:tcBorders>
          </w:tcPr>
          <w:p w14:paraId="2099A73B" w14:textId="24C0262C" w:rsidR="006C7FFA" w:rsidRPr="00755A11" w:rsidRDefault="006C7FFA" w:rsidP="00003A29">
            <w:pPr>
              <w:pStyle w:val="TableText"/>
            </w:pPr>
            <w:r w:rsidRPr="00755A11">
              <w:t>Percent</w:t>
            </w:r>
            <w:r w:rsidR="00501809" w:rsidRPr="00755A11">
              <w:t xml:space="preserve"> (%)</w:t>
            </w:r>
          </w:p>
        </w:tc>
      </w:tr>
      <w:tr w:rsidR="006C7FFA" w:rsidRPr="00755A11" w14:paraId="1D06D953" w14:textId="77777777" w:rsidTr="00AA1BBD">
        <w:trPr>
          <w:trHeight w:val="283"/>
        </w:trPr>
        <w:tc>
          <w:tcPr>
            <w:tcW w:w="6372" w:type="dxa"/>
          </w:tcPr>
          <w:p w14:paraId="4A1FB2C5" w14:textId="77777777" w:rsidR="006C7FFA" w:rsidRPr="00755A11" w:rsidRDefault="006C7FFA" w:rsidP="00003A29">
            <w:pPr>
              <w:pStyle w:val="TableText"/>
            </w:pPr>
            <w:r w:rsidRPr="00755A11">
              <w:t>Yes</w:t>
            </w:r>
          </w:p>
        </w:tc>
        <w:tc>
          <w:tcPr>
            <w:tcW w:w="1134" w:type="dxa"/>
          </w:tcPr>
          <w:p w14:paraId="3D19FBD8" w14:textId="77777777" w:rsidR="006C7FFA" w:rsidRPr="00755A11" w:rsidRDefault="006C7FFA" w:rsidP="00003A29">
            <w:pPr>
              <w:pStyle w:val="TableText"/>
            </w:pPr>
            <w:r w:rsidRPr="00755A11">
              <w:t>18</w:t>
            </w:r>
          </w:p>
        </w:tc>
        <w:tc>
          <w:tcPr>
            <w:tcW w:w="1134" w:type="dxa"/>
          </w:tcPr>
          <w:p w14:paraId="28DF63DD" w14:textId="24587FC6" w:rsidR="006C7FFA" w:rsidRPr="00755A11" w:rsidRDefault="006C7FFA" w:rsidP="00003A29">
            <w:pPr>
              <w:pStyle w:val="TableText"/>
            </w:pPr>
            <w:r w:rsidRPr="00755A11">
              <w:t>29.51</w:t>
            </w:r>
          </w:p>
        </w:tc>
      </w:tr>
      <w:tr w:rsidR="00AA1BBD" w:rsidRPr="00755A11" w14:paraId="085E9786" w14:textId="77777777" w:rsidTr="00AA1BBD">
        <w:trPr>
          <w:trHeight w:val="283"/>
        </w:trPr>
        <w:tc>
          <w:tcPr>
            <w:tcW w:w="6372" w:type="dxa"/>
          </w:tcPr>
          <w:p w14:paraId="2ACBF5EF" w14:textId="77777777" w:rsidR="006C7FFA" w:rsidRPr="00755A11" w:rsidRDefault="006C7FFA" w:rsidP="00003A29">
            <w:pPr>
              <w:pStyle w:val="TableText"/>
            </w:pPr>
            <w:r w:rsidRPr="00755A11">
              <w:t>No</w:t>
            </w:r>
          </w:p>
        </w:tc>
        <w:tc>
          <w:tcPr>
            <w:tcW w:w="1134" w:type="dxa"/>
          </w:tcPr>
          <w:p w14:paraId="6DA68ED0" w14:textId="77777777" w:rsidR="006C7FFA" w:rsidRPr="00755A11" w:rsidRDefault="006C7FFA" w:rsidP="00003A29">
            <w:pPr>
              <w:pStyle w:val="TableText"/>
            </w:pPr>
            <w:r w:rsidRPr="00755A11">
              <w:t>3</w:t>
            </w:r>
          </w:p>
        </w:tc>
        <w:tc>
          <w:tcPr>
            <w:tcW w:w="1134" w:type="dxa"/>
          </w:tcPr>
          <w:p w14:paraId="29C1BC39" w14:textId="722A9F7A" w:rsidR="006C7FFA" w:rsidRPr="00755A11" w:rsidRDefault="006C7FFA" w:rsidP="00003A29">
            <w:pPr>
              <w:pStyle w:val="TableText"/>
            </w:pPr>
            <w:r w:rsidRPr="00755A11">
              <w:t>4.92</w:t>
            </w:r>
          </w:p>
        </w:tc>
      </w:tr>
      <w:tr w:rsidR="006C7FFA" w:rsidRPr="00755A11" w14:paraId="6051C7C0" w14:textId="77777777" w:rsidTr="00AA1BBD">
        <w:trPr>
          <w:trHeight w:val="283"/>
        </w:trPr>
        <w:tc>
          <w:tcPr>
            <w:tcW w:w="6372" w:type="dxa"/>
          </w:tcPr>
          <w:p w14:paraId="2FE7A7BA" w14:textId="77777777" w:rsidR="006C7FFA" w:rsidRPr="00755A11" w:rsidRDefault="006C7FFA" w:rsidP="00003A29">
            <w:pPr>
              <w:pStyle w:val="TableText"/>
            </w:pPr>
            <w:r w:rsidRPr="00755A11">
              <w:t>Unsure</w:t>
            </w:r>
          </w:p>
        </w:tc>
        <w:tc>
          <w:tcPr>
            <w:tcW w:w="1134" w:type="dxa"/>
          </w:tcPr>
          <w:p w14:paraId="651A5F50" w14:textId="77777777" w:rsidR="006C7FFA" w:rsidRPr="00755A11" w:rsidRDefault="006C7FFA" w:rsidP="00003A29">
            <w:pPr>
              <w:pStyle w:val="TableText"/>
            </w:pPr>
            <w:r w:rsidRPr="00755A11">
              <w:t>9</w:t>
            </w:r>
          </w:p>
        </w:tc>
        <w:tc>
          <w:tcPr>
            <w:tcW w:w="1134" w:type="dxa"/>
          </w:tcPr>
          <w:p w14:paraId="3FC76A9C" w14:textId="6834EF46" w:rsidR="006C7FFA" w:rsidRPr="00755A11" w:rsidRDefault="006C7FFA" w:rsidP="00003A29">
            <w:pPr>
              <w:pStyle w:val="TableText"/>
            </w:pPr>
            <w:r w:rsidRPr="00755A11">
              <w:t>14.75</w:t>
            </w:r>
          </w:p>
        </w:tc>
      </w:tr>
      <w:tr w:rsidR="006C7FFA" w:rsidRPr="00755A11" w14:paraId="22061C00" w14:textId="77777777" w:rsidTr="00086026">
        <w:trPr>
          <w:trHeight w:val="283"/>
        </w:trPr>
        <w:tc>
          <w:tcPr>
            <w:tcW w:w="6372" w:type="dxa"/>
            <w:tcBorders>
              <w:bottom w:val="double" w:sz="4" w:space="0" w:color="1B556B"/>
            </w:tcBorders>
          </w:tcPr>
          <w:p w14:paraId="3C68EBDD" w14:textId="51CC3642" w:rsidR="006C7FFA" w:rsidRPr="00755A11" w:rsidRDefault="006C7FFA" w:rsidP="00003A29">
            <w:pPr>
              <w:pStyle w:val="TableText"/>
            </w:pPr>
            <w:r w:rsidRPr="00755A11">
              <w:t xml:space="preserve">Not </w:t>
            </w:r>
            <w:r w:rsidR="00501809" w:rsidRPr="00755A11">
              <w:t>a</w:t>
            </w:r>
            <w:r w:rsidRPr="00755A11">
              <w:t>nswered</w:t>
            </w:r>
          </w:p>
        </w:tc>
        <w:tc>
          <w:tcPr>
            <w:tcW w:w="1134" w:type="dxa"/>
            <w:tcBorders>
              <w:bottom w:val="double" w:sz="4" w:space="0" w:color="1B556B"/>
            </w:tcBorders>
          </w:tcPr>
          <w:p w14:paraId="202D5255" w14:textId="77777777" w:rsidR="006C7FFA" w:rsidRPr="00755A11" w:rsidRDefault="006C7FFA" w:rsidP="00003A29">
            <w:pPr>
              <w:pStyle w:val="TableText"/>
            </w:pPr>
            <w:r w:rsidRPr="00755A11">
              <w:t>31</w:t>
            </w:r>
          </w:p>
        </w:tc>
        <w:tc>
          <w:tcPr>
            <w:tcW w:w="1134" w:type="dxa"/>
            <w:tcBorders>
              <w:bottom w:val="double" w:sz="4" w:space="0" w:color="1B556B"/>
            </w:tcBorders>
          </w:tcPr>
          <w:p w14:paraId="05BC4094" w14:textId="224A560C" w:rsidR="006C7FFA" w:rsidRPr="00755A11" w:rsidRDefault="006C7FFA" w:rsidP="00003A29">
            <w:pPr>
              <w:pStyle w:val="TableText"/>
            </w:pPr>
            <w:r w:rsidRPr="00755A11">
              <w:t>50.82</w:t>
            </w:r>
          </w:p>
        </w:tc>
      </w:tr>
      <w:tr w:rsidR="006C7FFA" w:rsidRPr="00755A11" w14:paraId="257A80A3" w14:textId="77777777" w:rsidTr="00086026">
        <w:trPr>
          <w:trHeight w:val="283"/>
        </w:trPr>
        <w:tc>
          <w:tcPr>
            <w:tcW w:w="6372" w:type="dxa"/>
            <w:tcBorders>
              <w:top w:val="double" w:sz="4" w:space="0" w:color="1B556B"/>
            </w:tcBorders>
          </w:tcPr>
          <w:p w14:paraId="5F6CE23F" w14:textId="77777777" w:rsidR="006C7FFA" w:rsidRPr="00755A11" w:rsidRDefault="006C7FFA" w:rsidP="00003A29">
            <w:pPr>
              <w:pStyle w:val="TableText"/>
            </w:pPr>
            <w:r w:rsidRPr="00755A11">
              <w:t>Explanation provided</w:t>
            </w:r>
          </w:p>
        </w:tc>
        <w:tc>
          <w:tcPr>
            <w:tcW w:w="1134" w:type="dxa"/>
            <w:tcBorders>
              <w:top w:val="double" w:sz="4" w:space="0" w:color="1B556B"/>
            </w:tcBorders>
          </w:tcPr>
          <w:p w14:paraId="6F307834" w14:textId="77777777" w:rsidR="006C7FFA" w:rsidRPr="00755A11" w:rsidRDefault="006C7FFA" w:rsidP="00003A29">
            <w:pPr>
              <w:pStyle w:val="TableText"/>
            </w:pPr>
            <w:r w:rsidRPr="00755A11">
              <w:t>16</w:t>
            </w:r>
          </w:p>
        </w:tc>
        <w:tc>
          <w:tcPr>
            <w:tcW w:w="1134" w:type="dxa"/>
            <w:tcBorders>
              <w:top w:val="double" w:sz="4" w:space="0" w:color="1B556B"/>
            </w:tcBorders>
          </w:tcPr>
          <w:p w14:paraId="3180639E" w14:textId="77777777" w:rsidR="006C7FFA" w:rsidRPr="00755A11" w:rsidRDefault="006C7FFA" w:rsidP="00003A29">
            <w:pPr>
              <w:pStyle w:val="TableText"/>
            </w:pPr>
          </w:p>
        </w:tc>
      </w:tr>
    </w:tbl>
    <w:p w14:paraId="5B84F045" w14:textId="77777777" w:rsidR="006C7FFA" w:rsidRPr="00755A11" w:rsidRDefault="006C7FFA" w:rsidP="00003A29">
      <w:pPr>
        <w:pStyle w:val="BodyText"/>
        <w:spacing w:before="360"/>
        <w:rPr>
          <w:b/>
          <w:bCs/>
          <w:lang w:eastAsia="en-US"/>
        </w:rPr>
      </w:pPr>
      <w:r w:rsidRPr="00755A11">
        <w:rPr>
          <w:b/>
          <w:bCs/>
          <w:lang w:eastAsia="en-US"/>
        </w:rPr>
        <w:t>11: Should adjustments to auction volumes be made to address historic actions?</w:t>
      </w:r>
    </w:p>
    <w:tbl>
      <w:tblPr>
        <w:tblStyle w:val="Style4"/>
        <w:tblW w:w="0" w:type="auto"/>
        <w:tblLook w:val="04A0" w:firstRow="1" w:lastRow="0" w:firstColumn="1" w:lastColumn="0" w:noHBand="0" w:noVBand="1"/>
      </w:tblPr>
      <w:tblGrid>
        <w:gridCol w:w="6256"/>
        <w:gridCol w:w="1122"/>
        <w:gridCol w:w="1127"/>
      </w:tblGrid>
      <w:tr w:rsidR="006C7FFA" w:rsidRPr="00755A11" w14:paraId="6FA3F14B" w14:textId="77777777" w:rsidTr="00617F2E">
        <w:trPr>
          <w:cnfStyle w:val="100000000000" w:firstRow="1" w:lastRow="0" w:firstColumn="0" w:lastColumn="0" w:oddVBand="0" w:evenVBand="0" w:oddHBand="0" w:evenHBand="0" w:firstRowFirstColumn="0" w:firstRowLastColumn="0" w:lastRowFirstColumn="0" w:lastRowLastColumn="0"/>
          <w:trHeight w:val="283"/>
        </w:trPr>
        <w:tc>
          <w:tcPr>
            <w:tcW w:w="6372" w:type="dxa"/>
            <w:tcBorders>
              <w:top w:val="single" w:sz="4" w:space="0" w:color="1B556B" w:themeColor="text2"/>
            </w:tcBorders>
          </w:tcPr>
          <w:p w14:paraId="16026148" w14:textId="77777777" w:rsidR="006C7FFA" w:rsidRPr="00755A11" w:rsidRDefault="006C7FFA" w:rsidP="00003A29">
            <w:pPr>
              <w:pStyle w:val="TableText"/>
            </w:pPr>
            <w:r w:rsidRPr="00755A11">
              <w:t>Option</w:t>
            </w:r>
          </w:p>
        </w:tc>
        <w:tc>
          <w:tcPr>
            <w:tcW w:w="1134" w:type="dxa"/>
            <w:tcBorders>
              <w:top w:val="single" w:sz="4" w:space="0" w:color="1B556B" w:themeColor="text2"/>
            </w:tcBorders>
          </w:tcPr>
          <w:p w14:paraId="745AD54E" w14:textId="77777777" w:rsidR="006C7FFA" w:rsidRPr="00755A11" w:rsidRDefault="006C7FFA" w:rsidP="00003A29">
            <w:pPr>
              <w:pStyle w:val="TableText"/>
            </w:pPr>
            <w:r w:rsidRPr="00755A11">
              <w:t>Total</w:t>
            </w:r>
          </w:p>
        </w:tc>
        <w:tc>
          <w:tcPr>
            <w:tcW w:w="1134" w:type="dxa"/>
            <w:tcBorders>
              <w:top w:val="single" w:sz="4" w:space="0" w:color="1B556B" w:themeColor="text2"/>
            </w:tcBorders>
          </w:tcPr>
          <w:p w14:paraId="5BB5FC7B" w14:textId="74E1A246" w:rsidR="006C7FFA" w:rsidRPr="00755A11" w:rsidRDefault="006C7FFA" w:rsidP="00003A29">
            <w:pPr>
              <w:pStyle w:val="TableText"/>
            </w:pPr>
            <w:r w:rsidRPr="00755A11">
              <w:t>Percent</w:t>
            </w:r>
            <w:r w:rsidR="009A166F" w:rsidRPr="00755A11">
              <w:t xml:space="preserve"> (%)</w:t>
            </w:r>
          </w:p>
        </w:tc>
      </w:tr>
      <w:tr w:rsidR="006C7FFA" w:rsidRPr="00755A11" w14:paraId="61297B71" w14:textId="77777777" w:rsidTr="00AA1BBD">
        <w:trPr>
          <w:trHeight w:val="283"/>
        </w:trPr>
        <w:tc>
          <w:tcPr>
            <w:tcW w:w="6372" w:type="dxa"/>
          </w:tcPr>
          <w:p w14:paraId="7F6CB8B0" w14:textId="77777777" w:rsidR="006C7FFA" w:rsidRPr="00755A11" w:rsidRDefault="006C7FFA" w:rsidP="00003A29">
            <w:pPr>
              <w:pStyle w:val="TableText"/>
            </w:pPr>
            <w:r w:rsidRPr="00755A11">
              <w:t>Yes</w:t>
            </w:r>
          </w:p>
        </w:tc>
        <w:tc>
          <w:tcPr>
            <w:tcW w:w="1134" w:type="dxa"/>
          </w:tcPr>
          <w:p w14:paraId="08F62E41" w14:textId="77777777" w:rsidR="006C7FFA" w:rsidRPr="00755A11" w:rsidRDefault="006C7FFA" w:rsidP="00003A29">
            <w:pPr>
              <w:pStyle w:val="TableText"/>
            </w:pPr>
            <w:r w:rsidRPr="00755A11">
              <w:t>21</w:t>
            </w:r>
          </w:p>
        </w:tc>
        <w:tc>
          <w:tcPr>
            <w:tcW w:w="1134" w:type="dxa"/>
          </w:tcPr>
          <w:p w14:paraId="67591FE5" w14:textId="6A283178" w:rsidR="006C7FFA" w:rsidRPr="00755A11" w:rsidRDefault="006C7FFA" w:rsidP="00003A29">
            <w:pPr>
              <w:pStyle w:val="TableText"/>
            </w:pPr>
            <w:r w:rsidRPr="00755A11">
              <w:t>34.43</w:t>
            </w:r>
          </w:p>
        </w:tc>
      </w:tr>
      <w:tr w:rsidR="00AA1BBD" w:rsidRPr="00755A11" w14:paraId="45E2F247" w14:textId="77777777" w:rsidTr="00AA1BBD">
        <w:trPr>
          <w:trHeight w:val="283"/>
        </w:trPr>
        <w:tc>
          <w:tcPr>
            <w:tcW w:w="6372" w:type="dxa"/>
          </w:tcPr>
          <w:p w14:paraId="0F71836F" w14:textId="77777777" w:rsidR="006C7FFA" w:rsidRPr="00755A11" w:rsidRDefault="006C7FFA" w:rsidP="00003A29">
            <w:pPr>
              <w:pStyle w:val="TableText"/>
            </w:pPr>
            <w:r w:rsidRPr="00755A11">
              <w:t>No</w:t>
            </w:r>
          </w:p>
        </w:tc>
        <w:tc>
          <w:tcPr>
            <w:tcW w:w="1134" w:type="dxa"/>
          </w:tcPr>
          <w:p w14:paraId="10CBE396" w14:textId="77777777" w:rsidR="006C7FFA" w:rsidRPr="00755A11" w:rsidRDefault="006C7FFA" w:rsidP="00003A29">
            <w:pPr>
              <w:pStyle w:val="TableText"/>
            </w:pPr>
            <w:r w:rsidRPr="00755A11">
              <w:t>3</w:t>
            </w:r>
          </w:p>
        </w:tc>
        <w:tc>
          <w:tcPr>
            <w:tcW w:w="1134" w:type="dxa"/>
          </w:tcPr>
          <w:p w14:paraId="78E6B60C" w14:textId="22FEBC6F" w:rsidR="006C7FFA" w:rsidRPr="00755A11" w:rsidRDefault="006C7FFA" w:rsidP="00003A29">
            <w:pPr>
              <w:pStyle w:val="TableText"/>
            </w:pPr>
            <w:r w:rsidRPr="00755A11">
              <w:t>4.92</w:t>
            </w:r>
          </w:p>
        </w:tc>
      </w:tr>
      <w:tr w:rsidR="006C7FFA" w:rsidRPr="00755A11" w14:paraId="464505BF" w14:textId="77777777" w:rsidTr="00AA1BBD">
        <w:trPr>
          <w:trHeight w:val="283"/>
        </w:trPr>
        <w:tc>
          <w:tcPr>
            <w:tcW w:w="6372" w:type="dxa"/>
          </w:tcPr>
          <w:p w14:paraId="2E757AD1" w14:textId="77777777" w:rsidR="006C7FFA" w:rsidRPr="00755A11" w:rsidRDefault="006C7FFA" w:rsidP="00003A29">
            <w:pPr>
              <w:pStyle w:val="TableText"/>
            </w:pPr>
            <w:r w:rsidRPr="00755A11">
              <w:t>Unsure</w:t>
            </w:r>
          </w:p>
        </w:tc>
        <w:tc>
          <w:tcPr>
            <w:tcW w:w="1134" w:type="dxa"/>
          </w:tcPr>
          <w:p w14:paraId="6BF5626A" w14:textId="77777777" w:rsidR="006C7FFA" w:rsidRPr="00755A11" w:rsidRDefault="006C7FFA" w:rsidP="00003A29">
            <w:pPr>
              <w:pStyle w:val="TableText"/>
            </w:pPr>
            <w:r w:rsidRPr="00755A11">
              <w:t>6</w:t>
            </w:r>
          </w:p>
        </w:tc>
        <w:tc>
          <w:tcPr>
            <w:tcW w:w="1134" w:type="dxa"/>
          </w:tcPr>
          <w:p w14:paraId="3FCD6914" w14:textId="218FC11F" w:rsidR="006C7FFA" w:rsidRPr="00755A11" w:rsidRDefault="006C7FFA" w:rsidP="00003A29">
            <w:pPr>
              <w:pStyle w:val="TableText"/>
            </w:pPr>
            <w:r w:rsidRPr="00755A11">
              <w:t>9.84</w:t>
            </w:r>
          </w:p>
        </w:tc>
      </w:tr>
      <w:tr w:rsidR="006C7FFA" w:rsidRPr="00755A11" w14:paraId="3DDA6F87" w14:textId="77777777" w:rsidTr="00086026">
        <w:trPr>
          <w:trHeight w:val="283"/>
        </w:trPr>
        <w:tc>
          <w:tcPr>
            <w:tcW w:w="6372" w:type="dxa"/>
            <w:tcBorders>
              <w:bottom w:val="double" w:sz="4" w:space="0" w:color="1B556B"/>
            </w:tcBorders>
          </w:tcPr>
          <w:p w14:paraId="60FA564A" w14:textId="22F09117" w:rsidR="006C7FFA" w:rsidRPr="00755A11" w:rsidRDefault="006C7FFA" w:rsidP="00003A29">
            <w:pPr>
              <w:pStyle w:val="TableText"/>
            </w:pPr>
            <w:r w:rsidRPr="00755A11">
              <w:t xml:space="preserve">Not </w:t>
            </w:r>
            <w:r w:rsidR="009A166F" w:rsidRPr="00755A11">
              <w:t>a</w:t>
            </w:r>
            <w:r w:rsidRPr="00755A11">
              <w:t>nswered</w:t>
            </w:r>
          </w:p>
        </w:tc>
        <w:tc>
          <w:tcPr>
            <w:tcW w:w="1134" w:type="dxa"/>
            <w:tcBorders>
              <w:bottom w:val="double" w:sz="4" w:space="0" w:color="1B556B"/>
            </w:tcBorders>
          </w:tcPr>
          <w:p w14:paraId="7ECD2FEB" w14:textId="77777777" w:rsidR="006C7FFA" w:rsidRPr="00755A11" w:rsidRDefault="006C7FFA" w:rsidP="00003A29">
            <w:pPr>
              <w:pStyle w:val="TableText"/>
            </w:pPr>
            <w:r w:rsidRPr="00755A11">
              <w:t>31</w:t>
            </w:r>
          </w:p>
        </w:tc>
        <w:tc>
          <w:tcPr>
            <w:tcW w:w="1134" w:type="dxa"/>
            <w:tcBorders>
              <w:bottom w:val="double" w:sz="4" w:space="0" w:color="1B556B"/>
            </w:tcBorders>
          </w:tcPr>
          <w:p w14:paraId="20B43ED0" w14:textId="01FAD622" w:rsidR="006C7FFA" w:rsidRPr="00755A11" w:rsidRDefault="006C7FFA" w:rsidP="00003A29">
            <w:pPr>
              <w:pStyle w:val="TableText"/>
            </w:pPr>
            <w:r w:rsidRPr="00755A11">
              <w:t>50.82</w:t>
            </w:r>
          </w:p>
        </w:tc>
      </w:tr>
      <w:tr w:rsidR="006C7FFA" w:rsidRPr="00755A11" w14:paraId="34807965" w14:textId="77777777" w:rsidTr="00086026">
        <w:trPr>
          <w:trHeight w:val="283"/>
        </w:trPr>
        <w:tc>
          <w:tcPr>
            <w:tcW w:w="6372" w:type="dxa"/>
            <w:tcBorders>
              <w:top w:val="double" w:sz="4" w:space="0" w:color="1B556B"/>
            </w:tcBorders>
          </w:tcPr>
          <w:p w14:paraId="7FF57032" w14:textId="77777777" w:rsidR="006C7FFA" w:rsidRPr="00755A11" w:rsidRDefault="006C7FFA" w:rsidP="00003A29">
            <w:pPr>
              <w:pStyle w:val="TableText"/>
            </w:pPr>
            <w:r w:rsidRPr="00755A11">
              <w:t>Explanation provided</w:t>
            </w:r>
          </w:p>
        </w:tc>
        <w:tc>
          <w:tcPr>
            <w:tcW w:w="1134" w:type="dxa"/>
            <w:tcBorders>
              <w:top w:val="double" w:sz="4" w:space="0" w:color="1B556B"/>
            </w:tcBorders>
          </w:tcPr>
          <w:p w14:paraId="05DE2C6C" w14:textId="77777777" w:rsidR="006C7FFA" w:rsidRPr="00755A11" w:rsidRDefault="006C7FFA" w:rsidP="00003A29">
            <w:pPr>
              <w:pStyle w:val="TableText"/>
            </w:pPr>
            <w:r w:rsidRPr="00755A11">
              <w:t>19</w:t>
            </w:r>
          </w:p>
        </w:tc>
        <w:tc>
          <w:tcPr>
            <w:tcW w:w="1134" w:type="dxa"/>
            <w:tcBorders>
              <w:top w:val="double" w:sz="4" w:space="0" w:color="1B556B"/>
            </w:tcBorders>
          </w:tcPr>
          <w:p w14:paraId="375AE142" w14:textId="77777777" w:rsidR="006C7FFA" w:rsidRPr="00755A11" w:rsidRDefault="006C7FFA" w:rsidP="00003A29">
            <w:pPr>
              <w:pStyle w:val="TableText"/>
            </w:pPr>
          </w:p>
        </w:tc>
      </w:tr>
    </w:tbl>
    <w:p w14:paraId="71166C0C" w14:textId="303B7533" w:rsidR="006C7FFA" w:rsidRPr="00755A11" w:rsidRDefault="006C7FFA" w:rsidP="00003A29">
      <w:pPr>
        <w:pStyle w:val="BodyText"/>
        <w:keepNext/>
        <w:spacing w:before="360"/>
        <w:rPr>
          <w:b/>
          <w:bCs/>
          <w:lang w:eastAsia="en-US"/>
        </w:rPr>
      </w:pPr>
      <w:r w:rsidRPr="00755A11">
        <w:rPr>
          <w:b/>
          <w:bCs/>
          <w:lang w:eastAsia="en-US"/>
        </w:rPr>
        <w:lastRenderedPageBreak/>
        <w:t>12: What do you think of the methodology used to calculate auction volumes, including on</w:t>
      </w:r>
      <w:r w:rsidR="008A60F6">
        <w:rPr>
          <w:b/>
          <w:bCs/>
          <w:lang w:eastAsia="en-US"/>
        </w:rPr>
        <w:t> </w:t>
      </w:r>
      <w:r w:rsidRPr="00755A11">
        <w:rPr>
          <w:b/>
          <w:bCs/>
          <w:lang w:eastAsia="en-US"/>
        </w:rPr>
        <w:t>each specific step?</w:t>
      </w:r>
    </w:p>
    <w:tbl>
      <w:tblPr>
        <w:tblStyle w:val="Style4"/>
        <w:tblW w:w="0" w:type="auto"/>
        <w:tblBorders>
          <w:top w:val="single" w:sz="4" w:space="0" w:color="1B556B" w:themeColor="text2"/>
        </w:tblBorders>
        <w:tblLook w:val="04A0" w:firstRow="1" w:lastRow="0" w:firstColumn="1" w:lastColumn="0" w:noHBand="0" w:noVBand="1"/>
      </w:tblPr>
      <w:tblGrid>
        <w:gridCol w:w="6256"/>
        <w:gridCol w:w="1122"/>
        <w:gridCol w:w="1127"/>
      </w:tblGrid>
      <w:tr w:rsidR="006C7FFA" w:rsidRPr="00755A11" w14:paraId="5679FD9C" w14:textId="77777777" w:rsidTr="00617F2E">
        <w:trPr>
          <w:cnfStyle w:val="100000000000" w:firstRow="1" w:lastRow="0" w:firstColumn="0" w:lastColumn="0" w:oddVBand="0" w:evenVBand="0" w:oddHBand="0" w:evenHBand="0" w:firstRowFirstColumn="0" w:firstRowLastColumn="0" w:lastRowFirstColumn="0" w:lastRowLastColumn="0"/>
          <w:trHeight w:val="283"/>
        </w:trPr>
        <w:tc>
          <w:tcPr>
            <w:tcW w:w="6372" w:type="dxa"/>
          </w:tcPr>
          <w:p w14:paraId="043BF5D5" w14:textId="77777777" w:rsidR="006C7FFA" w:rsidRPr="00755A11" w:rsidRDefault="006C7FFA" w:rsidP="00003A29">
            <w:pPr>
              <w:pStyle w:val="TableText"/>
              <w:keepNext/>
            </w:pPr>
            <w:r w:rsidRPr="00755A11">
              <w:t>No selectable options</w:t>
            </w:r>
          </w:p>
        </w:tc>
        <w:tc>
          <w:tcPr>
            <w:tcW w:w="1134" w:type="dxa"/>
          </w:tcPr>
          <w:p w14:paraId="0B52AE65" w14:textId="77777777" w:rsidR="006C7FFA" w:rsidRPr="00755A11" w:rsidRDefault="006C7FFA" w:rsidP="00003A29">
            <w:pPr>
              <w:pStyle w:val="TableText"/>
            </w:pPr>
            <w:r w:rsidRPr="00755A11">
              <w:t>Total</w:t>
            </w:r>
          </w:p>
        </w:tc>
        <w:tc>
          <w:tcPr>
            <w:tcW w:w="1134" w:type="dxa"/>
          </w:tcPr>
          <w:p w14:paraId="7DF90D23" w14:textId="77777777" w:rsidR="006C7FFA" w:rsidRPr="00755A11" w:rsidRDefault="006C7FFA" w:rsidP="00003A29">
            <w:pPr>
              <w:pStyle w:val="TableText"/>
            </w:pPr>
            <w:r w:rsidRPr="00755A11">
              <w:t>Percent</w:t>
            </w:r>
          </w:p>
        </w:tc>
      </w:tr>
      <w:tr w:rsidR="00086026" w:rsidRPr="00755A11" w14:paraId="429382CD" w14:textId="77777777" w:rsidTr="00617F2E">
        <w:trPr>
          <w:trHeight w:val="283"/>
        </w:trPr>
        <w:tc>
          <w:tcPr>
            <w:tcW w:w="6372" w:type="dxa"/>
          </w:tcPr>
          <w:p w14:paraId="21033A4B" w14:textId="77777777" w:rsidR="006C7FFA" w:rsidRPr="00755A11" w:rsidRDefault="006C7FFA" w:rsidP="00003A29">
            <w:pPr>
              <w:pStyle w:val="TableText"/>
            </w:pPr>
            <w:r w:rsidRPr="00755A11">
              <w:t>Explanation provided</w:t>
            </w:r>
          </w:p>
        </w:tc>
        <w:tc>
          <w:tcPr>
            <w:tcW w:w="1134" w:type="dxa"/>
          </w:tcPr>
          <w:p w14:paraId="13E002F3" w14:textId="77777777" w:rsidR="006C7FFA" w:rsidRPr="00755A11" w:rsidRDefault="006C7FFA" w:rsidP="00003A29">
            <w:pPr>
              <w:pStyle w:val="TableText"/>
            </w:pPr>
            <w:r w:rsidRPr="00755A11">
              <w:t>20</w:t>
            </w:r>
          </w:p>
        </w:tc>
        <w:tc>
          <w:tcPr>
            <w:tcW w:w="1134" w:type="dxa"/>
          </w:tcPr>
          <w:p w14:paraId="13DDE47E" w14:textId="77777777" w:rsidR="006C7FFA" w:rsidRPr="00755A11" w:rsidRDefault="006C7FFA" w:rsidP="00003A29">
            <w:pPr>
              <w:pStyle w:val="TableText"/>
            </w:pPr>
          </w:p>
        </w:tc>
      </w:tr>
    </w:tbl>
    <w:p w14:paraId="1AD17CD8" w14:textId="351BEB4E" w:rsidR="006C7FFA" w:rsidRPr="00755A11" w:rsidRDefault="006C7FFA" w:rsidP="00003A29">
      <w:pPr>
        <w:pStyle w:val="BodyText"/>
        <w:keepNext/>
        <w:spacing w:before="360"/>
        <w:rPr>
          <w:b/>
          <w:bCs/>
          <w:lang w:eastAsia="en-US"/>
        </w:rPr>
      </w:pPr>
      <w:r w:rsidRPr="00755A11">
        <w:rPr>
          <w:b/>
          <w:bCs/>
          <w:lang w:eastAsia="en-US"/>
        </w:rPr>
        <w:t>13: To what extent do you believe that increasing the CCR trigger price would influence NZU</w:t>
      </w:r>
      <w:r w:rsidR="00DA15A2" w:rsidRPr="00755A11">
        <w:rPr>
          <w:b/>
          <w:bCs/>
          <w:lang w:eastAsia="en-US"/>
        </w:rPr>
        <w:t> </w:t>
      </w:r>
      <w:r w:rsidRPr="00755A11">
        <w:rPr>
          <w:b/>
          <w:bCs/>
          <w:lang w:eastAsia="en-US"/>
        </w:rPr>
        <w:t>prices?</w:t>
      </w:r>
    </w:p>
    <w:tbl>
      <w:tblPr>
        <w:tblStyle w:val="Style4"/>
        <w:tblW w:w="0" w:type="auto"/>
        <w:tblBorders>
          <w:top w:val="single" w:sz="4" w:space="0" w:color="1B556B" w:themeColor="text2"/>
          <w:bottom w:val="single" w:sz="4" w:space="0" w:color="1B556B" w:themeColor="text2"/>
          <w:insideH w:val="single" w:sz="4" w:space="0" w:color="1B556B" w:themeColor="text2"/>
          <w:insideV w:val="single" w:sz="4" w:space="0" w:color="1B556B" w:themeColor="text2"/>
        </w:tblBorders>
        <w:tblLook w:val="04A0" w:firstRow="1" w:lastRow="0" w:firstColumn="1" w:lastColumn="0" w:noHBand="0" w:noVBand="1"/>
      </w:tblPr>
      <w:tblGrid>
        <w:gridCol w:w="6256"/>
        <w:gridCol w:w="1122"/>
        <w:gridCol w:w="1127"/>
      </w:tblGrid>
      <w:tr w:rsidR="006C7FFA" w:rsidRPr="00755A11" w14:paraId="12A0442B" w14:textId="77777777" w:rsidTr="00617F2E">
        <w:trPr>
          <w:cnfStyle w:val="100000000000" w:firstRow="1" w:lastRow="0" w:firstColumn="0" w:lastColumn="0" w:oddVBand="0" w:evenVBand="0" w:oddHBand="0" w:evenHBand="0" w:firstRowFirstColumn="0" w:firstRowLastColumn="0" w:lastRowFirstColumn="0" w:lastRowLastColumn="0"/>
          <w:trHeight w:val="283"/>
        </w:trPr>
        <w:tc>
          <w:tcPr>
            <w:tcW w:w="6372" w:type="dxa"/>
          </w:tcPr>
          <w:p w14:paraId="71AF1EFE" w14:textId="77777777" w:rsidR="006C7FFA" w:rsidRPr="00755A11" w:rsidRDefault="006C7FFA" w:rsidP="00003A29">
            <w:pPr>
              <w:pStyle w:val="TableText"/>
            </w:pPr>
            <w:r w:rsidRPr="00755A11">
              <w:t>No selectable options</w:t>
            </w:r>
          </w:p>
        </w:tc>
        <w:tc>
          <w:tcPr>
            <w:tcW w:w="1134" w:type="dxa"/>
          </w:tcPr>
          <w:p w14:paraId="6644DCC6" w14:textId="77777777" w:rsidR="006C7FFA" w:rsidRPr="00755A11" w:rsidRDefault="006C7FFA" w:rsidP="00003A29">
            <w:pPr>
              <w:pStyle w:val="TableText"/>
            </w:pPr>
            <w:r w:rsidRPr="00755A11">
              <w:t>Total</w:t>
            </w:r>
          </w:p>
        </w:tc>
        <w:tc>
          <w:tcPr>
            <w:tcW w:w="1134" w:type="dxa"/>
          </w:tcPr>
          <w:p w14:paraId="7AD68459" w14:textId="77777777" w:rsidR="006C7FFA" w:rsidRPr="00755A11" w:rsidRDefault="006C7FFA" w:rsidP="00003A29">
            <w:pPr>
              <w:pStyle w:val="TableText"/>
            </w:pPr>
            <w:r w:rsidRPr="00755A11">
              <w:t>Percent</w:t>
            </w:r>
          </w:p>
        </w:tc>
      </w:tr>
      <w:tr w:rsidR="00086026" w:rsidRPr="00755A11" w14:paraId="13FF65AA" w14:textId="77777777" w:rsidTr="00617F2E">
        <w:trPr>
          <w:trHeight w:val="283"/>
        </w:trPr>
        <w:tc>
          <w:tcPr>
            <w:tcW w:w="6372" w:type="dxa"/>
          </w:tcPr>
          <w:p w14:paraId="2963E696" w14:textId="77777777" w:rsidR="006C7FFA" w:rsidRPr="00755A11" w:rsidRDefault="006C7FFA" w:rsidP="00003A29">
            <w:pPr>
              <w:pStyle w:val="TableText"/>
            </w:pPr>
            <w:r w:rsidRPr="00755A11">
              <w:t>Explanation provided</w:t>
            </w:r>
          </w:p>
        </w:tc>
        <w:tc>
          <w:tcPr>
            <w:tcW w:w="1134" w:type="dxa"/>
          </w:tcPr>
          <w:p w14:paraId="7891CE79" w14:textId="77777777" w:rsidR="006C7FFA" w:rsidRPr="00755A11" w:rsidRDefault="006C7FFA" w:rsidP="00003A29">
            <w:pPr>
              <w:pStyle w:val="TableText"/>
            </w:pPr>
            <w:r w:rsidRPr="00755A11">
              <w:t>32</w:t>
            </w:r>
          </w:p>
        </w:tc>
        <w:tc>
          <w:tcPr>
            <w:tcW w:w="1134" w:type="dxa"/>
          </w:tcPr>
          <w:p w14:paraId="0CAAEAD3" w14:textId="77777777" w:rsidR="006C7FFA" w:rsidRPr="00755A11" w:rsidRDefault="006C7FFA" w:rsidP="00003A29">
            <w:pPr>
              <w:pStyle w:val="TableText"/>
            </w:pPr>
          </w:p>
        </w:tc>
      </w:tr>
    </w:tbl>
    <w:p w14:paraId="4065C233" w14:textId="77777777" w:rsidR="006C7FFA" w:rsidRPr="00755A11" w:rsidRDefault="006C7FFA" w:rsidP="00003A29">
      <w:pPr>
        <w:pStyle w:val="BodyText"/>
        <w:spacing w:before="360"/>
        <w:rPr>
          <w:b/>
          <w:bCs/>
          <w:lang w:eastAsia="en-US"/>
        </w:rPr>
      </w:pPr>
      <w:r w:rsidRPr="00755A11">
        <w:rPr>
          <w:b/>
          <w:bCs/>
          <w:lang w:eastAsia="en-US"/>
        </w:rPr>
        <w:t>14: What do you think of the approach of setting price controls with reference to prices required to deliver gross emissions reductions?</w:t>
      </w:r>
    </w:p>
    <w:tbl>
      <w:tblPr>
        <w:tblStyle w:val="Style4"/>
        <w:tblW w:w="0" w:type="auto"/>
        <w:tblBorders>
          <w:top w:val="single" w:sz="4" w:space="0" w:color="1B556B" w:themeColor="text2"/>
        </w:tblBorders>
        <w:tblLook w:val="04A0" w:firstRow="1" w:lastRow="0" w:firstColumn="1" w:lastColumn="0" w:noHBand="0" w:noVBand="1"/>
      </w:tblPr>
      <w:tblGrid>
        <w:gridCol w:w="6256"/>
        <w:gridCol w:w="1122"/>
        <w:gridCol w:w="1127"/>
      </w:tblGrid>
      <w:tr w:rsidR="006C7FFA" w:rsidRPr="00755A11" w14:paraId="1639B39D" w14:textId="77777777" w:rsidTr="00611F28">
        <w:trPr>
          <w:cnfStyle w:val="100000000000" w:firstRow="1" w:lastRow="0" w:firstColumn="0" w:lastColumn="0" w:oddVBand="0" w:evenVBand="0" w:oddHBand="0" w:evenHBand="0" w:firstRowFirstColumn="0" w:firstRowLastColumn="0" w:lastRowFirstColumn="0" w:lastRowLastColumn="0"/>
          <w:trHeight w:val="283"/>
        </w:trPr>
        <w:tc>
          <w:tcPr>
            <w:tcW w:w="6372" w:type="dxa"/>
          </w:tcPr>
          <w:p w14:paraId="1AD7F7B2" w14:textId="77777777" w:rsidR="006C7FFA" w:rsidRPr="00755A11" w:rsidRDefault="006C7FFA" w:rsidP="00003A29">
            <w:pPr>
              <w:pStyle w:val="TableText"/>
            </w:pPr>
            <w:r w:rsidRPr="00755A11">
              <w:t>No selectable options</w:t>
            </w:r>
          </w:p>
        </w:tc>
        <w:tc>
          <w:tcPr>
            <w:tcW w:w="1134" w:type="dxa"/>
          </w:tcPr>
          <w:p w14:paraId="6A4620FB" w14:textId="77777777" w:rsidR="006C7FFA" w:rsidRPr="00755A11" w:rsidRDefault="006C7FFA" w:rsidP="00003A29">
            <w:pPr>
              <w:pStyle w:val="TableText"/>
            </w:pPr>
            <w:r w:rsidRPr="00755A11">
              <w:t>Total</w:t>
            </w:r>
          </w:p>
        </w:tc>
        <w:tc>
          <w:tcPr>
            <w:tcW w:w="1134" w:type="dxa"/>
          </w:tcPr>
          <w:p w14:paraId="1F6C3BAA" w14:textId="77777777" w:rsidR="006C7FFA" w:rsidRPr="00755A11" w:rsidRDefault="006C7FFA" w:rsidP="00003A29">
            <w:pPr>
              <w:pStyle w:val="TableText"/>
            </w:pPr>
            <w:r w:rsidRPr="00755A11">
              <w:t>Percent</w:t>
            </w:r>
          </w:p>
        </w:tc>
      </w:tr>
      <w:tr w:rsidR="00086026" w:rsidRPr="00755A11" w14:paraId="4CBF7ACF" w14:textId="77777777" w:rsidTr="00611F28">
        <w:trPr>
          <w:trHeight w:val="283"/>
        </w:trPr>
        <w:tc>
          <w:tcPr>
            <w:tcW w:w="6372" w:type="dxa"/>
          </w:tcPr>
          <w:p w14:paraId="3EAC531F" w14:textId="77777777" w:rsidR="006C7FFA" w:rsidRPr="00755A11" w:rsidRDefault="006C7FFA" w:rsidP="00003A29">
            <w:pPr>
              <w:pStyle w:val="TableText"/>
            </w:pPr>
            <w:r w:rsidRPr="00755A11">
              <w:t>Explanation provided</w:t>
            </w:r>
          </w:p>
        </w:tc>
        <w:tc>
          <w:tcPr>
            <w:tcW w:w="1134" w:type="dxa"/>
          </w:tcPr>
          <w:p w14:paraId="73FD91DE" w14:textId="77777777" w:rsidR="006C7FFA" w:rsidRPr="00755A11" w:rsidRDefault="006C7FFA" w:rsidP="00003A29">
            <w:pPr>
              <w:pStyle w:val="TableText"/>
            </w:pPr>
            <w:r w:rsidRPr="00755A11">
              <w:t>27</w:t>
            </w:r>
          </w:p>
        </w:tc>
        <w:tc>
          <w:tcPr>
            <w:tcW w:w="1134" w:type="dxa"/>
          </w:tcPr>
          <w:p w14:paraId="61D1E809" w14:textId="77777777" w:rsidR="006C7FFA" w:rsidRPr="00755A11" w:rsidRDefault="006C7FFA" w:rsidP="00003A29">
            <w:pPr>
              <w:pStyle w:val="TableText"/>
            </w:pPr>
          </w:p>
        </w:tc>
      </w:tr>
    </w:tbl>
    <w:p w14:paraId="22DA3A4C" w14:textId="77777777" w:rsidR="006C7FFA" w:rsidRPr="00755A11" w:rsidRDefault="006C7FFA" w:rsidP="00003A29">
      <w:pPr>
        <w:pStyle w:val="BodyText"/>
        <w:spacing w:before="360"/>
        <w:rPr>
          <w:b/>
          <w:bCs/>
          <w:lang w:eastAsia="en-US"/>
        </w:rPr>
      </w:pPr>
      <w:r w:rsidRPr="00755A11">
        <w:rPr>
          <w:b/>
          <w:bCs/>
          <w:lang w:eastAsia="en-US"/>
        </w:rPr>
        <w:t>15: What do you think of the proposed auction price floor settings?</w:t>
      </w:r>
    </w:p>
    <w:tbl>
      <w:tblPr>
        <w:tblStyle w:val="Style4"/>
        <w:tblW w:w="0" w:type="auto"/>
        <w:tblBorders>
          <w:top w:val="single" w:sz="4" w:space="0" w:color="1B556B" w:themeColor="text2"/>
          <w:bottom w:val="single" w:sz="4" w:space="0" w:color="1B556B" w:themeColor="text2"/>
          <w:insideH w:val="single" w:sz="4" w:space="0" w:color="1B556B" w:themeColor="text2"/>
          <w:insideV w:val="single" w:sz="4" w:space="0" w:color="1B556B" w:themeColor="text2"/>
        </w:tblBorders>
        <w:tblLook w:val="04A0" w:firstRow="1" w:lastRow="0" w:firstColumn="1" w:lastColumn="0" w:noHBand="0" w:noVBand="1"/>
      </w:tblPr>
      <w:tblGrid>
        <w:gridCol w:w="6256"/>
        <w:gridCol w:w="1122"/>
        <w:gridCol w:w="1127"/>
      </w:tblGrid>
      <w:tr w:rsidR="006C7FFA" w:rsidRPr="00755A11" w14:paraId="17C5CD5D" w14:textId="77777777" w:rsidTr="00611F28">
        <w:trPr>
          <w:cnfStyle w:val="100000000000" w:firstRow="1" w:lastRow="0" w:firstColumn="0" w:lastColumn="0" w:oddVBand="0" w:evenVBand="0" w:oddHBand="0" w:evenHBand="0" w:firstRowFirstColumn="0" w:firstRowLastColumn="0" w:lastRowFirstColumn="0" w:lastRowLastColumn="0"/>
          <w:trHeight w:val="283"/>
        </w:trPr>
        <w:tc>
          <w:tcPr>
            <w:tcW w:w="6372" w:type="dxa"/>
          </w:tcPr>
          <w:p w14:paraId="28FB4256" w14:textId="77777777" w:rsidR="006C7FFA" w:rsidRPr="00755A11" w:rsidRDefault="006C7FFA" w:rsidP="00003A29">
            <w:pPr>
              <w:pStyle w:val="TableText"/>
            </w:pPr>
            <w:r w:rsidRPr="00755A11">
              <w:t>No selectable options</w:t>
            </w:r>
          </w:p>
        </w:tc>
        <w:tc>
          <w:tcPr>
            <w:tcW w:w="1134" w:type="dxa"/>
          </w:tcPr>
          <w:p w14:paraId="4A2CB715" w14:textId="77777777" w:rsidR="006C7FFA" w:rsidRPr="00755A11" w:rsidRDefault="006C7FFA" w:rsidP="00003A29">
            <w:pPr>
              <w:pStyle w:val="TableText"/>
            </w:pPr>
            <w:r w:rsidRPr="00755A11">
              <w:t>Total</w:t>
            </w:r>
          </w:p>
        </w:tc>
        <w:tc>
          <w:tcPr>
            <w:tcW w:w="1134" w:type="dxa"/>
          </w:tcPr>
          <w:p w14:paraId="3078724D" w14:textId="77777777" w:rsidR="006C7FFA" w:rsidRPr="00755A11" w:rsidRDefault="006C7FFA" w:rsidP="00003A29">
            <w:pPr>
              <w:pStyle w:val="TableText"/>
            </w:pPr>
            <w:r w:rsidRPr="00755A11">
              <w:t>Percent</w:t>
            </w:r>
          </w:p>
        </w:tc>
      </w:tr>
      <w:tr w:rsidR="00086026" w:rsidRPr="00755A11" w14:paraId="18DAF94D" w14:textId="77777777" w:rsidTr="00611F28">
        <w:trPr>
          <w:trHeight w:val="283"/>
        </w:trPr>
        <w:tc>
          <w:tcPr>
            <w:tcW w:w="6372" w:type="dxa"/>
          </w:tcPr>
          <w:p w14:paraId="1A643703" w14:textId="77777777" w:rsidR="006C7FFA" w:rsidRPr="00755A11" w:rsidRDefault="006C7FFA" w:rsidP="00003A29">
            <w:pPr>
              <w:pStyle w:val="TableText"/>
            </w:pPr>
            <w:r w:rsidRPr="00755A11">
              <w:t>Explanation provided</w:t>
            </w:r>
          </w:p>
        </w:tc>
        <w:tc>
          <w:tcPr>
            <w:tcW w:w="1134" w:type="dxa"/>
          </w:tcPr>
          <w:p w14:paraId="119F39D8" w14:textId="77777777" w:rsidR="006C7FFA" w:rsidRPr="00755A11" w:rsidRDefault="006C7FFA" w:rsidP="00003A29">
            <w:pPr>
              <w:pStyle w:val="TableText"/>
            </w:pPr>
            <w:r w:rsidRPr="00755A11">
              <w:t>29</w:t>
            </w:r>
          </w:p>
        </w:tc>
        <w:tc>
          <w:tcPr>
            <w:tcW w:w="1134" w:type="dxa"/>
          </w:tcPr>
          <w:p w14:paraId="247ADF73" w14:textId="77777777" w:rsidR="006C7FFA" w:rsidRPr="00755A11" w:rsidRDefault="006C7FFA" w:rsidP="00003A29">
            <w:pPr>
              <w:pStyle w:val="TableText"/>
            </w:pPr>
          </w:p>
        </w:tc>
      </w:tr>
    </w:tbl>
    <w:p w14:paraId="7FF0A0A1" w14:textId="3AB382BB" w:rsidR="006C7FFA" w:rsidRPr="00755A11" w:rsidRDefault="006C7FFA" w:rsidP="00003A29">
      <w:pPr>
        <w:pStyle w:val="BodyText"/>
        <w:spacing w:before="360"/>
        <w:rPr>
          <w:b/>
          <w:bCs/>
          <w:lang w:eastAsia="en-US"/>
        </w:rPr>
      </w:pPr>
      <w:r w:rsidRPr="00755A11">
        <w:rPr>
          <w:b/>
          <w:bCs/>
          <w:lang w:eastAsia="en-US"/>
        </w:rPr>
        <w:t>16: Do you think the cost containment reserve should be disabled by having no reserve</w:t>
      </w:r>
      <w:r w:rsidR="00DA15A2" w:rsidRPr="00755A11">
        <w:rPr>
          <w:b/>
          <w:bCs/>
          <w:lang w:eastAsia="en-US"/>
        </w:rPr>
        <w:t> </w:t>
      </w:r>
      <w:r w:rsidRPr="00755A11">
        <w:rPr>
          <w:b/>
          <w:bCs/>
          <w:lang w:eastAsia="en-US"/>
        </w:rPr>
        <w:t>volume?</w:t>
      </w:r>
    </w:p>
    <w:tbl>
      <w:tblPr>
        <w:tblStyle w:val="Style4"/>
        <w:tblW w:w="0" w:type="auto"/>
        <w:tblLook w:val="04A0" w:firstRow="1" w:lastRow="0" w:firstColumn="1" w:lastColumn="0" w:noHBand="0" w:noVBand="1"/>
      </w:tblPr>
      <w:tblGrid>
        <w:gridCol w:w="6256"/>
        <w:gridCol w:w="1122"/>
        <w:gridCol w:w="1127"/>
      </w:tblGrid>
      <w:tr w:rsidR="006C7FFA" w:rsidRPr="00755A11" w14:paraId="33F9E30B" w14:textId="77777777" w:rsidTr="00611F28">
        <w:trPr>
          <w:cnfStyle w:val="100000000000" w:firstRow="1" w:lastRow="0" w:firstColumn="0" w:lastColumn="0" w:oddVBand="0" w:evenVBand="0" w:oddHBand="0" w:evenHBand="0" w:firstRowFirstColumn="0" w:firstRowLastColumn="0" w:lastRowFirstColumn="0" w:lastRowLastColumn="0"/>
          <w:trHeight w:val="283"/>
        </w:trPr>
        <w:tc>
          <w:tcPr>
            <w:tcW w:w="6372" w:type="dxa"/>
            <w:tcBorders>
              <w:top w:val="single" w:sz="4" w:space="0" w:color="1B556B" w:themeColor="text2"/>
            </w:tcBorders>
          </w:tcPr>
          <w:p w14:paraId="4D4F31EE" w14:textId="77777777" w:rsidR="006C7FFA" w:rsidRPr="00755A11" w:rsidRDefault="006C7FFA" w:rsidP="00003A29">
            <w:pPr>
              <w:pStyle w:val="TableText"/>
            </w:pPr>
            <w:r w:rsidRPr="00755A11">
              <w:t>Option</w:t>
            </w:r>
          </w:p>
        </w:tc>
        <w:tc>
          <w:tcPr>
            <w:tcW w:w="1134" w:type="dxa"/>
            <w:tcBorders>
              <w:top w:val="single" w:sz="4" w:space="0" w:color="1B556B" w:themeColor="text2"/>
            </w:tcBorders>
          </w:tcPr>
          <w:p w14:paraId="723B5199" w14:textId="77777777" w:rsidR="006C7FFA" w:rsidRPr="00755A11" w:rsidRDefault="006C7FFA" w:rsidP="00003A29">
            <w:pPr>
              <w:pStyle w:val="TableText"/>
            </w:pPr>
            <w:r w:rsidRPr="00755A11">
              <w:t>Total</w:t>
            </w:r>
          </w:p>
        </w:tc>
        <w:tc>
          <w:tcPr>
            <w:tcW w:w="1134" w:type="dxa"/>
            <w:tcBorders>
              <w:top w:val="single" w:sz="4" w:space="0" w:color="1B556B" w:themeColor="text2"/>
            </w:tcBorders>
          </w:tcPr>
          <w:p w14:paraId="68B64820" w14:textId="4FA1D2B8" w:rsidR="006C7FFA" w:rsidRPr="00755A11" w:rsidRDefault="006C7FFA" w:rsidP="00003A29">
            <w:pPr>
              <w:pStyle w:val="TableText"/>
            </w:pPr>
            <w:r w:rsidRPr="00755A11">
              <w:t>Percent</w:t>
            </w:r>
            <w:r w:rsidR="00437D25" w:rsidRPr="00755A11">
              <w:t xml:space="preserve"> (%)</w:t>
            </w:r>
          </w:p>
        </w:tc>
      </w:tr>
      <w:tr w:rsidR="006C7FFA" w:rsidRPr="00755A11" w14:paraId="18423820" w14:textId="77777777" w:rsidTr="00AA1BBD">
        <w:trPr>
          <w:trHeight w:val="283"/>
        </w:trPr>
        <w:tc>
          <w:tcPr>
            <w:tcW w:w="6372" w:type="dxa"/>
          </w:tcPr>
          <w:p w14:paraId="1487FAA9" w14:textId="77777777" w:rsidR="006C7FFA" w:rsidRPr="00755A11" w:rsidRDefault="006C7FFA" w:rsidP="00003A29">
            <w:pPr>
              <w:pStyle w:val="TableText"/>
            </w:pPr>
            <w:r w:rsidRPr="00755A11">
              <w:t>Yes</w:t>
            </w:r>
          </w:p>
        </w:tc>
        <w:tc>
          <w:tcPr>
            <w:tcW w:w="1134" w:type="dxa"/>
          </w:tcPr>
          <w:p w14:paraId="3FA7DAD2" w14:textId="77777777" w:rsidR="006C7FFA" w:rsidRPr="00755A11" w:rsidRDefault="006C7FFA" w:rsidP="00003A29">
            <w:pPr>
              <w:pStyle w:val="TableText"/>
            </w:pPr>
            <w:r w:rsidRPr="00755A11">
              <w:t>6</w:t>
            </w:r>
          </w:p>
        </w:tc>
        <w:tc>
          <w:tcPr>
            <w:tcW w:w="1134" w:type="dxa"/>
          </w:tcPr>
          <w:p w14:paraId="25827153" w14:textId="0EF5815D" w:rsidR="006C7FFA" w:rsidRPr="00755A11" w:rsidRDefault="006C7FFA" w:rsidP="00003A29">
            <w:pPr>
              <w:pStyle w:val="TableText"/>
            </w:pPr>
            <w:r w:rsidRPr="00755A11">
              <w:t>9.84</w:t>
            </w:r>
          </w:p>
        </w:tc>
      </w:tr>
      <w:tr w:rsidR="00AA1BBD" w:rsidRPr="00755A11" w14:paraId="2362EA0A" w14:textId="77777777" w:rsidTr="00AA1BBD">
        <w:trPr>
          <w:trHeight w:val="283"/>
        </w:trPr>
        <w:tc>
          <w:tcPr>
            <w:tcW w:w="6372" w:type="dxa"/>
          </w:tcPr>
          <w:p w14:paraId="3F6FD53A" w14:textId="77777777" w:rsidR="006C7FFA" w:rsidRPr="00755A11" w:rsidRDefault="006C7FFA" w:rsidP="00003A29">
            <w:pPr>
              <w:pStyle w:val="TableText"/>
            </w:pPr>
            <w:r w:rsidRPr="00755A11">
              <w:t>No</w:t>
            </w:r>
          </w:p>
        </w:tc>
        <w:tc>
          <w:tcPr>
            <w:tcW w:w="1134" w:type="dxa"/>
          </w:tcPr>
          <w:p w14:paraId="4053F55A" w14:textId="77777777" w:rsidR="006C7FFA" w:rsidRPr="00755A11" w:rsidRDefault="006C7FFA" w:rsidP="00003A29">
            <w:pPr>
              <w:pStyle w:val="TableText"/>
            </w:pPr>
            <w:r w:rsidRPr="00755A11">
              <w:t>18</w:t>
            </w:r>
          </w:p>
        </w:tc>
        <w:tc>
          <w:tcPr>
            <w:tcW w:w="1134" w:type="dxa"/>
          </w:tcPr>
          <w:p w14:paraId="6FF84B05" w14:textId="7B708A4D" w:rsidR="006C7FFA" w:rsidRPr="00755A11" w:rsidRDefault="006C7FFA" w:rsidP="00003A29">
            <w:pPr>
              <w:pStyle w:val="TableText"/>
            </w:pPr>
            <w:r w:rsidRPr="00755A11">
              <w:t>29.51</w:t>
            </w:r>
          </w:p>
        </w:tc>
      </w:tr>
      <w:tr w:rsidR="006C7FFA" w:rsidRPr="00755A11" w14:paraId="774245BC" w14:textId="77777777" w:rsidTr="00AA1BBD">
        <w:trPr>
          <w:trHeight w:val="283"/>
        </w:trPr>
        <w:tc>
          <w:tcPr>
            <w:tcW w:w="6372" w:type="dxa"/>
          </w:tcPr>
          <w:p w14:paraId="24B958C7" w14:textId="77777777" w:rsidR="006C7FFA" w:rsidRPr="00755A11" w:rsidRDefault="006C7FFA" w:rsidP="00003A29">
            <w:pPr>
              <w:pStyle w:val="TableText"/>
            </w:pPr>
            <w:r w:rsidRPr="00755A11">
              <w:t>Unsure</w:t>
            </w:r>
          </w:p>
        </w:tc>
        <w:tc>
          <w:tcPr>
            <w:tcW w:w="1134" w:type="dxa"/>
          </w:tcPr>
          <w:p w14:paraId="758F8748" w14:textId="77777777" w:rsidR="006C7FFA" w:rsidRPr="00755A11" w:rsidRDefault="006C7FFA" w:rsidP="00003A29">
            <w:pPr>
              <w:pStyle w:val="TableText"/>
            </w:pPr>
            <w:r w:rsidRPr="00755A11">
              <w:t>4</w:t>
            </w:r>
          </w:p>
        </w:tc>
        <w:tc>
          <w:tcPr>
            <w:tcW w:w="1134" w:type="dxa"/>
          </w:tcPr>
          <w:p w14:paraId="1E45CFD1" w14:textId="2776A1B0" w:rsidR="006C7FFA" w:rsidRPr="00755A11" w:rsidRDefault="006C7FFA" w:rsidP="00003A29">
            <w:pPr>
              <w:pStyle w:val="TableText"/>
            </w:pPr>
            <w:r w:rsidRPr="00755A11">
              <w:t>6.56</w:t>
            </w:r>
          </w:p>
        </w:tc>
      </w:tr>
      <w:tr w:rsidR="006C7FFA" w:rsidRPr="00755A11" w14:paraId="264B8B79" w14:textId="77777777" w:rsidTr="00086026">
        <w:trPr>
          <w:trHeight w:val="283"/>
        </w:trPr>
        <w:tc>
          <w:tcPr>
            <w:tcW w:w="6372" w:type="dxa"/>
            <w:tcBorders>
              <w:bottom w:val="double" w:sz="4" w:space="0" w:color="1B556B"/>
            </w:tcBorders>
          </w:tcPr>
          <w:p w14:paraId="447A4212" w14:textId="1CB35E29" w:rsidR="006C7FFA" w:rsidRPr="00755A11" w:rsidRDefault="006C7FFA" w:rsidP="00003A29">
            <w:pPr>
              <w:pStyle w:val="TableText"/>
            </w:pPr>
            <w:r w:rsidRPr="00755A11">
              <w:t xml:space="preserve">Not </w:t>
            </w:r>
            <w:r w:rsidR="00437D25" w:rsidRPr="00755A11">
              <w:t>a</w:t>
            </w:r>
            <w:r w:rsidRPr="00755A11">
              <w:t>nswered</w:t>
            </w:r>
          </w:p>
        </w:tc>
        <w:tc>
          <w:tcPr>
            <w:tcW w:w="1134" w:type="dxa"/>
            <w:tcBorders>
              <w:bottom w:val="double" w:sz="4" w:space="0" w:color="1B556B"/>
            </w:tcBorders>
          </w:tcPr>
          <w:p w14:paraId="21458149" w14:textId="77777777" w:rsidR="006C7FFA" w:rsidRPr="00755A11" w:rsidRDefault="006C7FFA" w:rsidP="00003A29">
            <w:pPr>
              <w:pStyle w:val="TableText"/>
            </w:pPr>
            <w:r w:rsidRPr="00755A11">
              <w:t>33</w:t>
            </w:r>
          </w:p>
        </w:tc>
        <w:tc>
          <w:tcPr>
            <w:tcW w:w="1134" w:type="dxa"/>
            <w:tcBorders>
              <w:bottom w:val="double" w:sz="4" w:space="0" w:color="1B556B"/>
            </w:tcBorders>
          </w:tcPr>
          <w:p w14:paraId="027D91B5" w14:textId="28300B56" w:rsidR="006C7FFA" w:rsidRPr="00755A11" w:rsidRDefault="006C7FFA" w:rsidP="00003A29">
            <w:pPr>
              <w:pStyle w:val="TableText"/>
            </w:pPr>
            <w:r w:rsidRPr="00755A11">
              <w:t>54.10</w:t>
            </w:r>
          </w:p>
        </w:tc>
      </w:tr>
      <w:tr w:rsidR="006C7FFA" w:rsidRPr="00755A11" w14:paraId="121EE9A7" w14:textId="77777777" w:rsidTr="00086026">
        <w:trPr>
          <w:trHeight w:val="283"/>
        </w:trPr>
        <w:tc>
          <w:tcPr>
            <w:tcW w:w="6372" w:type="dxa"/>
            <w:tcBorders>
              <w:top w:val="double" w:sz="4" w:space="0" w:color="1B556B"/>
            </w:tcBorders>
          </w:tcPr>
          <w:p w14:paraId="3B3255B6" w14:textId="77777777" w:rsidR="006C7FFA" w:rsidRPr="00755A11" w:rsidRDefault="006C7FFA" w:rsidP="00003A29">
            <w:pPr>
              <w:pStyle w:val="TableText"/>
            </w:pPr>
            <w:r w:rsidRPr="00755A11">
              <w:t>Explanation provided</w:t>
            </w:r>
          </w:p>
        </w:tc>
        <w:tc>
          <w:tcPr>
            <w:tcW w:w="1134" w:type="dxa"/>
            <w:tcBorders>
              <w:top w:val="double" w:sz="4" w:space="0" w:color="1B556B"/>
            </w:tcBorders>
          </w:tcPr>
          <w:p w14:paraId="150EECCE" w14:textId="77777777" w:rsidR="006C7FFA" w:rsidRPr="00755A11" w:rsidRDefault="006C7FFA" w:rsidP="00003A29">
            <w:pPr>
              <w:pStyle w:val="TableText"/>
            </w:pPr>
            <w:r w:rsidRPr="00755A11">
              <w:t>27</w:t>
            </w:r>
          </w:p>
        </w:tc>
        <w:tc>
          <w:tcPr>
            <w:tcW w:w="1134" w:type="dxa"/>
            <w:tcBorders>
              <w:top w:val="double" w:sz="4" w:space="0" w:color="1B556B"/>
            </w:tcBorders>
          </w:tcPr>
          <w:p w14:paraId="789F4B76" w14:textId="77777777" w:rsidR="006C7FFA" w:rsidRPr="00755A11" w:rsidRDefault="006C7FFA" w:rsidP="00003A29">
            <w:pPr>
              <w:pStyle w:val="TableText"/>
            </w:pPr>
          </w:p>
        </w:tc>
      </w:tr>
    </w:tbl>
    <w:p w14:paraId="75145B74" w14:textId="77777777" w:rsidR="006C7FFA" w:rsidRPr="00755A11" w:rsidRDefault="006C7FFA" w:rsidP="00003A29">
      <w:pPr>
        <w:pStyle w:val="BodyText"/>
        <w:spacing w:before="360"/>
        <w:rPr>
          <w:b/>
          <w:bCs/>
          <w:lang w:eastAsia="en-US"/>
        </w:rPr>
      </w:pPr>
      <w:r w:rsidRPr="00755A11">
        <w:rPr>
          <w:b/>
          <w:bCs/>
          <w:lang w:eastAsia="en-US"/>
        </w:rPr>
        <w:t>17: If retained, do you think the cost containment reserve should consist of one or two tiers?</w:t>
      </w:r>
    </w:p>
    <w:tbl>
      <w:tblPr>
        <w:tblStyle w:val="Style4"/>
        <w:tblW w:w="0" w:type="auto"/>
        <w:tblLook w:val="04A0" w:firstRow="1" w:lastRow="0" w:firstColumn="1" w:lastColumn="0" w:noHBand="0" w:noVBand="1"/>
      </w:tblPr>
      <w:tblGrid>
        <w:gridCol w:w="6256"/>
        <w:gridCol w:w="1122"/>
        <w:gridCol w:w="1127"/>
      </w:tblGrid>
      <w:tr w:rsidR="006C7FFA" w:rsidRPr="00755A11" w14:paraId="2A1F08C8" w14:textId="77777777" w:rsidTr="00611F28">
        <w:trPr>
          <w:cnfStyle w:val="100000000000" w:firstRow="1" w:lastRow="0" w:firstColumn="0" w:lastColumn="0" w:oddVBand="0" w:evenVBand="0" w:oddHBand="0" w:evenHBand="0" w:firstRowFirstColumn="0" w:firstRowLastColumn="0" w:lastRowFirstColumn="0" w:lastRowLastColumn="0"/>
          <w:trHeight w:val="283"/>
        </w:trPr>
        <w:tc>
          <w:tcPr>
            <w:tcW w:w="6372" w:type="dxa"/>
            <w:tcBorders>
              <w:top w:val="single" w:sz="4" w:space="0" w:color="1B556B" w:themeColor="text2"/>
            </w:tcBorders>
          </w:tcPr>
          <w:p w14:paraId="290575FD" w14:textId="77777777" w:rsidR="006C7FFA" w:rsidRPr="00755A11" w:rsidRDefault="006C7FFA" w:rsidP="00003A29">
            <w:pPr>
              <w:pStyle w:val="TableText"/>
            </w:pPr>
            <w:r w:rsidRPr="00755A11">
              <w:t>Option</w:t>
            </w:r>
          </w:p>
        </w:tc>
        <w:tc>
          <w:tcPr>
            <w:tcW w:w="1134" w:type="dxa"/>
            <w:tcBorders>
              <w:top w:val="single" w:sz="4" w:space="0" w:color="1B556B" w:themeColor="text2"/>
            </w:tcBorders>
          </w:tcPr>
          <w:p w14:paraId="518C46B2" w14:textId="77777777" w:rsidR="006C7FFA" w:rsidRPr="00755A11" w:rsidRDefault="006C7FFA" w:rsidP="00003A29">
            <w:pPr>
              <w:pStyle w:val="TableText"/>
            </w:pPr>
            <w:r w:rsidRPr="00755A11">
              <w:t>Total</w:t>
            </w:r>
          </w:p>
        </w:tc>
        <w:tc>
          <w:tcPr>
            <w:tcW w:w="1134" w:type="dxa"/>
            <w:tcBorders>
              <w:top w:val="single" w:sz="4" w:space="0" w:color="1B556B" w:themeColor="text2"/>
            </w:tcBorders>
          </w:tcPr>
          <w:p w14:paraId="0D810810" w14:textId="15AEBDA7" w:rsidR="006C7FFA" w:rsidRPr="00755A11" w:rsidRDefault="006C7FFA" w:rsidP="00003A29">
            <w:pPr>
              <w:pStyle w:val="TableText"/>
            </w:pPr>
            <w:r w:rsidRPr="00755A11">
              <w:t>Percent</w:t>
            </w:r>
            <w:r w:rsidR="0029392B" w:rsidRPr="00755A11">
              <w:t xml:space="preserve"> (%)</w:t>
            </w:r>
          </w:p>
        </w:tc>
      </w:tr>
      <w:tr w:rsidR="006C7FFA" w:rsidRPr="00755A11" w14:paraId="523D4303" w14:textId="77777777" w:rsidTr="00AA1BBD">
        <w:trPr>
          <w:trHeight w:val="283"/>
        </w:trPr>
        <w:tc>
          <w:tcPr>
            <w:tcW w:w="6372" w:type="dxa"/>
          </w:tcPr>
          <w:p w14:paraId="03A0B8A0" w14:textId="77777777" w:rsidR="006C7FFA" w:rsidRPr="00755A11" w:rsidRDefault="006C7FFA" w:rsidP="00003A29">
            <w:pPr>
              <w:pStyle w:val="TableText"/>
            </w:pPr>
            <w:r w:rsidRPr="00755A11">
              <w:t>One tier</w:t>
            </w:r>
          </w:p>
        </w:tc>
        <w:tc>
          <w:tcPr>
            <w:tcW w:w="1134" w:type="dxa"/>
          </w:tcPr>
          <w:p w14:paraId="47D78F0B" w14:textId="77777777" w:rsidR="006C7FFA" w:rsidRPr="00755A11" w:rsidRDefault="006C7FFA" w:rsidP="00003A29">
            <w:pPr>
              <w:pStyle w:val="TableText"/>
            </w:pPr>
            <w:r w:rsidRPr="00755A11">
              <w:t>4</w:t>
            </w:r>
          </w:p>
        </w:tc>
        <w:tc>
          <w:tcPr>
            <w:tcW w:w="1134" w:type="dxa"/>
          </w:tcPr>
          <w:p w14:paraId="33976653" w14:textId="562F9DCF" w:rsidR="006C7FFA" w:rsidRPr="00755A11" w:rsidRDefault="006C7FFA" w:rsidP="00003A29">
            <w:pPr>
              <w:pStyle w:val="TableText"/>
            </w:pPr>
            <w:r w:rsidRPr="00755A11">
              <w:t>6.56</w:t>
            </w:r>
          </w:p>
        </w:tc>
      </w:tr>
      <w:tr w:rsidR="00AA1BBD" w:rsidRPr="00755A11" w14:paraId="01A4C7C0" w14:textId="77777777" w:rsidTr="00AA1BBD">
        <w:trPr>
          <w:trHeight w:val="283"/>
        </w:trPr>
        <w:tc>
          <w:tcPr>
            <w:tcW w:w="6372" w:type="dxa"/>
          </w:tcPr>
          <w:p w14:paraId="1340A129" w14:textId="77777777" w:rsidR="006C7FFA" w:rsidRPr="00755A11" w:rsidRDefault="006C7FFA" w:rsidP="00003A29">
            <w:pPr>
              <w:pStyle w:val="TableText"/>
            </w:pPr>
            <w:r w:rsidRPr="00755A11">
              <w:t>Two tiers</w:t>
            </w:r>
          </w:p>
        </w:tc>
        <w:tc>
          <w:tcPr>
            <w:tcW w:w="1134" w:type="dxa"/>
          </w:tcPr>
          <w:p w14:paraId="317357EB" w14:textId="77777777" w:rsidR="006C7FFA" w:rsidRPr="00755A11" w:rsidRDefault="006C7FFA" w:rsidP="00003A29">
            <w:pPr>
              <w:pStyle w:val="TableText"/>
            </w:pPr>
            <w:r w:rsidRPr="00755A11">
              <w:t>24</w:t>
            </w:r>
          </w:p>
        </w:tc>
        <w:tc>
          <w:tcPr>
            <w:tcW w:w="1134" w:type="dxa"/>
          </w:tcPr>
          <w:p w14:paraId="3100AACA" w14:textId="7BC5F78C" w:rsidR="006C7FFA" w:rsidRPr="00755A11" w:rsidRDefault="006C7FFA" w:rsidP="00003A29">
            <w:pPr>
              <w:pStyle w:val="TableText"/>
            </w:pPr>
            <w:r w:rsidRPr="00755A11">
              <w:t>39.34</w:t>
            </w:r>
          </w:p>
        </w:tc>
      </w:tr>
      <w:tr w:rsidR="006C7FFA" w:rsidRPr="00755A11" w14:paraId="1E494FED" w14:textId="77777777" w:rsidTr="00AA1BBD">
        <w:trPr>
          <w:trHeight w:val="283"/>
        </w:trPr>
        <w:tc>
          <w:tcPr>
            <w:tcW w:w="6372" w:type="dxa"/>
          </w:tcPr>
          <w:p w14:paraId="298FC55A" w14:textId="74B69E88" w:rsidR="006C7FFA" w:rsidRPr="00755A11" w:rsidRDefault="006C7FFA" w:rsidP="00003A29">
            <w:pPr>
              <w:pStyle w:val="TableText"/>
            </w:pPr>
            <w:r w:rsidRPr="00755A11">
              <w:t xml:space="preserve">Not </w:t>
            </w:r>
            <w:r w:rsidR="0029392B" w:rsidRPr="00755A11">
              <w:t>a</w:t>
            </w:r>
            <w:r w:rsidRPr="00755A11">
              <w:t>nswered</w:t>
            </w:r>
          </w:p>
        </w:tc>
        <w:tc>
          <w:tcPr>
            <w:tcW w:w="1134" w:type="dxa"/>
          </w:tcPr>
          <w:p w14:paraId="0B92D4CF" w14:textId="77777777" w:rsidR="006C7FFA" w:rsidRPr="00755A11" w:rsidRDefault="006C7FFA" w:rsidP="00003A29">
            <w:pPr>
              <w:pStyle w:val="TableText"/>
            </w:pPr>
            <w:r w:rsidRPr="00755A11">
              <w:t>33</w:t>
            </w:r>
          </w:p>
        </w:tc>
        <w:tc>
          <w:tcPr>
            <w:tcW w:w="1134" w:type="dxa"/>
          </w:tcPr>
          <w:p w14:paraId="1AFAB047" w14:textId="1CECBE2C" w:rsidR="006C7FFA" w:rsidRPr="00755A11" w:rsidRDefault="006C7FFA" w:rsidP="00003A29">
            <w:pPr>
              <w:pStyle w:val="TableText"/>
            </w:pPr>
            <w:r w:rsidRPr="00755A11">
              <w:t>54.10</w:t>
            </w:r>
          </w:p>
        </w:tc>
      </w:tr>
      <w:tr w:rsidR="006C7FFA" w:rsidRPr="00755A11" w14:paraId="5689BC07" w14:textId="77777777" w:rsidTr="00086026">
        <w:trPr>
          <w:trHeight w:val="283"/>
        </w:trPr>
        <w:tc>
          <w:tcPr>
            <w:tcW w:w="6372" w:type="dxa"/>
            <w:tcBorders>
              <w:top w:val="double" w:sz="4" w:space="0" w:color="1B556B"/>
            </w:tcBorders>
          </w:tcPr>
          <w:p w14:paraId="7D8BF4CC" w14:textId="77777777" w:rsidR="006C7FFA" w:rsidRPr="00755A11" w:rsidRDefault="006C7FFA" w:rsidP="00003A29">
            <w:pPr>
              <w:pStyle w:val="TableText"/>
            </w:pPr>
            <w:r w:rsidRPr="00755A11">
              <w:t>Explanation provided</w:t>
            </w:r>
          </w:p>
        </w:tc>
        <w:tc>
          <w:tcPr>
            <w:tcW w:w="1134" w:type="dxa"/>
            <w:tcBorders>
              <w:top w:val="double" w:sz="4" w:space="0" w:color="1B556B"/>
            </w:tcBorders>
          </w:tcPr>
          <w:p w14:paraId="7D3B396B" w14:textId="77777777" w:rsidR="006C7FFA" w:rsidRPr="00755A11" w:rsidRDefault="006C7FFA" w:rsidP="00003A29">
            <w:pPr>
              <w:pStyle w:val="TableText"/>
            </w:pPr>
            <w:r w:rsidRPr="00755A11">
              <w:t>27</w:t>
            </w:r>
          </w:p>
        </w:tc>
        <w:tc>
          <w:tcPr>
            <w:tcW w:w="1134" w:type="dxa"/>
            <w:tcBorders>
              <w:top w:val="double" w:sz="4" w:space="0" w:color="1B556B"/>
            </w:tcBorders>
          </w:tcPr>
          <w:p w14:paraId="6416B77A" w14:textId="77777777" w:rsidR="006C7FFA" w:rsidRPr="00755A11" w:rsidRDefault="006C7FFA" w:rsidP="00003A29">
            <w:pPr>
              <w:pStyle w:val="TableText"/>
            </w:pPr>
          </w:p>
        </w:tc>
      </w:tr>
    </w:tbl>
    <w:p w14:paraId="68D1A204" w14:textId="77777777" w:rsidR="006C7FFA" w:rsidRPr="00755A11" w:rsidRDefault="006C7FFA" w:rsidP="00003A29">
      <w:pPr>
        <w:pStyle w:val="BodyText"/>
        <w:keepNext/>
        <w:spacing w:before="360"/>
        <w:rPr>
          <w:b/>
          <w:bCs/>
          <w:lang w:eastAsia="en-US"/>
        </w:rPr>
      </w:pPr>
      <w:r w:rsidRPr="00755A11">
        <w:rPr>
          <w:b/>
          <w:bCs/>
          <w:lang w:eastAsia="en-US"/>
        </w:rPr>
        <w:lastRenderedPageBreak/>
        <w:t>18: If a technical adjustment is included as part of the stockpile reduction component of auction volumes, should this technical adjustment amount be included in the total cost containment reserve volume?</w:t>
      </w:r>
    </w:p>
    <w:tbl>
      <w:tblPr>
        <w:tblStyle w:val="Style4"/>
        <w:tblW w:w="0" w:type="auto"/>
        <w:tblLook w:val="04A0" w:firstRow="1" w:lastRow="0" w:firstColumn="1" w:lastColumn="0" w:noHBand="0" w:noVBand="1"/>
      </w:tblPr>
      <w:tblGrid>
        <w:gridCol w:w="6256"/>
        <w:gridCol w:w="1122"/>
        <w:gridCol w:w="1127"/>
      </w:tblGrid>
      <w:tr w:rsidR="006C7FFA" w:rsidRPr="00755A11" w14:paraId="59F34116" w14:textId="77777777" w:rsidTr="00611F28">
        <w:trPr>
          <w:cnfStyle w:val="100000000000" w:firstRow="1" w:lastRow="0" w:firstColumn="0" w:lastColumn="0" w:oddVBand="0" w:evenVBand="0" w:oddHBand="0" w:evenHBand="0" w:firstRowFirstColumn="0" w:firstRowLastColumn="0" w:lastRowFirstColumn="0" w:lastRowLastColumn="0"/>
          <w:trHeight w:val="283"/>
        </w:trPr>
        <w:tc>
          <w:tcPr>
            <w:tcW w:w="6372" w:type="dxa"/>
            <w:tcBorders>
              <w:top w:val="single" w:sz="4" w:space="0" w:color="1B556B" w:themeColor="text2"/>
            </w:tcBorders>
          </w:tcPr>
          <w:p w14:paraId="4D416904" w14:textId="77777777" w:rsidR="006C7FFA" w:rsidRPr="00755A11" w:rsidRDefault="006C7FFA" w:rsidP="00003A29">
            <w:pPr>
              <w:pStyle w:val="TableText"/>
              <w:keepNext/>
            </w:pPr>
            <w:r w:rsidRPr="00755A11">
              <w:t>Option</w:t>
            </w:r>
          </w:p>
        </w:tc>
        <w:tc>
          <w:tcPr>
            <w:tcW w:w="1134" w:type="dxa"/>
            <w:tcBorders>
              <w:top w:val="single" w:sz="4" w:space="0" w:color="1B556B" w:themeColor="text2"/>
            </w:tcBorders>
          </w:tcPr>
          <w:p w14:paraId="61669811" w14:textId="77777777" w:rsidR="006C7FFA" w:rsidRPr="00755A11" w:rsidRDefault="006C7FFA" w:rsidP="00003A29">
            <w:pPr>
              <w:pStyle w:val="TableText"/>
              <w:keepNext/>
            </w:pPr>
            <w:r w:rsidRPr="00755A11">
              <w:t>Total</w:t>
            </w:r>
          </w:p>
        </w:tc>
        <w:tc>
          <w:tcPr>
            <w:tcW w:w="1134" w:type="dxa"/>
            <w:tcBorders>
              <w:top w:val="single" w:sz="4" w:space="0" w:color="1B556B" w:themeColor="text2"/>
            </w:tcBorders>
          </w:tcPr>
          <w:p w14:paraId="37E4A74F" w14:textId="4758EDED" w:rsidR="006C7FFA" w:rsidRPr="00755A11" w:rsidRDefault="006C7FFA" w:rsidP="00003A29">
            <w:pPr>
              <w:pStyle w:val="TableText"/>
              <w:keepNext/>
            </w:pPr>
            <w:r w:rsidRPr="00755A11">
              <w:t>Percent</w:t>
            </w:r>
            <w:r w:rsidR="00EF2430" w:rsidRPr="00755A11">
              <w:t xml:space="preserve"> (%)</w:t>
            </w:r>
          </w:p>
        </w:tc>
      </w:tr>
      <w:tr w:rsidR="006C7FFA" w:rsidRPr="00755A11" w14:paraId="7C4D971A" w14:textId="77777777" w:rsidTr="00AA1BBD">
        <w:trPr>
          <w:trHeight w:val="283"/>
        </w:trPr>
        <w:tc>
          <w:tcPr>
            <w:tcW w:w="6372" w:type="dxa"/>
          </w:tcPr>
          <w:p w14:paraId="6414DC74" w14:textId="77777777" w:rsidR="006C7FFA" w:rsidRPr="00755A11" w:rsidRDefault="006C7FFA" w:rsidP="00003A29">
            <w:pPr>
              <w:pStyle w:val="TableText"/>
              <w:keepNext/>
            </w:pPr>
            <w:r w:rsidRPr="00755A11">
              <w:t>Yes</w:t>
            </w:r>
          </w:p>
        </w:tc>
        <w:tc>
          <w:tcPr>
            <w:tcW w:w="1134" w:type="dxa"/>
          </w:tcPr>
          <w:p w14:paraId="0F5A4AD3" w14:textId="77777777" w:rsidR="006C7FFA" w:rsidRPr="00755A11" w:rsidRDefault="006C7FFA" w:rsidP="00003A29">
            <w:pPr>
              <w:pStyle w:val="TableText"/>
              <w:keepNext/>
            </w:pPr>
            <w:r w:rsidRPr="00755A11">
              <w:t>8</w:t>
            </w:r>
          </w:p>
        </w:tc>
        <w:tc>
          <w:tcPr>
            <w:tcW w:w="1134" w:type="dxa"/>
          </w:tcPr>
          <w:p w14:paraId="15F53DB9" w14:textId="1E53550C" w:rsidR="006C7FFA" w:rsidRPr="00755A11" w:rsidRDefault="006C7FFA" w:rsidP="00003A29">
            <w:pPr>
              <w:pStyle w:val="TableText"/>
              <w:keepNext/>
            </w:pPr>
            <w:r w:rsidRPr="00755A11">
              <w:t>13.11</w:t>
            </w:r>
          </w:p>
        </w:tc>
      </w:tr>
      <w:tr w:rsidR="00AA1BBD" w:rsidRPr="00755A11" w14:paraId="347B5179" w14:textId="77777777" w:rsidTr="00AA1BBD">
        <w:trPr>
          <w:trHeight w:val="283"/>
        </w:trPr>
        <w:tc>
          <w:tcPr>
            <w:tcW w:w="6372" w:type="dxa"/>
          </w:tcPr>
          <w:p w14:paraId="47AAC9CA" w14:textId="77777777" w:rsidR="006C7FFA" w:rsidRPr="00755A11" w:rsidRDefault="006C7FFA" w:rsidP="00003A29">
            <w:pPr>
              <w:pStyle w:val="TableText"/>
            </w:pPr>
            <w:r w:rsidRPr="00755A11">
              <w:t>No</w:t>
            </w:r>
          </w:p>
        </w:tc>
        <w:tc>
          <w:tcPr>
            <w:tcW w:w="1134" w:type="dxa"/>
          </w:tcPr>
          <w:p w14:paraId="7E0C2245" w14:textId="77777777" w:rsidR="006C7FFA" w:rsidRPr="00755A11" w:rsidRDefault="006C7FFA" w:rsidP="00003A29">
            <w:pPr>
              <w:pStyle w:val="TableText"/>
            </w:pPr>
            <w:r w:rsidRPr="00755A11">
              <w:t>6</w:t>
            </w:r>
          </w:p>
        </w:tc>
        <w:tc>
          <w:tcPr>
            <w:tcW w:w="1134" w:type="dxa"/>
          </w:tcPr>
          <w:p w14:paraId="328BB3BE" w14:textId="7DF27FED" w:rsidR="006C7FFA" w:rsidRPr="00755A11" w:rsidRDefault="006C7FFA" w:rsidP="00003A29">
            <w:pPr>
              <w:pStyle w:val="TableText"/>
            </w:pPr>
            <w:r w:rsidRPr="00755A11">
              <w:t>9.84</w:t>
            </w:r>
          </w:p>
        </w:tc>
      </w:tr>
      <w:tr w:rsidR="006C7FFA" w:rsidRPr="00755A11" w14:paraId="15F53DAB" w14:textId="77777777" w:rsidTr="00AA1BBD">
        <w:trPr>
          <w:trHeight w:val="283"/>
        </w:trPr>
        <w:tc>
          <w:tcPr>
            <w:tcW w:w="6372" w:type="dxa"/>
          </w:tcPr>
          <w:p w14:paraId="79F15370" w14:textId="77777777" w:rsidR="006C7FFA" w:rsidRPr="00755A11" w:rsidRDefault="006C7FFA" w:rsidP="00003A29">
            <w:pPr>
              <w:pStyle w:val="TableText"/>
            </w:pPr>
            <w:r w:rsidRPr="00755A11">
              <w:t>Unsure</w:t>
            </w:r>
          </w:p>
        </w:tc>
        <w:tc>
          <w:tcPr>
            <w:tcW w:w="1134" w:type="dxa"/>
          </w:tcPr>
          <w:p w14:paraId="3A1AF0A4" w14:textId="77777777" w:rsidR="006C7FFA" w:rsidRPr="00755A11" w:rsidRDefault="006C7FFA" w:rsidP="00003A29">
            <w:pPr>
              <w:pStyle w:val="TableText"/>
            </w:pPr>
            <w:r w:rsidRPr="00755A11">
              <w:t>14</w:t>
            </w:r>
          </w:p>
        </w:tc>
        <w:tc>
          <w:tcPr>
            <w:tcW w:w="1134" w:type="dxa"/>
          </w:tcPr>
          <w:p w14:paraId="368E8E48" w14:textId="2283BF08" w:rsidR="006C7FFA" w:rsidRPr="00755A11" w:rsidRDefault="006C7FFA" w:rsidP="00003A29">
            <w:pPr>
              <w:pStyle w:val="TableText"/>
            </w:pPr>
            <w:r w:rsidRPr="00755A11">
              <w:t>22.95</w:t>
            </w:r>
          </w:p>
        </w:tc>
      </w:tr>
      <w:tr w:rsidR="006C7FFA" w:rsidRPr="00755A11" w14:paraId="240D39C8" w14:textId="77777777" w:rsidTr="00EA337A">
        <w:trPr>
          <w:trHeight w:val="283"/>
        </w:trPr>
        <w:tc>
          <w:tcPr>
            <w:tcW w:w="6372" w:type="dxa"/>
            <w:tcBorders>
              <w:bottom w:val="double" w:sz="4" w:space="0" w:color="1B556B"/>
            </w:tcBorders>
          </w:tcPr>
          <w:p w14:paraId="7C4B96F8" w14:textId="33446123" w:rsidR="006C7FFA" w:rsidRPr="00755A11" w:rsidRDefault="006C7FFA" w:rsidP="00003A29">
            <w:pPr>
              <w:pStyle w:val="TableText"/>
            </w:pPr>
            <w:r w:rsidRPr="00755A11">
              <w:t xml:space="preserve">Not </w:t>
            </w:r>
            <w:r w:rsidR="00EF2430" w:rsidRPr="00755A11">
              <w:t>a</w:t>
            </w:r>
            <w:r w:rsidRPr="00755A11">
              <w:t>nswered</w:t>
            </w:r>
          </w:p>
        </w:tc>
        <w:tc>
          <w:tcPr>
            <w:tcW w:w="1134" w:type="dxa"/>
            <w:tcBorders>
              <w:bottom w:val="double" w:sz="4" w:space="0" w:color="1B556B"/>
            </w:tcBorders>
          </w:tcPr>
          <w:p w14:paraId="7AEB9DBA" w14:textId="77777777" w:rsidR="006C7FFA" w:rsidRPr="00755A11" w:rsidRDefault="006C7FFA" w:rsidP="00003A29">
            <w:pPr>
              <w:pStyle w:val="TableText"/>
            </w:pPr>
            <w:r w:rsidRPr="00755A11">
              <w:t>33</w:t>
            </w:r>
          </w:p>
        </w:tc>
        <w:tc>
          <w:tcPr>
            <w:tcW w:w="1134" w:type="dxa"/>
            <w:tcBorders>
              <w:bottom w:val="double" w:sz="4" w:space="0" w:color="1B556B"/>
            </w:tcBorders>
          </w:tcPr>
          <w:p w14:paraId="3C0EEFAB" w14:textId="614F3D47" w:rsidR="006C7FFA" w:rsidRPr="00755A11" w:rsidRDefault="006C7FFA" w:rsidP="00003A29">
            <w:pPr>
              <w:pStyle w:val="TableText"/>
            </w:pPr>
            <w:r w:rsidRPr="00755A11">
              <w:t>54.10</w:t>
            </w:r>
          </w:p>
        </w:tc>
      </w:tr>
      <w:tr w:rsidR="006C7FFA" w:rsidRPr="00755A11" w14:paraId="720FBF11" w14:textId="77777777" w:rsidTr="00086026">
        <w:trPr>
          <w:trHeight w:val="283"/>
        </w:trPr>
        <w:tc>
          <w:tcPr>
            <w:tcW w:w="6372" w:type="dxa"/>
            <w:tcBorders>
              <w:top w:val="double" w:sz="4" w:space="0" w:color="1B556B"/>
            </w:tcBorders>
          </w:tcPr>
          <w:p w14:paraId="2A6E6C26" w14:textId="77777777" w:rsidR="006C7FFA" w:rsidRPr="00755A11" w:rsidRDefault="006C7FFA" w:rsidP="00003A29">
            <w:pPr>
              <w:pStyle w:val="TableText"/>
            </w:pPr>
            <w:r w:rsidRPr="00755A11">
              <w:t>Explanation provided</w:t>
            </w:r>
          </w:p>
        </w:tc>
        <w:tc>
          <w:tcPr>
            <w:tcW w:w="1134" w:type="dxa"/>
            <w:tcBorders>
              <w:top w:val="double" w:sz="4" w:space="0" w:color="1B556B"/>
            </w:tcBorders>
          </w:tcPr>
          <w:p w14:paraId="6937B403" w14:textId="77777777" w:rsidR="006C7FFA" w:rsidRPr="00755A11" w:rsidRDefault="006C7FFA" w:rsidP="00003A29">
            <w:pPr>
              <w:pStyle w:val="TableText"/>
            </w:pPr>
            <w:r w:rsidRPr="00755A11">
              <w:t>15</w:t>
            </w:r>
          </w:p>
        </w:tc>
        <w:tc>
          <w:tcPr>
            <w:tcW w:w="1134" w:type="dxa"/>
            <w:tcBorders>
              <w:top w:val="double" w:sz="4" w:space="0" w:color="1B556B"/>
            </w:tcBorders>
          </w:tcPr>
          <w:p w14:paraId="1901B880" w14:textId="77777777" w:rsidR="006C7FFA" w:rsidRPr="00755A11" w:rsidRDefault="006C7FFA" w:rsidP="00003A29">
            <w:pPr>
              <w:pStyle w:val="TableText"/>
            </w:pPr>
          </w:p>
        </w:tc>
      </w:tr>
    </w:tbl>
    <w:p w14:paraId="6EB544E0" w14:textId="1623A3F5" w:rsidR="006C7FFA" w:rsidRPr="00755A11" w:rsidRDefault="006C7FFA" w:rsidP="00DE2919">
      <w:pPr>
        <w:pStyle w:val="BodyText"/>
        <w:keepNext/>
        <w:spacing w:before="320"/>
        <w:rPr>
          <w:b/>
          <w:bCs/>
          <w:lang w:eastAsia="en-US"/>
        </w:rPr>
      </w:pPr>
      <w:r w:rsidRPr="00755A11">
        <w:rPr>
          <w:b/>
          <w:bCs/>
          <w:lang w:eastAsia="en-US"/>
        </w:rPr>
        <w:t>19: If a multi-tier cost containment reserve is progressed, how should the volume of units in</w:t>
      </w:r>
      <w:r w:rsidR="008A60F6">
        <w:rPr>
          <w:b/>
          <w:bCs/>
          <w:lang w:eastAsia="en-US"/>
        </w:rPr>
        <w:t> </w:t>
      </w:r>
      <w:r w:rsidRPr="00755A11">
        <w:rPr>
          <w:b/>
          <w:bCs/>
          <w:lang w:eastAsia="en-US"/>
        </w:rPr>
        <w:t>these tiers be decided on?</w:t>
      </w:r>
    </w:p>
    <w:tbl>
      <w:tblPr>
        <w:tblStyle w:val="Style4"/>
        <w:tblW w:w="0" w:type="auto"/>
        <w:tblBorders>
          <w:top w:val="single" w:sz="4" w:space="0" w:color="1B556B" w:themeColor="text2"/>
        </w:tblBorders>
        <w:tblLook w:val="04A0" w:firstRow="1" w:lastRow="0" w:firstColumn="1" w:lastColumn="0" w:noHBand="0" w:noVBand="1"/>
      </w:tblPr>
      <w:tblGrid>
        <w:gridCol w:w="6256"/>
        <w:gridCol w:w="1122"/>
        <w:gridCol w:w="1127"/>
      </w:tblGrid>
      <w:tr w:rsidR="006C7FFA" w:rsidRPr="00755A11" w14:paraId="08AADEB0" w14:textId="77777777" w:rsidTr="00611F28">
        <w:trPr>
          <w:cnfStyle w:val="100000000000" w:firstRow="1" w:lastRow="0" w:firstColumn="0" w:lastColumn="0" w:oddVBand="0" w:evenVBand="0" w:oddHBand="0" w:evenHBand="0" w:firstRowFirstColumn="0" w:firstRowLastColumn="0" w:lastRowFirstColumn="0" w:lastRowLastColumn="0"/>
          <w:trHeight w:val="283"/>
        </w:trPr>
        <w:tc>
          <w:tcPr>
            <w:tcW w:w="6372" w:type="dxa"/>
          </w:tcPr>
          <w:p w14:paraId="3B203B03" w14:textId="77777777" w:rsidR="006C7FFA" w:rsidRPr="00755A11" w:rsidRDefault="006C7FFA" w:rsidP="00003A29">
            <w:pPr>
              <w:pStyle w:val="TableText"/>
            </w:pPr>
            <w:r w:rsidRPr="00755A11">
              <w:t>No selectable options</w:t>
            </w:r>
          </w:p>
        </w:tc>
        <w:tc>
          <w:tcPr>
            <w:tcW w:w="1134" w:type="dxa"/>
          </w:tcPr>
          <w:p w14:paraId="5E84C2D2" w14:textId="77777777" w:rsidR="006C7FFA" w:rsidRPr="00755A11" w:rsidRDefault="006C7FFA" w:rsidP="00003A29">
            <w:pPr>
              <w:pStyle w:val="TableText"/>
            </w:pPr>
            <w:r w:rsidRPr="00755A11">
              <w:t>Total</w:t>
            </w:r>
          </w:p>
        </w:tc>
        <w:tc>
          <w:tcPr>
            <w:tcW w:w="1134" w:type="dxa"/>
          </w:tcPr>
          <w:p w14:paraId="2632DF3D" w14:textId="77777777" w:rsidR="006C7FFA" w:rsidRPr="00755A11" w:rsidRDefault="006C7FFA" w:rsidP="00003A29">
            <w:pPr>
              <w:pStyle w:val="TableText"/>
            </w:pPr>
            <w:r w:rsidRPr="00755A11">
              <w:t>Percent</w:t>
            </w:r>
          </w:p>
        </w:tc>
      </w:tr>
      <w:tr w:rsidR="00086026" w:rsidRPr="00755A11" w14:paraId="4595D0B3" w14:textId="77777777" w:rsidTr="00611F28">
        <w:trPr>
          <w:trHeight w:val="283"/>
        </w:trPr>
        <w:tc>
          <w:tcPr>
            <w:tcW w:w="6372" w:type="dxa"/>
          </w:tcPr>
          <w:p w14:paraId="1E2DA9E8" w14:textId="77777777" w:rsidR="006C7FFA" w:rsidRPr="00755A11" w:rsidRDefault="006C7FFA" w:rsidP="00003A29">
            <w:pPr>
              <w:pStyle w:val="TableText"/>
            </w:pPr>
            <w:r w:rsidRPr="00755A11">
              <w:t>Explanation provided</w:t>
            </w:r>
          </w:p>
        </w:tc>
        <w:tc>
          <w:tcPr>
            <w:tcW w:w="1134" w:type="dxa"/>
          </w:tcPr>
          <w:p w14:paraId="58DBE3F3" w14:textId="77777777" w:rsidR="006C7FFA" w:rsidRPr="00755A11" w:rsidRDefault="006C7FFA" w:rsidP="00003A29">
            <w:pPr>
              <w:pStyle w:val="TableText"/>
            </w:pPr>
            <w:r w:rsidRPr="00755A11">
              <w:t>28</w:t>
            </w:r>
          </w:p>
        </w:tc>
        <w:tc>
          <w:tcPr>
            <w:tcW w:w="1134" w:type="dxa"/>
          </w:tcPr>
          <w:p w14:paraId="06C4C3BD" w14:textId="77777777" w:rsidR="006C7FFA" w:rsidRPr="00755A11" w:rsidRDefault="006C7FFA" w:rsidP="00003A29">
            <w:pPr>
              <w:pStyle w:val="TableText"/>
            </w:pPr>
          </w:p>
        </w:tc>
      </w:tr>
    </w:tbl>
    <w:p w14:paraId="47365A81" w14:textId="77777777" w:rsidR="006C7FFA" w:rsidRPr="00755A11" w:rsidRDefault="006C7FFA" w:rsidP="00003A29">
      <w:pPr>
        <w:pStyle w:val="BodyText"/>
        <w:spacing w:before="360"/>
        <w:rPr>
          <w:b/>
          <w:bCs/>
          <w:lang w:eastAsia="en-US"/>
        </w:rPr>
      </w:pPr>
      <w:r w:rsidRPr="00755A11">
        <w:rPr>
          <w:b/>
          <w:bCs/>
          <w:lang w:eastAsia="en-US"/>
        </w:rPr>
        <w:t>20: What do you think of the proposed cost containment reserve trigger price settings?</w:t>
      </w:r>
    </w:p>
    <w:tbl>
      <w:tblPr>
        <w:tblStyle w:val="Style4"/>
        <w:tblW w:w="0" w:type="auto"/>
        <w:tblBorders>
          <w:top w:val="single" w:sz="4" w:space="0" w:color="1B556B" w:themeColor="text2"/>
          <w:bottom w:val="single" w:sz="4" w:space="0" w:color="1B556B" w:themeColor="text2"/>
          <w:insideH w:val="single" w:sz="4" w:space="0" w:color="1B556B" w:themeColor="text2"/>
          <w:insideV w:val="single" w:sz="4" w:space="0" w:color="1B556B" w:themeColor="text2"/>
        </w:tblBorders>
        <w:tblLook w:val="04A0" w:firstRow="1" w:lastRow="0" w:firstColumn="1" w:lastColumn="0" w:noHBand="0" w:noVBand="1"/>
      </w:tblPr>
      <w:tblGrid>
        <w:gridCol w:w="6256"/>
        <w:gridCol w:w="1122"/>
        <w:gridCol w:w="1127"/>
      </w:tblGrid>
      <w:tr w:rsidR="006C7FFA" w:rsidRPr="00755A11" w14:paraId="32DC7706" w14:textId="77777777" w:rsidTr="00611F28">
        <w:trPr>
          <w:cnfStyle w:val="100000000000" w:firstRow="1" w:lastRow="0" w:firstColumn="0" w:lastColumn="0" w:oddVBand="0" w:evenVBand="0" w:oddHBand="0" w:evenHBand="0" w:firstRowFirstColumn="0" w:firstRowLastColumn="0" w:lastRowFirstColumn="0" w:lastRowLastColumn="0"/>
          <w:trHeight w:val="283"/>
        </w:trPr>
        <w:tc>
          <w:tcPr>
            <w:tcW w:w="6372" w:type="dxa"/>
          </w:tcPr>
          <w:p w14:paraId="0B3AE3A1" w14:textId="77777777" w:rsidR="006C7FFA" w:rsidRPr="00755A11" w:rsidRDefault="006C7FFA" w:rsidP="00003A29">
            <w:pPr>
              <w:pStyle w:val="TableText"/>
            </w:pPr>
            <w:r w:rsidRPr="00755A11">
              <w:t>No selectable options</w:t>
            </w:r>
          </w:p>
        </w:tc>
        <w:tc>
          <w:tcPr>
            <w:tcW w:w="1134" w:type="dxa"/>
          </w:tcPr>
          <w:p w14:paraId="6D3B4604" w14:textId="77777777" w:rsidR="006C7FFA" w:rsidRPr="00755A11" w:rsidRDefault="006C7FFA" w:rsidP="00003A29">
            <w:pPr>
              <w:pStyle w:val="TableText"/>
            </w:pPr>
            <w:r w:rsidRPr="00755A11">
              <w:t>Total</w:t>
            </w:r>
          </w:p>
        </w:tc>
        <w:tc>
          <w:tcPr>
            <w:tcW w:w="1134" w:type="dxa"/>
          </w:tcPr>
          <w:p w14:paraId="15F9FFF1" w14:textId="77777777" w:rsidR="006C7FFA" w:rsidRPr="00755A11" w:rsidRDefault="006C7FFA" w:rsidP="00003A29">
            <w:pPr>
              <w:pStyle w:val="TableText"/>
            </w:pPr>
            <w:r w:rsidRPr="00755A11">
              <w:t>Percent</w:t>
            </w:r>
          </w:p>
        </w:tc>
      </w:tr>
      <w:tr w:rsidR="00086026" w:rsidRPr="00755A11" w14:paraId="0E7F802D" w14:textId="77777777" w:rsidTr="00611F28">
        <w:trPr>
          <w:trHeight w:val="283"/>
        </w:trPr>
        <w:tc>
          <w:tcPr>
            <w:tcW w:w="6372" w:type="dxa"/>
          </w:tcPr>
          <w:p w14:paraId="4ECEFD0B" w14:textId="77777777" w:rsidR="006C7FFA" w:rsidRPr="00755A11" w:rsidRDefault="006C7FFA" w:rsidP="00003A29">
            <w:pPr>
              <w:pStyle w:val="TableText"/>
            </w:pPr>
            <w:r w:rsidRPr="00755A11">
              <w:t>Explanation provided</w:t>
            </w:r>
          </w:p>
        </w:tc>
        <w:tc>
          <w:tcPr>
            <w:tcW w:w="1134" w:type="dxa"/>
          </w:tcPr>
          <w:p w14:paraId="75CE5CFE" w14:textId="77777777" w:rsidR="006C7FFA" w:rsidRPr="00755A11" w:rsidRDefault="006C7FFA" w:rsidP="00003A29">
            <w:pPr>
              <w:pStyle w:val="TableText"/>
            </w:pPr>
            <w:r w:rsidRPr="00755A11">
              <w:t>30</w:t>
            </w:r>
          </w:p>
        </w:tc>
        <w:tc>
          <w:tcPr>
            <w:tcW w:w="1134" w:type="dxa"/>
          </w:tcPr>
          <w:p w14:paraId="08D27FDA" w14:textId="77777777" w:rsidR="006C7FFA" w:rsidRPr="00755A11" w:rsidRDefault="006C7FFA" w:rsidP="00003A29">
            <w:pPr>
              <w:pStyle w:val="TableText"/>
            </w:pPr>
          </w:p>
        </w:tc>
      </w:tr>
    </w:tbl>
    <w:p w14:paraId="5881131B" w14:textId="77777777" w:rsidR="006C7FFA" w:rsidRPr="00755A11" w:rsidRDefault="006C7FFA" w:rsidP="00003A29">
      <w:pPr>
        <w:pStyle w:val="BodyText"/>
        <w:spacing w:before="360"/>
        <w:rPr>
          <w:b/>
          <w:bCs/>
          <w:lang w:eastAsia="en-US"/>
        </w:rPr>
      </w:pPr>
      <w:r w:rsidRPr="00755A11">
        <w:rPr>
          <w:b/>
          <w:bCs/>
          <w:lang w:eastAsia="en-US"/>
        </w:rPr>
        <w:t>21: Are there further impacts at these prices that should be considered?</w:t>
      </w:r>
    </w:p>
    <w:tbl>
      <w:tblPr>
        <w:tblStyle w:val="Style4"/>
        <w:tblW w:w="0" w:type="auto"/>
        <w:tblBorders>
          <w:top w:val="single" w:sz="4" w:space="0" w:color="1B556B" w:themeColor="text2"/>
          <w:bottom w:val="single" w:sz="4" w:space="0" w:color="1B556B" w:themeColor="text2"/>
          <w:insideH w:val="single" w:sz="4" w:space="0" w:color="1B556B" w:themeColor="text2"/>
          <w:insideV w:val="single" w:sz="4" w:space="0" w:color="1B556B" w:themeColor="text2"/>
        </w:tblBorders>
        <w:tblLook w:val="04A0" w:firstRow="1" w:lastRow="0" w:firstColumn="1" w:lastColumn="0" w:noHBand="0" w:noVBand="1"/>
      </w:tblPr>
      <w:tblGrid>
        <w:gridCol w:w="6256"/>
        <w:gridCol w:w="1122"/>
        <w:gridCol w:w="1127"/>
      </w:tblGrid>
      <w:tr w:rsidR="006C7FFA" w:rsidRPr="00755A11" w14:paraId="00624ED4" w14:textId="77777777" w:rsidTr="00611F28">
        <w:trPr>
          <w:cnfStyle w:val="100000000000" w:firstRow="1" w:lastRow="0" w:firstColumn="0" w:lastColumn="0" w:oddVBand="0" w:evenVBand="0" w:oddHBand="0" w:evenHBand="0" w:firstRowFirstColumn="0" w:firstRowLastColumn="0" w:lastRowFirstColumn="0" w:lastRowLastColumn="0"/>
          <w:trHeight w:val="283"/>
        </w:trPr>
        <w:tc>
          <w:tcPr>
            <w:tcW w:w="6372" w:type="dxa"/>
          </w:tcPr>
          <w:p w14:paraId="6AC6DFE7" w14:textId="77777777" w:rsidR="006C7FFA" w:rsidRPr="00755A11" w:rsidRDefault="006C7FFA" w:rsidP="00003A29">
            <w:pPr>
              <w:pStyle w:val="TableText"/>
            </w:pPr>
            <w:r w:rsidRPr="00755A11">
              <w:t>Option</w:t>
            </w:r>
          </w:p>
        </w:tc>
        <w:tc>
          <w:tcPr>
            <w:tcW w:w="1134" w:type="dxa"/>
          </w:tcPr>
          <w:p w14:paraId="6A888CBD" w14:textId="77777777" w:rsidR="006C7FFA" w:rsidRPr="00755A11" w:rsidRDefault="006C7FFA" w:rsidP="00003A29">
            <w:pPr>
              <w:pStyle w:val="TableText"/>
            </w:pPr>
            <w:r w:rsidRPr="00755A11">
              <w:t>Total</w:t>
            </w:r>
          </w:p>
        </w:tc>
        <w:tc>
          <w:tcPr>
            <w:tcW w:w="1134" w:type="dxa"/>
          </w:tcPr>
          <w:p w14:paraId="138C1730" w14:textId="0276A52A" w:rsidR="006C7FFA" w:rsidRPr="00755A11" w:rsidRDefault="006C7FFA" w:rsidP="00003A29">
            <w:pPr>
              <w:pStyle w:val="TableText"/>
            </w:pPr>
            <w:r w:rsidRPr="00755A11">
              <w:t>Percent</w:t>
            </w:r>
            <w:r w:rsidR="00EF2430" w:rsidRPr="00755A11">
              <w:t xml:space="preserve"> (%)</w:t>
            </w:r>
          </w:p>
        </w:tc>
      </w:tr>
      <w:tr w:rsidR="006C7FFA" w:rsidRPr="00755A11" w14:paraId="03B0F457" w14:textId="77777777" w:rsidTr="00611F28">
        <w:trPr>
          <w:trHeight w:val="283"/>
        </w:trPr>
        <w:tc>
          <w:tcPr>
            <w:tcW w:w="6372" w:type="dxa"/>
          </w:tcPr>
          <w:p w14:paraId="5676CBF1" w14:textId="77777777" w:rsidR="006C7FFA" w:rsidRPr="00755A11" w:rsidRDefault="006C7FFA" w:rsidP="00003A29">
            <w:pPr>
              <w:pStyle w:val="TableText"/>
            </w:pPr>
            <w:r w:rsidRPr="00755A11">
              <w:t>Yes</w:t>
            </w:r>
          </w:p>
        </w:tc>
        <w:tc>
          <w:tcPr>
            <w:tcW w:w="1134" w:type="dxa"/>
          </w:tcPr>
          <w:p w14:paraId="267ACDD9" w14:textId="77777777" w:rsidR="006C7FFA" w:rsidRPr="00755A11" w:rsidRDefault="006C7FFA" w:rsidP="00003A29">
            <w:pPr>
              <w:pStyle w:val="TableText"/>
            </w:pPr>
            <w:r w:rsidRPr="00755A11">
              <w:t>13</w:t>
            </w:r>
          </w:p>
        </w:tc>
        <w:tc>
          <w:tcPr>
            <w:tcW w:w="1134" w:type="dxa"/>
          </w:tcPr>
          <w:p w14:paraId="5037B1E8" w14:textId="560228F8" w:rsidR="006C7FFA" w:rsidRPr="00755A11" w:rsidRDefault="006C7FFA" w:rsidP="00003A29">
            <w:pPr>
              <w:pStyle w:val="TableText"/>
            </w:pPr>
            <w:r w:rsidRPr="00755A11">
              <w:t>21.31</w:t>
            </w:r>
          </w:p>
        </w:tc>
      </w:tr>
      <w:tr w:rsidR="00AA1BBD" w:rsidRPr="00755A11" w14:paraId="5D053664" w14:textId="77777777" w:rsidTr="00611F28">
        <w:trPr>
          <w:trHeight w:val="283"/>
        </w:trPr>
        <w:tc>
          <w:tcPr>
            <w:tcW w:w="6372" w:type="dxa"/>
          </w:tcPr>
          <w:p w14:paraId="369A6607" w14:textId="77777777" w:rsidR="006C7FFA" w:rsidRPr="00755A11" w:rsidRDefault="006C7FFA" w:rsidP="00003A29">
            <w:pPr>
              <w:pStyle w:val="TableText"/>
            </w:pPr>
            <w:r w:rsidRPr="00755A11">
              <w:t>No</w:t>
            </w:r>
          </w:p>
        </w:tc>
        <w:tc>
          <w:tcPr>
            <w:tcW w:w="1134" w:type="dxa"/>
          </w:tcPr>
          <w:p w14:paraId="5C48EBC4" w14:textId="77777777" w:rsidR="006C7FFA" w:rsidRPr="00755A11" w:rsidRDefault="006C7FFA" w:rsidP="00003A29">
            <w:pPr>
              <w:pStyle w:val="TableText"/>
            </w:pPr>
            <w:r w:rsidRPr="00755A11">
              <w:t>6</w:t>
            </w:r>
          </w:p>
        </w:tc>
        <w:tc>
          <w:tcPr>
            <w:tcW w:w="1134" w:type="dxa"/>
          </w:tcPr>
          <w:p w14:paraId="74899425" w14:textId="1AEAE335" w:rsidR="006C7FFA" w:rsidRPr="00755A11" w:rsidRDefault="006C7FFA" w:rsidP="00003A29">
            <w:pPr>
              <w:pStyle w:val="TableText"/>
            </w:pPr>
            <w:r w:rsidRPr="00755A11">
              <w:t>9.84</w:t>
            </w:r>
          </w:p>
        </w:tc>
      </w:tr>
      <w:tr w:rsidR="006C7FFA" w:rsidRPr="00755A11" w14:paraId="40B2D476" w14:textId="77777777" w:rsidTr="00611F28">
        <w:trPr>
          <w:trHeight w:val="283"/>
        </w:trPr>
        <w:tc>
          <w:tcPr>
            <w:tcW w:w="6372" w:type="dxa"/>
          </w:tcPr>
          <w:p w14:paraId="2C048A59" w14:textId="77777777" w:rsidR="006C7FFA" w:rsidRPr="00755A11" w:rsidRDefault="006C7FFA" w:rsidP="00003A29">
            <w:pPr>
              <w:pStyle w:val="TableText"/>
            </w:pPr>
            <w:r w:rsidRPr="00755A11">
              <w:t>Unsure</w:t>
            </w:r>
          </w:p>
        </w:tc>
        <w:tc>
          <w:tcPr>
            <w:tcW w:w="1134" w:type="dxa"/>
          </w:tcPr>
          <w:p w14:paraId="453C4103" w14:textId="77777777" w:rsidR="006C7FFA" w:rsidRPr="00755A11" w:rsidRDefault="006C7FFA" w:rsidP="00003A29">
            <w:pPr>
              <w:pStyle w:val="TableText"/>
            </w:pPr>
            <w:r w:rsidRPr="00755A11">
              <w:t>8</w:t>
            </w:r>
          </w:p>
        </w:tc>
        <w:tc>
          <w:tcPr>
            <w:tcW w:w="1134" w:type="dxa"/>
          </w:tcPr>
          <w:p w14:paraId="3396F146" w14:textId="27CE0FEC" w:rsidR="006C7FFA" w:rsidRPr="00755A11" w:rsidRDefault="006C7FFA" w:rsidP="00003A29">
            <w:pPr>
              <w:pStyle w:val="TableText"/>
            </w:pPr>
            <w:r w:rsidRPr="00755A11">
              <w:t>13.11</w:t>
            </w:r>
          </w:p>
        </w:tc>
      </w:tr>
      <w:tr w:rsidR="006C7FFA" w:rsidRPr="00755A11" w14:paraId="18C6EB40" w14:textId="77777777" w:rsidTr="00EA337A">
        <w:trPr>
          <w:trHeight w:val="283"/>
        </w:trPr>
        <w:tc>
          <w:tcPr>
            <w:tcW w:w="6372" w:type="dxa"/>
            <w:tcBorders>
              <w:bottom w:val="double" w:sz="4" w:space="0" w:color="1B556B" w:themeColor="text2"/>
            </w:tcBorders>
          </w:tcPr>
          <w:p w14:paraId="278D7807" w14:textId="5F1CC6FF" w:rsidR="006C7FFA" w:rsidRPr="00755A11" w:rsidRDefault="006C7FFA" w:rsidP="00003A29">
            <w:pPr>
              <w:pStyle w:val="TableText"/>
            </w:pPr>
            <w:r w:rsidRPr="00755A11">
              <w:t xml:space="preserve">Not </w:t>
            </w:r>
            <w:r w:rsidR="00EF2430" w:rsidRPr="00755A11">
              <w:t>a</w:t>
            </w:r>
            <w:r w:rsidRPr="00755A11">
              <w:t>nswered</w:t>
            </w:r>
          </w:p>
        </w:tc>
        <w:tc>
          <w:tcPr>
            <w:tcW w:w="1134" w:type="dxa"/>
            <w:tcBorders>
              <w:bottom w:val="double" w:sz="4" w:space="0" w:color="1B556B" w:themeColor="text2"/>
            </w:tcBorders>
          </w:tcPr>
          <w:p w14:paraId="7942711E" w14:textId="77777777" w:rsidR="006C7FFA" w:rsidRPr="00755A11" w:rsidRDefault="006C7FFA" w:rsidP="00003A29">
            <w:pPr>
              <w:pStyle w:val="TableText"/>
            </w:pPr>
            <w:r w:rsidRPr="00755A11">
              <w:t>34</w:t>
            </w:r>
          </w:p>
        </w:tc>
        <w:tc>
          <w:tcPr>
            <w:tcW w:w="1134" w:type="dxa"/>
            <w:tcBorders>
              <w:bottom w:val="double" w:sz="4" w:space="0" w:color="1B556B" w:themeColor="text2"/>
            </w:tcBorders>
          </w:tcPr>
          <w:p w14:paraId="04FA7E2B" w14:textId="11536AA4" w:rsidR="006C7FFA" w:rsidRPr="00755A11" w:rsidRDefault="006C7FFA" w:rsidP="00003A29">
            <w:pPr>
              <w:pStyle w:val="TableText"/>
            </w:pPr>
            <w:r w:rsidRPr="00755A11">
              <w:t>55.74</w:t>
            </w:r>
          </w:p>
        </w:tc>
      </w:tr>
      <w:tr w:rsidR="006C7FFA" w:rsidRPr="00755A11" w14:paraId="3832FBD9" w14:textId="77777777" w:rsidTr="00EA337A">
        <w:trPr>
          <w:trHeight w:val="283"/>
        </w:trPr>
        <w:tc>
          <w:tcPr>
            <w:tcW w:w="6372" w:type="dxa"/>
            <w:tcBorders>
              <w:top w:val="double" w:sz="4" w:space="0" w:color="1B556B" w:themeColor="text2"/>
            </w:tcBorders>
          </w:tcPr>
          <w:p w14:paraId="223BAF7F" w14:textId="77777777" w:rsidR="006C7FFA" w:rsidRPr="00755A11" w:rsidRDefault="006C7FFA" w:rsidP="00003A29">
            <w:pPr>
              <w:pStyle w:val="TableText"/>
            </w:pPr>
            <w:r w:rsidRPr="00755A11">
              <w:t>Explanation provided</w:t>
            </w:r>
          </w:p>
        </w:tc>
        <w:tc>
          <w:tcPr>
            <w:tcW w:w="1134" w:type="dxa"/>
            <w:tcBorders>
              <w:top w:val="double" w:sz="4" w:space="0" w:color="1B556B" w:themeColor="text2"/>
            </w:tcBorders>
          </w:tcPr>
          <w:p w14:paraId="66C86C48" w14:textId="77777777" w:rsidR="006C7FFA" w:rsidRPr="00755A11" w:rsidRDefault="006C7FFA" w:rsidP="00003A29">
            <w:pPr>
              <w:pStyle w:val="TableText"/>
            </w:pPr>
            <w:r w:rsidRPr="00755A11">
              <w:t>18</w:t>
            </w:r>
          </w:p>
        </w:tc>
        <w:tc>
          <w:tcPr>
            <w:tcW w:w="1134" w:type="dxa"/>
            <w:tcBorders>
              <w:top w:val="double" w:sz="4" w:space="0" w:color="1B556B" w:themeColor="text2"/>
            </w:tcBorders>
          </w:tcPr>
          <w:p w14:paraId="31EEFB7F" w14:textId="77777777" w:rsidR="006C7FFA" w:rsidRPr="00755A11" w:rsidRDefault="006C7FFA" w:rsidP="00003A29">
            <w:pPr>
              <w:pStyle w:val="TableText"/>
            </w:pPr>
          </w:p>
        </w:tc>
      </w:tr>
    </w:tbl>
    <w:p w14:paraId="3C6ACDFF" w14:textId="46494CA0" w:rsidR="006C7FFA" w:rsidRPr="00755A11" w:rsidRDefault="006C7FFA" w:rsidP="00003A29">
      <w:pPr>
        <w:pStyle w:val="BodyText"/>
        <w:spacing w:before="360"/>
        <w:rPr>
          <w:b/>
          <w:bCs/>
          <w:lang w:eastAsia="en-US"/>
        </w:rPr>
      </w:pPr>
      <w:r w:rsidRPr="00755A11">
        <w:rPr>
          <w:b/>
          <w:bCs/>
          <w:lang w:eastAsia="en-US"/>
        </w:rPr>
        <w:t>22: What role should price controls play in containing the level of impacts, and what price</w:t>
      </w:r>
      <w:r w:rsidR="008A60F6">
        <w:rPr>
          <w:b/>
          <w:bCs/>
          <w:lang w:eastAsia="en-US"/>
        </w:rPr>
        <w:t> </w:t>
      </w:r>
      <w:r w:rsidRPr="00755A11">
        <w:rPr>
          <w:b/>
          <w:bCs/>
          <w:lang w:eastAsia="en-US"/>
        </w:rPr>
        <w:t>control settings would be required for this?</w:t>
      </w:r>
    </w:p>
    <w:tbl>
      <w:tblPr>
        <w:tblStyle w:val="Style4"/>
        <w:tblW w:w="0" w:type="auto"/>
        <w:tblBorders>
          <w:top w:val="single" w:sz="4" w:space="0" w:color="1B556B"/>
        </w:tblBorders>
        <w:tblLook w:val="04A0" w:firstRow="1" w:lastRow="0" w:firstColumn="1" w:lastColumn="0" w:noHBand="0" w:noVBand="1"/>
      </w:tblPr>
      <w:tblGrid>
        <w:gridCol w:w="6256"/>
        <w:gridCol w:w="1122"/>
        <w:gridCol w:w="1127"/>
      </w:tblGrid>
      <w:tr w:rsidR="006C7FFA" w:rsidRPr="00755A11" w14:paraId="1BA1251B" w14:textId="77777777" w:rsidTr="00611F28">
        <w:trPr>
          <w:cnfStyle w:val="100000000000" w:firstRow="1" w:lastRow="0" w:firstColumn="0" w:lastColumn="0" w:oddVBand="0" w:evenVBand="0" w:oddHBand="0" w:evenHBand="0" w:firstRowFirstColumn="0" w:firstRowLastColumn="0" w:lastRowFirstColumn="0" w:lastRowLastColumn="0"/>
          <w:trHeight w:val="283"/>
        </w:trPr>
        <w:tc>
          <w:tcPr>
            <w:tcW w:w="6372" w:type="dxa"/>
          </w:tcPr>
          <w:p w14:paraId="686D874D" w14:textId="77777777" w:rsidR="006C7FFA" w:rsidRPr="00755A11" w:rsidRDefault="006C7FFA" w:rsidP="00003A29">
            <w:pPr>
              <w:pStyle w:val="TableText"/>
              <w:spacing w:after="40"/>
            </w:pPr>
            <w:r w:rsidRPr="00755A11">
              <w:t>No selectable options</w:t>
            </w:r>
          </w:p>
        </w:tc>
        <w:tc>
          <w:tcPr>
            <w:tcW w:w="1134" w:type="dxa"/>
          </w:tcPr>
          <w:p w14:paraId="4CEC82BE" w14:textId="77777777" w:rsidR="006C7FFA" w:rsidRPr="00755A11" w:rsidRDefault="006C7FFA" w:rsidP="00003A29">
            <w:pPr>
              <w:pStyle w:val="TableText"/>
              <w:spacing w:after="40"/>
            </w:pPr>
            <w:r w:rsidRPr="00755A11">
              <w:t>Total</w:t>
            </w:r>
          </w:p>
        </w:tc>
        <w:tc>
          <w:tcPr>
            <w:tcW w:w="1134" w:type="dxa"/>
          </w:tcPr>
          <w:p w14:paraId="286090D6" w14:textId="77777777" w:rsidR="006C7FFA" w:rsidRPr="00755A11" w:rsidRDefault="006C7FFA" w:rsidP="00003A29">
            <w:pPr>
              <w:pStyle w:val="TableText"/>
              <w:spacing w:after="40"/>
            </w:pPr>
            <w:r w:rsidRPr="00755A11">
              <w:t>Percent</w:t>
            </w:r>
          </w:p>
        </w:tc>
      </w:tr>
      <w:tr w:rsidR="00086026" w:rsidRPr="00755A11" w14:paraId="7E9283A4" w14:textId="77777777" w:rsidTr="00611F28">
        <w:trPr>
          <w:trHeight w:val="283"/>
        </w:trPr>
        <w:tc>
          <w:tcPr>
            <w:tcW w:w="6372" w:type="dxa"/>
          </w:tcPr>
          <w:p w14:paraId="10193B9A" w14:textId="77777777" w:rsidR="006C7FFA" w:rsidRPr="00755A11" w:rsidRDefault="006C7FFA" w:rsidP="00003A29">
            <w:pPr>
              <w:pStyle w:val="TableText"/>
              <w:spacing w:after="40"/>
            </w:pPr>
            <w:r w:rsidRPr="00755A11">
              <w:t>Explanation provided</w:t>
            </w:r>
          </w:p>
        </w:tc>
        <w:tc>
          <w:tcPr>
            <w:tcW w:w="1134" w:type="dxa"/>
          </w:tcPr>
          <w:p w14:paraId="33103EAA" w14:textId="77777777" w:rsidR="006C7FFA" w:rsidRPr="00755A11" w:rsidRDefault="006C7FFA" w:rsidP="00003A29">
            <w:pPr>
              <w:pStyle w:val="TableText"/>
              <w:spacing w:after="40"/>
            </w:pPr>
            <w:r w:rsidRPr="00755A11">
              <w:t>28</w:t>
            </w:r>
          </w:p>
        </w:tc>
        <w:tc>
          <w:tcPr>
            <w:tcW w:w="1134" w:type="dxa"/>
          </w:tcPr>
          <w:p w14:paraId="1140D0AF" w14:textId="77777777" w:rsidR="006C7FFA" w:rsidRPr="00755A11" w:rsidRDefault="006C7FFA" w:rsidP="00003A29">
            <w:pPr>
              <w:pStyle w:val="TableText"/>
              <w:spacing w:after="40"/>
            </w:pPr>
          </w:p>
        </w:tc>
      </w:tr>
    </w:tbl>
    <w:p w14:paraId="5312BB9C" w14:textId="598BB2ED" w:rsidR="006C7FFA" w:rsidRPr="00755A11" w:rsidRDefault="006C7FFA" w:rsidP="00003A29">
      <w:pPr>
        <w:pStyle w:val="BodyText"/>
        <w:spacing w:before="360"/>
        <w:rPr>
          <w:b/>
          <w:bCs/>
          <w:lang w:eastAsia="en-US"/>
        </w:rPr>
      </w:pPr>
      <w:r w:rsidRPr="00755A11">
        <w:rPr>
          <w:b/>
          <w:bCs/>
          <w:lang w:eastAsia="en-US"/>
        </w:rPr>
        <w:t>23: If prices reached those presented in the cost containment reserve trigger price options</w:t>
      </w:r>
      <w:r w:rsidR="008A60F6">
        <w:rPr>
          <w:b/>
          <w:bCs/>
          <w:lang w:eastAsia="en-US"/>
        </w:rPr>
        <w:t> </w:t>
      </w:r>
      <w:r w:rsidRPr="00755A11">
        <w:rPr>
          <w:b/>
          <w:bCs/>
          <w:lang w:eastAsia="en-US"/>
        </w:rPr>
        <w:t>above, do you feel that you have options to change behaviours or make new investments to address the impacts?</w:t>
      </w:r>
    </w:p>
    <w:tbl>
      <w:tblPr>
        <w:tblStyle w:val="Style4"/>
        <w:tblW w:w="0" w:type="auto"/>
        <w:tblBorders>
          <w:top w:val="single" w:sz="4" w:space="0" w:color="1B556B" w:themeColor="text2"/>
          <w:bottom w:val="single" w:sz="4" w:space="0" w:color="1B556B" w:themeColor="text2"/>
          <w:insideH w:val="single" w:sz="4" w:space="0" w:color="1B556B" w:themeColor="text2"/>
          <w:insideV w:val="single" w:sz="4" w:space="0" w:color="1B556B" w:themeColor="text2"/>
        </w:tblBorders>
        <w:tblLook w:val="04A0" w:firstRow="1" w:lastRow="0" w:firstColumn="1" w:lastColumn="0" w:noHBand="0" w:noVBand="1"/>
      </w:tblPr>
      <w:tblGrid>
        <w:gridCol w:w="6256"/>
        <w:gridCol w:w="1122"/>
        <w:gridCol w:w="1127"/>
      </w:tblGrid>
      <w:tr w:rsidR="006C7FFA" w:rsidRPr="00755A11" w14:paraId="3DE08AD9" w14:textId="77777777" w:rsidTr="00611F28">
        <w:trPr>
          <w:cnfStyle w:val="100000000000" w:firstRow="1" w:lastRow="0" w:firstColumn="0" w:lastColumn="0" w:oddVBand="0" w:evenVBand="0" w:oddHBand="0" w:evenHBand="0" w:firstRowFirstColumn="0" w:firstRowLastColumn="0" w:lastRowFirstColumn="0" w:lastRowLastColumn="0"/>
          <w:trHeight w:val="283"/>
        </w:trPr>
        <w:tc>
          <w:tcPr>
            <w:tcW w:w="6372" w:type="dxa"/>
          </w:tcPr>
          <w:p w14:paraId="10B42671" w14:textId="77777777" w:rsidR="006C7FFA" w:rsidRPr="00755A11" w:rsidRDefault="006C7FFA" w:rsidP="00003A29">
            <w:pPr>
              <w:pStyle w:val="TableText"/>
              <w:spacing w:before="40" w:after="40"/>
            </w:pPr>
            <w:r w:rsidRPr="00755A11">
              <w:t>Option</w:t>
            </w:r>
          </w:p>
        </w:tc>
        <w:tc>
          <w:tcPr>
            <w:tcW w:w="1134" w:type="dxa"/>
          </w:tcPr>
          <w:p w14:paraId="6A337D90" w14:textId="77777777" w:rsidR="006C7FFA" w:rsidRPr="00755A11" w:rsidRDefault="006C7FFA" w:rsidP="00003A29">
            <w:pPr>
              <w:pStyle w:val="TableText"/>
              <w:spacing w:before="40" w:after="40"/>
            </w:pPr>
            <w:r w:rsidRPr="00755A11">
              <w:t>Total</w:t>
            </w:r>
          </w:p>
        </w:tc>
        <w:tc>
          <w:tcPr>
            <w:tcW w:w="1134" w:type="dxa"/>
          </w:tcPr>
          <w:p w14:paraId="5464E636" w14:textId="593AB06D" w:rsidR="006C7FFA" w:rsidRPr="00755A11" w:rsidRDefault="006C7FFA" w:rsidP="00003A29">
            <w:pPr>
              <w:pStyle w:val="TableText"/>
              <w:spacing w:before="40" w:after="40"/>
            </w:pPr>
            <w:r w:rsidRPr="00755A11">
              <w:t>Percent</w:t>
            </w:r>
            <w:r w:rsidR="00A94600" w:rsidRPr="00755A11">
              <w:t xml:space="preserve"> (%)</w:t>
            </w:r>
          </w:p>
        </w:tc>
      </w:tr>
      <w:tr w:rsidR="006C7FFA" w:rsidRPr="00755A11" w14:paraId="0884504F" w14:textId="77777777" w:rsidTr="00611F28">
        <w:trPr>
          <w:trHeight w:val="283"/>
        </w:trPr>
        <w:tc>
          <w:tcPr>
            <w:tcW w:w="6372" w:type="dxa"/>
          </w:tcPr>
          <w:p w14:paraId="6A3B6984" w14:textId="77777777" w:rsidR="006C7FFA" w:rsidRPr="00755A11" w:rsidRDefault="006C7FFA" w:rsidP="00003A29">
            <w:pPr>
              <w:pStyle w:val="TableText"/>
              <w:spacing w:before="40" w:after="40"/>
            </w:pPr>
            <w:r w:rsidRPr="00755A11">
              <w:t>Yes</w:t>
            </w:r>
          </w:p>
        </w:tc>
        <w:tc>
          <w:tcPr>
            <w:tcW w:w="1134" w:type="dxa"/>
          </w:tcPr>
          <w:p w14:paraId="044BE01F" w14:textId="77777777" w:rsidR="006C7FFA" w:rsidRPr="00755A11" w:rsidRDefault="006C7FFA" w:rsidP="00003A29">
            <w:pPr>
              <w:pStyle w:val="TableText"/>
              <w:spacing w:before="40" w:after="40"/>
            </w:pPr>
            <w:r w:rsidRPr="00755A11">
              <w:t>25</w:t>
            </w:r>
          </w:p>
        </w:tc>
        <w:tc>
          <w:tcPr>
            <w:tcW w:w="1134" w:type="dxa"/>
          </w:tcPr>
          <w:p w14:paraId="6DE1BFB4" w14:textId="4DFE19BC" w:rsidR="006C7FFA" w:rsidRPr="00755A11" w:rsidRDefault="006C7FFA" w:rsidP="00003A29">
            <w:pPr>
              <w:pStyle w:val="TableText"/>
              <w:spacing w:before="40" w:after="40"/>
            </w:pPr>
            <w:r w:rsidRPr="00755A11">
              <w:t>40.98</w:t>
            </w:r>
          </w:p>
        </w:tc>
      </w:tr>
      <w:tr w:rsidR="00AA1BBD" w:rsidRPr="00755A11" w14:paraId="38E7667B" w14:textId="77777777" w:rsidTr="00611F28">
        <w:trPr>
          <w:trHeight w:val="283"/>
        </w:trPr>
        <w:tc>
          <w:tcPr>
            <w:tcW w:w="6372" w:type="dxa"/>
          </w:tcPr>
          <w:p w14:paraId="57099A2D" w14:textId="77777777" w:rsidR="006C7FFA" w:rsidRPr="00755A11" w:rsidRDefault="006C7FFA" w:rsidP="00003A29">
            <w:pPr>
              <w:pStyle w:val="TableText"/>
              <w:spacing w:before="40" w:after="40"/>
            </w:pPr>
            <w:r w:rsidRPr="00755A11">
              <w:t>No</w:t>
            </w:r>
          </w:p>
        </w:tc>
        <w:tc>
          <w:tcPr>
            <w:tcW w:w="1134" w:type="dxa"/>
          </w:tcPr>
          <w:p w14:paraId="266C8205" w14:textId="77777777" w:rsidR="006C7FFA" w:rsidRPr="00755A11" w:rsidRDefault="006C7FFA" w:rsidP="00003A29">
            <w:pPr>
              <w:pStyle w:val="TableText"/>
              <w:spacing w:before="40" w:after="40"/>
            </w:pPr>
            <w:r w:rsidRPr="00755A11">
              <w:t>1</w:t>
            </w:r>
          </w:p>
        </w:tc>
        <w:tc>
          <w:tcPr>
            <w:tcW w:w="1134" w:type="dxa"/>
          </w:tcPr>
          <w:p w14:paraId="2BC4D335" w14:textId="282E2ACC" w:rsidR="006C7FFA" w:rsidRPr="00755A11" w:rsidRDefault="006C7FFA" w:rsidP="00003A29">
            <w:pPr>
              <w:pStyle w:val="TableText"/>
              <w:spacing w:before="40" w:after="40"/>
            </w:pPr>
            <w:r w:rsidRPr="00755A11">
              <w:t>1.64</w:t>
            </w:r>
          </w:p>
        </w:tc>
      </w:tr>
      <w:tr w:rsidR="006C7FFA" w:rsidRPr="00755A11" w14:paraId="3FCDB619" w14:textId="77777777" w:rsidTr="00611F28">
        <w:trPr>
          <w:trHeight w:val="283"/>
        </w:trPr>
        <w:tc>
          <w:tcPr>
            <w:tcW w:w="6372" w:type="dxa"/>
          </w:tcPr>
          <w:p w14:paraId="20534870" w14:textId="77777777" w:rsidR="006C7FFA" w:rsidRPr="00755A11" w:rsidRDefault="006C7FFA" w:rsidP="00003A29">
            <w:pPr>
              <w:pStyle w:val="TableText"/>
              <w:spacing w:before="40" w:after="40"/>
            </w:pPr>
            <w:r w:rsidRPr="00755A11">
              <w:t>Unsure</w:t>
            </w:r>
          </w:p>
        </w:tc>
        <w:tc>
          <w:tcPr>
            <w:tcW w:w="1134" w:type="dxa"/>
          </w:tcPr>
          <w:p w14:paraId="360EBCAA" w14:textId="77777777" w:rsidR="006C7FFA" w:rsidRPr="00755A11" w:rsidRDefault="006C7FFA" w:rsidP="00003A29">
            <w:pPr>
              <w:pStyle w:val="TableText"/>
              <w:spacing w:before="40" w:after="40"/>
            </w:pPr>
            <w:r w:rsidRPr="00755A11">
              <w:t>3</w:t>
            </w:r>
          </w:p>
        </w:tc>
        <w:tc>
          <w:tcPr>
            <w:tcW w:w="1134" w:type="dxa"/>
          </w:tcPr>
          <w:p w14:paraId="6E68A6A3" w14:textId="54646134" w:rsidR="006C7FFA" w:rsidRPr="00755A11" w:rsidRDefault="006C7FFA" w:rsidP="00003A29">
            <w:pPr>
              <w:pStyle w:val="TableText"/>
              <w:spacing w:before="40" w:after="40"/>
            </w:pPr>
            <w:r w:rsidRPr="00755A11">
              <w:t>4.92</w:t>
            </w:r>
          </w:p>
        </w:tc>
      </w:tr>
      <w:tr w:rsidR="006C7FFA" w:rsidRPr="00755A11" w14:paraId="51F6A2DB" w14:textId="77777777" w:rsidTr="00EA337A">
        <w:trPr>
          <w:trHeight w:val="283"/>
        </w:trPr>
        <w:tc>
          <w:tcPr>
            <w:tcW w:w="6372" w:type="dxa"/>
            <w:tcBorders>
              <w:bottom w:val="double" w:sz="4" w:space="0" w:color="1B556B" w:themeColor="text2"/>
            </w:tcBorders>
          </w:tcPr>
          <w:p w14:paraId="51CFB2B9" w14:textId="125FF3DB" w:rsidR="006C7FFA" w:rsidRPr="00755A11" w:rsidRDefault="006C7FFA" w:rsidP="00003A29">
            <w:pPr>
              <w:pStyle w:val="TableText"/>
              <w:spacing w:before="40" w:after="40"/>
            </w:pPr>
            <w:r w:rsidRPr="00755A11">
              <w:t xml:space="preserve">Not </w:t>
            </w:r>
            <w:r w:rsidR="00A94600" w:rsidRPr="00755A11">
              <w:t>a</w:t>
            </w:r>
            <w:r w:rsidRPr="00755A11">
              <w:t>nswered</w:t>
            </w:r>
          </w:p>
        </w:tc>
        <w:tc>
          <w:tcPr>
            <w:tcW w:w="1134" w:type="dxa"/>
            <w:tcBorders>
              <w:bottom w:val="double" w:sz="4" w:space="0" w:color="1B556B" w:themeColor="text2"/>
            </w:tcBorders>
          </w:tcPr>
          <w:p w14:paraId="280854A6" w14:textId="77777777" w:rsidR="006C7FFA" w:rsidRPr="00755A11" w:rsidRDefault="006C7FFA" w:rsidP="00003A29">
            <w:pPr>
              <w:pStyle w:val="TableText"/>
              <w:spacing w:before="40" w:after="40"/>
            </w:pPr>
            <w:r w:rsidRPr="00755A11">
              <w:t>32</w:t>
            </w:r>
          </w:p>
        </w:tc>
        <w:tc>
          <w:tcPr>
            <w:tcW w:w="1134" w:type="dxa"/>
            <w:tcBorders>
              <w:bottom w:val="double" w:sz="4" w:space="0" w:color="1B556B" w:themeColor="text2"/>
            </w:tcBorders>
          </w:tcPr>
          <w:p w14:paraId="62A43E4B" w14:textId="4129D4E1" w:rsidR="006C7FFA" w:rsidRPr="00755A11" w:rsidRDefault="006C7FFA" w:rsidP="00003A29">
            <w:pPr>
              <w:pStyle w:val="TableText"/>
              <w:spacing w:before="40" w:after="40"/>
            </w:pPr>
            <w:r w:rsidRPr="00755A11">
              <w:t>52.46</w:t>
            </w:r>
          </w:p>
        </w:tc>
      </w:tr>
      <w:tr w:rsidR="006C7FFA" w:rsidRPr="00755A11" w14:paraId="0004EED1" w14:textId="77777777" w:rsidTr="00EA337A">
        <w:trPr>
          <w:trHeight w:val="283"/>
        </w:trPr>
        <w:tc>
          <w:tcPr>
            <w:tcW w:w="6372" w:type="dxa"/>
            <w:tcBorders>
              <w:top w:val="double" w:sz="4" w:space="0" w:color="1B556B" w:themeColor="text2"/>
            </w:tcBorders>
          </w:tcPr>
          <w:p w14:paraId="7DD27CB4" w14:textId="77777777" w:rsidR="006C7FFA" w:rsidRPr="00755A11" w:rsidRDefault="006C7FFA" w:rsidP="00003A29">
            <w:pPr>
              <w:pStyle w:val="TableText"/>
              <w:spacing w:before="40" w:after="40"/>
            </w:pPr>
            <w:r w:rsidRPr="00755A11">
              <w:t>Explanation provided</w:t>
            </w:r>
          </w:p>
        </w:tc>
        <w:tc>
          <w:tcPr>
            <w:tcW w:w="1134" w:type="dxa"/>
            <w:tcBorders>
              <w:top w:val="double" w:sz="4" w:space="0" w:color="1B556B" w:themeColor="text2"/>
            </w:tcBorders>
          </w:tcPr>
          <w:p w14:paraId="0F06FABB" w14:textId="77777777" w:rsidR="006C7FFA" w:rsidRPr="00755A11" w:rsidRDefault="006C7FFA" w:rsidP="00003A29">
            <w:pPr>
              <w:pStyle w:val="TableText"/>
              <w:spacing w:before="40" w:after="40"/>
            </w:pPr>
            <w:r w:rsidRPr="00755A11">
              <w:t>20</w:t>
            </w:r>
          </w:p>
        </w:tc>
        <w:tc>
          <w:tcPr>
            <w:tcW w:w="1134" w:type="dxa"/>
            <w:tcBorders>
              <w:top w:val="double" w:sz="4" w:space="0" w:color="1B556B" w:themeColor="text2"/>
            </w:tcBorders>
          </w:tcPr>
          <w:p w14:paraId="19CD9CCC" w14:textId="77777777" w:rsidR="006C7FFA" w:rsidRPr="00755A11" w:rsidRDefault="006C7FFA" w:rsidP="00003A29">
            <w:pPr>
              <w:pStyle w:val="TableText"/>
              <w:spacing w:before="40" w:after="40"/>
            </w:pPr>
          </w:p>
        </w:tc>
      </w:tr>
    </w:tbl>
    <w:p w14:paraId="3CCEABB2" w14:textId="2B945B86" w:rsidR="006C7FFA" w:rsidRPr="00755A11" w:rsidRDefault="006C7FFA" w:rsidP="00003A29">
      <w:pPr>
        <w:pStyle w:val="BodyText"/>
        <w:spacing w:before="360"/>
        <w:rPr>
          <w:b/>
          <w:bCs/>
          <w:lang w:eastAsia="en-US"/>
        </w:rPr>
      </w:pPr>
      <w:r w:rsidRPr="00755A11">
        <w:rPr>
          <w:b/>
          <w:bCs/>
          <w:lang w:eastAsia="en-US"/>
        </w:rPr>
        <w:lastRenderedPageBreak/>
        <w:t>24: Could you change behaviours or make new investments to mitigate the impact of</w:t>
      </w:r>
      <w:r w:rsidR="008A60F6">
        <w:rPr>
          <w:b/>
          <w:bCs/>
          <w:lang w:eastAsia="en-US"/>
        </w:rPr>
        <w:t> </w:t>
      </w:r>
      <w:r w:rsidRPr="00755A11">
        <w:rPr>
          <w:b/>
          <w:bCs/>
          <w:lang w:eastAsia="en-US"/>
        </w:rPr>
        <w:t>higher</w:t>
      </w:r>
      <w:r w:rsidR="002936A1" w:rsidRPr="00755A11">
        <w:rPr>
          <w:b/>
          <w:bCs/>
          <w:lang w:eastAsia="en-US"/>
        </w:rPr>
        <w:t> </w:t>
      </w:r>
      <w:r w:rsidRPr="00755A11">
        <w:rPr>
          <w:b/>
          <w:bCs/>
          <w:lang w:eastAsia="en-US"/>
        </w:rPr>
        <w:t>prices on yourself?</w:t>
      </w:r>
    </w:p>
    <w:tbl>
      <w:tblPr>
        <w:tblStyle w:val="Style4"/>
        <w:tblW w:w="0" w:type="auto"/>
        <w:tblBorders>
          <w:top w:val="single" w:sz="4" w:space="0" w:color="1B556B" w:themeColor="text2"/>
          <w:bottom w:val="single" w:sz="4" w:space="0" w:color="1B556B" w:themeColor="text2"/>
          <w:insideH w:val="single" w:sz="4" w:space="0" w:color="1B556B" w:themeColor="text2"/>
          <w:insideV w:val="single" w:sz="4" w:space="0" w:color="1B556B" w:themeColor="text2"/>
        </w:tblBorders>
        <w:tblLook w:val="04A0" w:firstRow="1" w:lastRow="0" w:firstColumn="1" w:lastColumn="0" w:noHBand="0" w:noVBand="1"/>
      </w:tblPr>
      <w:tblGrid>
        <w:gridCol w:w="6256"/>
        <w:gridCol w:w="1122"/>
        <w:gridCol w:w="1127"/>
      </w:tblGrid>
      <w:tr w:rsidR="006C7FFA" w:rsidRPr="00755A11" w14:paraId="53ACAFB1" w14:textId="77777777" w:rsidTr="00611F28">
        <w:trPr>
          <w:cnfStyle w:val="100000000000" w:firstRow="1" w:lastRow="0" w:firstColumn="0" w:lastColumn="0" w:oddVBand="0" w:evenVBand="0" w:oddHBand="0" w:evenHBand="0" w:firstRowFirstColumn="0" w:firstRowLastColumn="0" w:lastRowFirstColumn="0" w:lastRowLastColumn="0"/>
          <w:trHeight w:val="283"/>
        </w:trPr>
        <w:tc>
          <w:tcPr>
            <w:tcW w:w="6372" w:type="dxa"/>
          </w:tcPr>
          <w:p w14:paraId="5F9D99E3" w14:textId="77777777" w:rsidR="006C7FFA" w:rsidRPr="00755A11" w:rsidRDefault="006C7FFA" w:rsidP="00003A29">
            <w:pPr>
              <w:pStyle w:val="TableText"/>
            </w:pPr>
            <w:r w:rsidRPr="00755A11">
              <w:t>Option</w:t>
            </w:r>
          </w:p>
        </w:tc>
        <w:tc>
          <w:tcPr>
            <w:tcW w:w="1134" w:type="dxa"/>
          </w:tcPr>
          <w:p w14:paraId="3C258B95" w14:textId="77777777" w:rsidR="006C7FFA" w:rsidRPr="00755A11" w:rsidRDefault="006C7FFA" w:rsidP="00003A29">
            <w:pPr>
              <w:pStyle w:val="TableText"/>
            </w:pPr>
            <w:r w:rsidRPr="00755A11">
              <w:t>Total</w:t>
            </w:r>
          </w:p>
        </w:tc>
        <w:tc>
          <w:tcPr>
            <w:tcW w:w="1134" w:type="dxa"/>
          </w:tcPr>
          <w:p w14:paraId="07689F1C" w14:textId="20723F7C" w:rsidR="006C7FFA" w:rsidRPr="00755A11" w:rsidRDefault="006C7FFA" w:rsidP="00003A29">
            <w:pPr>
              <w:pStyle w:val="TableText"/>
            </w:pPr>
            <w:r w:rsidRPr="00755A11">
              <w:t>Percent</w:t>
            </w:r>
            <w:r w:rsidR="00A94600" w:rsidRPr="00755A11">
              <w:t xml:space="preserve"> (%)</w:t>
            </w:r>
          </w:p>
        </w:tc>
      </w:tr>
      <w:tr w:rsidR="006C7FFA" w:rsidRPr="00755A11" w14:paraId="4EF3DCE8" w14:textId="77777777" w:rsidTr="00611F28">
        <w:trPr>
          <w:trHeight w:val="283"/>
        </w:trPr>
        <w:tc>
          <w:tcPr>
            <w:tcW w:w="6372" w:type="dxa"/>
          </w:tcPr>
          <w:p w14:paraId="22DCEDD2" w14:textId="77777777" w:rsidR="006C7FFA" w:rsidRPr="00755A11" w:rsidRDefault="006C7FFA" w:rsidP="00003A29">
            <w:pPr>
              <w:pStyle w:val="TableText"/>
            </w:pPr>
            <w:r w:rsidRPr="00755A11">
              <w:t>Yes</w:t>
            </w:r>
          </w:p>
        </w:tc>
        <w:tc>
          <w:tcPr>
            <w:tcW w:w="1134" w:type="dxa"/>
          </w:tcPr>
          <w:p w14:paraId="109C66EF" w14:textId="77777777" w:rsidR="006C7FFA" w:rsidRPr="00755A11" w:rsidRDefault="006C7FFA" w:rsidP="00003A29">
            <w:pPr>
              <w:pStyle w:val="TableText"/>
            </w:pPr>
            <w:r w:rsidRPr="00755A11">
              <w:t>29</w:t>
            </w:r>
          </w:p>
        </w:tc>
        <w:tc>
          <w:tcPr>
            <w:tcW w:w="1134" w:type="dxa"/>
          </w:tcPr>
          <w:p w14:paraId="5B25A9E7" w14:textId="5DE56387" w:rsidR="006C7FFA" w:rsidRPr="00755A11" w:rsidRDefault="006C7FFA" w:rsidP="00003A29">
            <w:pPr>
              <w:pStyle w:val="TableText"/>
            </w:pPr>
            <w:r w:rsidRPr="00755A11">
              <w:t>47.54</w:t>
            </w:r>
          </w:p>
        </w:tc>
      </w:tr>
      <w:tr w:rsidR="00AA1BBD" w:rsidRPr="00755A11" w14:paraId="69C225B0" w14:textId="77777777" w:rsidTr="00611F28">
        <w:trPr>
          <w:trHeight w:val="283"/>
        </w:trPr>
        <w:tc>
          <w:tcPr>
            <w:tcW w:w="6372" w:type="dxa"/>
          </w:tcPr>
          <w:p w14:paraId="7C6E8FE3" w14:textId="77777777" w:rsidR="006C7FFA" w:rsidRPr="00755A11" w:rsidRDefault="006C7FFA" w:rsidP="00003A29">
            <w:pPr>
              <w:pStyle w:val="TableText"/>
            </w:pPr>
            <w:r w:rsidRPr="00755A11">
              <w:t>No</w:t>
            </w:r>
          </w:p>
        </w:tc>
        <w:tc>
          <w:tcPr>
            <w:tcW w:w="1134" w:type="dxa"/>
          </w:tcPr>
          <w:p w14:paraId="3892EEFA" w14:textId="77777777" w:rsidR="006C7FFA" w:rsidRPr="00755A11" w:rsidRDefault="006C7FFA" w:rsidP="00003A29">
            <w:pPr>
              <w:pStyle w:val="TableText"/>
            </w:pPr>
            <w:r w:rsidRPr="00755A11">
              <w:t>0</w:t>
            </w:r>
          </w:p>
        </w:tc>
        <w:tc>
          <w:tcPr>
            <w:tcW w:w="1134" w:type="dxa"/>
          </w:tcPr>
          <w:p w14:paraId="77E6BBDE" w14:textId="44281732" w:rsidR="006C7FFA" w:rsidRPr="00755A11" w:rsidRDefault="006C7FFA" w:rsidP="00003A29">
            <w:pPr>
              <w:pStyle w:val="TableText"/>
            </w:pPr>
            <w:r w:rsidRPr="00755A11">
              <w:t>0.00</w:t>
            </w:r>
          </w:p>
        </w:tc>
      </w:tr>
      <w:tr w:rsidR="006C7FFA" w:rsidRPr="00755A11" w14:paraId="14D6F958" w14:textId="77777777" w:rsidTr="00611F28">
        <w:trPr>
          <w:trHeight w:val="283"/>
        </w:trPr>
        <w:tc>
          <w:tcPr>
            <w:tcW w:w="6372" w:type="dxa"/>
          </w:tcPr>
          <w:p w14:paraId="582CBC75" w14:textId="77777777" w:rsidR="006C7FFA" w:rsidRPr="00755A11" w:rsidRDefault="006C7FFA" w:rsidP="00003A29">
            <w:pPr>
              <w:pStyle w:val="TableText"/>
            </w:pPr>
            <w:r w:rsidRPr="00755A11">
              <w:t>Unsure</w:t>
            </w:r>
          </w:p>
        </w:tc>
        <w:tc>
          <w:tcPr>
            <w:tcW w:w="1134" w:type="dxa"/>
          </w:tcPr>
          <w:p w14:paraId="4746C772" w14:textId="77777777" w:rsidR="006C7FFA" w:rsidRPr="00755A11" w:rsidRDefault="006C7FFA" w:rsidP="00003A29">
            <w:pPr>
              <w:pStyle w:val="TableText"/>
            </w:pPr>
            <w:r w:rsidRPr="00755A11">
              <w:t>0</w:t>
            </w:r>
          </w:p>
        </w:tc>
        <w:tc>
          <w:tcPr>
            <w:tcW w:w="1134" w:type="dxa"/>
          </w:tcPr>
          <w:p w14:paraId="015E2C52" w14:textId="510EBB3F" w:rsidR="006C7FFA" w:rsidRPr="00755A11" w:rsidRDefault="006C7FFA" w:rsidP="00003A29">
            <w:pPr>
              <w:pStyle w:val="TableText"/>
            </w:pPr>
            <w:r w:rsidRPr="00755A11">
              <w:t>0.00</w:t>
            </w:r>
          </w:p>
        </w:tc>
      </w:tr>
      <w:tr w:rsidR="006C7FFA" w:rsidRPr="00755A11" w14:paraId="727980CC" w14:textId="77777777" w:rsidTr="00EA337A">
        <w:trPr>
          <w:trHeight w:val="283"/>
        </w:trPr>
        <w:tc>
          <w:tcPr>
            <w:tcW w:w="6372" w:type="dxa"/>
            <w:tcBorders>
              <w:bottom w:val="double" w:sz="4" w:space="0" w:color="1B556B" w:themeColor="text2"/>
            </w:tcBorders>
          </w:tcPr>
          <w:p w14:paraId="16285740" w14:textId="3D3230CF" w:rsidR="006C7FFA" w:rsidRPr="00755A11" w:rsidRDefault="006C7FFA" w:rsidP="00003A29">
            <w:pPr>
              <w:pStyle w:val="TableText"/>
            </w:pPr>
            <w:r w:rsidRPr="00755A11">
              <w:t xml:space="preserve">Not </w:t>
            </w:r>
            <w:r w:rsidR="00A94600" w:rsidRPr="00755A11">
              <w:t>a</w:t>
            </w:r>
            <w:r w:rsidRPr="00755A11">
              <w:t>nswered</w:t>
            </w:r>
          </w:p>
        </w:tc>
        <w:tc>
          <w:tcPr>
            <w:tcW w:w="1134" w:type="dxa"/>
            <w:tcBorders>
              <w:bottom w:val="double" w:sz="4" w:space="0" w:color="1B556B" w:themeColor="text2"/>
            </w:tcBorders>
          </w:tcPr>
          <w:p w14:paraId="24A7ECA9" w14:textId="77777777" w:rsidR="006C7FFA" w:rsidRPr="00755A11" w:rsidRDefault="006C7FFA" w:rsidP="00003A29">
            <w:pPr>
              <w:pStyle w:val="TableText"/>
            </w:pPr>
            <w:r w:rsidRPr="00755A11">
              <w:t>32</w:t>
            </w:r>
          </w:p>
        </w:tc>
        <w:tc>
          <w:tcPr>
            <w:tcW w:w="1134" w:type="dxa"/>
            <w:tcBorders>
              <w:bottom w:val="double" w:sz="4" w:space="0" w:color="1B556B" w:themeColor="text2"/>
            </w:tcBorders>
          </w:tcPr>
          <w:p w14:paraId="592EC647" w14:textId="2195EDD1" w:rsidR="006C7FFA" w:rsidRPr="00755A11" w:rsidRDefault="006C7FFA" w:rsidP="00003A29">
            <w:pPr>
              <w:pStyle w:val="TableText"/>
            </w:pPr>
            <w:r w:rsidRPr="00755A11">
              <w:t>52.46</w:t>
            </w:r>
          </w:p>
        </w:tc>
      </w:tr>
      <w:tr w:rsidR="006C7FFA" w:rsidRPr="00755A11" w14:paraId="5067B160" w14:textId="77777777" w:rsidTr="00EA337A">
        <w:trPr>
          <w:trHeight w:val="283"/>
        </w:trPr>
        <w:tc>
          <w:tcPr>
            <w:tcW w:w="6372" w:type="dxa"/>
            <w:tcBorders>
              <w:top w:val="double" w:sz="4" w:space="0" w:color="1B556B" w:themeColor="text2"/>
            </w:tcBorders>
          </w:tcPr>
          <w:p w14:paraId="3A4F02F4" w14:textId="77777777" w:rsidR="006C7FFA" w:rsidRPr="00755A11" w:rsidRDefault="006C7FFA" w:rsidP="00003A29">
            <w:pPr>
              <w:pStyle w:val="TableText"/>
            </w:pPr>
            <w:r w:rsidRPr="00755A11">
              <w:t>Explanation provided</w:t>
            </w:r>
          </w:p>
        </w:tc>
        <w:tc>
          <w:tcPr>
            <w:tcW w:w="1134" w:type="dxa"/>
            <w:tcBorders>
              <w:top w:val="double" w:sz="4" w:space="0" w:color="1B556B" w:themeColor="text2"/>
            </w:tcBorders>
          </w:tcPr>
          <w:p w14:paraId="04311366" w14:textId="77777777" w:rsidR="006C7FFA" w:rsidRPr="00755A11" w:rsidRDefault="006C7FFA" w:rsidP="00003A29">
            <w:pPr>
              <w:pStyle w:val="TableText"/>
            </w:pPr>
            <w:r w:rsidRPr="00755A11">
              <w:t>19</w:t>
            </w:r>
          </w:p>
        </w:tc>
        <w:tc>
          <w:tcPr>
            <w:tcW w:w="1134" w:type="dxa"/>
            <w:tcBorders>
              <w:top w:val="double" w:sz="4" w:space="0" w:color="1B556B" w:themeColor="text2"/>
            </w:tcBorders>
          </w:tcPr>
          <w:p w14:paraId="69C1F1D7" w14:textId="77777777" w:rsidR="006C7FFA" w:rsidRPr="00755A11" w:rsidRDefault="006C7FFA" w:rsidP="00003A29">
            <w:pPr>
              <w:pStyle w:val="TableText"/>
            </w:pPr>
          </w:p>
        </w:tc>
      </w:tr>
    </w:tbl>
    <w:p w14:paraId="3FC0C3FC" w14:textId="676A785C" w:rsidR="006C7FFA" w:rsidRPr="00755A11" w:rsidRDefault="006C7FFA" w:rsidP="00003A29">
      <w:pPr>
        <w:pStyle w:val="BodyText"/>
        <w:spacing w:before="360"/>
        <w:rPr>
          <w:b/>
          <w:bCs/>
          <w:lang w:eastAsia="en-US"/>
        </w:rPr>
      </w:pPr>
      <w:r w:rsidRPr="00755A11">
        <w:rPr>
          <w:b/>
          <w:bCs/>
          <w:lang w:eastAsia="en-US"/>
        </w:rPr>
        <w:t>Any general feedback on the consultation</w:t>
      </w:r>
      <w:r w:rsidR="00086026" w:rsidRPr="00755A11">
        <w:rPr>
          <w:b/>
          <w:bCs/>
          <w:lang w:eastAsia="en-US"/>
        </w:rPr>
        <w:t>?</w:t>
      </w:r>
    </w:p>
    <w:tbl>
      <w:tblPr>
        <w:tblStyle w:val="Style4"/>
        <w:tblW w:w="0" w:type="auto"/>
        <w:tblBorders>
          <w:top w:val="single" w:sz="4" w:space="0" w:color="1B556B" w:themeColor="text2"/>
          <w:bottom w:val="single" w:sz="4" w:space="0" w:color="1B556B" w:themeColor="text2"/>
          <w:insideH w:val="single" w:sz="4" w:space="0" w:color="1B556B" w:themeColor="text2"/>
          <w:insideV w:val="single" w:sz="4" w:space="0" w:color="1B556B" w:themeColor="text2"/>
        </w:tblBorders>
        <w:tblLook w:val="04A0" w:firstRow="1" w:lastRow="0" w:firstColumn="1" w:lastColumn="0" w:noHBand="0" w:noVBand="1"/>
      </w:tblPr>
      <w:tblGrid>
        <w:gridCol w:w="6256"/>
        <w:gridCol w:w="1122"/>
        <w:gridCol w:w="1127"/>
      </w:tblGrid>
      <w:tr w:rsidR="00086026" w:rsidRPr="00755A11" w14:paraId="68C0D3DF" w14:textId="77777777" w:rsidTr="00611F28">
        <w:trPr>
          <w:cnfStyle w:val="100000000000" w:firstRow="1" w:lastRow="0" w:firstColumn="0" w:lastColumn="0" w:oddVBand="0" w:evenVBand="0" w:oddHBand="0" w:evenHBand="0" w:firstRowFirstColumn="0" w:firstRowLastColumn="0" w:lastRowFirstColumn="0" w:lastRowLastColumn="0"/>
          <w:trHeight w:val="283"/>
        </w:trPr>
        <w:tc>
          <w:tcPr>
            <w:tcW w:w="6372" w:type="dxa"/>
          </w:tcPr>
          <w:p w14:paraId="612B7835" w14:textId="77777777" w:rsidR="006C7FFA" w:rsidRPr="00755A11" w:rsidRDefault="006C7FFA" w:rsidP="00003A29">
            <w:pPr>
              <w:pStyle w:val="TableText"/>
            </w:pPr>
            <w:r w:rsidRPr="00755A11">
              <w:t>No selectable options</w:t>
            </w:r>
          </w:p>
        </w:tc>
        <w:tc>
          <w:tcPr>
            <w:tcW w:w="1134" w:type="dxa"/>
          </w:tcPr>
          <w:p w14:paraId="5BAF650A" w14:textId="77777777" w:rsidR="006C7FFA" w:rsidRPr="00755A11" w:rsidRDefault="006C7FFA" w:rsidP="00003A29">
            <w:pPr>
              <w:pStyle w:val="TableText"/>
            </w:pPr>
            <w:r w:rsidRPr="00755A11">
              <w:t>Total</w:t>
            </w:r>
          </w:p>
        </w:tc>
        <w:tc>
          <w:tcPr>
            <w:tcW w:w="1134" w:type="dxa"/>
          </w:tcPr>
          <w:p w14:paraId="72C41E06" w14:textId="77777777" w:rsidR="006C7FFA" w:rsidRPr="00755A11" w:rsidRDefault="006C7FFA" w:rsidP="00003A29">
            <w:pPr>
              <w:pStyle w:val="TableText"/>
            </w:pPr>
            <w:r w:rsidRPr="00755A11">
              <w:t>Percent</w:t>
            </w:r>
          </w:p>
        </w:tc>
      </w:tr>
      <w:tr w:rsidR="00AA1BBD" w:rsidRPr="00755A11" w14:paraId="3F5709CF" w14:textId="77777777" w:rsidTr="00611F28">
        <w:trPr>
          <w:trHeight w:val="283"/>
        </w:trPr>
        <w:tc>
          <w:tcPr>
            <w:tcW w:w="6372" w:type="dxa"/>
          </w:tcPr>
          <w:p w14:paraId="488D106A" w14:textId="77777777" w:rsidR="006C7FFA" w:rsidRPr="00755A11" w:rsidRDefault="006C7FFA" w:rsidP="00003A29">
            <w:pPr>
              <w:pStyle w:val="TableText"/>
            </w:pPr>
            <w:r w:rsidRPr="00755A11">
              <w:t>Explanation provided</w:t>
            </w:r>
          </w:p>
        </w:tc>
        <w:tc>
          <w:tcPr>
            <w:tcW w:w="1134" w:type="dxa"/>
          </w:tcPr>
          <w:p w14:paraId="66BB9CC1" w14:textId="77777777" w:rsidR="006C7FFA" w:rsidRPr="00755A11" w:rsidRDefault="006C7FFA" w:rsidP="00003A29">
            <w:pPr>
              <w:pStyle w:val="TableText"/>
            </w:pPr>
            <w:r w:rsidRPr="00755A11">
              <w:t>26</w:t>
            </w:r>
          </w:p>
        </w:tc>
        <w:tc>
          <w:tcPr>
            <w:tcW w:w="1134" w:type="dxa"/>
          </w:tcPr>
          <w:p w14:paraId="467987AE" w14:textId="77777777" w:rsidR="006C7FFA" w:rsidRPr="00755A11" w:rsidRDefault="006C7FFA" w:rsidP="00003A29">
            <w:pPr>
              <w:pStyle w:val="TableText"/>
            </w:pPr>
          </w:p>
        </w:tc>
      </w:tr>
    </w:tbl>
    <w:p w14:paraId="32007710" w14:textId="440FF587" w:rsidR="00F91746" w:rsidRPr="00755A11" w:rsidRDefault="00F91746" w:rsidP="00003A29">
      <w:pPr>
        <w:pStyle w:val="BodyText"/>
      </w:pPr>
    </w:p>
    <w:sectPr w:rsidR="00F91746" w:rsidRPr="00755A11" w:rsidSect="00DD15FC">
      <w:footerReference w:type="even" r:id="rId22"/>
      <w:footerReference w:type="default" r:id="rId23"/>
      <w:pgSz w:w="11907" w:h="16840" w:code="9"/>
      <w:pgMar w:top="1134" w:right="1701" w:bottom="1134" w:left="1701"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742F5" w14:textId="77777777" w:rsidR="001274AA" w:rsidRDefault="001274AA" w:rsidP="00AE0109">
      <w:pPr>
        <w:spacing w:before="0" w:after="0" w:line="240" w:lineRule="auto"/>
      </w:pPr>
      <w:r>
        <w:separator/>
      </w:r>
    </w:p>
  </w:endnote>
  <w:endnote w:type="continuationSeparator" w:id="0">
    <w:p w14:paraId="7A5D2ED9" w14:textId="77777777" w:rsidR="001274AA" w:rsidRDefault="001274AA" w:rsidP="00AE0109">
      <w:pPr>
        <w:spacing w:before="0" w:after="0" w:line="240" w:lineRule="auto"/>
      </w:pPr>
      <w:r>
        <w:continuationSeparator/>
      </w:r>
    </w:p>
  </w:endnote>
  <w:endnote w:type="continuationNotice" w:id="1">
    <w:p w14:paraId="6B8324E1" w14:textId="77777777" w:rsidR="001274AA" w:rsidRDefault="001274A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Gothic UI Semilight">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4CC16" w14:textId="383FF6C8" w:rsidR="00AE0109" w:rsidRDefault="00AE0109">
    <w:pPr>
      <w:spacing w:before="0" w:after="0" w:line="240" w:lineRule="auto"/>
      <w:ind w:left="-57"/>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ECF8A" w14:textId="77777777" w:rsidR="00AE0109" w:rsidRDefault="00AE0109">
    <w:pPr>
      <w:spacing w:before="240"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73BF1" w14:textId="2ED8ECC9" w:rsidR="00AE0109" w:rsidRDefault="00AE010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1AB73" w14:textId="318FD0CB" w:rsidR="00E850A6" w:rsidRDefault="00E63E5E">
    <w:pPr>
      <w:pStyle w:val="Footereven"/>
    </w:pPr>
    <w:r w:rsidRPr="004F458A">
      <w:rPr>
        <w:b/>
      </w:rPr>
      <w:fldChar w:fldCharType="begin"/>
    </w:r>
    <w:r w:rsidRPr="004F458A">
      <w:instrText xml:space="preserve"> PAGE </w:instrText>
    </w:r>
    <w:r w:rsidRPr="004F458A">
      <w:rPr>
        <w:b/>
      </w:rPr>
      <w:fldChar w:fldCharType="separate"/>
    </w:r>
    <w:r>
      <w:rPr>
        <w:noProof/>
      </w:rPr>
      <w:t>8</w:t>
    </w:r>
    <w:r w:rsidRPr="004F458A">
      <w:rPr>
        <w:b/>
      </w:rPr>
      <w:fldChar w:fldCharType="end"/>
    </w:r>
    <w:r>
      <w:tab/>
    </w:r>
    <w:r w:rsidR="00740142" w:rsidRPr="00740142">
      <w:t>Annual updates to NZ ETS limits and price control settings for units 2023: Summary of submissions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AD54F" w14:textId="4C701BF7" w:rsidR="00E850A6" w:rsidRDefault="002D3C5B">
    <w:pPr>
      <w:pStyle w:val="Footerodd"/>
    </w:pPr>
    <w:r>
      <w:tab/>
    </w:r>
    <w:r w:rsidR="00740142" w:rsidRPr="00740142">
      <w:t>Annual updates to NZ ETS limits and price control settings for units 2023: Summary of submissions</w:t>
    </w:r>
    <w:r w:rsidR="00E63E5E">
      <w:tab/>
    </w:r>
    <w:r w:rsidR="00E63E5E">
      <w:fldChar w:fldCharType="begin"/>
    </w:r>
    <w:r w:rsidR="00E63E5E">
      <w:instrText xml:space="preserve"> PAGE   \* MERGEFORMAT </w:instrText>
    </w:r>
    <w:r w:rsidR="00E63E5E">
      <w:fldChar w:fldCharType="separate"/>
    </w:r>
    <w:r w:rsidR="00E63E5E">
      <w:rPr>
        <w:noProof/>
      </w:rPr>
      <w:t>7</w:t>
    </w:r>
    <w:r w:rsidR="00E63E5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4AF23" w14:textId="77777777" w:rsidR="001274AA" w:rsidRDefault="001274AA" w:rsidP="00AE0109">
      <w:pPr>
        <w:spacing w:before="0" w:after="0" w:line="240" w:lineRule="auto"/>
      </w:pPr>
      <w:r>
        <w:separator/>
      </w:r>
    </w:p>
  </w:footnote>
  <w:footnote w:type="continuationSeparator" w:id="0">
    <w:p w14:paraId="519CE544" w14:textId="77777777" w:rsidR="001274AA" w:rsidRDefault="001274AA" w:rsidP="00AE0109">
      <w:pPr>
        <w:spacing w:before="0" w:after="0" w:line="240" w:lineRule="auto"/>
      </w:pPr>
      <w:r>
        <w:continuationSeparator/>
      </w:r>
    </w:p>
  </w:footnote>
  <w:footnote w:type="continuationNotice" w:id="1">
    <w:p w14:paraId="20C765FC" w14:textId="77777777" w:rsidR="001274AA" w:rsidRDefault="001274A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0E49D" w14:textId="3130CD47" w:rsidR="00AE0109" w:rsidRPr="00DE7BF8" w:rsidRDefault="00AE0109">
    <w:pPr>
      <w:pStyle w:val="Header"/>
      <w:ind w:left="-57"/>
      <w:jc w:val="left"/>
      <w:rPr>
        <w:rFonts w:ascii="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81925" w14:textId="77777777" w:rsidR="00AE0109" w:rsidRDefault="00AE010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1364F" w14:textId="34DC44AF" w:rsidR="00AE0109" w:rsidRPr="00092BCA" w:rsidRDefault="00AE0109" w:rsidP="00092BC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140"/>
    <w:multiLevelType w:val="hybridMultilevel"/>
    <w:tmpl w:val="9C48F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2" w15:restartNumberingAfterBreak="0">
    <w:nsid w:val="0B0F5F0E"/>
    <w:multiLevelType w:val="multilevel"/>
    <w:tmpl w:val="184C629E"/>
    <w:lvl w:ilvl="0">
      <w:start w:val="1"/>
      <w:numFmt w:val="bullet"/>
      <w:pStyle w:val="Greenbullet-casestudytables"/>
      <w:lvlText w:val=""/>
      <w:lvlJc w:val="left"/>
      <w:pPr>
        <w:ind w:left="680" w:hanging="396"/>
      </w:pPr>
      <w:rPr>
        <w:rFonts w:ascii="Symbol" w:hAnsi="Symbol" w:hint="default"/>
        <w:color w:val="1B556B"/>
        <w:sz w:val="16"/>
        <w:szCs w:val="16"/>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0DC209A2"/>
    <w:multiLevelType w:val="multilevel"/>
    <w:tmpl w:val="751629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C50EAF"/>
    <w:multiLevelType w:val="multilevel"/>
    <w:tmpl w:val="57A232F0"/>
    <w:lvl w:ilvl="0">
      <w:start w:val="1"/>
      <w:numFmt w:val="decimal"/>
      <w:lvlText w:val="%1."/>
      <w:lvlJc w:val="left"/>
      <w:pPr>
        <w:tabs>
          <w:tab w:val="num" w:pos="397"/>
        </w:tabs>
        <w:ind w:left="397" w:hanging="397"/>
      </w:pPr>
      <w:rPr>
        <w:rFonts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F64C54"/>
    <w:multiLevelType w:val="hybridMultilevel"/>
    <w:tmpl w:val="BCBC0908"/>
    <w:lvl w:ilvl="0" w:tplc="FFFFFFFF">
      <w:start w:val="1"/>
      <w:numFmt w:val="decimal"/>
      <w:lvlText w:val="%1."/>
      <w:lvlJc w:val="left"/>
      <w:pPr>
        <w:ind w:left="720" w:hanging="360"/>
      </w:pPr>
      <w:rPr>
        <w:rFonts w:hint="default"/>
      </w:rPr>
    </w:lvl>
    <w:lvl w:ilvl="1" w:tplc="1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4F1D2E"/>
    <w:multiLevelType w:val="multilevel"/>
    <w:tmpl w:val="7CB0E0AA"/>
    <w:lvl w:ilvl="0">
      <w:start w:val="1"/>
      <w:numFmt w:val="bullet"/>
      <w:pStyle w:val="Boxsub-bullet"/>
      <w:lvlText w:val="‒"/>
      <w:lvlJc w:val="left"/>
      <w:pPr>
        <w:ind w:left="1077" w:hanging="397"/>
      </w:p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7"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8" w15:restartNumberingAfterBreak="0">
    <w:nsid w:val="214F7BB6"/>
    <w:multiLevelType w:val="multilevel"/>
    <w:tmpl w:val="A9663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FA243B"/>
    <w:multiLevelType w:val="multilevel"/>
    <w:tmpl w:val="4636F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1A6BE2"/>
    <w:multiLevelType w:val="multilevel"/>
    <w:tmpl w:val="20FCAAE4"/>
    <w:lvl w:ilvl="0">
      <w:start w:val="1"/>
      <w:numFmt w:val="decimal"/>
      <w:pStyle w:val="Numberedparagraph"/>
      <w:lvlText w:val="%1."/>
      <w:lvlJc w:val="left"/>
      <w:pPr>
        <w:ind w:left="397" w:hanging="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13"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14" w15:restartNumberingAfterBreak="0">
    <w:nsid w:val="3D465A16"/>
    <w:multiLevelType w:val="multilevel"/>
    <w:tmpl w:val="7CBA8A44"/>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F5B4505"/>
    <w:multiLevelType w:val="hybridMultilevel"/>
    <w:tmpl w:val="366662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1CF7181"/>
    <w:multiLevelType w:val="hybridMultilevel"/>
    <w:tmpl w:val="72EE7A72"/>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427701FB"/>
    <w:multiLevelType w:val="multilevel"/>
    <w:tmpl w:val="F012ABEA"/>
    <w:lvl w:ilvl="0">
      <w:start w:val="1"/>
      <w:numFmt w:val="bullet"/>
      <w:pStyle w:val="Sub-list"/>
      <w:lvlText w:val=""/>
      <w:lvlJc w:val="left"/>
      <w:pPr>
        <w:tabs>
          <w:tab w:val="num" w:pos="397"/>
        </w:tabs>
        <w:ind w:left="794"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heme="minorEastAsia" w:hAnsi="Calibri" w:cstheme="minorBidi"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64506B"/>
    <w:multiLevelType w:val="hybridMultilevel"/>
    <w:tmpl w:val="0EFAC8E4"/>
    <w:lvl w:ilvl="0" w:tplc="6E78947E">
      <w:start w:val="1"/>
      <w:numFmt w:val="decimal"/>
      <w:lvlText w:val="%1."/>
      <w:lvlJc w:val="left"/>
      <w:pPr>
        <w:ind w:left="720" w:hanging="360"/>
      </w:pPr>
      <w:rPr>
        <w:rFonts w:ascii="Calibri" w:eastAsia="Times New Roman" w:hAnsi="Calibri" w:cs="Times New Roman"/>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21" w15:restartNumberingAfterBreak="0">
    <w:nsid w:val="48006055"/>
    <w:multiLevelType w:val="multilevel"/>
    <w:tmpl w:val="EE223E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047638"/>
    <w:multiLevelType w:val="multilevel"/>
    <w:tmpl w:val="3C423A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4B56C8"/>
    <w:multiLevelType w:val="multilevel"/>
    <w:tmpl w:val="00DA0B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8015DA"/>
    <w:multiLevelType w:val="multilevel"/>
    <w:tmpl w:val="561CE580"/>
    <w:lvl w:ilvl="0">
      <w:start w:val="1"/>
      <w:numFmt w:val="decimal"/>
      <w:lvlText w:val="%1."/>
      <w:lvlJc w:val="left"/>
      <w:pPr>
        <w:tabs>
          <w:tab w:val="num" w:pos="397"/>
        </w:tabs>
        <w:ind w:left="397" w:hanging="397"/>
      </w:pPr>
      <w:rPr>
        <w:rFonts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FD728E3"/>
    <w:multiLevelType w:val="multilevel"/>
    <w:tmpl w:val="71F89D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535234"/>
    <w:multiLevelType w:val="singleLevel"/>
    <w:tmpl w:val="DE5AE08C"/>
    <w:lvl w:ilvl="0">
      <w:start w:val="1"/>
      <w:numFmt w:val="bullet"/>
      <w:pStyle w:val="Boxbullet"/>
      <w:lvlText w:val=""/>
      <w:lvlJc w:val="left"/>
      <w:pPr>
        <w:ind w:left="644" w:hanging="360"/>
      </w:pPr>
      <w:rPr>
        <w:rFonts w:ascii="Symbol" w:hAnsi="Symbol" w:hint="default"/>
        <w:color w:val="1B556B"/>
        <w:sz w:val="16"/>
      </w:rPr>
    </w:lvl>
  </w:abstractNum>
  <w:abstractNum w:abstractNumId="27" w15:restartNumberingAfterBreak="0">
    <w:nsid w:val="548410C0"/>
    <w:multiLevelType w:val="multilevel"/>
    <w:tmpl w:val="DE9E0348"/>
    <w:lvl w:ilvl="0">
      <w:start w:val="1"/>
      <w:numFmt w:val="decimal"/>
      <w:lvlText w:val="%1."/>
      <w:lvlJc w:val="left"/>
      <w:pPr>
        <w:ind w:left="567" w:hanging="567"/>
      </w:pPr>
      <w:rPr>
        <w:rFonts w:ascii="Arial" w:hAnsi="Arial" w:cs="Arial" w:hint="default"/>
        <w:sz w:val="22"/>
        <w:szCs w:val="22"/>
      </w:rPr>
    </w:lvl>
    <w:lvl w:ilvl="1">
      <w:start w:val="1"/>
      <w:numFmt w:val="lowerLetter"/>
      <w:lvlText w:val="%2)"/>
      <w:lvlJc w:val="left"/>
      <w:pPr>
        <w:ind w:left="927" w:hanging="360"/>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993"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580756AC"/>
    <w:multiLevelType w:val="hybridMultilevel"/>
    <w:tmpl w:val="39246D3C"/>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61BF3397"/>
    <w:multiLevelType w:val="hybridMultilevel"/>
    <w:tmpl w:val="4956C2EA"/>
    <w:lvl w:ilvl="0" w:tplc="14090019">
      <w:start w:val="1"/>
      <w:numFmt w:val="lowerLetter"/>
      <w:lvlText w:val="%1."/>
      <w:lvlJc w:val="left"/>
      <w:pPr>
        <w:ind w:left="757" w:hanging="360"/>
      </w:pPr>
      <w:rPr>
        <w:rFonts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71B50FB"/>
    <w:multiLevelType w:val="multilevel"/>
    <w:tmpl w:val="C9F69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A4354D0"/>
    <w:multiLevelType w:val="hybridMultilevel"/>
    <w:tmpl w:val="B9269F0A"/>
    <w:lvl w:ilvl="0" w:tplc="491E8D1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6C427A14"/>
    <w:multiLevelType w:val="hybridMultilevel"/>
    <w:tmpl w:val="604218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FCB13B0"/>
    <w:multiLevelType w:val="hybridMultilevel"/>
    <w:tmpl w:val="D1900CC6"/>
    <w:lvl w:ilvl="0" w:tplc="68F288CA">
      <w:start w:val="1"/>
      <w:numFmt w:val="bullet"/>
      <w:pStyle w:val="Greensub-bullet-casestudytables"/>
      <w:lvlText w:val="‒"/>
      <w:lvlJc w:val="left"/>
      <w:pPr>
        <w:ind w:left="1004" w:hanging="360"/>
      </w:pPr>
      <w:rPr>
        <w:rFonts w:ascii="Calibri" w:hAnsi="Calibri" w:cs="Times New Roman" w:hint="default"/>
        <w:color w:val="1B556B"/>
        <w:sz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35"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num w:numId="1" w16cid:durableId="299503560">
    <w:abstractNumId w:val="13"/>
  </w:num>
  <w:num w:numId="2" w16cid:durableId="831916634">
    <w:abstractNumId w:val="26"/>
  </w:num>
  <w:num w:numId="3" w16cid:durableId="734738110">
    <w:abstractNumId w:val="17"/>
  </w:num>
  <w:num w:numId="4" w16cid:durableId="1242104598">
    <w:abstractNumId w:val="12"/>
  </w:num>
  <w:num w:numId="5" w16cid:durableId="590432247">
    <w:abstractNumId w:val="7"/>
  </w:num>
  <w:num w:numId="6" w16cid:durableId="539442130">
    <w:abstractNumId w:val="20"/>
  </w:num>
  <w:num w:numId="7" w16cid:durableId="944919159">
    <w:abstractNumId w:val="18"/>
  </w:num>
  <w:num w:numId="8" w16cid:durableId="2014188298">
    <w:abstractNumId w:val="35"/>
  </w:num>
  <w:num w:numId="9" w16cid:durableId="4178699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1495568">
    <w:abstractNumId w:val="10"/>
  </w:num>
  <w:num w:numId="11" w16cid:durableId="2023050041">
    <w:abstractNumId w:val="33"/>
  </w:num>
  <w:num w:numId="12" w16cid:durableId="1913154164">
    <w:abstractNumId w:val="2"/>
  </w:num>
  <w:num w:numId="13" w16cid:durableId="334505186">
    <w:abstractNumId w:val="9"/>
  </w:num>
  <w:num w:numId="14" w16cid:durableId="868645934">
    <w:abstractNumId w:val="14"/>
  </w:num>
  <w:num w:numId="15" w16cid:durableId="1060981548">
    <w:abstractNumId w:val="6"/>
  </w:num>
  <w:num w:numId="16" w16cid:durableId="763963364">
    <w:abstractNumId w:val="34"/>
  </w:num>
  <w:num w:numId="17" w16cid:durableId="896433847">
    <w:abstractNumId w:val="1"/>
  </w:num>
  <w:num w:numId="18" w16cid:durableId="2028369202">
    <w:abstractNumId w:val="15"/>
  </w:num>
  <w:num w:numId="19" w16cid:durableId="1933466067">
    <w:abstractNumId w:val="11"/>
  </w:num>
  <w:num w:numId="20" w16cid:durableId="808598310">
    <w:abstractNumId w:val="23"/>
  </w:num>
  <w:num w:numId="21" w16cid:durableId="1443308890">
    <w:abstractNumId w:val="8"/>
  </w:num>
  <w:num w:numId="22" w16cid:durableId="356351032">
    <w:abstractNumId w:val="3"/>
  </w:num>
  <w:num w:numId="23" w16cid:durableId="911702295">
    <w:abstractNumId w:val="21"/>
  </w:num>
  <w:num w:numId="24" w16cid:durableId="1212578059">
    <w:abstractNumId w:val="30"/>
  </w:num>
  <w:num w:numId="25" w16cid:durableId="1737360933">
    <w:abstractNumId w:val="25"/>
  </w:num>
  <w:num w:numId="26" w16cid:durableId="2016883824">
    <w:abstractNumId w:val="22"/>
  </w:num>
  <w:num w:numId="27" w16cid:durableId="980114803">
    <w:abstractNumId w:val="16"/>
  </w:num>
  <w:num w:numId="28" w16cid:durableId="1443115471">
    <w:abstractNumId w:val="28"/>
  </w:num>
  <w:num w:numId="29" w16cid:durableId="1822118762">
    <w:abstractNumId w:val="5"/>
  </w:num>
  <w:num w:numId="30" w16cid:durableId="644700833">
    <w:abstractNumId w:val="31"/>
  </w:num>
  <w:num w:numId="31" w16cid:durableId="532305720">
    <w:abstractNumId w:val="19"/>
  </w:num>
  <w:num w:numId="32" w16cid:durableId="423309551">
    <w:abstractNumId w:val="0"/>
  </w:num>
  <w:num w:numId="33" w16cid:durableId="135033950">
    <w:abstractNumId w:val="4"/>
  </w:num>
  <w:num w:numId="34" w16cid:durableId="1409309969">
    <w:abstractNumId w:val="29"/>
  </w:num>
  <w:num w:numId="35" w16cid:durableId="1363091074">
    <w:abstractNumId w:val="14"/>
  </w:num>
  <w:num w:numId="36" w16cid:durableId="1941067383">
    <w:abstractNumId w:val="24"/>
  </w:num>
  <w:num w:numId="37" w16cid:durableId="112127018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36201249">
    <w:abstractNumId w:val="27"/>
    <w:lvlOverride w:ilvl="0">
      <w:startOverride w:val="6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7"/>
    </w:lvlOverride>
    <w:lvlOverride w:ilvl="7">
      <w:startOverride w:val="1"/>
    </w:lvlOverride>
    <w:lvlOverride w:ilvl="8">
      <w:startOverride w:val="1"/>
    </w:lvlOverride>
  </w:num>
  <w:num w:numId="39" w16cid:durableId="802582454">
    <w:abstractNumId w:val="27"/>
  </w:num>
  <w:num w:numId="40" w16cid:durableId="334696113">
    <w:abstractNumId w:val="27"/>
    <w:lvlOverride w:ilvl="0">
      <w:startOverride w:val="4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3"/>
    </w:lvlOverride>
    <w:lvlOverride w:ilvl="7">
      <w:startOverride w:val="1"/>
    </w:lvlOverride>
    <w:lvlOverride w:ilvl="8">
      <w:startOverride w:val="1"/>
    </w:lvlOverride>
  </w:num>
  <w:num w:numId="41" w16cid:durableId="1842624409">
    <w:abstractNumId w:val="32"/>
  </w:num>
  <w:num w:numId="42" w16cid:durableId="42677543">
    <w:abstractNumId w:val="26"/>
  </w:num>
  <w:num w:numId="43" w16cid:durableId="1285578623">
    <w:abstractNumId w:val="6"/>
  </w:num>
  <w:num w:numId="44" w16cid:durableId="1509370538">
    <w:abstractNumId w:val="14"/>
  </w:num>
  <w:num w:numId="45" w16cid:durableId="1907295461">
    <w:abstractNumId w:val="12"/>
  </w:num>
  <w:num w:numId="46" w16cid:durableId="1970697959">
    <w:abstractNumId w:val="17"/>
  </w:num>
  <w:num w:numId="47" w16cid:durableId="1046487298">
    <w:abstractNumId w:val="7"/>
  </w:num>
  <w:num w:numId="48" w16cid:durableId="163596510">
    <w:abstractNumId w:val="20"/>
  </w:num>
  <w:num w:numId="49" w16cid:durableId="846333879">
    <w:abstractNumId w:val="18"/>
  </w:num>
  <w:num w:numId="50" w16cid:durableId="558826145">
    <w:abstractNumId w:val="3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NZ" w:vendorID="64" w:dllVersion="0" w:nlCheck="1" w:checkStyle="0"/>
  <w:proofState w:spelling="clean" w:grammar="clean"/>
  <w:defaultTabStop w:val="397"/>
  <w:evenAndOddHeaders/>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109"/>
    <w:rsid w:val="00002E10"/>
    <w:rsid w:val="00003594"/>
    <w:rsid w:val="00003A29"/>
    <w:rsid w:val="0000429B"/>
    <w:rsid w:val="0000450F"/>
    <w:rsid w:val="0000472B"/>
    <w:rsid w:val="0000479E"/>
    <w:rsid w:val="00004ECF"/>
    <w:rsid w:val="00006DE4"/>
    <w:rsid w:val="0000748F"/>
    <w:rsid w:val="00007A95"/>
    <w:rsid w:val="00010353"/>
    <w:rsid w:val="00010433"/>
    <w:rsid w:val="000118B0"/>
    <w:rsid w:val="00013413"/>
    <w:rsid w:val="000135E2"/>
    <w:rsid w:val="00013BD7"/>
    <w:rsid w:val="00013F97"/>
    <w:rsid w:val="000145B5"/>
    <w:rsid w:val="000154C6"/>
    <w:rsid w:val="000159FF"/>
    <w:rsid w:val="00015E5E"/>
    <w:rsid w:val="000166F0"/>
    <w:rsid w:val="00017201"/>
    <w:rsid w:val="00017380"/>
    <w:rsid w:val="00017E09"/>
    <w:rsid w:val="00017F16"/>
    <w:rsid w:val="000214E0"/>
    <w:rsid w:val="00021C2A"/>
    <w:rsid w:val="00023A7A"/>
    <w:rsid w:val="0002450D"/>
    <w:rsid w:val="0002457F"/>
    <w:rsid w:val="0002760A"/>
    <w:rsid w:val="00030D0E"/>
    <w:rsid w:val="000315AD"/>
    <w:rsid w:val="00031B61"/>
    <w:rsid w:val="00032244"/>
    <w:rsid w:val="00034A05"/>
    <w:rsid w:val="00035A7D"/>
    <w:rsid w:val="0003634B"/>
    <w:rsid w:val="00037C20"/>
    <w:rsid w:val="000403C9"/>
    <w:rsid w:val="000407E2"/>
    <w:rsid w:val="00040862"/>
    <w:rsid w:val="00041440"/>
    <w:rsid w:val="000419EF"/>
    <w:rsid w:val="0004325C"/>
    <w:rsid w:val="00043367"/>
    <w:rsid w:val="000439AF"/>
    <w:rsid w:val="00044546"/>
    <w:rsid w:val="000451B0"/>
    <w:rsid w:val="00045B1E"/>
    <w:rsid w:val="00046FF6"/>
    <w:rsid w:val="00047C77"/>
    <w:rsid w:val="000501BC"/>
    <w:rsid w:val="000508CE"/>
    <w:rsid w:val="00051C1A"/>
    <w:rsid w:val="0005237B"/>
    <w:rsid w:val="00052542"/>
    <w:rsid w:val="0005278B"/>
    <w:rsid w:val="00053134"/>
    <w:rsid w:val="000556D8"/>
    <w:rsid w:val="00055CBA"/>
    <w:rsid w:val="000561A6"/>
    <w:rsid w:val="0005760B"/>
    <w:rsid w:val="00057F89"/>
    <w:rsid w:val="00060FA7"/>
    <w:rsid w:val="0006182D"/>
    <w:rsid w:val="00061BF3"/>
    <w:rsid w:val="00061CB3"/>
    <w:rsid w:val="00061F04"/>
    <w:rsid w:val="0006328B"/>
    <w:rsid w:val="00063351"/>
    <w:rsid w:val="00063C65"/>
    <w:rsid w:val="000642B5"/>
    <w:rsid w:val="00065E60"/>
    <w:rsid w:val="00067629"/>
    <w:rsid w:val="000677E7"/>
    <w:rsid w:val="00067E50"/>
    <w:rsid w:val="0007068A"/>
    <w:rsid w:val="0007207C"/>
    <w:rsid w:val="0007449A"/>
    <w:rsid w:val="00075EB5"/>
    <w:rsid w:val="000761C6"/>
    <w:rsid w:val="00076265"/>
    <w:rsid w:val="00076474"/>
    <w:rsid w:val="00077B1C"/>
    <w:rsid w:val="000813AA"/>
    <w:rsid w:val="00081763"/>
    <w:rsid w:val="000819F0"/>
    <w:rsid w:val="00082373"/>
    <w:rsid w:val="00082772"/>
    <w:rsid w:val="00083DC9"/>
    <w:rsid w:val="00084486"/>
    <w:rsid w:val="00086026"/>
    <w:rsid w:val="0008707C"/>
    <w:rsid w:val="00087233"/>
    <w:rsid w:val="00090A86"/>
    <w:rsid w:val="000918AC"/>
    <w:rsid w:val="000922E7"/>
    <w:rsid w:val="00092633"/>
    <w:rsid w:val="00092BCA"/>
    <w:rsid w:val="00093815"/>
    <w:rsid w:val="0009383E"/>
    <w:rsid w:val="00093DAF"/>
    <w:rsid w:val="00093F68"/>
    <w:rsid w:val="00094BAC"/>
    <w:rsid w:val="00094F0D"/>
    <w:rsid w:val="00095AEC"/>
    <w:rsid w:val="000961A2"/>
    <w:rsid w:val="00096B79"/>
    <w:rsid w:val="00097050"/>
    <w:rsid w:val="00097E12"/>
    <w:rsid w:val="000A0A9D"/>
    <w:rsid w:val="000A148B"/>
    <w:rsid w:val="000A1703"/>
    <w:rsid w:val="000A1EE2"/>
    <w:rsid w:val="000A1F98"/>
    <w:rsid w:val="000A21F3"/>
    <w:rsid w:val="000A51BD"/>
    <w:rsid w:val="000A579C"/>
    <w:rsid w:val="000A5B81"/>
    <w:rsid w:val="000A645E"/>
    <w:rsid w:val="000A6B32"/>
    <w:rsid w:val="000A70F7"/>
    <w:rsid w:val="000A7252"/>
    <w:rsid w:val="000B1EA4"/>
    <w:rsid w:val="000B2B03"/>
    <w:rsid w:val="000B2B78"/>
    <w:rsid w:val="000B2DFA"/>
    <w:rsid w:val="000B3217"/>
    <w:rsid w:val="000B365A"/>
    <w:rsid w:val="000B41C9"/>
    <w:rsid w:val="000B4218"/>
    <w:rsid w:val="000B43CF"/>
    <w:rsid w:val="000B44CD"/>
    <w:rsid w:val="000B4EBB"/>
    <w:rsid w:val="000B510E"/>
    <w:rsid w:val="000B52D7"/>
    <w:rsid w:val="000B5645"/>
    <w:rsid w:val="000B6746"/>
    <w:rsid w:val="000B704F"/>
    <w:rsid w:val="000B7096"/>
    <w:rsid w:val="000C0508"/>
    <w:rsid w:val="000C0B53"/>
    <w:rsid w:val="000C0D8E"/>
    <w:rsid w:val="000C0EF4"/>
    <w:rsid w:val="000C0F01"/>
    <w:rsid w:val="000C1BB8"/>
    <w:rsid w:val="000C1CE0"/>
    <w:rsid w:val="000C2D3F"/>
    <w:rsid w:val="000C3143"/>
    <w:rsid w:val="000C366B"/>
    <w:rsid w:val="000C57E6"/>
    <w:rsid w:val="000C5A35"/>
    <w:rsid w:val="000C5C6B"/>
    <w:rsid w:val="000C6120"/>
    <w:rsid w:val="000C75C1"/>
    <w:rsid w:val="000D0A3F"/>
    <w:rsid w:val="000D0BD5"/>
    <w:rsid w:val="000D11F7"/>
    <w:rsid w:val="000D16DE"/>
    <w:rsid w:val="000D226C"/>
    <w:rsid w:val="000D2470"/>
    <w:rsid w:val="000D298B"/>
    <w:rsid w:val="000D2DF9"/>
    <w:rsid w:val="000D44F3"/>
    <w:rsid w:val="000D5835"/>
    <w:rsid w:val="000D6CA5"/>
    <w:rsid w:val="000D6D69"/>
    <w:rsid w:val="000D7605"/>
    <w:rsid w:val="000D767F"/>
    <w:rsid w:val="000E1283"/>
    <w:rsid w:val="000E181F"/>
    <w:rsid w:val="000E1877"/>
    <w:rsid w:val="000E4651"/>
    <w:rsid w:val="000E5072"/>
    <w:rsid w:val="000E5E1D"/>
    <w:rsid w:val="000F0EE3"/>
    <w:rsid w:val="000F16D0"/>
    <w:rsid w:val="000F21BF"/>
    <w:rsid w:val="000F2247"/>
    <w:rsid w:val="000F2BF3"/>
    <w:rsid w:val="000F35F6"/>
    <w:rsid w:val="000F43BD"/>
    <w:rsid w:val="000F4B30"/>
    <w:rsid w:val="000F60A9"/>
    <w:rsid w:val="000F736F"/>
    <w:rsid w:val="000F753A"/>
    <w:rsid w:val="000F7609"/>
    <w:rsid w:val="000F7BB6"/>
    <w:rsid w:val="000F7CD8"/>
    <w:rsid w:val="000F7D98"/>
    <w:rsid w:val="00100752"/>
    <w:rsid w:val="00100766"/>
    <w:rsid w:val="001032D2"/>
    <w:rsid w:val="0010391E"/>
    <w:rsid w:val="00103D65"/>
    <w:rsid w:val="001058C1"/>
    <w:rsid w:val="00105BD4"/>
    <w:rsid w:val="00106B2C"/>
    <w:rsid w:val="0010708D"/>
    <w:rsid w:val="00107212"/>
    <w:rsid w:val="00107B99"/>
    <w:rsid w:val="00107F5A"/>
    <w:rsid w:val="0011440F"/>
    <w:rsid w:val="0011516F"/>
    <w:rsid w:val="00115C62"/>
    <w:rsid w:val="00116252"/>
    <w:rsid w:val="00116A70"/>
    <w:rsid w:val="00117C43"/>
    <w:rsid w:val="00117E5F"/>
    <w:rsid w:val="00120973"/>
    <w:rsid w:val="00121E41"/>
    <w:rsid w:val="00121FDC"/>
    <w:rsid w:val="0012353A"/>
    <w:rsid w:val="00123746"/>
    <w:rsid w:val="00124F04"/>
    <w:rsid w:val="0012529A"/>
    <w:rsid w:val="001256FF"/>
    <w:rsid w:val="00125CF5"/>
    <w:rsid w:val="0012673E"/>
    <w:rsid w:val="00127339"/>
    <w:rsid w:val="001274AA"/>
    <w:rsid w:val="00127C04"/>
    <w:rsid w:val="00131094"/>
    <w:rsid w:val="001312FD"/>
    <w:rsid w:val="001345BB"/>
    <w:rsid w:val="001361DC"/>
    <w:rsid w:val="001375AC"/>
    <w:rsid w:val="00137854"/>
    <w:rsid w:val="00137CD6"/>
    <w:rsid w:val="0014090C"/>
    <w:rsid w:val="00140D51"/>
    <w:rsid w:val="001410BD"/>
    <w:rsid w:val="00141111"/>
    <w:rsid w:val="0014132C"/>
    <w:rsid w:val="00141FD9"/>
    <w:rsid w:val="001421F4"/>
    <w:rsid w:val="00142DB7"/>
    <w:rsid w:val="00142E7D"/>
    <w:rsid w:val="001436A1"/>
    <w:rsid w:val="001449DE"/>
    <w:rsid w:val="001462EC"/>
    <w:rsid w:val="00146DD2"/>
    <w:rsid w:val="0014770F"/>
    <w:rsid w:val="00147CBE"/>
    <w:rsid w:val="00150D4F"/>
    <w:rsid w:val="0015137D"/>
    <w:rsid w:val="00151983"/>
    <w:rsid w:val="00151DB0"/>
    <w:rsid w:val="00152F82"/>
    <w:rsid w:val="001543B5"/>
    <w:rsid w:val="00157960"/>
    <w:rsid w:val="00157B79"/>
    <w:rsid w:val="00160454"/>
    <w:rsid w:val="001605FE"/>
    <w:rsid w:val="00161395"/>
    <w:rsid w:val="00161C69"/>
    <w:rsid w:val="00163A35"/>
    <w:rsid w:val="00163F2A"/>
    <w:rsid w:val="001641EB"/>
    <w:rsid w:val="001647AD"/>
    <w:rsid w:val="001647D4"/>
    <w:rsid w:val="0016545F"/>
    <w:rsid w:val="0016551D"/>
    <w:rsid w:val="00167E47"/>
    <w:rsid w:val="001716F7"/>
    <w:rsid w:val="00171ED9"/>
    <w:rsid w:val="0017230E"/>
    <w:rsid w:val="001723D4"/>
    <w:rsid w:val="00173443"/>
    <w:rsid w:val="00173989"/>
    <w:rsid w:val="00173FDF"/>
    <w:rsid w:val="001754C2"/>
    <w:rsid w:val="0017683E"/>
    <w:rsid w:val="001769E2"/>
    <w:rsid w:val="00177060"/>
    <w:rsid w:val="00180755"/>
    <w:rsid w:val="00180800"/>
    <w:rsid w:val="00180B08"/>
    <w:rsid w:val="001815BC"/>
    <w:rsid w:val="00181A96"/>
    <w:rsid w:val="00182929"/>
    <w:rsid w:val="00183463"/>
    <w:rsid w:val="00183603"/>
    <w:rsid w:val="0018375D"/>
    <w:rsid w:val="00183DF9"/>
    <w:rsid w:val="00184713"/>
    <w:rsid w:val="00185029"/>
    <w:rsid w:val="00185B74"/>
    <w:rsid w:val="00185B93"/>
    <w:rsid w:val="00185BFF"/>
    <w:rsid w:val="001866A1"/>
    <w:rsid w:val="00187AEF"/>
    <w:rsid w:val="00190356"/>
    <w:rsid w:val="001915C2"/>
    <w:rsid w:val="00191AF3"/>
    <w:rsid w:val="001928FF"/>
    <w:rsid w:val="00193623"/>
    <w:rsid w:val="00195208"/>
    <w:rsid w:val="00196E82"/>
    <w:rsid w:val="0019754C"/>
    <w:rsid w:val="00197868"/>
    <w:rsid w:val="001A0163"/>
    <w:rsid w:val="001A01DD"/>
    <w:rsid w:val="001A0E24"/>
    <w:rsid w:val="001A240B"/>
    <w:rsid w:val="001A2A64"/>
    <w:rsid w:val="001A65A8"/>
    <w:rsid w:val="001A68F3"/>
    <w:rsid w:val="001A73E0"/>
    <w:rsid w:val="001B0117"/>
    <w:rsid w:val="001B045D"/>
    <w:rsid w:val="001B0705"/>
    <w:rsid w:val="001B071A"/>
    <w:rsid w:val="001B0E13"/>
    <w:rsid w:val="001B159F"/>
    <w:rsid w:val="001B21C3"/>
    <w:rsid w:val="001B246C"/>
    <w:rsid w:val="001B2673"/>
    <w:rsid w:val="001B3DD0"/>
    <w:rsid w:val="001B3FDC"/>
    <w:rsid w:val="001B5287"/>
    <w:rsid w:val="001B5615"/>
    <w:rsid w:val="001B5DB1"/>
    <w:rsid w:val="001B5E3F"/>
    <w:rsid w:val="001B5F40"/>
    <w:rsid w:val="001B5F57"/>
    <w:rsid w:val="001B628E"/>
    <w:rsid w:val="001B629C"/>
    <w:rsid w:val="001B6315"/>
    <w:rsid w:val="001B65E5"/>
    <w:rsid w:val="001B69A3"/>
    <w:rsid w:val="001B71A0"/>
    <w:rsid w:val="001B7DC7"/>
    <w:rsid w:val="001C0685"/>
    <w:rsid w:val="001C2143"/>
    <w:rsid w:val="001C26FB"/>
    <w:rsid w:val="001C29EB"/>
    <w:rsid w:val="001C4638"/>
    <w:rsid w:val="001C48BB"/>
    <w:rsid w:val="001C59C6"/>
    <w:rsid w:val="001C5B13"/>
    <w:rsid w:val="001C619B"/>
    <w:rsid w:val="001C627D"/>
    <w:rsid w:val="001C7433"/>
    <w:rsid w:val="001C7B88"/>
    <w:rsid w:val="001D0AAD"/>
    <w:rsid w:val="001D0FEE"/>
    <w:rsid w:val="001D286F"/>
    <w:rsid w:val="001D2A44"/>
    <w:rsid w:val="001D2B5A"/>
    <w:rsid w:val="001D2FE0"/>
    <w:rsid w:val="001D4592"/>
    <w:rsid w:val="001D5128"/>
    <w:rsid w:val="001D558B"/>
    <w:rsid w:val="001D5749"/>
    <w:rsid w:val="001D5BD8"/>
    <w:rsid w:val="001D5F87"/>
    <w:rsid w:val="001D659C"/>
    <w:rsid w:val="001D6C0C"/>
    <w:rsid w:val="001E1C84"/>
    <w:rsid w:val="001E231A"/>
    <w:rsid w:val="001E29E1"/>
    <w:rsid w:val="001E2AED"/>
    <w:rsid w:val="001E2C25"/>
    <w:rsid w:val="001E3D03"/>
    <w:rsid w:val="001E4418"/>
    <w:rsid w:val="001E4977"/>
    <w:rsid w:val="001E54AE"/>
    <w:rsid w:val="001E6B0E"/>
    <w:rsid w:val="001E6EED"/>
    <w:rsid w:val="001E7520"/>
    <w:rsid w:val="001E7827"/>
    <w:rsid w:val="001E7848"/>
    <w:rsid w:val="001F0577"/>
    <w:rsid w:val="001F0C93"/>
    <w:rsid w:val="001F0FF5"/>
    <w:rsid w:val="001F1D11"/>
    <w:rsid w:val="001F278B"/>
    <w:rsid w:val="001F31FB"/>
    <w:rsid w:val="001F3958"/>
    <w:rsid w:val="001F4A17"/>
    <w:rsid w:val="001F55D8"/>
    <w:rsid w:val="001F64F8"/>
    <w:rsid w:val="001F6528"/>
    <w:rsid w:val="001F6BAA"/>
    <w:rsid w:val="001F70AA"/>
    <w:rsid w:val="001F70F9"/>
    <w:rsid w:val="001F77AD"/>
    <w:rsid w:val="00200236"/>
    <w:rsid w:val="002003EE"/>
    <w:rsid w:val="00202033"/>
    <w:rsid w:val="00202157"/>
    <w:rsid w:val="0020531E"/>
    <w:rsid w:val="00206EBE"/>
    <w:rsid w:val="002073CE"/>
    <w:rsid w:val="00210C5B"/>
    <w:rsid w:val="00210D32"/>
    <w:rsid w:val="00211509"/>
    <w:rsid w:val="002127AB"/>
    <w:rsid w:val="0021489B"/>
    <w:rsid w:val="002148AF"/>
    <w:rsid w:val="0021533A"/>
    <w:rsid w:val="0021552B"/>
    <w:rsid w:val="00216B81"/>
    <w:rsid w:val="00221170"/>
    <w:rsid w:val="002222E6"/>
    <w:rsid w:val="002233E9"/>
    <w:rsid w:val="00223CAC"/>
    <w:rsid w:val="00224569"/>
    <w:rsid w:val="002249E4"/>
    <w:rsid w:val="00226B0C"/>
    <w:rsid w:val="00227878"/>
    <w:rsid w:val="00227E64"/>
    <w:rsid w:val="00230A4B"/>
    <w:rsid w:val="00231C1C"/>
    <w:rsid w:val="00232161"/>
    <w:rsid w:val="002327C9"/>
    <w:rsid w:val="0023431E"/>
    <w:rsid w:val="00235C51"/>
    <w:rsid w:val="00235F81"/>
    <w:rsid w:val="00236503"/>
    <w:rsid w:val="002368B3"/>
    <w:rsid w:val="00236D6D"/>
    <w:rsid w:val="00237526"/>
    <w:rsid w:val="0024030A"/>
    <w:rsid w:val="002404D2"/>
    <w:rsid w:val="002419AB"/>
    <w:rsid w:val="00241A34"/>
    <w:rsid w:val="002421B3"/>
    <w:rsid w:val="00242227"/>
    <w:rsid w:val="002432E0"/>
    <w:rsid w:val="00243B60"/>
    <w:rsid w:val="002443BE"/>
    <w:rsid w:val="0024445F"/>
    <w:rsid w:val="00244DAE"/>
    <w:rsid w:val="00247676"/>
    <w:rsid w:val="00247992"/>
    <w:rsid w:val="002501DD"/>
    <w:rsid w:val="00250AF8"/>
    <w:rsid w:val="0025287F"/>
    <w:rsid w:val="0025339B"/>
    <w:rsid w:val="002536C9"/>
    <w:rsid w:val="00253E3C"/>
    <w:rsid w:val="00255FF9"/>
    <w:rsid w:val="002569D9"/>
    <w:rsid w:val="00261F1B"/>
    <w:rsid w:val="002633BC"/>
    <w:rsid w:val="00263B62"/>
    <w:rsid w:val="00263BC9"/>
    <w:rsid w:val="00264095"/>
    <w:rsid w:val="002654C2"/>
    <w:rsid w:val="00267A77"/>
    <w:rsid w:val="00267F4E"/>
    <w:rsid w:val="00270380"/>
    <w:rsid w:val="0027071D"/>
    <w:rsid w:val="002707E5"/>
    <w:rsid w:val="00270DF7"/>
    <w:rsid w:val="00271180"/>
    <w:rsid w:val="00272229"/>
    <w:rsid w:val="0027333A"/>
    <w:rsid w:val="00274269"/>
    <w:rsid w:val="00274460"/>
    <w:rsid w:val="00274842"/>
    <w:rsid w:val="00274A6F"/>
    <w:rsid w:val="00274A97"/>
    <w:rsid w:val="0027567C"/>
    <w:rsid w:val="00275E21"/>
    <w:rsid w:val="00275F56"/>
    <w:rsid w:val="00280B1D"/>
    <w:rsid w:val="00281019"/>
    <w:rsid w:val="0028181F"/>
    <w:rsid w:val="00281846"/>
    <w:rsid w:val="002819DC"/>
    <w:rsid w:val="0028208F"/>
    <w:rsid w:val="00282543"/>
    <w:rsid w:val="00282D66"/>
    <w:rsid w:val="00282F67"/>
    <w:rsid w:val="00283163"/>
    <w:rsid w:val="002835AE"/>
    <w:rsid w:val="00283AE3"/>
    <w:rsid w:val="0028502E"/>
    <w:rsid w:val="002852B9"/>
    <w:rsid w:val="002853E6"/>
    <w:rsid w:val="0029053D"/>
    <w:rsid w:val="002936A1"/>
    <w:rsid w:val="0029392B"/>
    <w:rsid w:val="00293FF7"/>
    <w:rsid w:val="00294687"/>
    <w:rsid w:val="002957BB"/>
    <w:rsid w:val="00295FEB"/>
    <w:rsid w:val="0029691A"/>
    <w:rsid w:val="00297CDD"/>
    <w:rsid w:val="002A13FE"/>
    <w:rsid w:val="002A195E"/>
    <w:rsid w:val="002A1D25"/>
    <w:rsid w:val="002A2FD2"/>
    <w:rsid w:val="002A3E52"/>
    <w:rsid w:val="002A437A"/>
    <w:rsid w:val="002A4892"/>
    <w:rsid w:val="002A48C1"/>
    <w:rsid w:val="002A5560"/>
    <w:rsid w:val="002A601E"/>
    <w:rsid w:val="002A7CF4"/>
    <w:rsid w:val="002A7D69"/>
    <w:rsid w:val="002B02C9"/>
    <w:rsid w:val="002B0E74"/>
    <w:rsid w:val="002B189C"/>
    <w:rsid w:val="002B1CAE"/>
    <w:rsid w:val="002B1E7F"/>
    <w:rsid w:val="002B1ECF"/>
    <w:rsid w:val="002B52C8"/>
    <w:rsid w:val="002B5C13"/>
    <w:rsid w:val="002B5C69"/>
    <w:rsid w:val="002B788A"/>
    <w:rsid w:val="002B7D9D"/>
    <w:rsid w:val="002C0D5C"/>
    <w:rsid w:val="002C25B3"/>
    <w:rsid w:val="002C2B42"/>
    <w:rsid w:val="002C3313"/>
    <w:rsid w:val="002C46F8"/>
    <w:rsid w:val="002C6674"/>
    <w:rsid w:val="002C7B8A"/>
    <w:rsid w:val="002D0167"/>
    <w:rsid w:val="002D10BB"/>
    <w:rsid w:val="002D156E"/>
    <w:rsid w:val="002D2D04"/>
    <w:rsid w:val="002D2E8B"/>
    <w:rsid w:val="002D349B"/>
    <w:rsid w:val="002D3C5B"/>
    <w:rsid w:val="002D40DC"/>
    <w:rsid w:val="002D4602"/>
    <w:rsid w:val="002D4A76"/>
    <w:rsid w:val="002D5CD5"/>
    <w:rsid w:val="002D718D"/>
    <w:rsid w:val="002D718F"/>
    <w:rsid w:val="002D7354"/>
    <w:rsid w:val="002D7C6E"/>
    <w:rsid w:val="002E0721"/>
    <w:rsid w:val="002E0E8D"/>
    <w:rsid w:val="002E16BF"/>
    <w:rsid w:val="002E1A11"/>
    <w:rsid w:val="002E32F2"/>
    <w:rsid w:val="002E3B5A"/>
    <w:rsid w:val="002E4219"/>
    <w:rsid w:val="002E4724"/>
    <w:rsid w:val="002E4DEA"/>
    <w:rsid w:val="002E4EBB"/>
    <w:rsid w:val="002E6056"/>
    <w:rsid w:val="002E6795"/>
    <w:rsid w:val="002E690C"/>
    <w:rsid w:val="002E6DD7"/>
    <w:rsid w:val="002E7002"/>
    <w:rsid w:val="002E73FD"/>
    <w:rsid w:val="002E7711"/>
    <w:rsid w:val="002E7BAB"/>
    <w:rsid w:val="002E7BBD"/>
    <w:rsid w:val="002F09B9"/>
    <w:rsid w:val="002F0F33"/>
    <w:rsid w:val="002F23F6"/>
    <w:rsid w:val="002F2778"/>
    <w:rsid w:val="002F2D03"/>
    <w:rsid w:val="002F2E9B"/>
    <w:rsid w:val="002F31F6"/>
    <w:rsid w:val="002F45D3"/>
    <w:rsid w:val="002F4620"/>
    <w:rsid w:val="002F4BB9"/>
    <w:rsid w:val="002F5EB4"/>
    <w:rsid w:val="002F6645"/>
    <w:rsid w:val="002F6E50"/>
    <w:rsid w:val="002F72D6"/>
    <w:rsid w:val="002F79F2"/>
    <w:rsid w:val="002F7A75"/>
    <w:rsid w:val="0030046F"/>
    <w:rsid w:val="003004A1"/>
    <w:rsid w:val="00300A07"/>
    <w:rsid w:val="00300E3A"/>
    <w:rsid w:val="00302614"/>
    <w:rsid w:val="00302855"/>
    <w:rsid w:val="00304988"/>
    <w:rsid w:val="00304AC6"/>
    <w:rsid w:val="00304C5B"/>
    <w:rsid w:val="00304DEC"/>
    <w:rsid w:val="003061D4"/>
    <w:rsid w:val="00306632"/>
    <w:rsid w:val="003068B5"/>
    <w:rsid w:val="0030737F"/>
    <w:rsid w:val="0030768E"/>
    <w:rsid w:val="00307AB2"/>
    <w:rsid w:val="00310CC6"/>
    <w:rsid w:val="0031152E"/>
    <w:rsid w:val="00311590"/>
    <w:rsid w:val="0031186E"/>
    <w:rsid w:val="0031209B"/>
    <w:rsid w:val="00312763"/>
    <w:rsid w:val="003135B1"/>
    <w:rsid w:val="003173C0"/>
    <w:rsid w:val="00317B0D"/>
    <w:rsid w:val="003206CF"/>
    <w:rsid w:val="00320C83"/>
    <w:rsid w:val="00320E41"/>
    <w:rsid w:val="00321B07"/>
    <w:rsid w:val="003226FD"/>
    <w:rsid w:val="00322B10"/>
    <w:rsid w:val="00322C80"/>
    <w:rsid w:val="003230FD"/>
    <w:rsid w:val="00323953"/>
    <w:rsid w:val="003240A9"/>
    <w:rsid w:val="00324812"/>
    <w:rsid w:val="00325D83"/>
    <w:rsid w:val="00326F3B"/>
    <w:rsid w:val="0033040E"/>
    <w:rsid w:val="00331695"/>
    <w:rsid w:val="0033188C"/>
    <w:rsid w:val="00332F6D"/>
    <w:rsid w:val="00333538"/>
    <w:rsid w:val="00335A2A"/>
    <w:rsid w:val="003375D9"/>
    <w:rsid w:val="00337861"/>
    <w:rsid w:val="00337932"/>
    <w:rsid w:val="0034054A"/>
    <w:rsid w:val="003412B0"/>
    <w:rsid w:val="003412BC"/>
    <w:rsid w:val="0034416F"/>
    <w:rsid w:val="003452C0"/>
    <w:rsid w:val="003456D5"/>
    <w:rsid w:val="00347D8D"/>
    <w:rsid w:val="00351DAB"/>
    <w:rsid w:val="0035258F"/>
    <w:rsid w:val="00352AAE"/>
    <w:rsid w:val="003533D0"/>
    <w:rsid w:val="003538BA"/>
    <w:rsid w:val="00353B6D"/>
    <w:rsid w:val="00354B83"/>
    <w:rsid w:val="00355387"/>
    <w:rsid w:val="003557B4"/>
    <w:rsid w:val="00355C83"/>
    <w:rsid w:val="0035610D"/>
    <w:rsid w:val="00356141"/>
    <w:rsid w:val="0035621C"/>
    <w:rsid w:val="00357797"/>
    <w:rsid w:val="00357A5C"/>
    <w:rsid w:val="00360609"/>
    <w:rsid w:val="00361E2D"/>
    <w:rsid w:val="003620E9"/>
    <w:rsid w:val="003623D4"/>
    <w:rsid w:val="0036350E"/>
    <w:rsid w:val="00364A54"/>
    <w:rsid w:val="00365F25"/>
    <w:rsid w:val="0036603A"/>
    <w:rsid w:val="003663A2"/>
    <w:rsid w:val="00366496"/>
    <w:rsid w:val="00367355"/>
    <w:rsid w:val="003673E4"/>
    <w:rsid w:val="00371325"/>
    <w:rsid w:val="0037178B"/>
    <w:rsid w:val="00371D2B"/>
    <w:rsid w:val="00372808"/>
    <w:rsid w:val="00372956"/>
    <w:rsid w:val="00372C3F"/>
    <w:rsid w:val="00372F8F"/>
    <w:rsid w:val="00373E91"/>
    <w:rsid w:val="00374E79"/>
    <w:rsid w:val="0037516D"/>
    <w:rsid w:val="003753E1"/>
    <w:rsid w:val="00375E7A"/>
    <w:rsid w:val="00375F62"/>
    <w:rsid w:val="0037722B"/>
    <w:rsid w:val="00377BF9"/>
    <w:rsid w:val="00381553"/>
    <w:rsid w:val="003819A6"/>
    <w:rsid w:val="00381EAE"/>
    <w:rsid w:val="00381ED7"/>
    <w:rsid w:val="00383CA5"/>
    <w:rsid w:val="00383D05"/>
    <w:rsid w:val="0038596B"/>
    <w:rsid w:val="00385D76"/>
    <w:rsid w:val="0038668E"/>
    <w:rsid w:val="00391CE9"/>
    <w:rsid w:val="00391DBE"/>
    <w:rsid w:val="003926D8"/>
    <w:rsid w:val="0039285B"/>
    <w:rsid w:val="00392CD0"/>
    <w:rsid w:val="00394704"/>
    <w:rsid w:val="0039482F"/>
    <w:rsid w:val="0039609E"/>
    <w:rsid w:val="0039646C"/>
    <w:rsid w:val="0039654B"/>
    <w:rsid w:val="00397819"/>
    <w:rsid w:val="00397D58"/>
    <w:rsid w:val="003A0111"/>
    <w:rsid w:val="003A06BD"/>
    <w:rsid w:val="003A323C"/>
    <w:rsid w:val="003A4879"/>
    <w:rsid w:val="003A4EEB"/>
    <w:rsid w:val="003A5632"/>
    <w:rsid w:val="003A5932"/>
    <w:rsid w:val="003A6A88"/>
    <w:rsid w:val="003A6AC7"/>
    <w:rsid w:val="003A7A0A"/>
    <w:rsid w:val="003A7B19"/>
    <w:rsid w:val="003B2A04"/>
    <w:rsid w:val="003B355E"/>
    <w:rsid w:val="003B3560"/>
    <w:rsid w:val="003B3B12"/>
    <w:rsid w:val="003B3D1A"/>
    <w:rsid w:val="003B7A0B"/>
    <w:rsid w:val="003C04B1"/>
    <w:rsid w:val="003C05BD"/>
    <w:rsid w:val="003C0856"/>
    <w:rsid w:val="003C0C59"/>
    <w:rsid w:val="003C1391"/>
    <w:rsid w:val="003C19AB"/>
    <w:rsid w:val="003C1B36"/>
    <w:rsid w:val="003C1CE9"/>
    <w:rsid w:val="003C2B28"/>
    <w:rsid w:val="003C38EE"/>
    <w:rsid w:val="003C3AD4"/>
    <w:rsid w:val="003C3B8B"/>
    <w:rsid w:val="003C4B41"/>
    <w:rsid w:val="003C4C8F"/>
    <w:rsid w:val="003C6D4B"/>
    <w:rsid w:val="003D0743"/>
    <w:rsid w:val="003D0B8A"/>
    <w:rsid w:val="003D19F5"/>
    <w:rsid w:val="003D205A"/>
    <w:rsid w:val="003D2955"/>
    <w:rsid w:val="003D2DE1"/>
    <w:rsid w:val="003D3EB4"/>
    <w:rsid w:val="003D47EF"/>
    <w:rsid w:val="003D5010"/>
    <w:rsid w:val="003D624F"/>
    <w:rsid w:val="003D6567"/>
    <w:rsid w:val="003D73A0"/>
    <w:rsid w:val="003D74BC"/>
    <w:rsid w:val="003D7920"/>
    <w:rsid w:val="003D7A93"/>
    <w:rsid w:val="003D7CFC"/>
    <w:rsid w:val="003E043D"/>
    <w:rsid w:val="003E2E56"/>
    <w:rsid w:val="003E327B"/>
    <w:rsid w:val="003E3596"/>
    <w:rsid w:val="003E35A7"/>
    <w:rsid w:val="003E4137"/>
    <w:rsid w:val="003E4844"/>
    <w:rsid w:val="003E602B"/>
    <w:rsid w:val="003E6D9E"/>
    <w:rsid w:val="003E7638"/>
    <w:rsid w:val="003F18C7"/>
    <w:rsid w:val="003F19A6"/>
    <w:rsid w:val="003F1A86"/>
    <w:rsid w:val="003F1AE0"/>
    <w:rsid w:val="003F1EBA"/>
    <w:rsid w:val="003F4FBD"/>
    <w:rsid w:val="003F573B"/>
    <w:rsid w:val="003F6EFC"/>
    <w:rsid w:val="003F6F11"/>
    <w:rsid w:val="003F7336"/>
    <w:rsid w:val="003F77DB"/>
    <w:rsid w:val="00401FC4"/>
    <w:rsid w:val="0040417D"/>
    <w:rsid w:val="00404530"/>
    <w:rsid w:val="00404701"/>
    <w:rsid w:val="00404ACA"/>
    <w:rsid w:val="00404ED5"/>
    <w:rsid w:val="004050CC"/>
    <w:rsid w:val="00405286"/>
    <w:rsid w:val="00407FFB"/>
    <w:rsid w:val="00410F94"/>
    <w:rsid w:val="00411D27"/>
    <w:rsid w:val="00411F45"/>
    <w:rsid w:val="004125C3"/>
    <w:rsid w:val="00412C5D"/>
    <w:rsid w:val="00412F24"/>
    <w:rsid w:val="004134BE"/>
    <w:rsid w:val="0041465A"/>
    <w:rsid w:val="00414A39"/>
    <w:rsid w:val="00414EC1"/>
    <w:rsid w:val="00416359"/>
    <w:rsid w:val="004165D3"/>
    <w:rsid w:val="0041666F"/>
    <w:rsid w:val="00416F90"/>
    <w:rsid w:val="00417DA8"/>
    <w:rsid w:val="00417E54"/>
    <w:rsid w:val="00420523"/>
    <w:rsid w:val="00420B64"/>
    <w:rsid w:val="00420C93"/>
    <w:rsid w:val="00421231"/>
    <w:rsid w:val="00421D7B"/>
    <w:rsid w:val="004221DE"/>
    <w:rsid w:val="00422ECA"/>
    <w:rsid w:val="00423F2C"/>
    <w:rsid w:val="0042443E"/>
    <w:rsid w:val="00426202"/>
    <w:rsid w:val="00426F2A"/>
    <w:rsid w:val="00430735"/>
    <w:rsid w:val="004308A2"/>
    <w:rsid w:val="00430D46"/>
    <w:rsid w:val="0043123D"/>
    <w:rsid w:val="00431652"/>
    <w:rsid w:val="00433687"/>
    <w:rsid w:val="00433D9E"/>
    <w:rsid w:val="0043460F"/>
    <w:rsid w:val="00435799"/>
    <w:rsid w:val="0043608E"/>
    <w:rsid w:val="0043636F"/>
    <w:rsid w:val="0043773A"/>
    <w:rsid w:val="00437CFC"/>
    <w:rsid w:val="00437D25"/>
    <w:rsid w:val="004405F9"/>
    <w:rsid w:val="00442B0B"/>
    <w:rsid w:val="0044300D"/>
    <w:rsid w:val="0044436F"/>
    <w:rsid w:val="00444D5C"/>
    <w:rsid w:val="00445C26"/>
    <w:rsid w:val="00446367"/>
    <w:rsid w:val="00447550"/>
    <w:rsid w:val="00447F28"/>
    <w:rsid w:val="00452292"/>
    <w:rsid w:val="00452D49"/>
    <w:rsid w:val="0045383B"/>
    <w:rsid w:val="004538DA"/>
    <w:rsid w:val="004542AC"/>
    <w:rsid w:val="00454AD5"/>
    <w:rsid w:val="00454BA1"/>
    <w:rsid w:val="00454D2B"/>
    <w:rsid w:val="00455940"/>
    <w:rsid w:val="00455941"/>
    <w:rsid w:val="004560CE"/>
    <w:rsid w:val="00456272"/>
    <w:rsid w:val="00456F10"/>
    <w:rsid w:val="00462CB6"/>
    <w:rsid w:val="0046449B"/>
    <w:rsid w:val="00464570"/>
    <w:rsid w:val="004646B3"/>
    <w:rsid w:val="00466191"/>
    <w:rsid w:val="004666A6"/>
    <w:rsid w:val="0046773E"/>
    <w:rsid w:val="00467762"/>
    <w:rsid w:val="00467A00"/>
    <w:rsid w:val="00467F93"/>
    <w:rsid w:val="00470946"/>
    <w:rsid w:val="00470ED1"/>
    <w:rsid w:val="00472019"/>
    <w:rsid w:val="0047288E"/>
    <w:rsid w:val="00472D41"/>
    <w:rsid w:val="004737AC"/>
    <w:rsid w:val="00473BE7"/>
    <w:rsid w:val="00473D08"/>
    <w:rsid w:val="00475081"/>
    <w:rsid w:val="00475635"/>
    <w:rsid w:val="00476CEA"/>
    <w:rsid w:val="00477097"/>
    <w:rsid w:val="00477E62"/>
    <w:rsid w:val="004808BB"/>
    <w:rsid w:val="0048124E"/>
    <w:rsid w:val="00481CAD"/>
    <w:rsid w:val="004823DE"/>
    <w:rsid w:val="00483685"/>
    <w:rsid w:val="00483C37"/>
    <w:rsid w:val="00483D66"/>
    <w:rsid w:val="00484562"/>
    <w:rsid w:val="00484B26"/>
    <w:rsid w:val="004878FF"/>
    <w:rsid w:val="00487AAF"/>
    <w:rsid w:val="00487BDD"/>
    <w:rsid w:val="00487F62"/>
    <w:rsid w:val="0049054F"/>
    <w:rsid w:val="00490F34"/>
    <w:rsid w:val="004915D9"/>
    <w:rsid w:val="00491703"/>
    <w:rsid w:val="004926E8"/>
    <w:rsid w:val="00493BB5"/>
    <w:rsid w:val="00494DC7"/>
    <w:rsid w:val="0049570B"/>
    <w:rsid w:val="00496635"/>
    <w:rsid w:val="0049697C"/>
    <w:rsid w:val="0049721C"/>
    <w:rsid w:val="00497406"/>
    <w:rsid w:val="00497930"/>
    <w:rsid w:val="004A05ED"/>
    <w:rsid w:val="004A0DE7"/>
    <w:rsid w:val="004A0E06"/>
    <w:rsid w:val="004A1487"/>
    <w:rsid w:val="004A2317"/>
    <w:rsid w:val="004A3BA2"/>
    <w:rsid w:val="004A3C6D"/>
    <w:rsid w:val="004A43F7"/>
    <w:rsid w:val="004A4ECE"/>
    <w:rsid w:val="004A74AC"/>
    <w:rsid w:val="004B1006"/>
    <w:rsid w:val="004B1909"/>
    <w:rsid w:val="004B1D11"/>
    <w:rsid w:val="004B2162"/>
    <w:rsid w:val="004B248B"/>
    <w:rsid w:val="004B4513"/>
    <w:rsid w:val="004B5CD8"/>
    <w:rsid w:val="004B6BA4"/>
    <w:rsid w:val="004B7F13"/>
    <w:rsid w:val="004C14A5"/>
    <w:rsid w:val="004C1D55"/>
    <w:rsid w:val="004C27DF"/>
    <w:rsid w:val="004C3B01"/>
    <w:rsid w:val="004C4BA6"/>
    <w:rsid w:val="004C5805"/>
    <w:rsid w:val="004C766C"/>
    <w:rsid w:val="004D07CD"/>
    <w:rsid w:val="004D0B0A"/>
    <w:rsid w:val="004D4C1B"/>
    <w:rsid w:val="004D6FA0"/>
    <w:rsid w:val="004D7BCF"/>
    <w:rsid w:val="004E0575"/>
    <w:rsid w:val="004E1A9A"/>
    <w:rsid w:val="004E3817"/>
    <w:rsid w:val="004E3C9B"/>
    <w:rsid w:val="004E3DF2"/>
    <w:rsid w:val="004E4527"/>
    <w:rsid w:val="004E529D"/>
    <w:rsid w:val="004E538F"/>
    <w:rsid w:val="004E568F"/>
    <w:rsid w:val="004E580E"/>
    <w:rsid w:val="004E6287"/>
    <w:rsid w:val="004E7287"/>
    <w:rsid w:val="004F1CDB"/>
    <w:rsid w:val="004F28D3"/>
    <w:rsid w:val="004F516B"/>
    <w:rsid w:val="004F5B20"/>
    <w:rsid w:val="004F6209"/>
    <w:rsid w:val="004F72B7"/>
    <w:rsid w:val="004F74B7"/>
    <w:rsid w:val="004F7581"/>
    <w:rsid w:val="004F761D"/>
    <w:rsid w:val="004F7645"/>
    <w:rsid w:val="004F785B"/>
    <w:rsid w:val="004F7D60"/>
    <w:rsid w:val="00500EB5"/>
    <w:rsid w:val="005010FC"/>
    <w:rsid w:val="005013BA"/>
    <w:rsid w:val="00501809"/>
    <w:rsid w:val="00501F76"/>
    <w:rsid w:val="005044CF"/>
    <w:rsid w:val="005100C6"/>
    <w:rsid w:val="0051042D"/>
    <w:rsid w:val="00512F16"/>
    <w:rsid w:val="00513615"/>
    <w:rsid w:val="00513D1E"/>
    <w:rsid w:val="00514197"/>
    <w:rsid w:val="00514472"/>
    <w:rsid w:val="00514DF4"/>
    <w:rsid w:val="005153DB"/>
    <w:rsid w:val="00516572"/>
    <w:rsid w:val="0051710D"/>
    <w:rsid w:val="00520140"/>
    <w:rsid w:val="00520ACB"/>
    <w:rsid w:val="00520F72"/>
    <w:rsid w:val="0052220D"/>
    <w:rsid w:val="005229E3"/>
    <w:rsid w:val="00522FAA"/>
    <w:rsid w:val="005245D9"/>
    <w:rsid w:val="00524893"/>
    <w:rsid w:val="0052499E"/>
    <w:rsid w:val="00524A04"/>
    <w:rsid w:val="00524B6E"/>
    <w:rsid w:val="00524EB4"/>
    <w:rsid w:val="00525015"/>
    <w:rsid w:val="0052512F"/>
    <w:rsid w:val="0052637B"/>
    <w:rsid w:val="00527F4A"/>
    <w:rsid w:val="00530E73"/>
    <w:rsid w:val="0053281F"/>
    <w:rsid w:val="00533124"/>
    <w:rsid w:val="0053362E"/>
    <w:rsid w:val="00533BDD"/>
    <w:rsid w:val="00535112"/>
    <w:rsid w:val="005353D7"/>
    <w:rsid w:val="00536AD4"/>
    <w:rsid w:val="005378BA"/>
    <w:rsid w:val="00537D5E"/>
    <w:rsid w:val="00540130"/>
    <w:rsid w:val="0054179B"/>
    <w:rsid w:val="00541AA4"/>
    <w:rsid w:val="00541E0F"/>
    <w:rsid w:val="005429EC"/>
    <w:rsid w:val="00550BF5"/>
    <w:rsid w:val="005520D3"/>
    <w:rsid w:val="00555979"/>
    <w:rsid w:val="00555BE1"/>
    <w:rsid w:val="00555C3F"/>
    <w:rsid w:val="00556038"/>
    <w:rsid w:val="005569C9"/>
    <w:rsid w:val="00556C78"/>
    <w:rsid w:val="0056004F"/>
    <w:rsid w:val="00560C7D"/>
    <w:rsid w:val="005618D3"/>
    <w:rsid w:val="00561EA7"/>
    <w:rsid w:val="0056353A"/>
    <w:rsid w:val="005637E2"/>
    <w:rsid w:val="00563BC9"/>
    <w:rsid w:val="005655B2"/>
    <w:rsid w:val="005656EB"/>
    <w:rsid w:val="00565F1B"/>
    <w:rsid w:val="00567122"/>
    <w:rsid w:val="005672E9"/>
    <w:rsid w:val="00567AD6"/>
    <w:rsid w:val="00567F91"/>
    <w:rsid w:val="005701E4"/>
    <w:rsid w:val="00570354"/>
    <w:rsid w:val="00572187"/>
    <w:rsid w:val="00572D7E"/>
    <w:rsid w:val="00573228"/>
    <w:rsid w:val="00573554"/>
    <w:rsid w:val="00573A71"/>
    <w:rsid w:val="00573BCB"/>
    <w:rsid w:val="005743C5"/>
    <w:rsid w:val="00575E6C"/>
    <w:rsid w:val="00576BFC"/>
    <w:rsid w:val="005771EF"/>
    <w:rsid w:val="00577305"/>
    <w:rsid w:val="005779CD"/>
    <w:rsid w:val="00580B54"/>
    <w:rsid w:val="00581706"/>
    <w:rsid w:val="00581C20"/>
    <w:rsid w:val="00581E77"/>
    <w:rsid w:val="00581FA6"/>
    <w:rsid w:val="00583287"/>
    <w:rsid w:val="00583692"/>
    <w:rsid w:val="00584755"/>
    <w:rsid w:val="0058480F"/>
    <w:rsid w:val="00584BA6"/>
    <w:rsid w:val="00584DE2"/>
    <w:rsid w:val="00585D5A"/>
    <w:rsid w:val="00585DEE"/>
    <w:rsid w:val="0058710C"/>
    <w:rsid w:val="005878F7"/>
    <w:rsid w:val="0058791D"/>
    <w:rsid w:val="00590A6A"/>
    <w:rsid w:val="00592B6B"/>
    <w:rsid w:val="00593A53"/>
    <w:rsid w:val="00593E49"/>
    <w:rsid w:val="0059418C"/>
    <w:rsid w:val="005945C7"/>
    <w:rsid w:val="00594E97"/>
    <w:rsid w:val="0059518C"/>
    <w:rsid w:val="005959FD"/>
    <w:rsid w:val="00596BA5"/>
    <w:rsid w:val="005A08A7"/>
    <w:rsid w:val="005A1F37"/>
    <w:rsid w:val="005A270F"/>
    <w:rsid w:val="005B085C"/>
    <w:rsid w:val="005B0879"/>
    <w:rsid w:val="005B09FF"/>
    <w:rsid w:val="005B0C7F"/>
    <w:rsid w:val="005B1193"/>
    <w:rsid w:val="005B2749"/>
    <w:rsid w:val="005B2770"/>
    <w:rsid w:val="005B2B75"/>
    <w:rsid w:val="005B2C0E"/>
    <w:rsid w:val="005B2D87"/>
    <w:rsid w:val="005B47BE"/>
    <w:rsid w:val="005B5189"/>
    <w:rsid w:val="005B52B1"/>
    <w:rsid w:val="005B5CE8"/>
    <w:rsid w:val="005B6306"/>
    <w:rsid w:val="005B684B"/>
    <w:rsid w:val="005B6C42"/>
    <w:rsid w:val="005C05C2"/>
    <w:rsid w:val="005C1312"/>
    <w:rsid w:val="005C1FC4"/>
    <w:rsid w:val="005C2038"/>
    <w:rsid w:val="005C3122"/>
    <w:rsid w:val="005C475F"/>
    <w:rsid w:val="005C5C45"/>
    <w:rsid w:val="005C61A4"/>
    <w:rsid w:val="005C61F5"/>
    <w:rsid w:val="005C69DC"/>
    <w:rsid w:val="005D128B"/>
    <w:rsid w:val="005D2530"/>
    <w:rsid w:val="005D306D"/>
    <w:rsid w:val="005D3783"/>
    <w:rsid w:val="005D524D"/>
    <w:rsid w:val="005D6328"/>
    <w:rsid w:val="005D7384"/>
    <w:rsid w:val="005D767F"/>
    <w:rsid w:val="005E03C8"/>
    <w:rsid w:val="005E1F57"/>
    <w:rsid w:val="005E24EB"/>
    <w:rsid w:val="005E2AA8"/>
    <w:rsid w:val="005E32C9"/>
    <w:rsid w:val="005E371C"/>
    <w:rsid w:val="005E412F"/>
    <w:rsid w:val="005E4B49"/>
    <w:rsid w:val="005E4D5C"/>
    <w:rsid w:val="005E4DCA"/>
    <w:rsid w:val="005E4EFB"/>
    <w:rsid w:val="005E52B4"/>
    <w:rsid w:val="005E5985"/>
    <w:rsid w:val="005E60D6"/>
    <w:rsid w:val="005E70AD"/>
    <w:rsid w:val="005F0211"/>
    <w:rsid w:val="005F1164"/>
    <w:rsid w:val="005F1E8E"/>
    <w:rsid w:val="005F24A6"/>
    <w:rsid w:val="005F2FE6"/>
    <w:rsid w:val="005F4D30"/>
    <w:rsid w:val="005F5E71"/>
    <w:rsid w:val="005F62DC"/>
    <w:rsid w:val="005F7FC6"/>
    <w:rsid w:val="00600E69"/>
    <w:rsid w:val="0060158A"/>
    <w:rsid w:val="00601FFC"/>
    <w:rsid w:val="00603782"/>
    <w:rsid w:val="00603D0F"/>
    <w:rsid w:val="00603EB9"/>
    <w:rsid w:val="0060419E"/>
    <w:rsid w:val="006051D9"/>
    <w:rsid w:val="00605543"/>
    <w:rsid w:val="0060681F"/>
    <w:rsid w:val="00607788"/>
    <w:rsid w:val="00607E1B"/>
    <w:rsid w:val="00610C5C"/>
    <w:rsid w:val="006118CD"/>
    <w:rsid w:val="00611F28"/>
    <w:rsid w:val="00612087"/>
    <w:rsid w:val="006133EA"/>
    <w:rsid w:val="00613F90"/>
    <w:rsid w:val="00614651"/>
    <w:rsid w:val="006162CD"/>
    <w:rsid w:val="00616758"/>
    <w:rsid w:val="006168BA"/>
    <w:rsid w:val="00617693"/>
    <w:rsid w:val="00617F2E"/>
    <w:rsid w:val="00620F2C"/>
    <w:rsid w:val="00621B2F"/>
    <w:rsid w:val="00622335"/>
    <w:rsid w:val="00622ADD"/>
    <w:rsid w:val="00623670"/>
    <w:rsid w:val="00623E30"/>
    <w:rsid w:val="0062426B"/>
    <w:rsid w:val="006242BF"/>
    <w:rsid w:val="006242EA"/>
    <w:rsid w:val="006244CE"/>
    <w:rsid w:val="00625428"/>
    <w:rsid w:val="00625F51"/>
    <w:rsid w:val="0062609C"/>
    <w:rsid w:val="0062672B"/>
    <w:rsid w:val="006269C6"/>
    <w:rsid w:val="006272DD"/>
    <w:rsid w:val="00631236"/>
    <w:rsid w:val="00631AEB"/>
    <w:rsid w:val="00631E55"/>
    <w:rsid w:val="00632D97"/>
    <w:rsid w:val="0063318E"/>
    <w:rsid w:val="006332A4"/>
    <w:rsid w:val="006336D6"/>
    <w:rsid w:val="006352C5"/>
    <w:rsid w:val="006353A3"/>
    <w:rsid w:val="00635991"/>
    <w:rsid w:val="00635C3A"/>
    <w:rsid w:val="00635CCD"/>
    <w:rsid w:val="00635F6A"/>
    <w:rsid w:val="00636110"/>
    <w:rsid w:val="00636E15"/>
    <w:rsid w:val="006374C7"/>
    <w:rsid w:val="00637C7B"/>
    <w:rsid w:val="00644A1C"/>
    <w:rsid w:val="00646262"/>
    <w:rsid w:val="00646378"/>
    <w:rsid w:val="0064712D"/>
    <w:rsid w:val="00651002"/>
    <w:rsid w:val="00651225"/>
    <w:rsid w:val="00651CE7"/>
    <w:rsid w:val="00652BD2"/>
    <w:rsid w:val="00652DC5"/>
    <w:rsid w:val="0065333F"/>
    <w:rsid w:val="00654883"/>
    <w:rsid w:val="00654EA1"/>
    <w:rsid w:val="00655751"/>
    <w:rsid w:val="00656515"/>
    <w:rsid w:val="00656E05"/>
    <w:rsid w:val="00657C7D"/>
    <w:rsid w:val="006606CC"/>
    <w:rsid w:val="00660E38"/>
    <w:rsid w:val="00661566"/>
    <w:rsid w:val="00661656"/>
    <w:rsid w:val="006631C0"/>
    <w:rsid w:val="0066399E"/>
    <w:rsid w:val="006643A5"/>
    <w:rsid w:val="006660AE"/>
    <w:rsid w:val="00666926"/>
    <w:rsid w:val="00666D48"/>
    <w:rsid w:val="0066754F"/>
    <w:rsid w:val="00667773"/>
    <w:rsid w:val="00670194"/>
    <w:rsid w:val="00670237"/>
    <w:rsid w:val="0067069D"/>
    <w:rsid w:val="00670F2F"/>
    <w:rsid w:val="0067429B"/>
    <w:rsid w:val="006747D6"/>
    <w:rsid w:val="00675783"/>
    <w:rsid w:val="00675ECB"/>
    <w:rsid w:val="00675F8B"/>
    <w:rsid w:val="00676AA5"/>
    <w:rsid w:val="00677E04"/>
    <w:rsid w:val="00677FC8"/>
    <w:rsid w:val="006803B5"/>
    <w:rsid w:val="00680936"/>
    <w:rsid w:val="0068232A"/>
    <w:rsid w:val="00683EE1"/>
    <w:rsid w:val="0068400F"/>
    <w:rsid w:val="00684306"/>
    <w:rsid w:val="00685EDE"/>
    <w:rsid w:val="006861A5"/>
    <w:rsid w:val="00686765"/>
    <w:rsid w:val="0068710C"/>
    <w:rsid w:val="0068762B"/>
    <w:rsid w:val="00690CE2"/>
    <w:rsid w:val="0069223D"/>
    <w:rsid w:val="006927AD"/>
    <w:rsid w:val="00692BBD"/>
    <w:rsid w:val="00693A97"/>
    <w:rsid w:val="00693CA9"/>
    <w:rsid w:val="00694193"/>
    <w:rsid w:val="00695117"/>
    <w:rsid w:val="00697077"/>
    <w:rsid w:val="00697A72"/>
    <w:rsid w:val="006A0E94"/>
    <w:rsid w:val="006A18D7"/>
    <w:rsid w:val="006A1F7B"/>
    <w:rsid w:val="006A2843"/>
    <w:rsid w:val="006A3EE7"/>
    <w:rsid w:val="006A5367"/>
    <w:rsid w:val="006A71F1"/>
    <w:rsid w:val="006A7B7B"/>
    <w:rsid w:val="006B0A70"/>
    <w:rsid w:val="006B1181"/>
    <w:rsid w:val="006B11FC"/>
    <w:rsid w:val="006B18D3"/>
    <w:rsid w:val="006B5284"/>
    <w:rsid w:val="006B5365"/>
    <w:rsid w:val="006B646E"/>
    <w:rsid w:val="006C17E6"/>
    <w:rsid w:val="006C244F"/>
    <w:rsid w:val="006C3412"/>
    <w:rsid w:val="006C39B2"/>
    <w:rsid w:val="006C3ECF"/>
    <w:rsid w:val="006C445A"/>
    <w:rsid w:val="006C492B"/>
    <w:rsid w:val="006C4E7F"/>
    <w:rsid w:val="006C5406"/>
    <w:rsid w:val="006C5C03"/>
    <w:rsid w:val="006C659B"/>
    <w:rsid w:val="006C71F5"/>
    <w:rsid w:val="006C7724"/>
    <w:rsid w:val="006C7810"/>
    <w:rsid w:val="006C7ED1"/>
    <w:rsid w:val="006C7FFA"/>
    <w:rsid w:val="006D046D"/>
    <w:rsid w:val="006D1507"/>
    <w:rsid w:val="006D1C8E"/>
    <w:rsid w:val="006D2573"/>
    <w:rsid w:val="006D27E1"/>
    <w:rsid w:val="006D455A"/>
    <w:rsid w:val="006D6F28"/>
    <w:rsid w:val="006D6F4A"/>
    <w:rsid w:val="006D7541"/>
    <w:rsid w:val="006E0172"/>
    <w:rsid w:val="006E01D3"/>
    <w:rsid w:val="006E0618"/>
    <w:rsid w:val="006E08B7"/>
    <w:rsid w:val="006E2CF9"/>
    <w:rsid w:val="006E2D16"/>
    <w:rsid w:val="006E2D7C"/>
    <w:rsid w:val="006E369A"/>
    <w:rsid w:val="006E4968"/>
    <w:rsid w:val="006E4DA7"/>
    <w:rsid w:val="006E53EF"/>
    <w:rsid w:val="006E54B0"/>
    <w:rsid w:val="006E6256"/>
    <w:rsid w:val="006F09D6"/>
    <w:rsid w:val="006F0D63"/>
    <w:rsid w:val="006F1BFA"/>
    <w:rsid w:val="006F2124"/>
    <w:rsid w:val="006F2CD3"/>
    <w:rsid w:val="006F2ED5"/>
    <w:rsid w:val="006F3228"/>
    <w:rsid w:val="006F4127"/>
    <w:rsid w:val="006F44C3"/>
    <w:rsid w:val="006F5997"/>
    <w:rsid w:val="006F5C7A"/>
    <w:rsid w:val="006F5DEB"/>
    <w:rsid w:val="006F722C"/>
    <w:rsid w:val="0070363D"/>
    <w:rsid w:val="00704B21"/>
    <w:rsid w:val="00704E71"/>
    <w:rsid w:val="00704F0A"/>
    <w:rsid w:val="0070542F"/>
    <w:rsid w:val="007059DF"/>
    <w:rsid w:val="00706066"/>
    <w:rsid w:val="0070703C"/>
    <w:rsid w:val="00707BFD"/>
    <w:rsid w:val="00707C3C"/>
    <w:rsid w:val="0071048D"/>
    <w:rsid w:val="00710AEF"/>
    <w:rsid w:val="007110A1"/>
    <w:rsid w:val="007112F0"/>
    <w:rsid w:val="00711A6A"/>
    <w:rsid w:val="0071293F"/>
    <w:rsid w:val="007131B7"/>
    <w:rsid w:val="00713FC5"/>
    <w:rsid w:val="0071579B"/>
    <w:rsid w:val="00715961"/>
    <w:rsid w:val="00715B76"/>
    <w:rsid w:val="00715FAD"/>
    <w:rsid w:val="00716857"/>
    <w:rsid w:val="00720A4B"/>
    <w:rsid w:val="007215AB"/>
    <w:rsid w:val="00721E4F"/>
    <w:rsid w:val="0072258B"/>
    <w:rsid w:val="0072366D"/>
    <w:rsid w:val="00723C4B"/>
    <w:rsid w:val="007246BF"/>
    <w:rsid w:val="00725199"/>
    <w:rsid w:val="00727335"/>
    <w:rsid w:val="00731619"/>
    <w:rsid w:val="00731746"/>
    <w:rsid w:val="0073357E"/>
    <w:rsid w:val="00734B7B"/>
    <w:rsid w:val="0073591E"/>
    <w:rsid w:val="00735FF2"/>
    <w:rsid w:val="007361D7"/>
    <w:rsid w:val="00737A04"/>
    <w:rsid w:val="00737F6F"/>
    <w:rsid w:val="00740142"/>
    <w:rsid w:val="0074043E"/>
    <w:rsid w:val="00741517"/>
    <w:rsid w:val="00741B1C"/>
    <w:rsid w:val="00743820"/>
    <w:rsid w:val="00743AB2"/>
    <w:rsid w:val="00744C14"/>
    <w:rsid w:val="007451E7"/>
    <w:rsid w:val="00745E05"/>
    <w:rsid w:val="007460FD"/>
    <w:rsid w:val="0074628E"/>
    <w:rsid w:val="00746C41"/>
    <w:rsid w:val="00746D15"/>
    <w:rsid w:val="0075023D"/>
    <w:rsid w:val="00750C3D"/>
    <w:rsid w:val="00753709"/>
    <w:rsid w:val="00755A11"/>
    <w:rsid w:val="00756B39"/>
    <w:rsid w:val="0075721F"/>
    <w:rsid w:val="0076001C"/>
    <w:rsid w:val="00760217"/>
    <w:rsid w:val="0076043B"/>
    <w:rsid w:val="007605DE"/>
    <w:rsid w:val="00761106"/>
    <w:rsid w:val="00761179"/>
    <w:rsid w:val="00761A0C"/>
    <w:rsid w:val="007620CE"/>
    <w:rsid w:val="00762737"/>
    <w:rsid w:val="00763225"/>
    <w:rsid w:val="00763492"/>
    <w:rsid w:val="007635CC"/>
    <w:rsid w:val="00763F2C"/>
    <w:rsid w:val="0076477D"/>
    <w:rsid w:val="00764DDC"/>
    <w:rsid w:val="00764FAC"/>
    <w:rsid w:val="00770381"/>
    <w:rsid w:val="007708F8"/>
    <w:rsid w:val="0077267C"/>
    <w:rsid w:val="007727FE"/>
    <w:rsid w:val="00772E37"/>
    <w:rsid w:val="00773B93"/>
    <w:rsid w:val="00773E4A"/>
    <w:rsid w:val="00773FE7"/>
    <w:rsid w:val="00774932"/>
    <w:rsid w:val="00774BDA"/>
    <w:rsid w:val="007756DA"/>
    <w:rsid w:val="007762E7"/>
    <w:rsid w:val="00776986"/>
    <w:rsid w:val="00777469"/>
    <w:rsid w:val="00781B6E"/>
    <w:rsid w:val="00782011"/>
    <w:rsid w:val="00782C1F"/>
    <w:rsid w:val="00783EB4"/>
    <w:rsid w:val="00784497"/>
    <w:rsid w:val="00784B58"/>
    <w:rsid w:val="00784D25"/>
    <w:rsid w:val="00785726"/>
    <w:rsid w:val="00786955"/>
    <w:rsid w:val="007871B8"/>
    <w:rsid w:val="007875D1"/>
    <w:rsid w:val="00790367"/>
    <w:rsid w:val="007907CA"/>
    <w:rsid w:val="00791214"/>
    <w:rsid w:val="0079147A"/>
    <w:rsid w:val="00791826"/>
    <w:rsid w:val="00791E2D"/>
    <w:rsid w:val="0079202F"/>
    <w:rsid w:val="007922AE"/>
    <w:rsid w:val="007922CD"/>
    <w:rsid w:val="00792A39"/>
    <w:rsid w:val="007930FB"/>
    <w:rsid w:val="007938A0"/>
    <w:rsid w:val="00793FE1"/>
    <w:rsid w:val="00795285"/>
    <w:rsid w:val="00795F55"/>
    <w:rsid w:val="007961B1"/>
    <w:rsid w:val="00797C32"/>
    <w:rsid w:val="007A034F"/>
    <w:rsid w:val="007A06DA"/>
    <w:rsid w:val="007A0E24"/>
    <w:rsid w:val="007A151B"/>
    <w:rsid w:val="007A30EA"/>
    <w:rsid w:val="007A35DF"/>
    <w:rsid w:val="007A37C2"/>
    <w:rsid w:val="007A41AD"/>
    <w:rsid w:val="007A4407"/>
    <w:rsid w:val="007A49E4"/>
    <w:rsid w:val="007A4C40"/>
    <w:rsid w:val="007A4E9F"/>
    <w:rsid w:val="007A5C4B"/>
    <w:rsid w:val="007A5CD0"/>
    <w:rsid w:val="007A6E84"/>
    <w:rsid w:val="007A7221"/>
    <w:rsid w:val="007A7335"/>
    <w:rsid w:val="007A7726"/>
    <w:rsid w:val="007A7BF5"/>
    <w:rsid w:val="007A7F9F"/>
    <w:rsid w:val="007B219C"/>
    <w:rsid w:val="007B4686"/>
    <w:rsid w:val="007B501E"/>
    <w:rsid w:val="007B5EE2"/>
    <w:rsid w:val="007B68AA"/>
    <w:rsid w:val="007B6AC3"/>
    <w:rsid w:val="007B797C"/>
    <w:rsid w:val="007C0517"/>
    <w:rsid w:val="007C069D"/>
    <w:rsid w:val="007C18CE"/>
    <w:rsid w:val="007C21E5"/>
    <w:rsid w:val="007C31A3"/>
    <w:rsid w:val="007C36E1"/>
    <w:rsid w:val="007C3B63"/>
    <w:rsid w:val="007C6864"/>
    <w:rsid w:val="007C7710"/>
    <w:rsid w:val="007C7EA7"/>
    <w:rsid w:val="007D12BE"/>
    <w:rsid w:val="007D164C"/>
    <w:rsid w:val="007D1D12"/>
    <w:rsid w:val="007D1EFB"/>
    <w:rsid w:val="007D1FD4"/>
    <w:rsid w:val="007D234D"/>
    <w:rsid w:val="007D3417"/>
    <w:rsid w:val="007D35FF"/>
    <w:rsid w:val="007D378A"/>
    <w:rsid w:val="007D3C0A"/>
    <w:rsid w:val="007D483C"/>
    <w:rsid w:val="007D4A88"/>
    <w:rsid w:val="007D4C84"/>
    <w:rsid w:val="007D53BA"/>
    <w:rsid w:val="007D5A69"/>
    <w:rsid w:val="007D612B"/>
    <w:rsid w:val="007D6253"/>
    <w:rsid w:val="007D6F9A"/>
    <w:rsid w:val="007D70D3"/>
    <w:rsid w:val="007D76CA"/>
    <w:rsid w:val="007D7C3C"/>
    <w:rsid w:val="007E0311"/>
    <w:rsid w:val="007E0792"/>
    <w:rsid w:val="007E083E"/>
    <w:rsid w:val="007E0DE6"/>
    <w:rsid w:val="007E14F7"/>
    <w:rsid w:val="007E158F"/>
    <w:rsid w:val="007E1D93"/>
    <w:rsid w:val="007E23A2"/>
    <w:rsid w:val="007E39B5"/>
    <w:rsid w:val="007E39F0"/>
    <w:rsid w:val="007E5BD5"/>
    <w:rsid w:val="007E6A98"/>
    <w:rsid w:val="007E6CA7"/>
    <w:rsid w:val="007E6E53"/>
    <w:rsid w:val="007E6EC1"/>
    <w:rsid w:val="007E7F0A"/>
    <w:rsid w:val="007F0A34"/>
    <w:rsid w:val="007F10F8"/>
    <w:rsid w:val="007F1AE0"/>
    <w:rsid w:val="007F27C7"/>
    <w:rsid w:val="007F2F4D"/>
    <w:rsid w:val="007F3081"/>
    <w:rsid w:val="007F366B"/>
    <w:rsid w:val="007F367C"/>
    <w:rsid w:val="007F49B1"/>
    <w:rsid w:val="007F49E3"/>
    <w:rsid w:val="007F4EA7"/>
    <w:rsid w:val="007F7045"/>
    <w:rsid w:val="0080049D"/>
    <w:rsid w:val="0080120A"/>
    <w:rsid w:val="008012AB"/>
    <w:rsid w:val="008024CF"/>
    <w:rsid w:val="008035DA"/>
    <w:rsid w:val="0080427D"/>
    <w:rsid w:val="008047C5"/>
    <w:rsid w:val="00804886"/>
    <w:rsid w:val="008055EE"/>
    <w:rsid w:val="00805B04"/>
    <w:rsid w:val="008079FD"/>
    <w:rsid w:val="00807D9F"/>
    <w:rsid w:val="00810CC3"/>
    <w:rsid w:val="008141CA"/>
    <w:rsid w:val="00815938"/>
    <w:rsid w:val="008159EB"/>
    <w:rsid w:val="00816362"/>
    <w:rsid w:val="00816687"/>
    <w:rsid w:val="00816739"/>
    <w:rsid w:val="00817050"/>
    <w:rsid w:val="00817A1A"/>
    <w:rsid w:val="0082005B"/>
    <w:rsid w:val="00820255"/>
    <w:rsid w:val="00821753"/>
    <w:rsid w:val="0082579B"/>
    <w:rsid w:val="00825E63"/>
    <w:rsid w:val="00827C7F"/>
    <w:rsid w:val="00830B22"/>
    <w:rsid w:val="00832A94"/>
    <w:rsid w:val="00832C9C"/>
    <w:rsid w:val="008333F9"/>
    <w:rsid w:val="00833503"/>
    <w:rsid w:val="00834785"/>
    <w:rsid w:val="00834BA0"/>
    <w:rsid w:val="0083541B"/>
    <w:rsid w:val="00835935"/>
    <w:rsid w:val="0083677E"/>
    <w:rsid w:val="00836A6D"/>
    <w:rsid w:val="00836E8C"/>
    <w:rsid w:val="00837346"/>
    <w:rsid w:val="00840203"/>
    <w:rsid w:val="0084055D"/>
    <w:rsid w:val="00842097"/>
    <w:rsid w:val="00842963"/>
    <w:rsid w:val="00843DEC"/>
    <w:rsid w:val="008441CD"/>
    <w:rsid w:val="00844263"/>
    <w:rsid w:val="0084669E"/>
    <w:rsid w:val="00846B07"/>
    <w:rsid w:val="00846DA8"/>
    <w:rsid w:val="00850522"/>
    <w:rsid w:val="00850698"/>
    <w:rsid w:val="0085074F"/>
    <w:rsid w:val="00850EBA"/>
    <w:rsid w:val="00851307"/>
    <w:rsid w:val="0085151C"/>
    <w:rsid w:val="00852425"/>
    <w:rsid w:val="00852958"/>
    <w:rsid w:val="0085398E"/>
    <w:rsid w:val="008541CE"/>
    <w:rsid w:val="00855037"/>
    <w:rsid w:val="008605A8"/>
    <w:rsid w:val="00860CF4"/>
    <w:rsid w:val="008614B9"/>
    <w:rsid w:val="008637E0"/>
    <w:rsid w:val="008645BB"/>
    <w:rsid w:val="00864DFC"/>
    <w:rsid w:val="0086524D"/>
    <w:rsid w:val="00865914"/>
    <w:rsid w:val="0086617F"/>
    <w:rsid w:val="008672C2"/>
    <w:rsid w:val="00867C32"/>
    <w:rsid w:val="00867D4F"/>
    <w:rsid w:val="008701C5"/>
    <w:rsid w:val="00870385"/>
    <w:rsid w:val="0087063B"/>
    <w:rsid w:val="00870E3E"/>
    <w:rsid w:val="0087173D"/>
    <w:rsid w:val="00871F86"/>
    <w:rsid w:val="0087288A"/>
    <w:rsid w:val="008739AD"/>
    <w:rsid w:val="008745DA"/>
    <w:rsid w:val="0087462D"/>
    <w:rsid w:val="00874AAF"/>
    <w:rsid w:val="00874E79"/>
    <w:rsid w:val="00876523"/>
    <w:rsid w:val="0087678A"/>
    <w:rsid w:val="008768C1"/>
    <w:rsid w:val="00876D64"/>
    <w:rsid w:val="00881C3C"/>
    <w:rsid w:val="008828BE"/>
    <w:rsid w:val="00882BAE"/>
    <w:rsid w:val="008836C7"/>
    <w:rsid w:val="008837C5"/>
    <w:rsid w:val="00883A70"/>
    <w:rsid w:val="00884B29"/>
    <w:rsid w:val="008865D7"/>
    <w:rsid w:val="008873ED"/>
    <w:rsid w:val="00887E5C"/>
    <w:rsid w:val="00890188"/>
    <w:rsid w:val="008905D8"/>
    <w:rsid w:val="00890CE0"/>
    <w:rsid w:val="00892FDE"/>
    <w:rsid w:val="008939F1"/>
    <w:rsid w:val="00893AEF"/>
    <w:rsid w:val="008943AE"/>
    <w:rsid w:val="00894676"/>
    <w:rsid w:val="0089561E"/>
    <w:rsid w:val="008956E7"/>
    <w:rsid w:val="008957DB"/>
    <w:rsid w:val="00895C5B"/>
    <w:rsid w:val="00895F1F"/>
    <w:rsid w:val="00896C53"/>
    <w:rsid w:val="00897C3F"/>
    <w:rsid w:val="008A147A"/>
    <w:rsid w:val="008A1F24"/>
    <w:rsid w:val="008A22AF"/>
    <w:rsid w:val="008A2918"/>
    <w:rsid w:val="008A343B"/>
    <w:rsid w:val="008A36C7"/>
    <w:rsid w:val="008A3799"/>
    <w:rsid w:val="008A60F6"/>
    <w:rsid w:val="008A61CE"/>
    <w:rsid w:val="008A66F0"/>
    <w:rsid w:val="008A7BE4"/>
    <w:rsid w:val="008A7DB7"/>
    <w:rsid w:val="008A7F25"/>
    <w:rsid w:val="008B1349"/>
    <w:rsid w:val="008B273F"/>
    <w:rsid w:val="008B440B"/>
    <w:rsid w:val="008B4953"/>
    <w:rsid w:val="008B4B55"/>
    <w:rsid w:val="008B6479"/>
    <w:rsid w:val="008C00EA"/>
    <w:rsid w:val="008C0205"/>
    <w:rsid w:val="008C02CD"/>
    <w:rsid w:val="008C08BE"/>
    <w:rsid w:val="008C0FFA"/>
    <w:rsid w:val="008C1EC3"/>
    <w:rsid w:val="008C21F4"/>
    <w:rsid w:val="008C2978"/>
    <w:rsid w:val="008C2B2C"/>
    <w:rsid w:val="008C2F43"/>
    <w:rsid w:val="008C32D2"/>
    <w:rsid w:val="008C32EC"/>
    <w:rsid w:val="008C3B81"/>
    <w:rsid w:val="008C4745"/>
    <w:rsid w:val="008C54C7"/>
    <w:rsid w:val="008C578A"/>
    <w:rsid w:val="008C5877"/>
    <w:rsid w:val="008C6537"/>
    <w:rsid w:val="008C6619"/>
    <w:rsid w:val="008C78DE"/>
    <w:rsid w:val="008D16C0"/>
    <w:rsid w:val="008D1A17"/>
    <w:rsid w:val="008D1CDB"/>
    <w:rsid w:val="008D2369"/>
    <w:rsid w:val="008D331C"/>
    <w:rsid w:val="008D35BF"/>
    <w:rsid w:val="008D3ECA"/>
    <w:rsid w:val="008D3FC8"/>
    <w:rsid w:val="008D4781"/>
    <w:rsid w:val="008D713A"/>
    <w:rsid w:val="008E0264"/>
    <w:rsid w:val="008E120E"/>
    <w:rsid w:val="008E1434"/>
    <w:rsid w:val="008E2390"/>
    <w:rsid w:val="008E2AB1"/>
    <w:rsid w:val="008E2B23"/>
    <w:rsid w:val="008E3577"/>
    <w:rsid w:val="008E3CC5"/>
    <w:rsid w:val="008E4DA6"/>
    <w:rsid w:val="008E4FC8"/>
    <w:rsid w:val="008E6221"/>
    <w:rsid w:val="008E6710"/>
    <w:rsid w:val="008E7BF1"/>
    <w:rsid w:val="008F088E"/>
    <w:rsid w:val="008F0D1C"/>
    <w:rsid w:val="008F1466"/>
    <w:rsid w:val="008F2C6E"/>
    <w:rsid w:val="008F32C3"/>
    <w:rsid w:val="008F4121"/>
    <w:rsid w:val="008F53FA"/>
    <w:rsid w:val="0090063F"/>
    <w:rsid w:val="00901CFB"/>
    <w:rsid w:val="0090332A"/>
    <w:rsid w:val="009036B5"/>
    <w:rsid w:val="00903E81"/>
    <w:rsid w:val="00904D42"/>
    <w:rsid w:val="00905251"/>
    <w:rsid w:val="0090543C"/>
    <w:rsid w:val="009057E5"/>
    <w:rsid w:val="00905A0A"/>
    <w:rsid w:val="00906CAC"/>
    <w:rsid w:val="0090704B"/>
    <w:rsid w:val="0091087C"/>
    <w:rsid w:val="00911396"/>
    <w:rsid w:val="009137D8"/>
    <w:rsid w:val="00916213"/>
    <w:rsid w:val="00917014"/>
    <w:rsid w:val="0091734E"/>
    <w:rsid w:val="00917905"/>
    <w:rsid w:val="0092006D"/>
    <w:rsid w:val="0092058E"/>
    <w:rsid w:val="009208A3"/>
    <w:rsid w:val="00920A30"/>
    <w:rsid w:val="00920E77"/>
    <w:rsid w:val="009210D6"/>
    <w:rsid w:val="00921F1E"/>
    <w:rsid w:val="0092222A"/>
    <w:rsid w:val="00922CD1"/>
    <w:rsid w:val="00922FA4"/>
    <w:rsid w:val="009231C5"/>
    <w:rsid w:val="0092409B"/>
    <w:rsid w:val="00926901"/>
    <w:rsid w:val="00927A99"/>
    <w:rsid w:val="009302A6"/>
    <w:rsid w:val="009306D9"/>
    <w:rsid w:val="00931546"/>
    <w:rsid w:val="00931DF0"/>
    <w:rsid w:val="00932035"/>
    <w:rsid w:val="009321D5"/>
    <w:rsid w:val="00933DA4"/>
    <w:rsid w:val="00934F12"/>
    <w:rsid w:val="00934F40"/>
    <w:rsid w:val="009357EB"/>
    <w:rsid w:val="00935B23"/>
    <w:rsid w:val="009367E4"/>
    <w:rsid w:val="00936C4F"/>
    <w:rsid w:val="0094023A"/>
    <w:rsid w:val="00940554"/>
    <w:rsid w:val="00940AAA"/>
    <w:rsid w:val="00940E05"/>
    <w:rsid w:val="00942216"/>
    <w:rsid w:val="00943697"/>
    <w:rsid w:val="00943C60"/>
    <w:rsid w:val="0094423A"/>
    <w:rsid w:val="00945B82"/>
    <w:rsid w:val="00947F2A"/>
    <w:rsid w:val="009522EC"/>
    <w:rsid w:val="00952B9F"/>
    <w:rsid w:val="00953859"/>
    <w:rsid w:val="0095572B"/>
    <w:rsid w:val="009564FE"/>
    <w:rsid w:val="00956864"/>
    <w:rsid w:val="00956BDA"/>
    <w:rsid w:val="009576F3"/>
    <w:rsid w:val="009579F1"/>
    <w:rsid w:val="00957FC2"/>
    <w:rsid w:val="00960594"/>
    <w:rsid w:val="009621FA"/>
    <w:rsid w:val="009625B3"/>
    <w:rsid w:val="00962EF4"/>
    <w:rsid w:val="009634AB"/>
    <w:rsid w:val="00963B8B"/>
    <w:rsid w:val="00963F33"/>
    <w:rsid w:val="00963F83"/>
    <w:rsid w:val="0096648D"/>
    <w:rsid w:val="009669E5"/>
    <w:rsid w:val="009670B8"/>
    <w:rsid w:val="009679BC"/>
    <w:rsid w:val="00967A0D"/>
    <w:rsid w:val="00971F2E"/>
    <w:rsid w:val="009721B2"/>
    <w:rsid w:val="009730A0"/>
    <w:rsid w:val="00973293"/>
    <w:rsid w:val="00974B21"/>
    <w:rsid w:val="009757DA"/>
    <w:rsid w:val="00976AE3"/>
    <w:rsid w:val="00977082"/>
    <w:rsid w:val="009775AF"/>
    <w:rsid w:val="00980058"/>
    <w:rsid w:val="00980354"/>
    <w:rsid w:val="00980584"/>
    <w:rsid w:val="009808A0"/>
    <w:rsid w:val="00981017"/>
    <w:rsid w:val="00982060"/>
    <w:rsid w:val="00982F41"/>
    <w:rsid w:val="009835CD"/>
    <w:rsid w:val="009845AC"/>
    <w:rsid w:val="0098487F"/>
    <w:rsid w:val="009850D2"/>
    <w:rsid w:val="00985162"/>
    <w:rsid w:val="00985373"/>
    <w:rsid w:val="009858F5"/>
    <w:rsid w:val="009862F7"/>
    <w:rsid w:val="00990175"/>
    <w:rsid w:val="0099088C"/>
    <w:rsid w:val="009908E7"/>
    <w:rsid w:val="0099309E"/>
    <w:rsid w:val="009941A9"/>
    <w:rsid w:val="009969D4"/>
    <w:rsid w:val="00996C18"/>
    <w:rsid w:val="009A0551"/>
    <w:rsid w:val="009A055F"/>
    <w:rsid w:val="009A0C3F"/>
    <w:rsid w:val="009A0D8C"/>
    <w:rsid w:val="009A123E"/>
    <w:rsid w:val="009A163B"/>
    <w:rsid w:val="009A166F"/>
    <w:rsid w:val="009A16CA"/>
    <w:rsid w:val="009A1C1A"/>
    <w:rsid w:val="009A31DF"/>
    <w:rsid w:val="009A3392"/>
    <w:rsid w:val="009A33B9"/>
    <w:rsid w:val="009A3757"/>
    <w:rsid w:val="009A4F98"/>
    <w:rsid w:val="009A59A5"/>
    <w:rsid w:val="009B0455"/>
    <w:rsid w:val="009B0851"/>
    <w:rsid w:val="009B1345"/>
    <w:rsid w:val="009B17F3"/>
    <w:rsid w:val="009B2237"/>
    <w:rsid w:val="009B28A3"/>
    <w:rsid w:val="009B322D"/>
    <w:rsid w:val="009B35BF"/>
    <w:rsid w:val="009B380B"/>
    <w:rsid w:val="009B3A43"/>
    <w:rsid w:val="009B3DF5"/>
    <w:rsid w:val="009B453D"/>
    <w:rsid w:val="009B4D49"/>
    <w:rsid w:val="009B4DE8"/>
    <w:rsid w:val="009B5BC6"/>
    <w:rsid w:val="009B61BE"/>
    <w:rsid w:val="009B7C05"/>
    <w:rsid w:val="009C1501"/>
    <w:rsid w:val="009C2641"/>
    <w:rsid w:val="009C285F"/>
    <w:rsid w:val="009C39B6"/>
    <w:rsid w:val="009C4B28"/>
    <w:rsid w:val="009C595C"/>
    <w:rsid w:val="009C6606"/>
    <w:rsid w:val="009C74AC"/>
    <w:rsid w:val="009C7FBD"/>
    <w:rsid w:val="009D122E"/>
    <w:rsid w:val="009D41AB"/>
    <w:rsid w:val="009D59B4"/>
    <w:rsid w:val="009D5C4E"/>
    <w:rsid w:val="009D6CB0"/>
    <w:rsid w:val="009D765C"/>
    <w:rsid w:val="009D77C4"/>
    <w:rsid w:val="009D7DF2"/>
    <w:rsid w:val="009D7E63"/>
    <w:rsid w:val="009D7F83"/>
    <w:rsid w:val="009E01F7"/>
    <w:rsid w:val="009E052E"/>
    <w:rsid w:val="009E130D"/>
    <w:rsid w:val="009E2174"/>
    <w:rsid w:val="009E2E46"/>
    <w:rsid w:val="009E306F"/>
    <w:rsid w:val="009E43BE"/>
    <w:rsid w:val="009E50B9"/>
    <w:rsid w:val="009E5116"/>
    <w:rsid w:val="009E682B"/>
    <w:rsid w:val="009E7777"/>
    <w:rsid w:val="009E7A14"/>
    <w:rsid w:val="009F066A"/>
    <w:rsid w:val="009F0B4D"/>
    <w:rsid w:val="009F0FD1"/>
    <w:rsid w:val="009F11B0"/>
    <w:rsid w:val="009F1F02"/>
    <w:rsid w:val="009F2152"/>
    <w:rsid w:val="009F413A"/>
    <w:rsid w:val="009F4276"/>
    <w:rsid w:val="009F4C15"/>
    <w:rsid w:val="009F582C"/>
    <w:rsid w:val="009F5CA8"/>
    <w:rsid w:val="009F65B2"/>
    <w:rsid w:val="009F6882"/>
    <w:rsid w:val="009F69D5"/>
    <w:rsid w:val="009F6FF8"/>
    <w:rsid w:val="00A00551"/>
    <w:rsid w:val="00A01A8D"/>
    <w:rsid w:val="00A022A3"/>
    <w:rsid w:val="00A02CFB"/>
    <w:rsid w:val="00A02D7B"/>
    <w:rsid w:val="00A03038"/>
    <w:rsid w:val="00A032DC"/>
    <w:rsid w:val="00A03F36"/>
    <w:rsid w:val="00A04AE6"/>
    <w:rsid w:val="00A04DF6"/>
    <w:rsid w:val="00A052DF"/>
    <w:rsid w:val="00A05A30"/>
    <w:rsid w:val="00A06705"/>
    <w:rsid w:val="00A078DF"/>
    <w:rsid w:val="00A103C0"/>
    <w:rsid w:val="00A10E29"/>
    <w:rsid w:val="00A10F99"/>
    <w:rsid w:val="00A116DB"/>
    <w:rsid w:val="00A11B34"/>
    <w:rsid w:val="00A1269D"/>
    <w:rsid w:val="00A128FB"/>
    <w:rsid w:val="00A12E44"/>
    <w:rsid w:val="00A12E48"/>
    <w:rsid w:val="00A135EF"/>
    <w:rsid w:val="00A1415A"/>
    <w:rsid w:val="00A1432F"/>
    <w:rsid w:val="00A14F8A"/>
    <w:rsid w:val="00A15634"/>
    <w:rsid w:val="00A1596B"/>
    <w:rsid w:val="00A17FB5"/>
    <w:rsid w:val="00A20D40"/>
    <w:rsid w:val="00A211B5"/>
    <w:rsid w:val="00A2152C"/>
    <w:rsid w:val="00A21924"/>
    <w:rsid w:val="00A21B01"/>
    <w:rsid w:val="00A2217F"/>
    <w:rsid w:val="00A222FF"/>
    <w:rsid w:val="00A23ADA"/>
    <w:rsid w:val="00A23E54"/>
    <w:rsid w:val="00A246A7"/>
    <w:rsid w:val="00A24730"/>
    <w:rsid w:val="00A263B4"/>
    <w:rsid w:val="00A31344"/>
    <w:rsid w:val="00A31952"/>
    <w:rsid w:val="00A31D00"/>
    <w:rsid w:val="00A338CD"/>
    <w:rsid w:val="00A352A1"/>
    <w:rsid w:val="00A40812"/>
    <w:rsid w:val="00A41D1C"/>
    <w:rsid w:val="00A44CB8"/>
    <w:rsid w:val="00A4504D"/>
    <w:rsid w:val="00A4621A"/>
    <w:rsid w:val="00A46FAF"/>
    <w:rsid w:val="00A47C82"/>
    <w:rsid w:val="00A50ED1"/>
    <w:rsid w:val="00A51551"/>
    <w:rsid w:val="00A52514"/>
    <w:rsid w:val="00A52EC8"/>
    <w:rsid w:val="00A5327A"/>
    <w:rsid w:val="00A533D8"/>
    <w:rsid w:val="00A538CC"/>
    <w:rsid w:val="00A543B1"/>
    <w:rsid w:val="00A567D4"/>
    <w:rsid w:val="00A57BC1"/>
    <w:rsid w:val="00A6013E"/>
    <w:rsid w:val="00A60595"/>
    <w:rsid w:val="00A60ADD"/>
    <w:rsid w:val="00A60F1D"/>
    <w:rsid w:val="00A61060"/>
    <w:rsid w:val="00A6149A"/>
    <w:rsid w:val="00A61CC7"/>
    <w:rsid w:val="00A649D3"/>
    <w:rsid w:val="00A658AC"/>
    <w:rsid w:val="00A661F2"/>
    <w:rsid w:val="00A663FE"/>
    <w:rsid w:val="00A67F6D"/>
    <w:rsid w:val="00A702CD"/>
    <w:rsid w:val="00A702ED"/>
    <w:rsid w:val="00A704B7"/>
    <w:rsid w:val="00A70C94"/>
    <w:rsid w:val="00A71772"/>
    <w:rsid w:val="00A71906"/>
    <w:rsid w:val="00A72BF4"/>
    <w:rsid w:val="00A73D4E"/>
    <w:rsid w:val="00A752A9"/>
    <w:rsid w:val="00A752E4"/>
    <w:rsid w:val="00A75388"/>
    <w:rsid w:val="00A75D64"/>
    <w:rsid w:val="00A761B6"/>
    <w:rsid w:val="00A7653A"/>
    <w:rsid w:val="00A76C78"/>
    <w:rsid w:val="00A8115F"/>
    <w:rsid w:val="00A81587"/>
    <w:rsid w:val="00A82862"/>
    <w:rsid w:val="00A8424B"/>
    <w:rsid w:val="00A84909"/>
    <w:rsid w:val="00A849EF"/>
    <w:rsid w:val="00A84EBB"/>
    <w:rsid w:val="00A862E4"/>
    <w:rsid w:val="00A8653F"/>
    <w:rsid w:val="00A87B9B"/>
    <w:rsid w:val="00A90B2B"/>
    <w:rsid w:val="00A90DFD"/>
    <w:rsid w:val="00A90FF4"/>
    <w:rsid w:val="00A91F14"/>
    <w:rsid w:val="00A920B2"/>
    <w:rsid w:val="00A92145"/>
    <w:rsid w:val="00A9220E"/>
    <w:rsid w:val="00A926A1"/>
    <w:rsid w:val="00A93382"/>
    <w:rsid w:val="00A93C22"/>
    <w:rsid w:val="00A945C3"/>
    <w:rsid w:val="00A94600"/>
    <w:rsid w:val="00A946B3"/>
    <w:rsid w:val="00A95099"/>
    <w:rsid w:val="00A95500"/>
    <w:rsid w:val="00A97A60"/>
    <w:rsid w:val="00A97D11"/>
    <w:rsid w:val="00A97EFA"/>
    <w:rsid w:val="00AA0405"/>
    <w:rsid w:val="00AA0447"/>
    <w:rsid w:val="00AA0725"/>
    <w:rsid w:val="00AA07F4"/>
    <w:rsid w:val="00AA0C11"/>
    <w:rsid w:val="00AA1076"/>
    <w:rsid w:val="00AA1084"/>
    <w:rsid w:val="00AA18D4"/>
    <w:rsid w:val="00AA1991"/>
    <w:rsid w:val="00AA1BBD"/>
    <w:rsid w:val="00AA1C9D"/>
    <w:rsid w:val="00AA2B48"/>
    <w:rsid w:val="00AA3C85"/>
    <w:rsid w:val="00AA4B9E"/>
    <w:rsid w:val="00AA6486"/>
    <w:rsid w:val="00AA7BE8"/>
    <w:rsid w:val="00AB0DED"/>
    <w:rsid w:val="00AB1840"/>
    <w:rsid w:val="00AB20CD"/>
    <w:rsid w:val="00AB4A07"/>
    <w:rsid w:val="00AB4E15"/>
    <w:rsid w:val="00AB5401"/>
    <w:rsid w:val="00AB590A"/>
    <w:rsid w:val="00AB5B78"/>
    <w:rsid w:val="00AB7A5B"/>
    <w:rsid w:val="00AC0A77"/>
    <w:rsid w:val="00AC1648"/>
    <w:rsid w:val="00AC32E6"/>
    <w:rsid w:val="00AC374B"/>
    <w:rsid w:val="00AC47EC"/>
    <w:rsid w:val="00AC4980"/>
    <w:rsid w:val="00AC52D8"/>
    <w:rsid w:val="00AC64E8"/>
    <w:rsid w:val="00AC655B"/>
    <w:rsid w:val="00AC6CBC"/>
    <w:rsid w:val="00AD0262"/>
    <w:rsid w:val="00AD0FA3"/>
    <w:rsid w:val="00AD11D1"/>
    <w:rsid w:val="00AD2D90"/>
    <w:rsid w:val="00AD3526"/>
    <w:rsid w:val="00AD3757"/>
    <w:rsid w:val="00AD37E2"/>
    <w:rsid w:val="00AD389B"/>
    <w:rsid w:val="00AD453F"/>
    <w:rsid w:val="00AD53D2"/>
    <w:rsid w:val="00AD5DCD"/>
    <w:rsid w:val="00AD6464"/>
    <w:rsid w:val="00AD6FAD"/>
    <w:rsid w:val="00AD7846"/>
    <w:rsid w:val="00AE0109"/>
    <w:rsid w:val="00AE22EB"/>
    <w:rsid w:val="00AE274E"/>
    <w:rsid w:val="00AE297D"/>
    <w:rsid w:val="00AE2C4F"/>
    <w:rsid w:val="00AE4445"/>
    <w:rsid w:val="00AE44B1"/>
    <w:rsid w:val="00AE4C91"/>
    <w:rsid w:val="00AE5515"/>
    <w:rsid w:val="00AE6386"/>
    <w:rsid w:val="00AE6862"/>
    <w:rsid w:val="00AF0199"/>
    <w:rsid w:val="00AF061C"/>
    <w:rsid w:val="00AF07AB"/>
    <w:rsid w:val="00AF07D8"/>
    <w:rsid w:val="00AF19A7"/>
    <w:rsid w:val="00AF1AB8"/>
    <w:rsid w:val="00AF23B3"/>
    <w:rsid w:val="00AF337A"/>
    <w:rsid w:val="00AF50E0"/>
    <w:rsid w:val="00AF5C0B"/>
    <w:rsid w:val="00AF635C"/>
    <w:rsid w:val="00AF635F"/>
    <w:rsid w:val="00AF6433"/>
    <w:rsid w:val="00AF6CED"/>
    <w:rsid w:val="00AF7085"/>
    <w:rsid w:val="00AF73EB"/>
    <w:rsid w:val="00B001E6"/>
    <w:rsid w:val="00B015E6"/>
    <w:rsid w:val="00B01D06"/>
    <w:rsid w:val="00B02190"/>
    <w:rsid w:val="00B0229B"/>
    <w:rsid w:val="00B02E72"/>
    <w:rsid w:val="00B04817"/>
    <w:rsid w:val="00B04C5A"/>
    <w:rsid w:val="00B053C6"/>
    <w:rsid w:val="00B0542C"/>
    <w:rsid w:val="00B0606D"/>
    <w:rsid w:val="00B06CA8"/>
    <w:rsid w:val="00B06EF6"/>
    <w:rsid w:val="00B10581"/>
    <w:rsid w:val="00B107C0"/>
    <w:rsid w:val="00B10E21"/>
    <w:rsid w:val="00B1148E"/>
    <w:rsid w:val="00B125C8"/>
    <w:rsid w:val="00B130BB"/>
    <w:rsid w:val="00B14438"/>
    <w:rsid w:val="00B15D07"/>
    <w:rsid w:val="00B1632C"/>
    <w:rsid w:val="00B164E6"/>
    <w:rsid w:val="00B1699A"/>
    <w:rsid w:val="00B17D3D"/>
    <w:rsid w:val="00B2088E"/>
    <w:rsid w:val="00B20E21"/>
    <w:rsid w:val="00B22005"/>
    <w:rsid w:val="00B23F54"/>
    <w:rsid w:val="00B247EE"/>
    <w:rsid w:val="00B27A6C"/>
    <w:rsid w:val="00B27E9E"/>
    <w:rsid w:val="00B30044"/>
    <w:rsid w:val="00B30AA8"/>
    <w:rsid w:val="00B30D7F"/>
    <w:rsid w:val="00B319E1"/>
    <w:rsid w:val="00B31C1F"/>
    <w:rsid w:val="00B33A42"/>
    <w:rsid w:val="00B3449F"/>
    <w:rsid w:val="00B346C1"/>
    <w:rsid w:val="00B364F4"/>
    <w:rsid w:val="00B36AF5"/>
    <w:rsid w:val="00B36BAC"/>
    <w:rsid w:val="00B37B1F"/>
    <w:rsid w:val="00B401FE"/>
    <w:rsid w:val="00B40A2E"/>
    <w:rsid w:val="00B4322A"/>
    <w:rsid w:val="00B43D16"/>
    <w:rsid w:val="00B44A34"/>
    <w:rsid w:val="00B44CF2"/>
    <w:rsid w:val="00B45414"/>
    <w:rsid w:val="00B46041"/>
    <w:rsid w:val="00B464BF"/>
    <w:rsid w:val="00B468D4"/>
    <w:rsid w:val="00B47138"/>
    <w:rsid w:val="00B47B3B"/>
    <w:rsid w:val="00B47E7C"/>
    <w:rsid w:val="00B50576"/>
    <w:rsid w:val="00B50F56"/>
    <w:rsid w:val="00B50F75"/>
    <w:rsid w:val="00B50F81"/>
    <w:rsid w:val="00B516C6"/>
    <w:rsid w:val="00B51854"/>
    <w:rsid w:val="00B52EC8"/>
    <w:rsid w:val="00B53023"/>
    <w:rsid w:val="00B53199"/>
    <w:rsid w:val="00B53638"/>
    <w:rsid w:val="00B53B26"/>
    <w:rsid w:val="00B54043"/>
    <w:rsid w:val="00B54C48"/>
    <w:rsid w:val="00B55300"/>
    <w:rsid w:val="00B574E4"/>
    <w:rsid w:val="00B60955"/>
    <w:rsid w:val="00B60F46"/>
    <w:rsid w:val="00B61664"/>
    <w:rsid w:val="00B63435"/>
    <w:rsid w:val="00B63C3D"/>
    <w:rsid w:val="00B63CA2"/>
    <w:rsid w:val="00B64062"/>
    <w:rsid w:val="00B6635E"/>
    <w:rsid w:val="00B6686C"/>
    <w:rsid w:val="00B70955"/>
    <w:rsid w:val="00B70C89"/>
    <w:rsid w:val="00B71325"/>
    <w:rsid w:val="00B71CDA"/>
    <w:rsid w:val="00B7245B"/>
    <w:rsid w:val="00B724E1"/>
    <w:rsid w:val="00B72F88"/>
    <w:rsid w:val="00B74403"/>
    <w:rsid w:val="00B746A4"/>
    <w:rsid w:val="00B74B69"/>
    <w:rsid w:val="00B75163"/>
    <w:rsid w:val="00B75284"/>
    <w:rsid w:val="00B753FB"/>
    <w:rsid w:val="00B76D12"/>
    <w:rsid w:val="00B779A2"/>
    <w:rsid w:val="00B80890"/>
    <w:rsid w:val="00B810B0"/>
    <w:rsid w:val="00B815C6"/>
    <w:rsid w:val="00B81C7C"/>
    <w:rsid w:val="00B82129"/>
    <w:rsid w:val="00B8640A"/>
    <w:rsid w:val="00B86425"/>
    <w:rsid w:val="00B86912"/>
    <w:rsid w:val="00B86A02"/>
    <w:rsid w:val="00B86D54"/>
    <w:rsid w:val="00B87320"/>
    <w:rsid w:val="00B87816"/>
    <w:rsid w:val="00B87BB8"/>
    <w:rsid w:val="00B87E90"/>
    <w:rsid w:val="00B9098B"/>
    <w:rsid w:val="00B94B9C"/>
    <w:rsid w:val="00B94F83"/>
    <w:rsid w:val="00B958B3"/>
    <w:rsid w:val="00B96F73"/>
    <w:rsid w:val="00BA00F8"/>
    <w:rsid w:val="00BA0CEE"/>
    <w:rsid w:val="00BA1EFB"/>
    <w:rsid w:val="00BA5A0A"/>
    <w:rsid w:val="00BA5DB0"/>
    <w:rsid w:val="00BA679B"/>
    <w:rsid w:val="00BA756F"/>
    <w:rsid w:val="00BA7AFC"/>
    <w:rsid w:val="00BB0CAA"/>
    <w:rsid w:val="00BB154A"/>
    <w:rsid w:val="00BB2701"/>
    <w:rsid w:val="00BB3F64"/>
    <w:rsid w:val="00BB4347"/>
    <w:rsid w:val="00BB5D0E"/>
    <w:rsid w:val="00BB6020"/>
    <w:rsid w:val="00BB656B"/>
    <w:rsid w:val="00BB68E3"/>
    <w:rsid w:val="00BB6C5F"/>
    <w:rsid w:val="00BB7235"/>
    <w:rsid w:val="00BC036D"/>
    <w:rsid w:val="00BC04E6"/>
    <w:rsid w:val="00BC1386"/>
    <w:rsid w:val="00BC19EB"/>
    <w:rsid w:val="00BC28B6"/>
    <w:rsid w:val="00BC3F3E"/>
    <w:rsid w:val="00BC4DAF"/>
    <w:rsid w:val="00BC4F37"/>
    <w:rsid w:val="00BC68FB"/>
    <w:rsid w:val="00BC6E00"/>
    <w:rsid w:val="00BD0181"/>
    <w:rsid w:val="00BD02A1"/>
    <w:rsid w:val="00BD0E12"/>
    <w:rsid w:val="00BD0E1D"/>
    <w:rsid w:val="00BD1019"/>
    <w:rsid w:val="00BD1948"/>
    <w:rsid w:val="00BD1A5E"/>
    <w:rsid w:val="00BD248E"/>
    <w:rsid w:val="00BD2D0E"/>
    <w:rsid w:val="00BD2EAF"/>
    <w:rsid w:val="00BD38F1"/>
    <w:rsid w:val="00BD4239"/>
    <w:rsid w:val="00BD45DF"/>
    <w:rsid w:val="00BD46E5"/>
    <w:rsid w:val="00BD62BB"/>
    <w:rsid w:val="00BD65DA"/>
    <w:rsid w:val="00BD761E"/>
    <w:rsid w:val="00BE0D3B"/>
    <w:rsid w:val="00BE132A"/>
    <w:rsid w:val="00BE2C05"/>
    <w:rsid w:val="00BE344B"/>
    <w:rsid w:val="00BE4AEA"/>
    <w:rsid w:val="00BE4D42"/>
    <w:rsid w:val="00BE56CB"/>
    <w:rsid w:val="00BE56D5"/>
    <w:rsid w:val="00BE6193"/>
    <w:rsid w:val="00BE63CD"/>
    <w:rsid w:val="00BE68E8"/>
    <w:rsid w:val="00BE7448"/>
    <w:rsid w:val="00BE7B02"/>
    <w:rsid w:val="00BF0225"/>
    <w:rsid w:val="00BF073C"/>
    <w:rsid w:val="00BF09A3"/>
    <w:rsid w:val="00BF2286"/>
    <w:rsid w:val="00BF2F67"/>
    <w:rsid w:val="00BF3702"/>
    <w:rsid w:val="00BF37FB"/>
    <w:rsid w:val="00BF3B27"/>
    <w:rsid w:val="00C00212"/>
    <w:rsid w:val="00C0049B"/>
    <w:rsid w:val="00C007F1"/>
    <w:rsid w:val="00C00E83"/>
    <w:rsid w:val="00C00F43"/>
    <w:rsid w:val="00C01041"/>
    <w:rsid w:val="00C01BDE"/>
    <w:rsid w:val="00C01E4E"/>
    <w:rsid w:val="00C069AC"/>
    <w:rsid w:val="00C069C6"/>
    <w:rsid w:val="00C06ACB"/>
    <w:rsid w:val="00C108FF"/>
    <w:rsid w:val="00C10B54"/>
    <w:rsid w:val="00C113C5"/>
    <w:rsid w:val="00C1157A"/>
    <w:rsid w:val="00C120BD"/>
    <w:rsid w:val="00C123E3"/>
    <w:rsid w:val="00C125A0"/>
    <w:rsid w:val="00C12736"/>
    <w:rsid w:val="00C12E2B"/>
    <w:rsid w:val="00C132C7"/>
    <w:rsid w:val="00C13A74"/>
    <w:rsid w:val="00C146CB"/>
    <w:rsid w:val="00C1559C"/>
    <w:rsid w:val="00C15A64"/>
    <w:rsid w:val="00C15C34"/>
    <w:rsid w:val="00C164DD"/>
    <w:rsid w:val="00C16AC9"/>
    <w:rsid w:val="00C16FFA"/>
    <w:rsid w:val="00C174AD"/>
    <w:rsid w:val="00C216C5"/>
    <w:rsid w:val="00C21B0F"/>
    <w:rsid w:val="00C21DA5"/>
    <w:rsid w:val="00C22044"/>
    <w:rsid w:val="00C22C19"/>
    <w:rsid w:val="00C22D69"/>
    <w:rsid w:val="00C22D9A"/>
    <w:rsid w:val="00C22EB1"/>
    <w:rsid w:val="00C23F2C"/>
    <w:rsid w:val="00C2414E"/>
    <w:rsid w:val="00C24A8B"/>
    <w:rsid w:val="00C24F55"/>
    <w:rsid w:val="00C25A54"/>
    <w:rsid w:val="00C27497"/>
    <w:rsid w:val="00C27BBD"/>
    <w:rsid w:val="00C3025B"/>
    <w:rsid w:val="00C3032D"/>
    <w:rsid w:val="00C30B1E"/>
    <w:rsid w:val="00C314C5"/>
    <w:rsid w:val="00C3159F"/>
    <w:rsid w:val="00C33909"/>
    <w:rsid w:val="00C33ECF"/>
    <w:rsid w:val="00C34832"/>
    <w:rsid w:val="00C34BB3"/>
    <w:rsid w:val="00C34F6B"/>
    <w:rsid w:val="00C35690"/>
    <w:rsid w:val="00C36128"/>
    <w:rsid w:val="00C369B9"/>
    <w:rsid w:val="00C36EEE"/>
    <w:rsid w:val="00C400A8"/>
    <w:rsid w:val="00C40AF7"/>
    <w:rsid w:val="00C41074"/>
    <w:rsid w:val="00C41BA7"/>
    <w:rsid w:val="00C42765"/>
    <w:rsid w:val="00C43094"/>
    <w:rsid w:val="00C43393"/>
    <w:rsid w:val="00C43813"/>
    <w:rsid w:val="00C4425E"/>
    <w:rsid w:val="00C44E03"/>
    <w:rsid w:val="00C45911"/>
    <w:rsid w:val="00C46599"/>
    <w:rsid w:val="00C46D92"/>
    <w:rsid w:val="00C47747"/>
    <w:rsid w:val="00C47778"/>
    <w:rsid w:val="00C516E2"/>
    <w:rsid w:val="00C52FFC"/>
    <w:rsid w:val="00C53742"/>
    <w:rsid w:val="00C53CCE"/>
    <w:rsid w:val="00C545A3"/>
    <w:rsid w:val="00C54A0D"/>
    <w:rsid w:val="00C55132"/>
    <w:rsid w:val="00C5577D"/>
    <w:rsid w:val="00C55E40"/>
    <w:rsid w:val="00C562E0"/>
    <w:rsid w:val="00C56443"/>
    <w:rsid w:val="00C56869"/>
    <w:rsid w:val="00C57CF2"/>
    <w:rsid w:val="00C60761"/>
    <w:rsid w:val="00C610EB"/>
    <w:rsid w:val="00C623D3"/>
    <w:rsid w:val="00C62CCF"/>
    <w:rsid w:val="00C62F5B"/>
    <w:rsid w:val="00C65863"/>
    <w:rsid w:val="00C66048"/>
    <w:rsid w:val="00C66A18"/>
    <w:rsid w:val="00C66C8B"/>
    <w:rsid w:val="00C673F2"/>
    <w:rsid w:val="00C701BE"/>
    <w:rsid w:val="00C70ED9"/>
    <w:rsid w:val="00C7232C"/>
    <w:rsid w:val="00C726BE"/>
    <w:rsid w:val="00C72E03"/>
    <w:rsid w:val="00C73286"/>
    <w:rsid w:val="00C73A9B"/>
    <w:rsid w:val="00C74725"/>
    <w:rsid w:val="00C748C6"/>
    <w:rsid w:val="00C75035"/>
    <w:rsid w:val="00C75559"/>
    <w:rsid w:val="00C75C44"/>
    <w:rsid w:val="00C7650C"/>
    <w:rsid w:val="00C76850"/>
    <w:rsid w:val="00C77282"/>
    <w:rsid w:val="00C801A7"/>
    <w:rsid w:val="00C8224A"/>
    <w:rsid w:val="00C8278F"/>
    <w:rsid w:val="00C83BE9"/>
    <w:rsid w:val="00C84423"/>
    <w:rsid w:val="00C84D57"/>
    <w:rsid w:val="00C84EFA"/>
    <w:rsid w:val="00C850BB"/>
    <w:rsid w:val="00C850DB"/>
    <w:rsid w:val="00C86F08"/>
    <w:rsid w:val="00C87897"/>
    <w:rsid w:val="00C90729"/>
    <w:rsid w:val="00C90810"/>
    <w:rsid w:val="00C90DDA"/>
    <w:rsid w:val="00C9148F"/>
    <w:rsid w:val="00C91725"/>
    <w:rsid w:val="00C920B0"/>
    <w:rsid w:val="00C92460"/>
    <w:rsid w:val="00C92EB0"/>
    <w:rsid w:val="00C92FA7"/>
    <w:rsid w:val="00C93DA4"/>
    <w:rsid w:val="00C9493B"/>
    <w:rsid w:val="00C9522F"/>
    <w:rsid w:val="00C95331"/>
    <w:rsid w:val="00C95F5C"/>
    <w:rsid w:val="00C9611F"/>
    <w:rsid w:val="00C96BEB"/>
    <w:rsid w:val="00CA011B"/>
    <w:rsid w:val="00CA011F"/>
    <w:rsid w:val="00CA0891"/>
    <w:rsid w:val="00CA136A"/>
    <w:rsid w:val="00CA140E"/>
    <w:rsid w:val="00CA170E"/>
    <w:rsid w:val="00CA2141"/>
    <w:rsid w:val="00CA259E"/>
    <w:rsid w:val="00CA299E"/>
    <w:rsid w:val="00CA32E4"/>
    <w:rsid w:val="00CA46F2"/>
    <w:rsid w:val="00CA4918"/>
    <w:rsid w:val="00CA5D0A"/>
    <w:rsid w:val="00CA7221"/>
    <w:rsid w:val="00CA7851"/>
    <w:rsid w:val="00CB0111"/>
    <w:rsid w:val="00CB04D3"/>
    <w:rsid w:val="00CB1D84"/>
    <w:rsid w:val="00CB26D7"/>
    <w:rsid w:val="00CB2F28"/>
    <w:rsid w:val="00CB3A07"/>
    <w:rsid w:val="00CB3E4D"/>
    <w:rsid w:val="00CB6848"/>
    <w:rsid w:val="00CB7163"/>
    <w:rsid w:val="00CB7925"/>
    <w:rsid w:val="00CC0D84"/>
    <w:rsid w:val="00CC1569"/>
    <w:rsid w:val="00CC1BBB"/>
    <w:rsid w:val="00CC26CF"/>
    <w:rsid w:val="00CC27DC"/>
    <w:rsid w:val="00CC27DD"/>
    <w:rsid w:val="00CC30D8"/>
    <w:rsid w:val="00CC3C90"/>
    <w:rsid w:val="00CC5290"/>
    <w:rsid w:val="00CC602E"/>
    <w:rsid w:val="00CC60AD"/>
    <w:rsid w:val="00CC6866"/>
    <w:rsid w:val="00CD1ED7"/>
    <w:rsid w:val="00CD3FCD"/>
    <w:rsid w:val="00CD4106"/>
    <w:rsid w:val="00CD5A44"/>
    <w:rsid w:val="00CD60E1"/>
    <w:rsid w:val="00CD7137"/>
    <w:rsid w:val="00CD71EE"/>
    <w:rsid w:val="00CD73F5"/>
    <w:rsid w:val="00CD7981"/>
    <w:rsid w:val="00CE0471"/>
    <w:rsid w:val="00CE07CC"/>
    <w:rsid w:val="00CE0A69"/>
    <w:rsid w:val="00CE10CC"/>
    <w:rsid w:val="00CE1A75"/>
    <w:rsid w:val="00CE2783"/>
    <w:rsid w:val="00CE2B6E"/>
    <w:rsid w:val="00CE2F45"/>
    <w:rsid w:val="00CE4910"/>
    <w:rsid w:val="00CE502E"/>
    <w:rsid w:val="00CE5744"/>
    <w:rsid w:val="00CE78D0"/>
    <w:rsid w:val="00CE79E2"/>
    <w:rsid w:val="00CF0616"/>
    <w:rsid w:val="00CF091E"/>
    <w:rsid w:val="00CF162C"/>
    <w:rsid w:val="00CF25E9"/>
    <w:rsid w:val="00CF3BA6"/>
    <w:rsid w:val="00CF5AF8"/>
    <w:rsid w:val="00CF63AD"/>
    <w:rsid w:val="00CF6AF4"/>
    <w:rsid w:val="00CF6DA8"/>
    <w:rsid w:val="00CF73D0"/>
    <w:rsid w:val="00CF7934"/>
    <w:rsid w:val="00D002B6"/>
    <w:rsid w:val="00D018A1"/>
    <w:rsid w:val="00D018B6"/>
    <w:rsid w:val="00D01906"/>
    <w:rsid w:val="00D02475"/>
    <w:rsid w:val="00D036EA"/>
    <w:rsid w:val="00D044D4"/>
    <w:rsid w:val="00D057F6"/>
    <w:rsid w:val="00D05973"/>
    <w:rsid w:val="00D05D54"/>
    <w:rsid w:val="00D06256"/>
    <w:rsid w:val="00D0627B"/>
    <w:rsid w:val="00D066CE"/>
    <w:rsid w:val="00D07BD6"/>
    <w:rsid w:val="00D10453"/>
    <w:rsid w:val="00D11B51"/>
    <w:rsid w:val="00D13057"/>
    <w:rsid w:val="00D13F62"/>
    <w:rsid w:val="00D144B9"/>
    <w:rsid w:val="00D14535"/>
    <w:rsid w:val="00D15E68"/>
    <w:rsid w:val="00D15F70"/>
    <w:rsid w:val="00D17A18"/>
    <w:rsid w:val="00D17EF2"/>
    <w:rsid w:val="00D20480"/>
    <w:rsid w:val="00D207C7"/>
    <w:rsid w:val="00D20ADB"/>
    <w:rsid w:val="00D219D6"/>
    <w:rsid w:val="00D23D1F"/>
    <w:rsid w:val="00D23F23"/>
    <w:rsid w:val="00D2405B"/>
    <w:rsid w:val="00D24E5A"/>
    <w:rsid w:val="00D26083"/>
    <w:rsid w:val="00D2609D"/>
    <w:rsid w:val="00D26ABA"/>
    <w:rsid w:val="00D276FA"/>
    <w:rsid w:val="00D311D7"/>
    <w:rsid w:val="00D31416"/>
    <w:rsid w:val="00D31EF3"/>
    <w:rsid w:val="00D338F0"/>
    <w:rsid w:val="00D33C5C"/>
    <w:rsid w:val="00D345E8"/>
    <w:rsid w:val="00D34699"/>
    <w:rsid w:val="00D34AAA"/>
    <w:rsid w:val="00D35FEF"/>
    <w:rsid w:val="00D376FC"/>
    <w:rsid w:val="00D37F2A"/>
    <w:rsid w:val="00D4172C"/>
    <w:rsid w:val="00D419F0"/>
    <w:rsid w:val="00D419FC"/>
    <w:rsid w:val="00D41D3A"/>
    <w:rsid w:val="00D423B7"/>
    <w:rsid w:val="00D4396A"/>
    <w:rsid w:val="00D4534F"/>
    <w:rsid w:val="00D45810"/>
    <w:rsid w:val="00D46B4D"/>
    <w:rsid w:val="00D46CC0"/>
    <w:rsid w:val="00D47DE7"/>
    <w:rsid w:val="00D47E62"/>
    <w:rsid w:val="00D50C17"/>
    <w:rsid w:val="00D51E10"/>
    <w:rsid w:val="00D520F8"/>
    <w:rsid w:val="00D522E1"/>
    <w:rsid w:val="00D52FD6"/>
    <w:rsid w:val="00D54107"/>
    <w:rsid w:val="00D54639"/>
    <w:rsid w:val="00D5512F"/>
    <w:rsid w:val="00D56B01"/>
    <w:rsid w:val="00D56B1C"/>
    <w:rsid w:val="00D57416"/>
    <w:rsid w:val="00D57DA9"/>
    <w:rsid w:val="00D603A0"/>
    <w:rsid w:val="00D60BD9"/>
    <w:rsid w:val="00D612E6"/>
    <w:rsid w:val="00D61609"/>
    <w:rsid w:val="00D627A9"/>
    <w:rsid w:val="00D64689"/>
    <w:rsid w:val="00D64A37"/>
    <w:rsid w:val="00D6502D"/>
    <w:rsid w:val="00D6530D"/>
    <w:rsid w:val="00D6625C"/>
    <w:rsid w:val="00D6628F"/>
    <w:rsid w:val="00D66D0B"/>
    <w:rsid w:val="00D67286"/>
    <w:rsid w:val="00D71374"/>
    <w:rsid w:val="00D71382"/>
    <w:rsid w:val="00D71790"/>
    <w:rsid w:val="00D718A2"/>
    <w:rsid w:val="00D71E3E"/>
    <w:rsid w:val="00D730E4"/>
    <w:rsid w:val="00D73277"/>
    <w:rsid w:val="00D73AB1"/>
    <w:rsid w:val="00D7667A"/>
    <w:rsid w:val="00D7672E"/>
    <w:rsid w:val="00D80251"/>
    <w:rsid w:val="00D811FD"/>
    <w:rsid w:val="00D82521"/>
    <w:rsid w:val="00D82CB3"/>
    <w:rsid w:val="00D8369F"/>
    <w:rsid w:val="00D83BBD"/>
    <w:rsid w:val="00D83F5A"/>
    <w:rsid w:val="00D842BC"/>
    <w:rsid w:val="00D84BFB"/>
    <w:rsid w:val="00D85607"/>
    <w:rsid w:val="00D85988"/>
    <w:rsid w:val="00D862F4"/>
    <w:rsid w:val="00D86455"/>
    <w:rsid w:val="00D865EA"/>
    <w:rsid w:val="00D86900"/>
    <w:rsid w:val="00D8746F"/>
    <w:rsid w:val="00D87A9E"/>
    <w:rsid w:val="00D9147D"/>
    <w:rsid w:val="00D91912"/>
    <w:rsid w:val="00D9224A"/>
    <w:rsid w:val="00D92599"/>
    <w:rsid w:val="00D92CBF"/>
    <w:rsid w:val="00D92DE0"/>
    <w:rsid w:val="00D9345F"/>
    <w:rsid w:val="00D9480D"/>
    <w:rsid w:val="00D95579"/>
    <w:rsid w:val="00D95EBF"/>
    <w:rsid w:val="00D96054"/>
    <w:rsid w:val="00D9625F"/>
    <w:rsid w:val="00D966C3"/>
    <w:rsid w:val="00D9683E"/>
    <w:rsid w:val="00D977B0"/>
    <w:rsid w:val="00DA0A23"/>
    <w:rsid w:val="00DA15A2"/>
    <w:rsid w:val="00DA1A14"/>
    <w:rsid w:val="00DA1F79"/>
    <w:rsid w:val="00DA30DF"/>
    <w:rsid w:val="00DA32C5"/>
    <w:rsid w:val="00DA4A0F"/>
    <w:rsid w:val="00DA5022"/>
    <w:rsid w:val="00DA5399"/>
    <w:rsid w:val="00DA5463"/>
    <w:rsid w:val="00DA55CB"/>
    <w:rsid w:val="00DA6381"/>
    <w:rsid w:val="00DA7EA4"/>
    <w:rsid w:val="00DB15AB"/>
    <w:rsid w:val="00DB1B67"/>
    <w:rsid w:val="00DB2207"/>
    <w:rsid w:val="00DB351C"/>
    <w:rsid w:val="00DB3D53"/>
    <w:rsid w:val="00DB3E6E"/>
    <w:rsid w:val="00DC00A8"/>
    <w:rsid w:val="00DC0A15"/>
    <w:rsid w:val="00DC1032"/>
    <w:rsid w:val="00DC11C6"/>
    <w:rsid w:val="00DC1864"/>
    <w:rsid w:val="00DC1C5B"/>
    <w:rsid w:val="00DC1D23"/>
    <w:rsid w:val="00DC2482"/>
    <w:rsid w:val="00DC2498"/>
    <w:rsid w:val="00DC3117"/>
    <w:rsid w:val="00DC3899"/>
    <w:rsid w:val="00DC4213"/>
    <w:rsid w:val="00DC51EA"/>
    <w:rsid w:val="00DC5B77"/>
    <w:rsid w:val="00DC700E"/>
    <w:rsid w:val="00DC7B12"/>
    <w:rsid w:val="00DC7FF0"/>
    <w:rsid w:val="00DD0512"/>
    <w:rsid w:val="00DD07EB"/>
    <w:rsid w:val="00DD0A8C"/>
    <w:rsid w:val="00DD15FC"/>
    <w:rsid w:val="00DD2CF5"/>
    <w:rsid w:val="00DD3B57"/>
    <w:rsid w:val="00DD3BDC"/>
    <w:rsid w:val="00DD4429"/>
    <w:rsid w:val="00DD61E4"/>
    <w:rsid w:val="00DD6918"/>
    <w:rsid w:val="00DD6B4A"/>
    <w:rsid w:val="00DD6F9D"/>
    <w:rsid w:val="00DD7821"/>
    <w:rsid w:val="00DE0D97"/>
    <w:rsid w:val="00DE127E"/>
    <w:rsid w:val="00DE19E1"/>
    <w:rsid w:val="00DE1C17"/>
    <w:rsid w:val="00DE2919"/>
    <w:rsid w:val="00DE3E9C"/>
    <w:rsid w:val="00DE4BAA"/>
    <w:rsid w:val="00DE4C9C"/>
    <w:rsid w:val="00DE506D"/>
    <w:rsid w:val="00DE5986"/>
    <w:rsid w:val="00DE5B66"/>
    <w:rsid w:val="00DE6F52"/>
    <w:rsid w:val="00DE6F59"/>
    <w:rsid w:val="00DF084C"/>
    <w:rsid w:val="00DF113E"/>
    <w:rsid w:val="00DF133A"/>
    <w:rsid w:val="00DF31C3"/>
    <w:rsid w:val="00DF32B2"/>
    <w:rsid w:val="00DF4DBD"/>
    <w:rsid w:val="00DF5253"/>
    <w:rsid w:val="00DF5451"/>
    <w:rsid w:val="00DF69B7"/>
    <w:rsid w:val="00E003AB"/>
    <w:rsid w:val="00E00818"/>
    <w:rsid w:val="00E009BE"/>
    <w:rsid w:val="00E018D2"/>
    <w:rsid w:val="00E020B3"/>
    <w:rsid w:val="00E025CF"/>
    <w:rsid w:val="00E02E96"/>
    <w:rsid w:val="00E034BD"/>
    <w:rsid w:val="00E03C38"/>
    <w:rsid w:val="00E0665D"/>
    <w:rsid w:val="00E06AE4"/>
    <w:rsid w:val="00E10F6D"/>
    <w:rsid w:val="00E11179"/>
    <w:rsid w:val="00E11E8E"/>
    <w:rsid w:val="00E120DB"/>
    <w:rsid w:val="00E12DD8"/>
    <w:rsid w:val="00E12E0E"/>
    <w:rsid w:val="00E141B0"/>
    <w:rsid w:val="00E15308"/>
    <w:rsid w:val="00E157F6"/>
    <w:rsid w:val="00E15FDF"/>
    <w:rsid w:val="00E16B97"/>
    <w:rsid w:val="00E16EC1"/>
    <w:rsid w:val="00E1739D"/>
    <w:rsid w:val="00E2071C"/>
    <w:rsid w:val="00E20793"/>
    <w:rsid w:val="00E208B3"/>
    <w:rsid w:val="00E21489"/>
    <w:rsid w:val="00E2301A"/>
    <w:rsid w:val="00E23523"/>
    <w:rsid w:val="00E23CE2"/>
    <w:rsid w:val="00E24160"/>
    <w:rsid w:val="00E241D1"/>
    <w:rsid w:val="00E24C4B"/>
    <w:rsid w:val="00E2534E"/>
    <w:rsid w:val="00E25593"/>
    <w:rsid w:val="00E25E34"/>
    <w:rsid w:val="00E26408"/>
    <w:rsid w:val="00E269E8"/>
    <w:rsid w:val="00E271E1"/>
    <w:rsid w:val="00E3052E"/>
    <w:rsid w:val="00E305A1"/>
    <w:rsid w:val="00E3240C"/>
    <w:rsid w:val="00E32E40"/>
    <w:rsid w:val="00E3386A"/>
    <w:rsid w:val="00E33ADF"/>
    <w:rsid w:val="00E33D89"/>
    <w:rsid w:val="00E35413"/>
    <w:rsid w:val="00E36580"/>
    <w:rsid w:val="00E3672C"/>
    <w:rsid w:val="00E371AA"/>
    <w:rsid w:val="00E37D01"/>
    <w:rsid w:val="00E401E2"/>
    <w:rsid w:val="00E41309"/>
    <w:rsid w:val="00E430A0"/>
    <w:rsid w:val="00E43B2D"/>
    <w:rsid w:val="00E44F0A"/>
    <w:rsid w:val="00E45E85"/>
    <w:rsid w:val="00E46611"/>
    <w:rsid w:val="00E46AAB"/>
    <w:rsid w:val="00E46F68"/>
    <w:rsid w:val="00E475AA"/>
    <w:rsid w:val="00E4774A"/>
    <w:rsid w:val="00E47EFC"/>
    <w:rsid w:val="00E522CF"/>
    <w:rsid w:val="00E52510"/>
    <w:rsid w:val="00E53D3B"/>
    <w:rsid w:val="00E56A75"/>
    <w:rsid w:val="00E57A42"/>
    <w:rsid w:val="00E57E60"/>
    <w:rsid w:val="00E601D1"/>
    <w:rsid w:val="00E60F49"/>
    <w:rsid w:val="00E61D88"/>
    <w:rsid w:val="00E62327"/>
    <w:rsid w:val="00E62BF0"/>
    <w:rsid w:val="00E62FDE"/>
    <w:rsid w:val="00E63263"/>
    <w:rsid w:val="00E63619"/>
    <w:rsid w:val="00E639DD"/>
    <w:rsid w:val="00E63E5E"/>
    <w:rsid w:val="00E64A32"/>
    <w:rsid w:val="00E64CE9"/>
    <w:rsid w:val="00E65D11"/>
    <w:rsid w:val="00E6688C"/>
    <w:rsid w:val="00E67F43"/>
    <w:rsid w:val="00E70CBB"/>
    <w:rsid w:val="00E70FC6"/>
    <w:rsid w:val="00E71429"/>
    <w:rsid w:val="00E71453"/>
    <w:rsid w:val="00E720DF"/>
    <w:rsid w:val="00E72739"/>
    <w:rsid w:val="00E732BD"/>
    <w:rsid w:val="00E74B29"/>
    <w:rsid w:val="00E74F93"/>
    <w:rsid w:val="00E752D1"/>
    <w:rsid w:val="00E76A58"/>
    <w:rsid w:val="00E77D56"/>
    <w:rsid w:val="00E80B34"/>
    <w:rsid w:val="00E81B70"/>
    <w:rsid w:val="00E83BD9"/>
    <w:rsid w:val="00E844BE"/>
    <w:rsid w:val="00E846E1"/>
    <w:rsid w:val="00E84B0A"/>
    <w:rsid w:val="00E84BC9"/>
    <w:rsid w:val="00E850A6"/>
    <w:rsid w:val="00E85349"/>
    <w:rsid w:val="00E85430"/>
    <w:rsid w:val="00E855E8"/>
    <w:rsid w:val="00E876D4"/>
    <w:rsid w:val="00E9019B"/>
    <w:rsid w:val="00E902D6"/>
    <w:rsid w:val="00E90859"/>
    <w:rsid w:val="00E913E4"/>
    <w:rsid w:val="00E917C0"/>
    <w:rsid w:val="00E91902"/>
    <w:rsid w:val="00E92399"/>
    <w:rsid w:val="00E929AE"/>
    <w:rsid w:val="00E92CCC"/>
    <w:rsid w:val="00E93959"/>
    <w:rsid w:val="00E94732"/>
    <w:rsid w:val="00E950EA"/>
    <w:rsid w:val="00E95D4B"/>
    <w:rsid w:val="00E95DCD"/>
    <w:rsid w:val="00E95E02"/>
    <w:rsid w:val="00E9686F"/>
    <w:rsid w:val="00E968C8"/>
    <w:rsid w:val="00E97337"/>
    <w:rsid w:val="00E97EDA"/>
    <w:rsid w:val="00EA0846"/>
    <w:rsid w:val="00EA09E5"/>
    <w:rsid w:val="00EA0B8A"/>
    <w:rsid w:val="00EA1310"/>
    <w:rsid w:val="00EA1748"/>
    <w:rsid w:val="00EA1D1B"/>
    <w:rsid w:val="00EA337A"/>
    <w:rsid w:val="00EA3656"/>
    <w:rsid w:val="00EA551D"/>
    <w:rsid w:val="00EA5705"/>
    <w:rsid w:val="00EA5BBE"/>
    <w:rsid w:val="00EA74E2"/>
    <w:rsid w:val="00EB3326"/>
    <w:rsid w:val="00EB38C1"/>
    <w:rsid w:val="00EB3976"/>
    <w:rsid w:val="00EB39E0"/>
    <w:rsid w:val="00EB3FFC"/>
    <w:rsid w:val="00EB4025"/>
    <w:rsid w:val="00EB408B"/>
    <w:rsid w:val="00EB47BB"/>
    <w:rsid w:val="00EB511E"/>
    <w:rsid w:val="00EB63F7"/>
    <w:rsid w:val="00EB6472"/>
    <w:rsid w:val="00EB6494"/>
    <w:rsid w:val="00EB6E1A"/>
    <w:rsid w:val="00EB7EBE"/>
    <w:rsid w:val="00EC0EB8"/>
    <w:rsid w:val="00EC1963"/>
    <w:rsid w:val="00EC3288"/>
    <w:rsid w:val="00EC32FE"/>
    <w:rsid w:val="00EC3BB7"/>
    <w:rsid w:val="00EC4898"/>
    <w:rsid w:val="00EC5AFF"/>
    <w:rsid w:val="00EC6E1C"/>
    <w:rsid w:val="00EC701E"/>
    <w:rsid w:val="00EC7142"/>
    <w:rsid w:val="00EC7694"/>
    <w:rsid w:val="00ED3346"/>
    <w:rsid w:val="00ED379E"/>
    <w:rsid w:val="00ED4AAD"/>
    <w:rsid w:val="00ED4BB0"/>
    <w:rsid w:val="00ED7293"/>
    <w:rsid w:val="00ED742C"/>
    <w:rsid w:val="00ED7B49"/>
    <w:rsid w:val="00EE03F1"/>
    <w:rsid w:val="00EE0849"/>
    <w:rsid w:val="00EE1026"/>
    <w:rsid w:val="00EE1908"/>
    <w:rsid w:val="00EE2478"/>
    <w:rsid w:val="00EE2E78"/>
    <w:rsid w:val="00EE5762"/>
    <w:rsid w:val="00EE77FF"/>
    <w:rsid w:val="00EF08E1"/>
    <w:rsid w:val="00EF1241"/>
    <w:rsid w:val="00EF16B9"/>
    <w:rsid w:val="00EF2430"/>
    <w:rsid w:val="00EF24F2"/>
    <w:rsid w:val="00EF278B"/>
    <w:rsid w:val="00EF455E"/>
    <w:rsid w:val="00EF4A3B"/>
    <w:rsid w:val="00EF5850"/>
    <w:rsid w:val="00EF5B2A"/>
    <w:rsid w:val="00EF727E"/>
    <w:rsid w:val="00EF76FF"/>
    <w:rsid w:val="00EF78A4"/>
    <w:rsid w:val="00EF7BFE"/>
    <w:rsid w:val="00F00E61"/>
    <w:rsid w:val="00F01113"/>
    <w:rsid w:val="00F02C48"/>
    <w:rsid w:val="00F03023"/>
    <w:rsid w:val="00F031AC"/>
    <w:rsid w:val="00F03D25"/>
    <w:rsid w:val="00F043E1"/>
    <w:rsid w:val="00F0462A"/>
    <w:rsid w:val="00F057E6"/>
    <w:rsid w:val="00F05D12"/>
    <w:rsid w:val="00F06261"/>
    <w:rsid w:val="00F07693"/>
    <w:rsid w:val="00F0786B"/>
    <w:rsid w:val="00F10CDB"/>
    <w:rsid w:val="00F10F9D"/>
    <w:rsid w:val="00F12AE4"/>
    <w:rsid w:val="00F12D41"/>
    <w:rsid w:val="00F134B3"/>
    <w:rsid w:val="00F135D3"/>
    <w:rsid w:val="00F14FDE"/>
    <w:rsid w:val="00F164BD"/>
    <w:rsid w:val="00F16F3E"/>
    <w:rsid w:val="00F172FC"/>
    <w:rsid w:val="00F17C75"/>
    <w:rsid w:val="00F204D8"/>
    <w:rsid w:val="00F216BC"/>
    <w:rsid w:val="00F21BF9"/>
    <w:rsid w:val="00F22756"/>
    <w:rsid w:val="00F240AF"/>
    <w:rsid w:val="00F2449D"/>
    <w:rsid w:val="00F2536C"/>
    <w:rsid w:val="00F25CEA"/>
    <w:rsid w:val="00F269D4"/>
    <w:rsid w:val="00F26D05"/>
    <w:rsid w:val="00F3135B"/>
    <w:rsid w:val="00F31EF7"/>
    <w:rsid w:val="00F33110"/>
    <w:rsid w:val="00F3320F"/>
    <w:rsid w:val="00F34243"/>
    <w:rsid w:val="00F344DD"/>
    <w:rsid w:val="00F368DA"/>
    <w:rsid w:val="00F369CE"/>
    <w:rsid w:val="00F3767A"/>
    <w:rsid w:val="00F4076F"/>
    <w:rsid w:val="00F4149E"/>
    <w:rsid w:val="00F41E44"/>
    <w:rsid w:val="00F4222D"/>
    <w:rsid w:val="00F42D42"/>
    <w:rsid w:val="00F44354"/>
    <w:rsid w:val="00F4447C"/>
    <w:rsid w:val="00F44800"/>
    <w:rsid w:val="00F44CFC"/>
    <w:rsid w:val="00F44D08"/>
    <w:rsid w:val="00F45EF0"/>
    <w:rsid w:val="00F46513"/>
    <w:rsid w:val="00F46548"/>
    <w:rsid w:val="00F47335"/>
    <w:rsid w:val="00F528AF"/>
    <w:rsid w:val="00F53680"/>
    <w:rsid w:val="00F54473"/>
    <w:rsid w:val="00F55585"/>
    <w:rsid w:val="00F56D96"/>
    <w:rsid w:val="00F57148"/>
    <w:rsid w:val="00F572A9"/>
    <w:rsid w:val="00F5771A"/>
    <w:rsid w:val="00F60403"/>
    <w:rsid w:val="00F60AFB"/>
    <w:rsid w:val="00F61CF8"/>
    <w:rsid w:val="00F623AD"/>
    <w:rsid w:val="00F65071"/>
    <w:rsid w:val="00F65474"/>
    <w:rsid w:val="00F656F8"/>
    <w:rsid w:val="00F6573C"/>
    <w:rsid w:val="00F65821"/>
    <w:rsid w:val="00F65DC0"/>
    <w:rsid w:val="00F66A09"/>
    <w:rsid w:val="00F67106"/>
    <w:rsid w:val="00F706DF"/>
    <w:rsid w:val="00F7292C"/>
    <w:rsid w:val="00F73A82"/>
    <w:rsid w:val="00F745F9"/>
    <w:rsid w:val="00F7592E"/>
    <w:rsid w:val="00F76108"/>
    <w:rsid w:val="00F76D2A"/>
    <w:rsid w:val="00F801AF"/>
    <w:rsid w:val="00F803AC"/>
    <w:rsid w:val="00F806BF"/>
    <w:rsid w:val="00F80AF1"/>
    <w:rsid w:val="00F8247A"/>
    <w:rsid w:val="00F8279F"/>
    <w:rsid w:val="00F82F76"/>
    <w:rsid w:val="00F83175"/>
    <w:rsid w:val="00F8428D"/>
    <w:rsid w:val="00F84ACD"/>
    <w:rsid w:val="00F852BA"/>
    <w:rsid w:val="00F87250"/>
    <w:rsid w:val="00F90036"/>
    <w:rsid w:val="00F9063B"/>
    <w:rsid w:val="00F90EAE"/>
    <w:rsid w:val="00F91746"/>
    <w:rsid w:val="00F91ABD"/>
    <w:rsid w:val="00F9249D"/>
    <w:rsid w:val="00F9350F"/>
    <w:rsid w:val="00F93ED2"/>
    <w:rsid w:val="00F94A27"/>
    <w:rsid w:val="00F9594A"/>
    <w:rsid w:val="00F95BDE"/>
    <w:rsid w:val="00F95BF6"/>
    <w:rsid w:val="00F95CA4"/>
    <w:rsid w:val="00F963CC"/>
    <w:rsid w:val="00F96898"/>
    <w:rsid w:val="00F96F31"/>
    <w:rsid w:val="00F974C4"/>
    <w:rsid w:val="00F97FDE"/>
    <w:rsid w:val="00FA0434"/>
    <w:rsid w:val="00FA0EB1"/>
    <w:rsid w:val="00FA1604"/>
    <w:rsid w:val="00FA2452"/>
    <w:rsid w:val="00FA2D92"/>
    <w:rsid w:val="00FA2E76"/>
    <w:rsid w:val="00FA3A13"/>
    <w:rsid w:val="00FA444C"/>
    <w:rsid w:val="00FA4979"/>
    <w:rsid w:val="00FA4A9B"/>
    <w:rsid w:val="00FA50C0"/>
    <w:rsid w:val="00FA5825"/>
    <w:rsid w:val="00FA59F6"/>
    <w:rsid w:val="00FA5CCF"/>
    <w:rsid w:val="00FA6315"/>
    <w:rsid w:val="00FB0473"/>
    <w:rsid w:val="00FB0F97"/>
    <w:rsid w:val="00FB1789"/>
    <w:rsid w:val="00FB2859"/>
    <w:rsid w:val="00FB3AD6"/>
    <w:rsid w:val="00FB5358"/>
    <w:rsid w:val="00FB537B"/>
    <w:rsid w:val="00FB6EEC"/>
    <w:rsid w:val="00FB701E"/>
    <w:rsid w:val="00FB7201"/>
    <w:rsid w:val="00FC1141"/>
    <w:rsid w:val="00FC25AC"/>
    <w:rsid w:val="00FC2C75"/>
    <w:rsid w:val="00FC2D22"/>
    <w:rsid w:val="00FC4411"/>
    <w:rsid w:val="00FC4533"/>
    <w:rsid w:val="00FC54F2"/>
    <w:rsid w:val="00FC5D29"/>
    <w:rsid w:val="00FC5D83"/>
    <w:rsid w:val="00FC619F"/>
    <w:rsid w:val="00FC7638"/>
    <w:rsid w:val="00FC774D"/>
    <w:rsid w:val="00FC7A0B"/>
    <w:rsid w:val="00FC7D07"/>
    <w:rsid w:val="00FD11BD"/>
    <w:rsid w:val="00FD3029"/>
    <w:rsid w:val="00FD3AF9"/>
    <w:rsid w:val="00FD430E"/>
    <w:rsid w:val="00FD450E"/>
    <w:rsid w:val="00FD4573"/>
    <w:rsid w:val="00FD5A96"/>
    <w:rsid w:val="00FD5D57"/>
    <w:rsid w:val="00FD5F32"/>
    <w:rsid w:val="00FD74A6"/>
    <w:rsid w:val="00FD7D33"/>
    <w:rsid w:val="00FD7F6A"/>
    <w:rsid w:val="00FE057E"/>
    <w:rsid w:val="00FE138F"/>
    <w:rsid w:val="00FE1C45"/>
    <w:rsid w:val="00FE22A5"/>
    <w:rsid w:val="00FE43AC"/>
    <w:rsid w:val="00FE4AB7"/>
    <w:rsid w:val="00FF08A4"/>
    <w:rsid w:val="00FF0937"/>
    <w:rsid w:val="00FF1D2A"/>
    <w:rsid w:val="00FF2819"/>
    <w:rsid w:val="00FF2C99"/>
    <w:rsid w:val="00FF30B0"/>
    <w:rsid w:val="00FF3253"/>
    <w:rsid w:val="00FF4EFD"/>
    <w:rsid w:val="00FF54BC"/>
    <w:rsid w:val="069209B5"/>
    <w:rsid w:val="06B8BB7F"/>
    <w:rsid w:val="0C763BA7"/>
    <w:rsid w:val="127D4B1F"/>
    <w:rsid w:val="1DEBBDE1"/>
    <w:rsid w:val="2D656CE1"/>
    <w:rsid w:val="33100773"/>
    <w:rsid w:val="440A0BFE"/>
    <w:rsid w:val="5F2C31FA"/>
    <w:rsid w:val="69B642B0"/>
    <w:rsid w:val="6F957A71"/>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D89C1"/>
  <w15:chartTrackingRefBased/>
  <w15:docId w15:val="{EFAAFB27-0075-4215-97AD-B2E0F9E3A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D11"/>
    <w:pPr>
      <w:spacing w:before="120" w:after="120" w:line="280" w:lineRule="atLeast"/>
      <w:jc w:val="both"/>
    </w:pPr>
    <w:rPr>
      <w:rFonts w:ascii="Calibri" w:eastAsia="Times New Roman" w:hAnsi="Calibri" w:cs="Times New Roman"/>
      <w:lang w:eastAsia="en-NZ"/>
    </w:rPr>
  </w:style>
  <w:style w:type="paragraph" w:styleId="Heading1">
    <w:name w:val="heading 1"/>
    <w:basedOn w:val="Normal"/>
    <w:next w:val="BodyText"/>
    <w:link w:val="Heading1Char"/>
    <w:qFormat/>
    <w:rsid w:val="00840203"/>
    <w:pPr>
      <w:keepNext/>
      <w:tabs>
        <w:tab w:val="left" w:pos="851"/>
      </w:tabs>
      <w:spacing w:before="0" w:after="360" w:line="600" w:lineRule="atLeast"/>
      <w:jc w:val="left"/>
      <w:outlineLvl w:val="0"/>
    </w:pPr>
    <w:rPr>
      <w:rFonts w:ascii="Georgia" w:eastAsiaTheme="majorEastAsia" w:hAnsi="Georgia" w:cstheme="majorBidi"/>
      <w:b/>
      <w:bCs/>
      <w:color w:val="1B556B"/>
      <w:sz w:val="48"/>
      <w:szCs w:val="28"/>
    </w:rPr>
  </w:style>
  <w:style w:type="paragraph" w:styleId="Heading2">
    <w:name w:val="heading 2"/>
    <w:basedOn w:val="Normal"/>
    <w:next w:val="BodyText"/>
    <w:link w:val="Heading2Char"/>
    <w:qFormat/>
    <w:rsid w:val="00840203"/>
    <w:pPr>
      <w:keepNext/>
      <w:tabs>
        <w:tab w:val="left" w:pos="851"/>
      </w:tabs>
      <w:spacing w:before="360" w:after="0" w:line="440" w:lineRule="atLeast"/>
      <w:jc w:val="left"/>
      <w:outlineLvl w:val="1"/>
    </w:pPr>
    <w:rPr>
      <w:rFonts w:ascii="Georgia" w:eastAsiaTheme="majorEastAsia" w:hAnsi="Georgia" w:cstheme="majorBidi"/>
      <w:b/>
      <w:bCs/>
      <w:color w:val="1B556B"/>
      <w:sz w:val="36"/>
      <w:szCs w:val="26"/>
    </w:rPr>
  </w:style>
  <w:style w:type="paragraph" w:styleId="Heading3">
    <w:name w:val="heading 3"/>
    <w:basedOn w:val="Normal"/>
    <w:next w:val="BodyText"/>
    <w:link w:val="Heading3Char"/>
    <w:qFormat/>
    <w:rsid w:val="00840203"/>
    <w:pPr>
      <w:keepNext/>
      <w:tabs>
        <w:tab w:val="left" w:pos="851"/>
      </w:tabs>
      <w:spacing w:before="360" w:after="0" w:line="360" w:lineRule="exact"/>
      <w:jc w:val="left"/>
      <w:outlineLvl w:val="2"/>
    </w:pPr>
    <w:rPr>
      <w:rFonts w:ascii="Georgia" w:eastAsiaTheme="majorEastAsia" w:hAnsi="Georgia" w:cstheme="majorBidi"/>
      <w:b/>
      <w:bCs/>
      <w:sz w:val="28"/>
    </w:rPr>
  </w:style>
  <w:style w:type="paragraph" w:styleId="Heading4">
    <w:name w:val="heading 4"/>
    <w:basedOn w:val="Heading3"/>
    <w:next w:val="BodyText"/>
    <w:link w:val="Heading4Char"/>
    <w:qFormat/>
    <w:rsid w:val="002E4EBB"/>
    <w:pPr>
      <w:spacing w:before="240"/>
      <w:outlineLvl w:val="3"/>
    </w:pPr>
    <w:rPr>
      <w:sz w:val="24"/>
    </w:rPr>
  </w:style>
  <w:style w:type="paragraph" w:styleId="Heading5">
    <w:name w:val="heading 5"/>
    <w:basedOn w:val="Normal"/>
    <w:next w:val="BodyText"/>
    <w:link w:val="Heading5Char"/>
    <w:qFormat/>
    <w:rsid w:val="00840203"/>
    <w:pPr>
      <w:keepNext/>
      <w:spacing w:before="320" w:after="0" w:line="240" w:lineRule="auto"/>
      <w:jc w:val="left"/>
      <w:outlineLvl w:val="4"/>
    </w:pPr>
    <w:rPr>
      <w:rFonts w:eastAsiaTheme="majorEastAsia" w:cstheme="majorBidi"/>
      <w:i/>
      <w:sz w:val="24"/>
    </w:rPr>
  </w:style>
  <w:style w:type="paragraph" w:styleId="Heading6">
    <w:name w:val="heading 6"/>
    <w:basedOn w:val="Normal"/>
    <w:next w:val="Normal"/>
    <w:link w:val="Heading6Char"/>
    <w:semiHidden/>
    <w:rsid w:val="00AE0109"/>
    <w:pPr>
      <w:numPr>
        <w:ilvl w:val="5"/>
        <w:numId w:val="1"/>
      </w:numPr>
      <w:spacing w:before="240" w:line="288" w:lineRule="auto"/>
      <w:jc w:val="left"/>
      <w:outlineLvl w:val="5"/>
    </w:pPr>
    <w:rPr>
      <w:rFonts w:ascii="Times New Roman" w:hAnsi="Times New Roman"/>
      <w:b/>
      <w:szCs w:val="20"/>
      <w:lang w:val="en-AU" w:eastAsia="en-US"/>
    </w:rPr>
  </w:style>
  <w:style w:type="paragraph" w:styleId="Heading7">
    <w:name w:val="heading 7"/>
    <w:basedOn w:val="Normal"/>
    <w:next w:val="Normal"/>
    <w:link w:val="Heading7Char"/>
    <w:semiHidden/>
    <w:qFormat/>
    <w:rsid w:val="00AE0109"/>
    <w:pPr>
      <w:numPr>
        <w:ilvl w:val="6"/>
        <w:numId w:val="1"/>
      </w:numPr>
      <w:spacing w:before="240" w:line="288" w:lineRule="auto"/>
      <w:jc w:val="left"/>
      <w:outlineLvl w:val="6"/>
    </w:pPr>
    <w:rPr>
      <w:rFonts w:ascii="Times New Roman" w:hAnsi="Times New Roman"/>
      <w:szCs w:val="20"/>
      <w:lang w:val="en-AU" w:eastAsia="en-US"/>
    </w:rPr>
  </w:style>
  <w:style w:type="paragraph" w:styleId="Heading8">
    <w:name w:val="heading 8"/>
    <w:basedOn w:val="Normal"/>
    <w:next w:val="Normal"/>
    <w:link w:val="Heading8Char"/>
    <w:semiHidden/>
    <w:qFormat/>
    <w:rsid w:val="00AE0109"/>
    <w:pPr>
      <w:numPr>
        <w:ilvl w:val="7"/>
        <w:numId w:val="1"/>
      </w:numPr>
      <w:spacing w:before="240" w:line="288" w:lineRule="auto"/>
      <w:jc w:val="left"/>
      <w:outlineLvl w:val="7"/>
    </w:pPr>
    <w:rPr>
      <w:rFonts w:ascii="Times New Roman" w:hAnsi="Times New Roman"/>
      <w:i/>
      <w:szCs w:val="20"/>
      <w:lang w:val="en-AU" w:eastAsia="en-US"/>
    </w:rPr>
  </w:style>
  <w:style w:type="paragraph" w:styleId="Heading9">
    <w:name w:val="heading 9"/>
    <w:basedOn w:val="Heading1"/>
    <w:next w:val="Normal"/>
    <w:link w:val="Heading9Char"/>
    <w:semiHidden/>
    <w:qFormat/>
    <w:rsid w:val="00AE0109"/>
    <w:pPr>
      <w:numPr>
        <w:ilvl w:val="8"/>
        <w:numId w:val="1"/>
      </w:numPr>
      <w:tabs>
        <w:tab w:val="clear" w:pos="851"/>
      </w:tabs>
      <w:spacing w:before="240" w:after="120"/>
      <w:outlineLvl w:val="8"/>
    </w:pPr>
    <w:rPr>
      <w:rFonts w:ascii="Arial" w:hAnsi="Arial"/>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0203"/>
    <w:rPr>
      <w:rFonts w:ascii="Georgia" w:eastAsiaTheme="majorEastAsia" w:hAnsi="Georgia" w:cstheme="majorBidi"/>
      <w:b/>
      <w:bCs/>
      <w:color w:val="1B556B"/>
      <w:sz w:val="48"/>
      <w:szCs w:val="28"/>
      <w:lang w:eastAsia="en-NZ"/>
    </w:rPr>
  </w:style>
  <w:style w:type="character" w:customStyle="1" w:styleId="Heading2Char">
    <w:name w:val="Heading 2 Char"/>
    <w:basedOn w:val="DefaultParagraphFont"/>
    <w:link w:val="Heading2"/>
    <w:rsid w:val="00840203"/>
    <w:rPr>
      <w:rFonts w:ascii="Georgia" w:eastAsiaTheme="majorEastAsia" w:hAnsi="Georgia" w:cstheme="majorBidi"/>
      <w:b/>
      <w:bCs/>
      <w:color w:val="1B556B"/>
      <w:sz w:val="36"/>
      <w:szCs w:val="26"/>
      <w:lang w:eastAsia="en-NZ"/>
    </w:rPr>
  </w:style>
  <w:style w:type="character" w:customStyle="1" w:styleId="Heading3Char">
    <w:name w:val="Heading 3 Char"/>
    <w:basedOn w:val="DefaultParagraphFont"/>
    <w:link w:val="Heading3"/>
    <w:rsid w:val="00840203"/>
    <w:rPr>
      <w:rFonts w:ascii="Georgia" w:eastAsiaTheme="majorEastAsia" w:hAnsi="Georgia" w:cstheme="majorBidi"/>
      <w:b/>
      <w:bCs/>
      <w:sz w:val="28"/>
      <w:lang w:eastAsia="en-NZ"/>
    </w:rPr>
  </w:style>
  <w:style w:type="character" w:customStyle="1" w:styleId="Heading4Char">
    <w:name w:val="Heading 4 Char"/>
    <w:basedOn w:val="DefaultParagraphFont"/>
    <w:link w:val="Heading4"/>
    <w:rsid w:val="002E4EBB"/>
    <w:rPr>
      <w:rFonts w:ascii="Georgia" w:eastAsiaTheme="majorEastAsia" w:hAnsi="Georgia" w:cstheme="majorBidi"/>
      <w:b/>
      <w:bCs/>
      <w:sz w:val="24"/>
      <w:lang w:eastAsia="en-NZ"/>
    </w:rPr>
  </w:style>
  <w:style w:type="character" w:customStyle="1" w:styleId="Heading5Char">
    <w:name w:val="Heading 5 Char"/>
    <w:basedOn w:val="DefaultParagraphFont"/>
    <w:link w:val="Heading5"/>
    <w:rsid w:val="00840203"/>
    <w:rPr>
      <w:rFonts w:ascii="Calibri" w:eastAsiaTheme="majorEastAsia" w:hAnsi="Calibri" w:cstheme="majorBidi"/>
      <w:i/>
      <w:sz w:val="24"/>
      <w:lang w:eastAsia="en-NZ"/>
    </w:rPr>
  </w:style>
  <w:style w:type="character" w:customStyle="1" w:styleId="Heading6Char">
    <w:name w:val="Heading 6 Char"/>
    <w:basedOn w:val="DefaultParagraphFont"/>
    <w:link w:val="Heading6"/>
    <w:semiHidden/>
    <w:rsid w:val="00AE0109"/>
    <w:rPr>
      <w:rFonts w:ascii="Times New Roman" w:eastAsia="Times New Roman" w:hAnsi="Times New Roman" w:cs="Times New Roman"/>
      <w:b/>
      <w:szCs w:val="20"/>
      <w:lang w:val="en-AU"/>
    </w:rPr>
  </w:style>
  <w:style w:type="character" w:customStyle="1" w:styleId="Heading7Char">
    <w:name w:val="Heading 7 Char"/>
    <w:basedOn w:val="DefaultParagraphFont"/>
    <w:link w:val="Heading7"/>
    <w:semiHidden/>
    <w:rsid w:val="00AE0109"/>
    <w:rPr>
      <w:rFonts w:ascii="Times New Roman" w:eastAsia="Times New Roman" w:hAnsi="Times New Roman" w:cs="Times New Roman"/>
      <w:szCs w:val="20"/>
      <w:lang w:val="en-AU"/>
    </w:rPr>
  </w:style>
  <w:style w:type="character" w:customStyle="1" w:styleId="Heading8Char">
    <w:name w:val="Heading 8 Char"/>
    <w:basedOn w:val="DefaultParagraphFont"/>
    <w:link w:val="Heading8"/>
    <w:semiHidden/>
    <w:rsid w:val="00AE0109"/>
    <w:rPr>
      <w:rFonts w:ascii="Times New Roman" w:eastAsia="Times New Roman" w:hAnsi="Times New Roman" w:cs="Times New Roman"/>
      <w:i/>
      <w:szCs w:val="20"/>
      <w:lang w:val="en-AU"/>
    </w:rPr>
  </w:style>
  <w:style w:type="character" w:customStyle="1" w:styleId="Heading9Char">
    <w:name w:val="Heading 9 Char"/>
    <w:basedOn w:val="DefaultParagraphFont"/>
    <w:link w:val="Heading9"/>
    <w:semiHidden/>
    <w:rsid w:val="00AE0109"/>
    <w:rPr>
      <w:rFonts w:ascii="Arial" w:eastAsia="Times New Roman" w:hAnsi="Arial" w:cs="Times New Roman"/>
      <w:b/>
      <w:color w:val="FFFFFF"/>
      <w:kern w:val="28"/>
      <w:sz w:val="2"/>
      <w:szCs w:val="20"/>
      <w:lang w:val="en-AU"/>
    </w:rPr>
  </w:style>
  <w:style w:type="paragraph" w:styleId="BodyText">
    <w:name w:val="Body Text"/>
    <w:basedOn w:val="Normal"/>
    <w:link w:val="BodyTextChar"/>
    <w:qFormat/>
    <w:rsid w:val="00840203"/>
    <w:pPr>
      <w:jc w:val="left"/>
    </w:pPr>
    <w:rPr>
      <w:rFonts w:eastAsiaTheme="minorEastAsia" w:cstheme="minorBidi"/>
    </w:rPr>
  </w:style>
  <w:style w:type="character" w:customStyle="1" w:styleId="BodyTextChar">
    <w:name w:val="Body Text Char"/>
    <w:basedOn w:val="DefaultParagraphFont"/>
    <w:link w:val="BodyText"/>
    <w:rsid w:val="00840203"/>
    <w:rPr>
      <w:rFonts w:ascii="Calibri" w:eastAsiaTheme="minorEastAsia" w:hAnsi="Calibri"/>
      <w:lang w:eastAsia="en-NZ"/>
    </w:rPr>
  </w:style>
  <w:style w:type="table" w:styleId="TableGrid">
    <w:name w:val="Table Grid"/>
    <w:basedOn w:val="TableNormal"/>
    <w:uiPriority w:val="59"/>
    <w:rsid w:val="00AE0109"/>
    <w:pPr>
      <w:spacing w:after="0" w:line="240" w:lineRule="auto"/>
      <w:jc w:val="both"/>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AE0109"/>
    <w:pPr>
      <w:jc w:val="center"/>
    </w:pPr>
    <w:rPr>
      <w:rFonts w:ascii="Arial" w:hAnsi="Arial"/>
      <w:sz w:val="16"/>
    </w:rPr>
  </w:style>
  <w:style w:type="character" w:customStyle="1" w:styleId="HeaderChar">
    <w:name w:val="Header Char"/>
    <w:basedOn w:val="DefaultParagraphFont"/>
    <w:link w:val="Header"/>
    <w:semiHidden/>
    <w:rsid w:val="00AE0109"/>
    <w:rPr>
      <w:rFonts w:ascii="Arial" w:eastAsia="Times New Roman" w:hAnsi="Arial" w:cs="Times New Roman"/>
      <w:sz w:val="16"/>
      <w:lang w:eastAsia="en-NZ"/>
    </w:rPr>
  </w:style>
  <w:style w:type="paragraph" w:styleId="Quote">
    <w:name w:val="Quote"/>
    <w:basedOn w:val="Normal"/>
    <w:next w:val="BodyText"/>
    <w:link w:val="QuoteChar"/>
    <w:uiPriority w:val="1"/>
    <w:semiHidden/>
    <w:qFormat/>
    <w:rsid w:val="00840203"/>
    <w:pPr>
      <w:spacing w:before="60" w:after="60"/>
      <w:ind w:left="567" w:right="567"/>
      <w:jc w:val="left"/>
    </w:pPr>
    <w:rPr>
      <w:rFonts w:eastAsiaTheme="minorEastAsia" w:cstheme="minorBidi"/>
      <w:sz w:val="20"/>
    </w:rPr>
  </w:style>
  <w:style w:type="character" w:customStyle="1" w:styleId="QuoteChar">
    <w:name w:val="Quote Char"/>
    <w:basedOn w:val="DefaultParagraphFont"/>
    <w:link w:val="Quote"/>
    <w:uiPriority w:val="1"/>
    <w:semiHidden/>
    <w:rsid w:val="004B1D11"/>
    <w:rPr>
      <w:rFonts w:ascii="Calibri" w:eastAsiaTheme="minorEastAsia" w:hAnsi="Calibri"/>
      <w:sz w:val="20"/>
      <w:lang w:eastAsia="en-NZ"/>
    </w:rPr>
  </w:style>
  <w:style w:type="paragraph" w:customStyle="1" w:styleId="Box">
    <w:name w:val="Box"/>
    <w:basedOn w:val="Normal"/>
    <w:uiPriority w:val="1"/>
    <w:qFormat/>
    <w:rsid w:val="00AE0109"/>
    <w:pPr>
      <w:pBdr>
        <w:top w:val="single" w:sz="4" w:space="15" w:color="D2DDE2"/>
        <w:left w:val="single" w:sz="4" w:space="15" w:color="D2DDE2"/>
        <w:bottom w:val="single" w:sz="4" w:space="15" w:color="D2DDE2"/>
        <w:right w:val="single" w:sz="4" w:space="15" w:color="D2DDE2"/>
      </w:pBdr>
      <w:shd w:val="clear" w:color="auto" w:fill="D2DDE2"/>
      <w:ind w:left="284" w:right="284"/>
      <w:jc w:val="left"/>
    </w:pPr>
    <w:rPr>
      <w:color w:val="1C556C"/>
      <w:sz w:val="20"/>
    </w:rPr>
  </w:style>
  <w:style w:type="paragraph" w:customStyle="1" w:styleId="Boxbullet">
    <w:name w:val="Box bullet"/>
    <w:basedOn w:val="Boxtext"/>
    <w:uiPriority w:val="1"/>
    <w:qFormat/>
    <w:rsid w:val="00840203"/>
    <w:pPr>
      <w:numPr>
        <w:numId w:val="42"/>
      </w:numPr>
      <w:tabs>
        <w:tab w:val="left" w:pos="680"/>
      </w:tabs>
      <w:spacing w:before="0"/>
    </w:pPr>
    <w:rPr>
      <w:rFonts w:cs="Times New Roman"/>
      <w:szCs w:val="20"/>
    </w:rPr>
  </w:style>
  <w:style w:type="paragraph" w:customStyle="1" w:styleId="Boxheading">
    <w:name w:val="Box heading"/>
    <w:basedOn w:val="Boxtext"/>
    <w:next w:val="Boxtext"/>
    <w:uiPriority w:val="1"/>
    <w:qFormat/>
    <w:rsid w:val="00840203"/>
    <w:pPr>
      <w:keepNext/>
      <w:spacing w:before="240" w:after="0"/>
    </w:pPr>
    <w:rPr>
      <w:rFonts w:cs="Times New Roman"/>
      <w:b/>
      <w:sz w:val="22"/>
      <w:szCs w:val="20"/>
    </w:rPr>
  </w:style>
  <w:style w:type="paragraph" w:customStyle="1" w:styleId="Bullet">
    <w:name w:val="Bullet"/>
    <w:basedOn w:val="Normal"/>
    <w:link w:val="BulletChar"/>
    <w:qFormat/>
    <w:rsid w:val="00840203"/>
    <w:pPr>
      <w:numPr>
        <w:numId w:val="44"/>
      </w:numPr>
      <w:tabs>
        <w:tab w:val="left" w:pos="397"/>
      </w:tabs>
      <w:spacing w:before="0"/>
      <w:jc w:val="left"/>
    </w:pPr>
    <w:rPr>
      <w:szCs w:val="20"/>
    </w:rPr>
  </w:style>
  <w:style w:type="paragraph" w:customStyle="1" w:styleId="Heading">
    <w:name w:val="Heading"/>
    <w:basedOn w:val="Heading1"/>
    <w:next w:val="Normal"/>
    <w:uiPriority w:val="3"/>
    <w:rsid w:val="00840203"/>
  </w:style>
  <w:style w:type="paragraph" w:styleId="Footer">
    <w:name w:val="footer"/>
    <w:basedOn w:val="Normal"/>
    <w:link w:val="FooterChar"/>
    <w:semiHidden/>
    <w:rsid w:val="00AE0109"/>
    <w:pPr>
      <w:tabs>
        <w:tab w:val="center" w:pos="4153"/>
        <w:tab w:val="right" w:pos="8306"/>
      </w:tabs>
    </w:pPr>
  </w:style>
  <w:style w:type="character" w:customStyle="1" w:styleId="FooterChar">
    <w:name w:val="Footer Char"/>
    <w:basedOn w:val="DefaultParagraphFont"/>
    <w:link w:val="Footer"/>
    <w:semiHidden/>
    <w:rsid w:val="00AE0109"/>
    <w:rPr>
      <w:rFonts w:ascii="Calibri" w:eastAsia="Times New Roman" w:hAnsi="Calibri" w:cs="Times New Roman"/>
      <w:lang w:eastAsia="en-NZ"/>
    </w:rPr>
  </w:style>
  <w:style w:type="paragraph" w:customStyle="1" w:styleId="Sub-list">
    <w:name w:val="Sub-list"/>
    <w:basedOn w:val="Normal"/>
    <w:qFormat/>
    <w:rsid w:val="00840203"/>
    <w:pPr>
      <w:numPr>
        <w:numId w:val="46"/>
      </w:numPr>
      <w:tabs>
        <w:tab w:val="left" w:pos="794"/>
      </w:tabs>
      <w:spacing w:before="0"/>
      <w:jc w:val="left"/>
    </w:pPr>
    <w:rPr>
      <w:rFonts w:eastAsiaTheme="minorEastAsia" w:cstheme="minorBidi"/>
    </w:rPr>
  </w:style>
  <w:style w:type="paragraph" w:customStyle="1" w:styleId="Figureheading">
    <w:name w:val="Figure heading"/>
    <w:basedOn w:val="Normal"/>
    <w:next w:val="BodyText"/>
    <w:qFormat/>
    <w:rsid w:val="00840203"/>
    <w:pPr>
      <w:keepNext/>
      <w:ind w:left="1134" w:hanging="1134"/>
      <w:jc w:val="left"/>
    </w:pPr>
    <w:rPr>
      <w:rFonts w:eastAsiaTheme="minorEastAsia" w:cstheme="minorBidi"/>
      <w:b/>
      <w:sz w:val="20"/>
    </w:rPr>
  </w:style>
  <w:style w:type="character" w:styleId="FootnoteReference">
    <w:name w:val="footnote reference"/>
    <w:semiHidden/>
    <w:rsid w:val="00840203"/>
    <w:rPr>
      <w:rFonts w:ascii="Calibri" w:hAnsi="Calibri"/>
      <w:color w:val="auto"/>
      <w:sz w:val="22"/>
      <w:vertAlign w:val="superscript"/>
    </w:rPr>
  </w:style>
  <w:style w:type="paragraph" w:styleId="FootnoteText">
    <w:name w:val="footnote text"/>
    <w:basedOn w:val="Normal"/>
    <w:link w:val="FootnoteTextChar"/>
    <w:uiPriority w:val="99"/>
    <w:rsid w:val="00840203"/>
    <w:pPr>
      <w:spacing w:before="0" w:after="60" w:line="240" w:lineRule="atLeast"/>
      <w:ind w:left="284" w:hanging="284"/>
      <w:jc w:val="left"/>
    </w:pPr>
    <w:rPr>
      <w:rFonts w:eastAsiaTheme="minorEastAsia" w:cstheme="minorBidi"/>
      <w:sz w:val="19"/>
    </w:rPr>
  </w:style>
  <w:style w:type="character" w:customStyle="1" w:styleId="FootnoteTextChar">
    <w:name w:val="Footnote Text Char"/>
    <w:basedOn w:val="DefaultParagraphFont"/>
    <w:link w:val="FootnoteText"/>
    <w:uiPriority w:val="99"/>
    <w:rsid w:val="00840203"/>
    <w:rPr>
      <w:rFonts w:ascii="Calibri" w:eastAsiaTheme="minorEastAsia" w:hAnsi="Calibri"/>
      <w:sz w:val="19"/>
      <w:lang w:eastAsia="en-NZ"/>
    </w:rPr>
  </w:style>
  <w:style w:type="character" w:styleId="Hyperlink">
    <w:name w:val="Hyperlink"/>
    <w:uiPriority w:val="99"/>
    <w:qFormat/>
    <w:rsid w:val="00840203"/>
    <w:rPr>
      <w:color w:val="32809C"/>
      <w:u w:val="none"/>
    </w:rPr>
  </w:style>
  <w:style w:type="paragraph" w:customStyle="1" w:styleId="Imprint">
    <w:name w:val="Imprint"/>
    <w:basedOn w:val="Normal"/>
    <w:uiPriority w:val="3"/>
    <w:rsid w:val="00840203"/>
    <w:pPr>
      <w:jc w:val="left"/>
    </w:pPr>
    <w:rPr>
      <w:rFonts w:eastAsiaTheme="minorEastAsia" w:cstheme="minorBidi"/>
    </w:rPr>
  </w:style>
  <w:style w:type="paragraph" w:customStyle="1" w:styleId="Note">
    <w:name w:val="Note"/>
    <w:basedOn w:val="BodyText"/>
    <w:next w:val="Normal"/>
    <w:uiPriority w:val="1"/>
    <w:semiHidden/>
    <w:qFormat/>
    <w:rsid w:val="00AE0109"/>
    <w:rPr>
      <w:sz w:val="18"/>
    </w:rPr>
  </w:style>
  <w:style w:type="paragraph" w:customStyle="1" w:styleId="References">
    <w:name w:val="References"/>
    <w:basedOn w:val="Normal"/>
    <w:uiPriority w:val="1"/>
    <w:semiHidden/>
    <w:qFormat/>
    <w:rsid w:val="00840203"/>
    <w:pPr>
      <w:spacing w:before="0" w:line="260" w:lineRule="atLeast"/>
      <w:jc w:val="left"/>
    </w:pPr>
    <w:rPr>
      <w:rFonts w:eastAsiaTheme="minorEastAsia" w:cstheme="minorBidi"/>
      <w:sz w:val="20"/>
    </w:rPr>
  </w:style>
  <w:style w:type="paragraph" w:customStyle="1" w:styleId="Source">
    <w:name w:val="Source"/>
    <w:basedOn w:val="Normal"/>
    <w:next w:val="Normal"/>
    <w:uiPriority w:val="1"/>
    <w:semiHidden/>
    <w:qFormat/>
    <w:rsid w:val="00840203"/>
    <w:pPr>
      <w:tabs>
        <w:tab w:val="left" w:pos="680"/>
      </w:tabs>
      <w:spacing w:line="240" w:lineRule="atLeast"/>
      <w:jc w:val="left"/>
    </w:pPr>
    <w:rPr>
      <w:rFonts w:eastAsiaTheme="minorEastAsia" w:cstheme="minorBidi"/>
      <w:sz w:val="18"/>
    </w:rPr>
  </w:style>
  <w:style w:type="paragraph" w:styleId="Title">
    <w:name w:val="Title"/>
    <w:basedOn w:val="Normal"/>
    <w:link w:val="TitleChar"/>
    <w:uiPriority w:val="2"/>
    <w:rsid w:val="00840203"/>
    <w:pPr>
      <w:spacing w:line="360" w:lineRule="auto"/>
      <w:jc w:val="center"/>
    </w:pPr>
    <w:rPr>
      <w:rFonts w:ascii="Georgia" w:eastAsiaTheme="minorEastAsia" w:hAnsi="Georgia" w:cstheme="minorBidi"/>
      <w:b/>
      <w:color w:val="1B556B"/>
      <w:sz w:val="56"/>
    </w:rPr>
  </w:style>
  <w:style w:type="character" w:customStyle="1" w:styleId="TitleChar">
    <w:name w:val="Title Char"/>
    <w:basedOn w:val="DefaultParagraphFont"/>
    <w:link w:val="Title"/>
    <w:uiPriority w:val="2"/>
    <w:rsid w:val="00840203"/>
    <w:rPr>
      <w:rFonts w:ascii="Georgia" w:eastAsiaTheme="minorEastAsia" w:hAnsi="Georgia"/>
      <w:b/>
      <w:color w:val="1B556B"/>
      <w:sz w:val="56"/>
      <w:lang w:eastAsia="en-NZ"/>
    </w:rPr>
  </w:style>
  <w:style w:type="paragraph" w:styleId="Subtitle">
    <w:name w:val="Subtitle"/>
    <w:basedOn w:val="Title"/>
    <w:link w:val="SubtitleChar"/>
    <w:uiPriority w:val="2"/>
    <w:semiHidden/>
    <w:rsid w:val="00840203"/>
    <w:pPr>
      <w:spacing w:before="600" w:line="240" w:lineRule="auto"/>
    </w:pPr>
    <w:rPr>
      <w:sz w:val="36"/>
      <w:szCs w:val="36"/>
    </w:rPr>
  </w:style>
  <w:style w:type="character" w:customStyle="1" w:styleId="SubtitleChar">
    <w:name w:val="Subtitle Char"/>
    <w:basedOn w:val="DefaultParagraphFont"/>
    <w:link w:val="Subtitle"/>
    <w:uiPriority w:val="2"/>
    <w:semiHidden/>
    <w:rsid w:val="004B1D11"/>
    <w:rPr>
      <w:rFonts w:ascii="Georgia" w:eastAsiaTheme="minorEastAsia" w:hAnsi="Georgia"/>
      <w:b/>
      <w:color w:val="1B556B"/>
      <w:sz w:val="36"/>
      <w:szCs w:val="36"/>
      <w:lang w:eastAsia="en-NZ"/>
    </w:rPr>
  </w:style>
  <w:style w:type="paragraph" w:customStyle="1" w:styleId="Tableheading">
    <w:name w:val="Table heading"/>
    <w:basedOn w:val="Normal"/>
    <w:next w:val="Normal"/>
    <w:qFormat/>
    <w:rsid w:val="00840203"/>
    <w:pPr>
      <w:keepNext/>
      <w:ind w:left="1134" w:hanging="1134"/>
      <w:jc w:val="left"/>
    </w:pPr>
    <w:rPr>
      <w:rFonts w:eastAsiaTheme="minorEastAsia" w:cstheme="minorBidi"/>
      <w:b/>
      <w:sz w:val="20"/>
    </w:rPr>
  </w:style>
  <w:style w:type="paragraph" w:customStyle="1" w:styleId="TableText">
    <w:name w:val="TableText"/>
    <w:basedOn w:val="Normal"/>
    <w:qFormat/>
    <w:rsid w:val="00A97A60"/>
    <w:pPr>
      <w:spacing w:before="60" w:after="60" w:line="240" w:lineRule="atLeast"/>
      <w:jc w:val="left"/>
    </w:pPr>
    <w:rPr>
      <w:rFonts w:eastAsiaTheme="minorEastAsia" w:cstheme="minorBidi"/>
      <w:sz w:val="18"/>
      <w:szCs w:val="20"/>
    </w:rPr>
  </w:style>
  <w:style w:type="paragraph" w:customStyle="1" w:styleId="TableTextbold">
    <w:name w:val="TableText bold"/>
    <w:basedOn w:val="TableText"/>
    <w:rsid w:val="00840203"/>
    <w:rPr>
      <w:b/>
    </w:rPr>
  </w:style>
  <w:style w:type="paragraph" w:styleId="TOC1">
    <w:name w:val="toc 1"/>
    <w:basedOn w:val="Normal"/>
    <w:next w:val="Normal"/>
    <w:uiPriority w:val="39"/>
    <w:rsid w:val="004B1D11"/>
    <w:pPr>
      <w:tabs>
        <w:tab w:val="right" w:pos="8505"/>
      </w:tabs>
      <w:spacing w:before="280" w:after="0" w:line="240" w:lineRule="auto"/>
      <w:ind w:right="567"/>
      <w:jc w:val="left"/>
    </w:pPr>
    <w:rPr>
      <w:rFonts w:eastAsiaTheme="minorEastAsia" w:cstheme="minorBidi"/>
      <w:noProof/>
    </w:rPr>
  </w:style>
  <w:style w:type="paragraph" w:styleId="TOC2">
    <w:name w:val="toc 2"/>
    <w:basedOn w:val="Normal"/>
    <w:next w:val="Normal"/>
    <w:uiPriority w:val="39"/>
    <w:rsid w:val="004B1D11"/>
    <w:pPr>
      <w:tabs>
        <w:tab w:val="right" w:pos="8505"/>
      </w:tabs>
      <w:spacing w:before="60" w:after="60" w:line="240" w:lineRule="auto"/>
      <w:ind w:left="567" w:right="567"/>
      <w:jc w:val="left"/>
    </w:pPr>
    <w:rPr>
      <w:rFonts w:eastAsiaTheme="minorEastAsia" w:cstheme="minorBidi"/>
      <w:noProof/>
    </w:rPr>
  </w:style>
  <w:style w:type="paragraph" w:customStyle="1" w:styleId="Captions">
    <w:name w:val="Captions"/>
    <w:basedOn w:val="Note"/>
    <w:next w:val="Normal"/>
    <w:semiHidden/>
    <w:rsid w:val="00AE0109"/>
    <w:pPr>
      <w:tabs>
        <w:tab w:val="left" w:pos="851"/>
      </w:tabs>
    </w:pPr>
  </w:style>
  <w:style w:type="paragraph" w:customStyle="1" w:styleId="Glossary">
    <w:name w:val="Glossary"/>
    <w:basedOn w:val="Normal"/>
    <w:uiPriority w:val="1"/>
    <w:qFormat/>
    <w:rsid w:val="00840203"/>
    <w:pPr>
      <w:tabs>
        <w:tab w:val="left" w:pos="2835"/>
      </w:tabs>
      <w:spacing w:after="0"/>
      <w:jc w:val="left"/>
    </w:pPr>
    <w:rPr>
      <w:rFonts w:eastAsiaTheme="minorEastAsia" w:cstheme="minorBidi"/>
    </w:rPr>
  </w:style>
  <w:style w:type="paragraph" w:customStyle="1" w:styleId="Footerodd">
    <w:name w:val="Footer odd"/>
    <w:basedOn w:val="Normal"/>
    <w:uiPriority w:val="2"/>
    <w:rsid w:val="00840203"/>
    <w:pPr>
      <w:tabs>
        <w:tab w:val="right" w:pos="7938"/>
        <w:tab w:val="right" w:pos="8505"/>
      </w:tabs>
      <w:jc w:val="left"/>
    </w:pPr>
    <w:rPr>
      <w:rFonts w:eastAsiaTheme="minorEastAsia" w:cstheme="minorBidi"/>
      <w:sz w:val="16"/>
    </w:rPr>
  </w:style>
  <w:style w:type="paragraph" w:customStyle="1" w:styleId="Footereven">
    <w:name w:val="Footer even"/>
    <w:basedOn w:val="Normal"/>
    <w:uiPriority w:val="2"/>
    <w:rsid w:val="00840203"/>
    <w:pPr>
      <w:tabs>
        <w:tab w:val="left" w:pos="567"/>
      </w:tabs>
    </w:pPr>
    <w:rPr>
      <w:rFonts w:eastAsiaTheme="minorEastAsia" w:cstheme="minorBidi"/>
      <w:sz w:val="16"/>
    </w:rPr>
  </w:style>
  <w:style w:type="paragraph" w:customStyle="1" w:styleId="Numberedparagraph">
    <w:name w:val="Numbered paragraph"/>
    <w:basedOn w:val="Normal"/>
    <w:uiPriority w:val="1"/>
    <w:qFormat/>
    <w:rsid w:val="00840203"/>
    <w:pPr>
      <w:numPr>
        <w:numId w:val="45"/>
      </w:numPr>
      <w:spacing w:before="0"/>
      <w:jc w:val="left"/>
    </w:pPr>
    <w:rPr>
      <w:rFonts w:eastAsiaTheme="minorEastAsia" w:cstheme="minorBidi"/>
    </w:rPr>
  </w:style>
  <w:style w:type="paragraph" w:customStyle="1" w:styleId="Sub-lista">
    <w:name w:val="Sub-list a"/>
    <w:aliases w:val="b"/>
    <w:basedOn w:val="Normal"/>
    <w:uiPriority w:val="2"/>
    <w:semiHidden/>
    <w:rsid w:val="00840203"/>
    <w:pPr>
      <w:numPr>
        <w:numId w:val="47"/>
      </w:numPr>
      <w:spacing w:before="0"/>
      <w:jc w:val="left"/>
    </w:pPr>
    <w:rPr>
      <w:rFonts w:eastAsiaTheme="minorEastAsia" w:cstheme="minorBidi"/>
    </w:rPr>
  </w:style>
  <w:style w:type="paragraph" w:styleId="EndnoteText">
    <w:name w:val="endnote text"/>
    <w:basedOn w:val="Normal"/>
    <w:link w:val="EndnoteTextChar"/>
    <w:uiPriority w:val="99"/>
    <w:semiHidden/>
    <w:rsid w:val="00AE0109"/>
    <w:pPr>
      <w:spacing w:after="60"/>
    </w:pPr>
    <w:rPr>
      <w:sz w:val="20"/>
    </w:rPr>
  </w:style>
  <w:style w:type="character" w:customStyle="1" w:styleId="EndnoteTextChar">
    <w:name w:val="Endnote Text Char"/>
    <w:basedOn w:val="DefaultParagraphFont"/>
    <w:link w:val="EndnoteText"/>
    <w:uiPriority w:val="99"/>
    <w:semiHidden/>
    <w:rsid w:val="00AE0109"/>
    <w:rPr>
      <w:rFonts w:ascii="Calibri" w:eastAsia="Times New Roman" w:hAnsi="Calibri" w:cs="Times New Roman"/>
      <w:sz w:val="20"/>
      <w:lang w:eastAsia="en-NZ"/>
    </w:rPr>
  </w:style>
  <w:style w:type="paragraph" w:styleId="TOC3">
    <w:name w:val="toc 3"/>
    <w:basedOn w:val="Normal"/>
    <w:next w:val="Normal"/>
    <w:autoRedefine/>
    <w:uiPriority w:val="39"/>
    <w:semiHidden/>
    <w:rsid w:val="00AE0109"/>
    <w:pPr>
      <w:ind w:left="440"/>
    </w:pPr>
  </w:style>
  <w:style w:type="paragraph" w:styleId="TableofFigures">
    <w:name w:val="table of figures"/>
    <w:basedOn w:val="Normal"/>
    <w:next w:val="Normal"/>
    <w:uiPriority w:val="99"/>
    <w:rsid w:val="00AE0109"/>
    <w:pPr>
      <w:spacing w:before="0"/>
      <w:ind w:left="1134" w:right="567" w:hanging="1134"/>
      <w:jc w:val="left"/>
    </w:pPr>
  </w:style>
  <w:style w:type="paragraph" w:customStyle="1" w:styleId="Sub-listi">
    <w:name w:val="Sub-list i"/>
    <w:aliases w:val="ii"/>
    <w:basedOn w:val="BodyText"/>
    <w:semiHidden/>
    <w:rsid w:val="00840203"/>
    <w:pPr>
      <w:numPr>
        <w:numId w:val="48"/>
      </w:numPr>
      <w:spacing w:before="60" w:after="60"/>
    </w:pPr>
  </w:style>
  <w:style w:type="paragraph" w:customStyle="1" w:styleId="TableBullet">
    <w:name w:val="TableBullet"/>
    <w:basedOn w:val="Normal"/>
    <w:qFormat/>
    <w:rsid w:val="00840203"/>
    <w:pPr>
      <w:numPr>
        <w:numId w:val="49"/>
      </w:numPr>
      <w:spacing w:before="0" w:after="60" w:line="240" w:lineRule="atLeast"/>
      <w:jc w:val="left"/>
    </w:pPr>
    <w:rPr>
      <w:rFonts w:eastAsiaTheme="minorEastAsia" w:cs="Arial"/>
      <w:sz w:val="18"/>
      <w:szCs w:val="16"/>
    </w:rPr>
  </w:style>
  <w:style w:type="paragraph" w:customStyle="1" w:styleId="TableDash">
    <w:name w:val="TableDash"/>
    <w:basedOn w:val="TableBullet"/>
    <w:qFormat/>
    <w:rsid w:val="00840203"/>
    <w:pPr>
      <w:numPr>
        <w:numId w:val="50"/>
      </w:numPr>
    </w:pPr>
  </w:style>
  <w:style w:type="paragraph" w:styleId="ListParagraph">
    <w:name w:val="List Paragraph"/>
    <w:basedOn w:val="Normal"/>
    <w:uiPriority w:val="34"/>
    <w:semiHidden/>
    <w:qFormat/>
    <w:rsid w:val="00AE0109"/>
    <w:pPr>
      <w:spacing w:before="0" w:after="0" w:line="240" w:lineRule="auto"/>
      <w:ind w:left="720"/>
      <w:contextualSpacing/>
    </w:pPr>
    <w:rPr>
      <w:rFonts w:ascii="Times New Roman" w:hAnsi="Times New Roman"/>
      <w:szCs w:val="20"/>
      <w:lang w:eastAsia="en-GB"/>
    </w:rPr>
  </w:style>
  <w:style w:type="paragraph" w:styleId="CommentText">
    <w:name w:val="annotation text"/>
    <w:basedOn w:val="Normal"/>
    <w:link w:val="CommentTextChar"/>
    <w:uiPriority w:val="99"/>
    <w:semiHidden/>
    <w:rsid w:val="00AE0109"/>
    <w:pPr>
      <w:spacing w:line="240" w:lineRule="auto"/>
    </w:pPr>
    <w:rPr>
      <w:sz w:val="20"/>
      <w:szCs w:val="20"/>
    </w:rPr>
  </w:style>
  <w:style w:type="character" w:customStyle="1" w:styleId="CommentTextChar">
    <w:name w:val="Comment Text Char"/>
    <w:basedOn w:val="DefaultParagraphFont"/>
    <w:link w:val="CommentText"/>
    <w:uiPriority w:val="99"/>
    <w:semiHidden/>
    <w:rsid w:val="00835935"/>
    <w:rPr>
      <w:rFonts w:ascii="Calibri" w:eastAsia="Times New Roman" w:hAnsi="Calibri" w:cs="Times New Roman"/>
      <w:sz w:val="20"/>
      <w:szCs w:val="20"/>
      <w:lang w:eastAsia="en-NZ"/>
    </w:rPr>
  </w:style>
  <w:style w:type="paragraph" w:styleId="CommentSubject">
    <w:name w:val="annotation subject"/>
    <w:basedOn w:val="Normal"/>
    <w:link w:val="CommentSubjectChar"/>
    <w:uiPriority w:val="99"/>
    <w:semiHidden/>
    <w:rsid w:val="00AE0109"/>
    <w:rPr>
      <w:b/>
      <w:bCs/>
      <w:sz w:val="20"/>
    </w:rPr>
  </w:style>
  <w:style w:type="character" w:customStyle="1" w:styleId="CommentSubjectChar">
    <w:name w:val="Comment Subject Char"/>
    <w:basedOn w:val="CommentTextChar"/>
    <w:link w:val="CommentSubject"/>
    <w:uiPriority w:val="99"/>
    <w:semiHidden/>
    <w:rsid w:val="00AE0109"/>
    <w:rPr>
      <w:rFonts w:ascii="Calibri" w:eastAsia="Times New Roman" w:hAnsi="Calibri" w:cs="Times New Roman"/>
      <w:b/>
      <w:bCs/>
      <w:sz w:val="20"/>
      <w:szCs w:val="20"/>
      <w:lang w:eastAsia="en-NZ"/>
    </w:rPr>
  </w:style>
  <w:style w:type="paragraph" w:styleId="BalloonText">
    <w:name w:val="Balloon Text"/>
    <w:basedOn w:val="Normal"/>
    <w:link w:val="BalloonTextChar"/>
    <w:semiHidden/>
    <w:unhideWhenUsed/>
    <w:rsid w:val="00AE0109"/>
    <w:rPr>
      <w:rFonts w:ascii="Tahoma" w:hAnsi="Tahoma"/>
      <w:sz w:val="16"/>
      <w:szCs w:val="16"/>
    </w:rPr>
  </w:style>
  <w:style w:type="character" w:customStyle="1" w:styleId="BalloonTextChar">
    <w:name w:val="Balloon Text Char"/>
    <w:basedOn w:val="DefaultParagraphFont"/>
    <w:link w:val="BalloonText"/>
    <w:semiHidden/>
    <w:rsid w:val="00AE0109"/>
    <w:rPr>
      <w:rFonts w:ascii="Tahoma" w:eastAsia="Times New Roman" w:hAnsi="Tahoma" w:cs="Times New Roman"/>
      <w:sz w:val="16"/>
      <w:szCs w:val="16"/>
      <w:lang w:eastAsia="en-NZ"/>
    </w:rPr>
  </w:style>
  <w:style w:type="paragraph" w:styleId="z-BottomofForm">
    <w:name w:val="HTML Bottom of Form"/>
    <w:basedOn w:val="Normal"/>
    <w:next w:val="Normal"/>
    <w:link w:val="z-BottomofFormChar"/>
    <w:hidden/>
    <w:uiPriority w:val="99"/>
    <w:semiHidden/>
    <w:unhideWhenUsed/>
    <w:rsid w:val="00AE0109"/>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basedOn w:val="DefaultParagraphFont"/>
    <w:link w:val="z-BottomofForm"/>
    <w:uiPriority w:val="99"/>
    <w:semiHidden/>
    <w:rsid w:val="00AE0109"/>
    <w:rPr>
      <w:rFonts w:ascii="Arial" w:eastAsia="Calibri" w:hAnsi="Arial" w:cs="Times New Roman"/>
      <w:vanish/>
      <w:sz w:val="16"/>
      <w:szCs w:val="16"/>
      <w:lang w:val="en-US" w:eastAsia="en-NZ"/>
    </w:rPr>
  </w:style>
  <w:style w:type="paragraph" w:styleId="z-TopofForm">
    <w:name w:val="HTML Top of Form"/>
    <w:basedOn w:val="Normal"/>
    <w:next w:val="Normal"/>
    <w:link w:val="z-TopofFormChar"/>
    <w:hidden/>
    <w:uiPriority w:val="99"/>
    <w:semiHidden/>
    <w:unhideWhenUsed/>
    <w:rsid w:val="00AE0109"/>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basedOn w:val="DefaultParagraphFont"/>
    <w:link w:val="z-TopofForm"/>
    <w:uiPriority w:val="99"/>
    <w:semiHidden/>
    <w:rsid w:val="00AE0109"/>
    <w:rPr>
      <w:rFonts w:ascii="Arial" w:eastAsia="Calibri" w:hAnsi="Arial" w:cs="Times New Roman"/>
      <w:vanish/>
      <w:sz w:val="16"/>
      <w:szCs w:val="16"/>
      <w:lang w:val="en-US" w:eastAsia="en-NZ"/>
    </w:rPr>
  </w:style>
  <w:style w:type="table" w:styleId="MediumShading1-Accent2">
    <w:name w:val="Medium Shading 1 Accent 2"/>
    <w:basedOn w:val="TableNormal"/>
    <w:uiPriority w:val="63"/>
    <w:rsid w:val="00AE0109"/>
    <w:pPr>
      <w:spacing w:after="0" w:line="240" w:lineRule="auto"/>
    </w:pPr>
    <w:rPr>
      <w:rFonts w:ascii="Calibri" w:eastAsia="Calibri" w:hAnsi="Calibri" w:cs="Times New Roman"/>
      <w:sz w:val="20"/>
      <w:szCs w:val="20"/>
      <w:lang w:eastAsia="en-NZ"/>
    </w:rPr>
    <w:tblPr>
      <w:tblStyleRowBandSize w:val="1"/>
      <w:tblStyleColBandSize w:val="1"/>
      <w:tblBorders>
        <w:top w:val="single" w:sz="8" w:space="0" w:color="19CCCF"/>
        <w:left w:val="single" w:sz="8" w:space="0" w:color="19CCCF"/>
        <w:bottom w:val="single" w:sz="8" w:space="0" w:color="19CCCF"/>
        <w:right w:val="single" w:sz="8" w:space="0" w:color="19CCCF"/>
        <w:insideH w:val="single" w:sz="8" w:space="0" w:color="19CCCF"/>
      </w:tblBorders>
    </w:tblPr>
    <w:tblStylePr w:type="firstRow">
      <w:pPr>
        <w:spacing w:before="0" w:after="0" w:line="240" w:lineRule="auto"/>
      </w:pPr>
      <w:rPr>
        <w:b/>
        <w:bCs/>
        <w:color w:val="FFFFFF"/>
      </w:rPr>
      <w:tblPr/>
      <w:tcPr>
        <w:tcBorders>
          <w:top w:val="single" w:sz="8" w:space="0" w:color="19CCCF"/>
          <w:left w:val="single" w:sz="8" w:space="0" w:color="19CCCF"/>
          <w:bottom w:val="single" w:sz="8" w:space="0" w:color="19CCCF"/>
          <w:right w:val="single" w:sz="8" w:space="0" w:color="19CCCF"/>
          <w:insideH w:val="nil"/>
          <w:insideV w:val="nil"/>
        </w:tcBorders>
        <w:shd w:val="clear" w:color="auto" w:fill="0F7B7D"/>
      </w:tcPr>
    </w:tblStylePr>
    <w:tblStylePr w:type="lastRow">
      <w:pPr>
        <w:spacing w:before="0" w:after="0" w:line="240" w:lineRule="auto"/>
      </w:pPr>
      <w:rPr>
        <w:b/>
        <w:bCs/>
      </w:rPr>
      <w:tblPr/>
      <w:tcPr>
        <w:tcBorders>
          <w:top w:val="double" w:sz="6" w:space="0" w:color="19CCCF"/>
          <w:left w:val="single" w:sz="8" w:space="0" w:color="19CCCF"/>
          <w:bottom w:val="single" w:sz="8" w:space="0" w:color="19CCCF"/>
          <w:right w:val="single" w:sz="8" w:space="0" w:color="19CCCF"/>
          <w:insideH w:val="nil"/>
          <w:insideV w:val="nil"/>
        </w:tcBorders>
      </w:tcPr>
    </w:tblStylePr>
    <w:tblStylePr w:type="firstCol">
      <w:rPr>
        <w:b/>
        <w:bCs/>
      </w:rPr>
    </w:tblStylePr>
    <w:tblStylePr w:type="lastCol">
      <w:rPr>
        <w:b/>
        <w:bCs/>
      </w:rPr>
    </w:tblStylePr>
    <w:tblStylePr w:type="band1Vert">
      <w:tblPr/>
      <w:tcPr>
        <w:shd w:val="clear" w:color="auto" w:fill="ADF3F5"/>
      </w:tcPr>
    </w:tblStylePr>
    <w:tblStylePr w:type="band1Horz">
      <w:tblPr/>
      <w:tcPr>
        <w:tcBorders>
          <w:insideH w:val="nil"/>
          <w:insideV w:val="nil"/>
        </w:tcBorders>
        <w:shd w:val="clear" w:color="auto" w:fill="ADF3F5"/>
      </w:tcPr>
    </w:tblStylePr>
    <w:tblStylePr w:type="band2Horz">
      <w:tblPr/>
      <w:tcPr>
        <w:tcBorders>
          <w:insideH w:val="nil"/>
          <w:insideV w:val="nil"/>
        </w:tcBorders>
      </w:tcPr>
    </w:tblStylePr>
  </w:style>
  <w:style w:type="table" w:styleId="LightList-Accent5">
    <w:name w:val="Light List Accent 5"/>
    <w:basedOn w:val="TableNormal"/>
    <w:uiPriority w:val="61"/>
    <w:rsid w:val="00AE0109"/>
    <w:pPr>
      <w:spacing w:after="0" w:line="240" w:lineRule="auto"/>
    </w:pPr>
    <w:rPr>
      <w:rFonts w:ascii="Calibri" w:eastAsia="Calibri" w:hAnsi="Calibri" w:cs="Times New Roman"/>
      <w:sz w:val="20"/>
      <w:szCs w:val="20"/>
      <w:lang w:eastAsia="en-NZ"/>
    </w:rPr>
    <w:tblPr>
      <w:tblStyleRowBandSize w:val="1"/>
      <w:tblStyleColBandSize w:val="1"/>
      <w:tblBorders>
        <w:top w:val="single" w:sz="8" w:space="0" w:color="6FC7B7"/>
        <w:left w:val="single" w:sz="8" w:space="0" w:color="6FC7B7"/>
        <w:bottom w:val="single" w:sz="8" w:space="0" w:color="6FC7B7"/>
        <w:right w:val="single" w:sz="8" w:space="0" w:color="6FC7B7"/>
      </w:tblBorders>
    </w:tblPr>
    <w:tblStylePr w:type="firstRow">
      <w:pPr>
        <w:spacing w:before="0" w:after="0" w:line="240" w:lineRule="auto"/>
      </w:pPr>
      <w:rPr>
        <w:b/>
        <w:bCs/>
        <w:color w:val="FFFFFF"/>
      </w:rPr>
      <w:tblPr/>
      <w:tcPr>
        <w:shd w:val="clear" w:color="auto" w:fill="6FC7B7"/>
      </w:tcPr>
    </w:tblStylePr>
    <w:tblStylePr w:type="lastRow">
      <w:pPr>
        <w:spacing w:before="0" w:after="0" w:line="240" w:lineRule="auto"/>
      </w:pPr>
      <w:rPr>
        <w:b/>
        <w:bCs/>
      </w:rPr>
      <w:tblPr/>
      <w:tcPr>
        <w:tcBorders>
          <w:top w:val="double" w:sz="6" w:space="0" w:color="6FC7B7"/>
          <w:left w:val="single" w:sz="8" w:space="0" w:color="6FC7B7"/>
          <w:bottom w:val="single" w:sz="8" w:space="0" w:color="6FC7B7"/>
          <w:right w:val="single" w:sz="8" w:space="0" w:color="6FC7B7"/>
        </w:tcBorders>
      </w:tcPr>
    </w:tblStylePr>
    <w:tblStylePr w:type="firstCol">
      <w:rPr>
        <w:b/>
        <w:bCs/>
      </w:rPr>
    </w:tblStylePr>
    <w:tblStylePr w:type="lastCol">
      <w:rPr>
        <w:b/>
        <w:bCs/>
      </w:rPr>
    </w:tblStylePr>
    <w:tblStylePr w:type="band1Vert">
      <w:tblPr/>
      <w:tcPr>
        <w:tcBorders>
          <w:top w:val="single" w:sz="8" w:space="0" w:color="6FC7B7"/>
          <w:left w:val="single" w:sz="8" w:space="0" w:color="6FC7B7"/>
          <w:bottom w:val="single" w:sz="8" w:space="0" w:color="6FC7B7"/>
          <w:right w:val="single" w:sz="8" w:space="0" w:color="6FC7B7"/>
        </w:tcBorders>
      </w:tcPr>
    </w:tblStylePr>
    <w:tblStylePr w:type="band1Horz">
      <w:tblPr/>
      <w:tcPr>
        <w:tcBorders>
          <w:top w:val="single" w:sz="8" w:space="0" w:color="6FC7B7"/>
          <w:left w:val="single" w:sz="8" w:space="0" w:color="6FC7B7"/>
          <w:bottom w:val="single" w:sz="8" w:space="0" w:color="6FC7B7"/>
          <w:right w:val="single" w:sz="8" w:space="0" w:color="6FC7B7"/>
        </w:tcBorders>
      </w:tcPr>
    </w:tblStylePr>
  </w:style>
  <w:style w:type="table" w:styleId="LightGrid-Accent5">
    <w:name w:val="Light Grid Accent 5"/>
    <w:basedOn w:val="TableNormal"/>
    <w:uiPriority w:val="62"/>
    <w:rsid w:val="00AE0109"/>
    <w:pPr>
      <w:spacing w:after="0" w:line="240" w:lineRule="auto"/>
    </w:pPr>
    <w:rPr>
      <w:rFonts w:ascii="Calibri" w:eastAsia="Calibri" w:hAnsi="Calibri" w:cs="Times New Roman"/>
      <w:sz w:val="20"/>
      <w:szCs w:val="20"/>
      <w:lang w:eastAsia="en-NZ"/>
    </w:rPr>
    <w:tblPr>
      <w:tblStyleRowBandSize w:val="1"/>
      <w:tblStyleColBandSize w:val="1"/>
      <w:tblBorders>
        <w:top w:val="single" w:sz="8" w:space="0" w:color="6FC7B7"/>
        <w:left w:val="single" w:sz="8" w:space="0" w:color="6FC7B7"/>
        <w:bottom w:val="single" w:sz="8" w:space="0" w:color="6FC7B7"/>
        <w:right w:val="single" w:sz="8" w:space="0" w:color="6FC7B7"/>
        <w:insideH w:val="single" w:sz="8" w:space="0" w:color="6FC7B7"/>
        <w:insideV w:val="single" w:sz="8" w:space="0" w:color="6FC7B7"/>
      </w:tblBorders>
    </w:tblPr>
    <w:tblStylePr w:type="firstRow">
      <w:pPr>
        <w:spacing w:before="0" w:after="0" w:line="240" w:lineRule="auto"/>
      </w:pPr>
      <w:rPr>
        <w:rFonts w:ascii="@Yu Gothic UI Semilight" w:eastAsia="Times New Roman" w:hAnsi="@Yu Gothic UI Semilight" w:cs="Times New Roman"/>
        <w:b/>
        <w:bCs/>
      </w:rPr>
      <w:tblPr/>
      <w:tcPr>
        <w:tcBorders>
          <w:top w:val="single" w:sz="8" w:space="0" w:color="6FC7B7"/>
          <w:left w:val="single" w:sz="8" w:space="0" w:color="6FC7B7"/>
          <w:bottom w:val="single" w:sz="18" w:space="0" w:color="6FC7B7"/>
          <w:right w:val="single" w:sz="8" w:space="0" w:color="6FC7B7"/>
          <w:insideH w:val="nil"/>
          <w:insideV w:val="single" w:sz="8" w:space="0" w:color="6FC7B7"/>
        </w:tcBorders>
      </w:tcPr>
    </w:tblStylePr>
    <w:tblStylePr w:type="lastRow">
      <w:pPr>
        <w:spacing w:before="0" w:after="0" w:line="240" w:lineRule="auto"/>
      </w:pPr>
      <w:rPr>
        <w:rFonts w:ascii="@Yu Gothic UI Semilight" w:eastAsia="Times New Roman" w:hAnsi="@Yu Gothic UI Semilight" w:cs="Times New Roman"/>
        <w:b/>
        <w:bCs/>
      </w:rPr>
      <w:tblPr/>
      <w:tcPr>
        <w:tcBorders>
          <w:top w:val="double" w:sz="6" w:space="0" w:color="6FC7B7"/>
          <w:left w:val="single" w:sz="8" w:space="0" w:color="6FC7B7"/>
          <w:bottom w:val="single" w:sz="8" w:space="0" w:color="6FC7B7"/>
          <w:right w:val="single" w:sz="8" w:space="0" w:color="6FC7B7"/>
          <w:insideH w:val="nil"/>
          <w:insideV w:val="single" w:sz="8" w:space="0" w:color="6FC7B7"/>
        </w:tcBorders>
      </w:tcPr>
    </w:tblStylePr>
    <w:tblStylePr w:type="firstCol">
      <w:rPr>
        <w:rFonts w:ascii="@Yu Gothic UI Semilight" w:eastAsia="Times New Roman" w:hAnsi="@Yu Gothic UI Semilight" w:cs="Times New Roman"/>
        <w:b/>
        <w:bCs/>
      </w:rPr>
    </w:tblStylePr>
    <w:tblStylePr w:type="lastCol">
      <w:rPr>
        <w:rFonts w:ascii="@Yu Gothic UI Semilight" w:eastAsia="Times New Roman" w:hAnsi="@Yu Gothic UI Semilight" w:cs="Times New Roman"/>
        <w:b/>
        <w:bCs/>
      </w:rPr>
      <w:tblPr/>
      <w:tcPr>
        <w:tcBorders>
          <w:top w:val="single" w:sz="8" w:space="0" w:color="6FC7B7"/>
          <w:left w:val="single" w:sz="8" w:space="0" w:color="6FC7B7"/>
          <w:bottom w:val="single" w:sz="8" w:space="0" w:color="6FC7B7"/>
          <w:right w:val="single" w:sz="8" w:space="0" w:color="6FC7B7"/>
        </w:tcBorders>
      </w:tcPr>
    </w:tblStylePr>
    <w:tblStylePr w:type="band1Vert">
      <w:tblPr/>
      <w:tcPr>
        <w:tcBorders>
          <w:top w:val="single" w:sz="8" w:space="0" w:color="6FC7B7"/>
          <w:left w:val="single" w:sz="8" w:space="0" w:color="6FC7B7"/>
          <w:bottom w:val="single" w:sz="8" w:space="0" w:color="6FC7B7"/>
          <w:right w:val="single" w:sz="8" w:space="0" w:color="6FC7B7"/>
        </w:tcBorders>
        <w:shd w:val="clear" w:color="auto" w:fill="DBF1ED"/>
      </w:tcPr>
    </w:tblStylePr>
    <w:tblStylePr w:type="band1Horz">
      <w:tblPr/>
      <w:tcPr>
        <w:tcBorders>
          <w:top w:val="single" w:sz="8" w:space="0" w:color="6FC7B7"/>
          <w:left w:val="single" w:sz="8" w:space="0" w:color="6FC7B7"/>
          <w:bottom w:val="single" w:sz="8" w:space="0" w:color="6FC7B7"/>
          <w:right w:val="single" w:sz="8" w:space="0" w:color="6FC7B7"/>
          <w:insideV w:val="single" w:sz="8" w:space="0" w:color="6FC7B7"/>
        </w:tcBorders>
        <w:shd w:val="clear" w:color="auto" w:fill="DBF1ED"/>
      </w:tcPr>
    </w:tblStylePr>
    <w:tblStylePr w:type="band2Horz">
      <w:tblPr/>
      <w:tcPr>
        <w:tcBorders>
          <w:top w:val="single" w:sz="8" w:space="0" w:color="6FC7B7"/>
          <w:left w:val="single" w:sz="8" w:space="0" w:color="6FC7B7"/>
          <w:bottom w:val="single" w:sz="8" w:space="0" w:color="6FC7B7"/>
          <w:right w:val="single" w:sz="8" w:space="0" w:color="6FC7B7"/>
          <w:insideV w:val="single" w:sz="8" w:space="0" w:color="6FC7B7"/>
        </w:tcBorders>
      </w:tcPr>
    </w:tblStylePr>
  </w:style>
  <w:style w:type="table" w:customStyle="1" w:styleId="LightGrid-Accent11">
    <w:name w:val="Light Grid - Accent 11"/>
    <w:basedOn w:val="TableNormal"/>
    <w:uiPriority w:val="62"/>
    <w:rsid w:val="00AE0109"/>
    <w:pPr>
      <w:spacing w:after="0" w:line="240" w:lineRule="auto"/>
    </w:pPr>
    <w:rPr>
      <w:rFonts w:ascii="Calibri" w:eastAsia="Calibri" w:hAnsi="Calibri" w:cs="Times New Roman"/>
      <w:sz w:val="20"/>
      <w:szCs w:val="20"/>
      <w:lang w:eastAsia="en-NZ"/>
    </w:rPr>
    <w:tblPr>
      <w:tblStyleRowBandSize w:val="1"/>
      <w:tblStyleColBandSize w:val="1"/>
      <w:tblBorders>
        <w:top w:val="single" w:sz="8" w:space="0" w:color="1C556C"/>
        <w:left w:val="single" w:sz="8" w:space="0" w:color="1C556C"/>
        <w:bottom w:val="single" w:sz="8" w:space="0" w:color="1C556C"/>
        <w:right w:val="single" w:sz="8" w:space="0" w:color="1C556C"/>
        <w:insideH w:val="single" w:sz="8" w:space="0" w:color="1C556C"/>
        <w:insideV w:val="single" w:sz="8" w:space="0" w:color="1C556C"/>
      </w:tblBorders>
    </w:tblPr>
    <w:tblStylePr w:type="firstRow">
      <w:pPr>
        <w:spacing w:before="0" w:after="0" w:line="240" w:lineRule="auto"/>
      </w:pPr>
      <w:rPr>
        <w:rFonts w:ascii="@Yu Gothic UI Semilight" w:eastAsia="Times New Roman" w:hAnsi="@Yu Gothic UI Semilight" w:cs="Times New Roman"/>
        <w:b/>
        <w:bCs/>
      </w:rPr>
      <w:tblPr/>
      <w:tcPr>
        <w:tcBorders>
          <w:top w:val="single" w:sz="8" w:space="0" w:color="1C556C"/>
          <w:left w:val="single" w:sz="8" w:space="0" w:color="1C556C"/>
          <w:bottom w:val="single" w:sz="18" w:space="0" w:color="1C556C"/>
          <w:right w:val="single" w:sz="8" w:space="0" w:color="1C556C"/>
          <w:insideH w:val="nil"/>
          <w:insideV w:val="single" w:sz="8" w:space="0" w:color="1C556C"/>
        </w:tcBorders>
      </w:tcPr>
    </w:tblStylePr>
    <w:tblStylePr w:type="lastRow">
      <w:pPr>
        <w:spacing w:before="0" w:after="0" w:line="240" w:lineRule="auto"/>
      </w:pPr>
      <w:rPr>
        <w:rFonts w:ascii="@Yu Gothic UI Semilight" w:eastAsia="Times New Roman" w:hAnsi="@Yu Gothic UI Semilight" w:cs="Times New Roman"/>
        <w:b/>
        <w:bCs/>
      </w:rPr>
      <w:tblPr/>
      <w:tcPr>
        <w:tcBorders>
          <w:top w:val="double" w:sz="6" w:space="0" w:color="1C556C"/>
          <w:left w:val="single" w:sz="8" w:space="0" w:color="1C556C"/>
          <w:bottom w:val="single" w:sz="8" w:space="0" w:color="1C556C"/>
          <w:right w:val="single" w:sz="8" w:space="0" w:color="1C556C"/>
          <w:insideH w:val="nil"/>
          <w:insideV w:val="single" w:sz="8" w:space="0" w:color="1C556C"/>
        </w:tcBorders>
      </w:tcPr>
    </w:tblStylePr>
    <w:tblStylePr w:type="firstCol">
      <w:rPr>
        <w:rFonts w:ascii="@Yu Gothic UI Semilight" w:eastAsia="Times New Roman" w:hAnsi="@Yu Gothic UI Semilight" w:cs="Times New Roman"/>
        <w:b/>
        <w:bCs/>
      </w:rPr>
    </w:tblStylePr>
    <w:tblStylePr w:type="lastCol">
      <w:rPr>
        <w:rFonts w:ascii="@Yu Gothic UI Semilight" w:eastAsia="Times New Roman" w:hAnsi="@Yu Gothic UI Semilight" w:cs="Times New Roman"/>
        <w:b/>
        <w:bCs/>
      </w:rPr>
      <w:tblPr/>
      <w:tcPr>
        <w:tcBorders>
          <w:top w:val="single" w:sz="8" w:space="0" w:color="1C556C"/>
          <w:left w:val="single" w:sz="8" w:space="0" w:color="1C556C"/>
          <w:bottom w:val="single" w:sz="8" w:space="0" w:color="1C556C"/>
          <w:right w:val="single" w:sz="8" w:space="0" w:color="1C556C"/>
        </w:tcBorders>
      </w:tcPr>
    </w:tblStylePr>
    <w:tblStylePr w:type="band1Vert">
      <w:tblPr/>
      <w:tcPr>
        <w:tcBorders>
          <w:top w:val="single" w:sz="8" w:space="0" w:color="1C556C"/>
          <w:left w:val="single" w:sz="8" w:space="0" w:color="1C556C"/>
          <w:bottom w:val="single" w:sz="8" w:space="0" w:color="1C556C"/>
          <w:right w:val="single" w:sz="8" w:space="0" w:color="1C556C"/>
        </w:tcBorders>
        <w:shd w:val="clear" w:color="auto" w:fill="B5DCEC"/>
      </w:tcPr>
    </w:tblStylePr>
    <w:tblStylePr w:type="band1Horz">
      <w:tblPr/>
      <w:tcPr>
        <w:tcBorders>
          <w:top w:val="single" w:sz="8" w:space="0" w:color="1C556C"/>
          <w:left w:val="single" w:sz="8" w:space="0" w:color="1C556C"/>
          <w:bottom w:val="single" w:sz="8" w:space="0" w:color="1C556C"/>
          <w:right w:val="single" w:sz="8" w:space="0" w:color="1C556C"/>
          <w:insideV w:val="single" w:sz="8" w:space="0" w:color="1C556C"/>
        </w:tcBorders>
        <w:shd w:val="clear" w:color="auto" w:fill="B5DCEC"/>
      </w:tcPr>
    </w:tblStylePr>
    <w:tblStylePr w:type="band2Horz">
      <w:tblPr/>
      <w:tcPr>
        <w:tcBorders>
          <w:top w:val="single" w:sz="8" w:space="0" w:color="1C556C"/>
          <w:left w:val="single" w:sz="8" w:space="0" w:color="1C556C"/>
          <w:bottom w:val="single" w:sz="8" w:space="0" w:color="1C556C"/>
          <w:right w:val="single" w:sz="8" w:space="0" w:color="1C556C"/>
          <w:insideV w:val="single" w:sz="8" w:space="0" w:color="1C556C"/>
        </w:tcBorders>
      </w:tcPr>
    </w:tblStylePr>
  </w:style>
  <w:style w:type="table" w:customStyle="1" w:styleId="LightShading-Accent11">
    <w:name w:val="Light Shading - Accent 11"/>
    <w:basedOn w:val="TableNormal"/>
    <w:uiPriority w:val="60"/>
    <w:rsid w:val="00AE0109"/>
    <w:pPr>
      <w:spacing w:after="0" w:line="240" w:lineRule="auto"/>
    </w:pPr>
    <w:rPr>
      <w:rFonts w:ascii="Calibri" w:eastAsia="Calibri" w:hAnsi="Calibri" w:cs="Times New Roman"/>
      <w:color w:val="153F50"/>
      <w:sz w:val="20"/>
      <w:szCs w:val="20"/>
      <w:lang w:eastAsia="en-NZ"/>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table" w:customStyle="1" w:styleId="LightList-Accent11">
    <w:name w:val="Light List - Accent 11"/>
    <w:basedOn w:val="TableNormal"/>
    <w:uiPriority w:val="61"/>
    <w:rsid w:val="00AE0109"/>
    <w:pPr>
      <w:spacing w:after="0" w:line="240" w:lineRule="auto"/>
    </w:pPr>
    <w:rPr>
      <w:rFonts w:ascii="Calibri" w:eastAsia="Calibri" w:hAnsi="Calibri" w:cs="Times New Roman"/>
      <w:sz w:val="20"/>
      <w:szCs w:val="20"/>
      <w:lang w:eastAsia="en-NZ"/>
    </w:rPr>
    <w:tblPr>
      <w:tblStyleRowBandSize w:val="1"/>
      <w:tblStyleColBandSize w:val="1"/>
      <w:tblBorders>
        <w:top w:val="single" w:sz="8" w:space="0" w:color="1C556C"/>
        <w:left w:val="single" w:sz="8" w:space="0" w:color="1C556C"/>
        <w:bottom w:val="single" w:sz="8" w:space="0" w:color="1C556C"/>
        <w:right w:val="single" w:sz="8" w:space="0" w:color="1C556C"/>
      </w:tblBorders>
    </w:tblPr>
    <w:tblStylePr w:type="firstRow">
      <w:pPr>
        <w:spacing w:before="0" w:after="0" w:line="240" w:lineRule="auto"/>
      </w:pPr>
      <w:rPr>
        <w:b/>
        <w:bCs/>
        <w:color w:val="FFFFFF"/>
      </w:rPr>
      <w:tblPr/>
      <w:tcPr>
        <w:shd w:val="clear" w:color="auto" w:fill="1C556C"/>
      </w:tcPr>
    </w:tblStylePr>
    <w:tblStylePr w:type="lastRow">
      <w:pPr>
        <w:spacing w:before="0" w:after="0" w:line="240" w:lineRule="auto"/>
      </w:pPr>
      <w:rPr>
        <w:b/>
        <w:bCs/>
      </w:rPr>
      <w:tblPr/>
      <w:tcPr>
        <w:tcBorders>
          <w:top w:val="double" w:sz="6" w:space="0" w:color="1C556C"/>
          <w:left w:val="single" w:sz="8" w:space="0" w:color="1C556C"/>
          <w:bottom w:val="single" w:sz="8" w:space="0" w:color="1C556C"/>
          <w:right w:val="single" w:sz="8" w:space="0" w:color="1C556C"/>
        </w:tcBorders>
      </w:tcPr>
    </w:tblStylePr>
    <w:tblStylePr w:type="firstCol">
      <w:rPr>
        <w:b/>
        <w:bCs/>
      </w:rPr>
    </w:tblStylePr>
    <w:tblStylePr w:type="lastCol">
      <w:rPr>
        <w:b/>
        <w:bCs/>
      </w:rPr>
    </w:tblStylePr>
    <w:tblStylePr w:type="band1Vert">
      <w:tblPr/>
      <w:tcPr>
        <w:tcBorders>
          <w:top w:val="single" w:sz="8" w:space="0" w:color="1C556C"/>
          <w:left w:val="single" w:sz="8" w:space="0" w:color="1C556C"/>
          <w:bottom w:val="single" w:sz="8" w:space="0" w:color="1C556C"/>
          <w:right w:val="single" w:sz="8" w:space="0" w:color="1C556C"/>
        </w:tcBorders>
      </w:tcPr>
    </w:tblStylePr>
    <w:tblStylePr w:type="band1Horz">
      <w:tblPr/>
      <w:tcPr>
        <w:tcBorders>
          <w:top w:val="single" w:sz="8" w:space="0" w:color="1C556C"/>
          <w:left w:val="single" w:sz="8" w:space="0" w:color="1C556C"/>
          <w:bottom w:val="single" w:sz="8" w:space="0" w:color="1C556C"/>
          <w:right w:val="single" w:sz="8" w:space="0" w:color="1C556C"/>
        </w:tcBorders>
      </w:tcPr>
    </w:tblStylePr>
  </w:style>
  <w:style w:type="character" w:styleId="CommentReference">
    <w:name w:val="annotation reference"/>
    <w:uiPriority w:val="99"/>
    <w:semiHidden/>
    <w:rsid w:val="00AE0109"/>
    <w:rPr>
      <w:sz w:val="16"/>
      <w:szCs w:val="16"/>
    </w:rPr>
  </w:style>
  <w:style w:type="paragraph" w:styleId="Revision">
    <w:name w:val="Revision"/>
    <w:hidden/>
    <w:uiPriority w:val="99"/>
    <w:semiHidden/>
    <w:rsid w:val="00AE0109"/>
    <w:pPr>
      <w:spacing w:after="0" w:line="240" w:lineRule="auto"/>
    </w:pPr>
    <w:rPr>
      <w:rFonts w:ascii="Times New Roman" w:eastAsia="Times New Roman" w:hAnsi="Times New Roman" w:cs="Times New Roman"/>
      <w:szCs w:val="20"/>
    </w:rPr>
  </w:style>
  <w:style w:type="character" w:styleId="Strong">
    <w:name w:val="Strong"/>
    <w:uiPriority w:val="22"/>
    <w:semiHidden/>
    <w:qFormat/>
    <w:rsid w:val="00AE0109"/>
    <w:rPr>
      <w:b/>
      <w:bCs/>
    </w:rPr>
  </w:style>
  <w:style w:type="paragraph" w:customStyle="1" w:styleId="Boxa">
    <w:name w:val="Box a"/>
    <w:aliases w:val="b list"/>
    <w:basedOn w:val="Sub-listi"/>
    <w:semiHidden/>
    <w:qFormat/>
    <w:rsid w:val="00AE0109"/>
    <w:pPr>
      <w:numPr>
        <w:ilvl w:val="1"/>
        <w:numId w:val="9"/>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uiPriority w:val="99"/>
    <w:semiHidden/>
    <w:unhideWhenUsed/>
    <w:rsid w:val="00AE0109"/>
    <w:rPr>
      <w:vertAlign w:val="superscript"/>
    </w:rPr>
  </w:style>
  <w:style w:type="character" w:styleId="FollowedHyperlink">
    <w:name w:val="FollowedHyperlink"/>
    <w:basedOn w:val="DefaultParagraphFont"/>
    <w:uiPriority w:val="99"/>
    <w:semiHidden/>
    <w:rsid w:val="00840203"/>
    <w:rPr>
      <w:color w:val="800080" w:themeColor="followedHyperlink"/>
      <w:u w:val="none"/>
    </w:rPr>
  </w:style>
  <w:style w:type="paragraph" w:customStyle="1" w:styleId="BoxBullet0">
    <w:name w:val="Box Bullet"/>
    <w:basedOn w:val="Box"/>
    <w:semiHidden/>
    <w:rsid w:val="00AE0109"/>
    <w:pPr>
      <w:pBdr>
        <w:top w:val="single" w:sz="6" w:space="15" w:color="auto"/>
        <w:left w:val="single" w:sz="6" w:space="15" w:color="auto"/>
        <w:bottom w:val="single" w:sz="6" w:space="15" w:color="auto"/>
        <w:right w:val="single" w:sz="6" w:space="15" w:color="auto"/>
      </w:pBdr>
      <w:shd w:val="clear" w:color="auto" w:fill="auto"/>
      <w:tabs>
        <w:tab w:val="num" w:pos="851"/>
      </w:tabs>
      <w:spacing w:after="0" w:line="240" w:lineRule="auto"/>
      <w:ind w:left="851" w:hanging="567"/>
    </w:pPr>
    <w:rPr>
      <w:rFonts w:ascii="Arial" w:hAnsi="Arial"/>
      <w:color w:val="auto"/>
      <w:szCs w:val="20"/>
      <w:lang w:eastAsia="en-GB"/>
    </w:rPr>
  </w:style>
  <w:style w:type="paragraph" w:customStyle="1" w:styleId="BoxHeading0">
    <w:name w:val="BoxHeading"/>
    <w:basedOn w:val="Box"/>
    <w:next w:val="Box"/>
    <w:semiHidden/>
    <w:rsid w:val="00AE0109"/>
    <w:pPr>
      <w:pBdr>
        <w:top w:val="single" w:sz="6" w:space="15" w:color="auto"/>
        <w:left w:val="single" w:sz="6" w:space="15" w:color="auto"/>
        <w:bottom w:val="single" w:sz="6" w:space="15" w:color="auto"/>
        <w:right w:val="single" w:sz="6" w:space="15" w:color="auto"/>
      </w:pBdr>
      <w:shd w:val="clear" w:color="auto" w:fill="auto"/>
      <w:spacing w:before="0" w:after="240" w:line="240" w:lineRule="auto"/>
      <w:jc w:val="both"/>
    </w:pPr>
    <w:rPr>
      <w:rFonts w:ascii="Arial" w:hAnsi="Arial"/>
      <w:b/>
      <w:color w:val="auto"/>
      <w:sz w:val="22"/>
      <w:szCs w:val="20"/>
      <w:lang w:eastAsia="en-GB"/>
    </w:rPr>
  </w:style>
  <w:style w:type="paragraph" w:styleId="TOC4">
    <w:name w:val="toc 4"/>
    <w:basedOn w:val="Normal"/>
    <w:next w:val="Normal"/>
    <w:semiHidden/>
    <w:rsid w:val="00AE0109"/>
    <w:pPr>
      <w:tabs>
        <w:tab w:val="right" w:pos="8505"/>
      </w:tabs>
      <w:spacing w:before="180" w:after="0" w:line="240" w:lineRule="auto"/>
      <w:ind w:left="1134" w:right="567" w:hanging="1134"/>
      <w:jc w:val="left"/>
    </w:pPr>
    <w:rPr>
      <w:rFonts w:ascii="Arial" w:hAnsi="Arial"/>
      <w:sz w:val="20"/>
      <w:szCs w:val="20"/>
      <w:lang w:eastAsia="en-GB"/>
    </w:rPr>
  </w:style>
  <w:style w:type="paragraph" w:styleId="Caption">
    <w:name w:val="caption"/>
    <w:basedOn w:val="Normal"/>
    <w:next w:val="Normal"/>
    <w:uiPriority w:val="35"/>
    <w:semiHidden/>
    <w:qFormat/>
    <w:rsid w:val="00AE0109"/>
    <w:pPr>
      <w:spacing w:before="0" w:after="200" w:line="240" w:lineRule="auto"/>
    </w:pPr>
    <w:rPr>
      <w:rFonts w:ascii="Times New Roman" w:hAnsi="Times New Roman"/>
      <w:b/>
      <w:bCs/>
      <w:color w:val="1C556C"/>
      <w:sz w:val="18"/>
      <w:szCs w:val="18"/>
      <w:lang w:eastAsia="en-US"/>
    </w:rPr>
  </w:style>
  <w:style w:type="character" w:customStyle="1" w:styleId="BulletChar">
    <w:name w:val="Bullet Char"/>
    <w:basedOn w:val="DefaultParagraphFont"/>
    <w:link w:val="Bullet"/>
    <w:locked/>
    <w:rsid w:val="00840203"/>
    <w:rPr>
      <w:rFonts w:ascii="Calibri" w:eastAsia="Times New Roman" w:hAnsi="Calibri" w:cs="Times New Roman"/>
      <w:szCs w:val="20"/>
      <w:lang w:eastAsia="en-NZ"/>
    </w:rPr>
  </w:style>
  <w:style w:type="paragraph" w:customStyle="1" w:styleId="Casestudyheading">
    <w:name w:val="Case study heading"/>
    <w:basedOn w:val="BodyText"/>
    <w:uiPriority w:val="1"/>
    <w:semiHidden/>
    <w:qFormat/>
    <w:rsid w:val="00AE0109"/>
    <w:pPr>
      <w:keepNext/>
      <w:spacing w:line="240" w:lineRule="auto"/>
      <w:ind w:left="284"/>
    </w:pPr>
    <w:rPr>
      <w:b/>
      <w:caps/>
      <w:color w:val="FFFFFF"/>
    </w:rPr>
  </w:style>
  <w:style w:type="table" w:styleId="LightShading-Accent1">
    <w:name w:val="Light Shading Accent 1"/>
    <w:basedOn w:val="TableNormal"/>
    <w:uiPriority w:val="60"/>
    <w:rsid w:val="00AE0109"/>
    <w:pPr>
      <w:spacing w:after="0" w:line="240" w:lineRule="auto"/>
    </w:pPr>
    <w:rPr>
      <w:rFonts w:ascii="Calibri" w:eastAsia="Times New Roman" w:hAnsi="Calibri" w:cs="Times New Roman"/>
      <w:color w:val="153F50"/>
      <w:sz w:val="20"/>
      <w:szCs w:val="20"/>
      <w:lang w:val="en-US" w:eastAsia="en-NZ"/>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table" w:styleId="LightList-Accent3">
    <w:name w:val="Light List Accent 3"/>
    <w:basedOn w:val="TableNormal"/>
    <w:uiPriority w:val="61"/>
    <w:rsid w:val="00AE0109"/>
    <w:pPr>
      <w:spacing w:after="0" w:line="240" w:lineRule="auto"/>
    </w:pPr>
    <w:rPr>
      <w:rFonts w:ascii="Calibri" w:eastAsia="Times New Roman" w:hAnsi="Calibri" w:cs="Times New Roman"/>
      <w:sz w:val="20"/>
      <w:szCs w:val="20"/>
      <w:lang w:val="en-US" w:eastAsia="en-NZ"/>
    </w:rPr>
    <w:tblPr>
      <w:tblStyleRowBandSize w:val="1"/>
      <w:tblStyleColBandSize w:val="1"/>
      <w:tblBorders>
        <w:top w:val="single" w:sz="8" w:space="0" w:color="D2DDE2"/>
        <w:left w:val="single" w:sz="8" w:space="0" w:color="D2DDE2"/>
        <w:bottom w:val="single" w:sz="8" w:space="0" w:color="D2DDE2"/>
        <w:right w:val="single" w:sz="8" w:space="0" w:color="D2DDE2"/>
      </w:tblBorders>
    </w:tblPr>
    <w:tblStylePr w:type="firstRow">
      <w:pPr>
        <w:spacing w:before="0" w:after="0" w:line="240" w:lineRule="auto"/>
      </w:pPr>
      <w:rPr>
        <w:b/>
        <w:bCs/>
        <w:color w:val="FFFFFF"/>
      </w:rPr>
      <w:tblPr/>
      <w:tcPr>
        <w:shd w:val="clear" w:color="auto" w:fill="D2DDE2"/>
      </w:tcPr>
    </w:tblStylePr>
    <w:tblStylePr w:type="lastRow">
      <w:pPr>
        <w:spacing w:before="0" w:after="0" w:line="240" w:lineRule="auto"/>
      </w:pPr>
      <w:rPr>
        <w:b/>
        <w:bCs/>
      </w:rPr>
      <w:tblPr/>
      <w:tcPr>
        <w:tcBorders>
          <w:top w:val="double" w:sz="6" w:space="0" w:color="D2DDE2"/>
          <w:left w:val="single" w:sz="8" w:space="0" w:color="D2DDE2"/>
          <w:bottom w:val="single" w:sz="8" w:space="0" w:color="D2DDE2"/>
          <w:right w:val="single" w:sz="8" w:space="0" w:color="D2DDE2"/>
        </w:tcBorders>
      </w:tcPr>
    </w:tblStylePr>
    <w:tblStylePr w:type="firstCol">
      <w:rPr>
        <w:b/>
        <w:bCs/>
      </w:rPr>
    </w:tblStylePr>
    <w:tblStylePr w:type="lastCol">
      <w:rPr>
        <w:b/>
        <w:bCs/>
      </w:rPr>
    </w:tblStylePr>
    <w:tblStylePr w:type="band1Vert">
      <w:tblPr/>
      <w:tcPr>
        <w:tcBorders>
          <w:top w:val="single" w:sz="8" w:space="0" w:color="D2DDE2"/>
          <w:left w:val="single" w:sz="8" w:space="0" w:color="D2DDE2"/>
          <w:bottom w:val="single" w:sz="8" w:space="0" w:color="D2DDE2"/>
          <w:right w:val="single" w:sz="8" w:space="0" w:color="D2DDE2"/>
        </w:tcBorders>
      </w:tcPr>
    </w:tblStylePr>
    <w:tblStylePr w:type="band1Horz">
      <w:tblPr/>
      <w:tcPr>
        <w:tcBorders>
          <w:top w:val="single" w:sz="8" w:space="0" w:color="D2DDE2"/>
          <w:left w:val="single" w:sz="8" w:space="0" w:color="D2DDE2"/>
          <w:bottom w:val="single" w:sz="8" w:space="0" w:color="D2DDE2"/>
          <w:right w:val="single" w:sz="8" w:space="0" w:color="D2DDE2"/>
        </w:tcBorders>
      </w:tcPr>
    </w:tblStylePr>
  </w:style>
  <w:style w:type="numbering" w:customStyle="1" w:styleId="Style1">
    <w:name w:val="Style1"/>
    <w:uiPriority w:val="99"/>
    <w:rsid w:val="00AE0109"/>
    <w:pPr>
      <w:numPr>
        <w:numId w:val="10"/>
      </w:numPr>
    </w:pPr>
  </w:style>
  <w:style w:type="numbering" w:customStyle="1" w:styleId="Style2">
    <w:name w:val="Style2"/>
    <w:uiPriority w:val="99"/>
    <w:rsid w:val="00AE0109"/>
    <w:pPr>
      <w:numPr>
        <w:numId w:val="11"/>
      </w:numPr>
    </w:pPr>
  </w:style>
  <w:style w:type="paragraph" w:customStyle="1" w:styleId="Greenbullet-casestudytables">
    <w:name w:val="Green bullet - case study tables"/>
    <w:basedOn w:val="Greentext-casestudytables"/>
    <w:uiPriority w:val="1"/>
    <w:semiHidden/>
    <w:rsid w:val="00AE0109"/>
    <w:pPr>
      <w:numPr>
        <w:numId w:val="12"/>
      </w:numPr>
      <w:spacing w:before="0"/>
      <w:ind w:left="681" w:hanging="397"/>
    </w:pPr>
  </w:style>
  <w:style w:type="paragraph" w:customStyle="1" w:styleId="Greentext-casestudytables">
    <w:name w:val="Green text - case study tables"/>
    <w:basedOn w:val="BodyText"/>
    <w:uiPriority w:val="1"/>
    <w:semiHidden/>
    <w:rsid w:val="00AE0109"/>
    <w:pPr>
      <w:spacing w:line="260" w:lineRule="atLeast"/>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semiHidden/>
    <w:rsid w:val="00AE0109"/>
    <w:pPr>
      <w:keepNext/>
      <w:spacing w:before="240" w:after="0"/>
    </w:pPr>
    <w:rPr>
      <w:b/>
    </w:rPr>
  </w:style>
  <w:style w:type="numbering" w:customStyle="1" w:styleId="Style3">
    <w:name w:val="Style3"/>
    <w:uiPriority w:val="99"/>
    <w:rsid w:val="00AE0109"/>
    <w:pPr>
      <w:numPr>
        <w:numId w:val="13"/>
      </w:numPr>
    </w:pPr>
  </w:style>
  <w:style w:type="paragraph" w:customStyle="1" w:styleId="Blueboxtext">
    <w:name w:val="Blue box text"/>
    <w:basedOn w:val="Normal"/>
    <w:uiPriority w:val="1"/>
    <w:semiHidden/>
    <w:qFormat/>
    <w:rsid w:val="00AE0109"/>
    <w:pPr>
      <w:spacing w:line="260" w:lineRule="atLeast"/>
      <w:ind w:left="284" w:right="284"/>
      <w:jc w:val="left"/>
    </w:pPr>
    <w:rPr>
      <w:color w:val="1C556C"/>
      <w:sz w:val="20"/>
    </w:rPr>
  </w:style>
  <w:style w:type="paragraph" w:customStyle="1" w:styleId="Blue-boxbullet">
    <w:name w:val="Blue-box bullet"/>
    <w:basedOn w:val="Blueboxtext"/>
    <w:uiPriority w:val="1"/>
    <w:semiHidden/>
    <w:qFormat/>
    <w:rsid w:val="00AE0109"/>
    <w:pPr>
      <w:tabs>
        <w:tab w:val="left" w:pos="680"/>
      </w:tabs>
      <w:spacing w:before="0"/>
      <w:ind w:left="0"/>
    </w:pPr>
    <w:rPr>
      <w:szCs w:val="20"/>
    </w:rPr>
  </w:style>
  <w:style w:type="paragraph" w:customStyle="1" w:styleId="Blueboxheading">
    <w:name w:val="Blue box heading"/>
    <w:basedOn w:val="Blueboxtext"/>
    <w:next w:val="Blueboxtext"/>
    <w:uiPriority w:val="1"/>
    <w:semiHidden/>
    <w:qFormat/>
    <w:rsid w:val="00AE0109"/>
    <w:pPr>
      <w:keepNext/>
      <w:spacing w:before="240" w:after="0"/>
    </w:pPr>
    <w:rPr>
      <w:rFonts w:ascii="Georgia" w:hAnsi="Georgia"/>
      <w:b/>
      <w:szCs w:val="20"/>
    </w:rPr>
  </w:style>
  <w:style w:type="paragraph" w:customStyle="1" w:styleId="Blue-boxsub-bullet">
    <w:name w:val="Blue-box sub-bullet"/>
    <w:basedOn w:val="Blueboxtext"/>
    <w:uiPriority w:val="1"/>
    <w:semiHidden/>
    <w:qFormat/>
    <w:rsid w:val="00AE0109"/>
    <w:pPr>
      <w:spacing w:before="0"/>
      <w:ind w:left="0"/>
    </w:pPr>
    <w:rPr>
      <w:szCs w:val="20"/>
    </w:rPr>
  </w:style>
  <w:style w:type="paragraph" w:customStyle="1" w:styleId="Greensub-bullet-casestudytables">
    <w:name w:val="Green sub-bullet - case study tables"/>
    <w:basedOn w:val="Greentext-casestudytables"/>
    <w:uiPriority w:val="1"/>
    <w:semiHidden/>
    <w:qFormat/>
    <w:rsid w:val="00AE0109"/>
    <w:pPr>
      <w:numPr>
        <w:numId w:val="16"/>
      </w:numPr>
      <w:spacing w:before="0"/>
      <w:ind w:left="1077" w:hanging="397"/>
    </w:pPr>
    <w:rPr>
      <w:bCs/>
      <w:color w:val="1B556B"/>
    </w:rPr>
  </w:style>
  <w:style w:type="character" w:styleId="UnresolvedMention">
    <w:name w:val="Unresolved Mention"/>
    <w:basedOn w:val="DefaultParagraphFont"/>
    <w:uiPriority w:val="99"/>
    <w:unhideWhenUsed/>
    <w:rsid w:val="00AE0109"/>
    <w:rPr>
      <w:color w:val="605E5C"/>
      <w:shd w:val="clear" w:color="auto" w:fill="E1DFDD"/>
    </w:rPr>
  </w:style>
  <w:style w:type="paragraph" w:customStyle="1" w:styleId="Boxtext">
    <w:name w:val="Box text"/>
    <w:basedOn w:val="Normal"/>
    <w:uiPriority w:val="1"/>
    <w:qFormat/>
    <w:rsid w:val="00840203"/>
    <w:pPr>
      <w:spacing w:line="260" w:lineRule="atLeast"/>
      <w:ind w:left="284" w:right="284"/>
      <w:jc w:val="left"/>
    </w:pPr>
    <w:rPr>
      <w:rFonts w:eastAsiaTheme="minorEastAsia" w:cstheme="minorBidi"/>
      <w:color w:val="1B556B"/>
      <w:sz w:val="20"/>
    </w:rPr>
  </w:style>
  <w:style w:type="paragraph" w:customStyle="1" w:styleId="Boxsub-bullet">
    <w:name w:val="Box sub-bullet"/>
    <w:basedOn w:val="Boxtext"/>
    <w:uiPriority w:val="1"/>
    <w:qFormat/>
    <w:rsid w:val="00840203"/>
    <w:pPr>
      <w:numPr>
        <w:numId w:val="43"/>
      </w:numPr>
      <w:spacing w:before="0"/>
    </w:pPr>
    <w:rPr>
      <w:rFonts w:cs="Times New Roman"/>
      <w:szCs w:val="20"/>
    </w:rPr>
  </w:style>
  <w:style w:type="character" w:styleId="Mention">
    <w:name w:val="Mention"/>
    <w:basedOn w:val="DefaultParagraphFont"/>
    <w:uiPriority w:val="99"/>
    <w:unhideWhenUsed/>
    <w:rsid w:val="00AE0109"/>
    <w:rPr>
      <w:color w:val="2B579A"/>
      <w:shd w:val="clear" w:color="auto" w:fill="E1DFDD"/>
    </w:rPr>
  </w:style>
  <w:style w:type="paragraph" w:styleId="TOCHeading">
    <w:name w:val="TOC Heading"/>
    <w:basedOn w:val="Heading1"/>
    <w:next w:val="Normal"/>
    <w:uiPriority w:val="39"/>
    <w:semiHidden/>
    <w:qFormat/>
    <w:rsid w:val="00AE0109"/>
    <w:pPr>
      <w:keepLines/>
      <w:tabs>
        <w:tab w:val="clear" w:pos="851"/>
      </w:tabs>
      <w:spacing w:before="240" w:after="0" w:line="259" w:lineRule="auto"/>
      <w:outlineLvl w:val="9"/>
    </w:pPr>
    <w:rPr>
      <w:rFonts w:asciiTheme="majorHAnsi" w:hAnsiTheme="majorHAnsi"/>
      <w:b w:val="0"/>
      <w:bCs w:val="0"/>
      <w:color w:val="153F50" w:themeColor="accent1" w:themeShade="BF"/>
      <w:sz w:val="32"/>
      <w:szCs w:val="32"/>
      <w:lang w:val="en-US" w:eastAsia="en-US"/>
    </w:rPr>
  </w:style>
  <w:style w:type="paragraph" w:styleId="NoSpacing">
    <w:name w:val="No Spacing"/>
    <w:link w:val="NoSpacingChar"/>
    <w:uiPriority w:val="1"/>
    <w:semiHidden/>
    <w:qFormat/>
    <w:rsid w:val="00A03038"/>
    <w:pPr>
      <w:spacing w:after="0" w:line="240" w:lineRule="auto"/>
    </w:pPr>
    <w:rPr>
      <w:rFonts w:eastAsiaTheme="minorEastAsia"/>
      <w:lang w:val="en-US"/>
    </w:rPr>
  </w:style>
  <w:style w:type="character" w:customStyle="1" w:styleId="NoSpacingChar">
    <w:name w:val="No Spacing Char"/>
    <w:basedOn w:val="DefaultParagraphFont"/>
    <w:link w:val="NoSpacing"/>
    <w:uiPriority w:val="1"/>
    <w:semiHidden/>
    <w:rsid w:val="00840203"/>
    <w:rPr>
      <w:rFonts w:eastAsiaTheme="minorEastAsia"/>
      <w:lang w:val="en-US"/>
    </w:rPr>
  </w:style>
  <w:style w:type="table" w:customStyle="1" w:styleId="MinistryfortheEnvironment">
    <w:name w:val="Ministry for the Environment"/>
    <w:basedOn w:val="TableNormal"/>
    <w:uiPriority w:val="99"/>
    <w:rsid w:val="00707BFD"/>
    <w:pPr>
      <w:spacing w:after="0" w:line="240" w:lineRule="auto"/>
    </w:pPr>
    <w:rPr>
      <w:rFonts w:ascii="Calibri" w:eastAsia="Calibri" w:hAnsi="Calibri" w:cs="Times New Roman"/>
      <w:sz w:val="20"/>
      <w:szCs w:val="20"/>
      <w:lang w:eastAsia="en-NZ"/>
    </w:rPr>
    <w:tblPr>
      <w:tblBorders>
        <w:bottom w:val="single" w:sz="4" w:space="0" w:color="1B556B" w:themeColor="text2"/>
        <w:insideH w:val="single" w:sz="4" w:space="0" w:color="1B556B" w:themeColor="text2"/>
        <w:insideV w:val="single" w:sz="4" w:space="0" w:color="1B556B" w:themeColor="text2"/>
      </w:tblBorders>
      <w:tblCellMar>
        <w:bottom w:w="57" w:type="dxa"/>
      </w:tblCellMar>
    </w:tblPr>
    <w:tblStylePr w:type="firstRow">
      <w:rPr>
        <w:b/>
        <w:color w:val="FFFFFF" w:themeColor="background1"/>
      </w:rPr>
      <w:tblPr/>
      <w:tcPr>
        <w:shd w:val="clear" w:color="auto" w:fill="1B556B" w:themeFill="text2"/>
      </w:tcPr>
    </w:tblStylePr>
  </w:style>
  <w:style w:type="table" w:customStyle="1" w:styleId="GridTable7Colorful-Accent51">
    <w:name w:val="Grid Table 7 Colorful - Accent 51"/>
    <w:basedOn w:val="TableNormal"/>
    <w:next w:val="GridTable7Colorful-Accent5"/>
    <w:uiPriority w:val="52"/>
    <w:rsid w:val="006C7FFA"/>
    <w:pPr>
      <w:spacing w:after="0" w:line="240" w:lineRule="auto"/>
    </w:pPr>
    <w:rPr>
      <w:rFonts w:eastAsia="MS Mincho"/>
      <w:color w:val="31849B"/>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styleId="GridTable7Colorful-Accent5">
    <w:name w:val="Grid Table 7 Colorful Accent 5"/>
    <w:basedOn w:val="TableNormal"/>
    <w:uiPriority w:val="52"/>
    <w:rsid w:val="006C7FFA"/>
    <w:pPr>
      <w:spacing w:after="0" w:line="240" w:lineRule="auto"/>
    </w:pPr>
    <w:rPr>
      <w:color w:val="41A794" w:themeColor="accent5" w:themeShade="BF"/>
    </w:rPr>
    <w:tblPr>
      <w:tblStyleRowBandSize w:val="1"/>
      <w:tblStyleColBandSize w:val="1"/>
      <w:tblBorders>
        <w:top w:val="single" w:sz="4" w:space="0" w:color="A8DDD3" w:themeColor="accent5" w:themeTint="99"/>
        <w:left w:val="single" w:sz="4" w:space="0" w:color="A8DDD3" w:themeColor="accent5" w:themeTint="99"/>
        <w:bottom w:val="single" w:sz="4" w:space="0" w:color="A8DDD3" w:themeColor="accent5" w:themeTint="99"/>
        <w:right w:val="single" w:sz="4" w:space="0" w:color="A8DDD3" w:themeColor="accent5" w:themeTint="99"/>
        <w:insideH w:val="single" w:sz="4" w:space="0" w:color="A8DDD3" w:themeColor="accent5" w:themeTint="99"/>
        <w:insideV w:val="single" w:sz="4" w:space="0" w:color="A8D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F3F0" w:themeFill="accent5" w:themeFillTint="33"/>
      </w:tcPr>
    </w:tblStylePr>
    <w:tblStylePr w:type="band1Horz">
      <w:tblPr/>
      <w:tcPr>
        <w:shd w:val="clear" w:color="auto" w:fill="E2F3F0" w:themeFill="accent5" w:themeFillTint="33"/>
      </w:tcPr>
    </w:tblStylePr>
    <w:tblStylePr w:type="neCell">
      <w:tblPr/>
      <w:tcPr>
        <w:tcBorders>
          <w:bottom w:val="single" w:sz="4" w:space="0" w:color="A8DDD3" w:themeColor="accent5" w:themeTint="99"/>
        </w:tcBorders>
      </w:tcPr>
    </w:tblStylePr>
    <w:tblStylePr w:type="nwCell">
      <w:tblPr/>
      <w:tcPr>
        <w:tcBorders>
          <w:bottom w:val="single" w:sz="4" w:space="0" w:color="A8DDD3" w:themeColor="accent5" w:themeTint="99"/>
        </w:tcBorders>
      </w:tcPr>
    </w:tblStylePr>
    <w:tblStylePr w:type="seCell">
      <w:tblPr/>
      <w:tcPr>
        <w:tcBorders>
          <w:top w:val="single" w:sz="4" w:space="0" w:color="A8DDD3" w:themeColor="accent5" w:themeTint="99"/>
        </w:tcBorders>
      </w:tcPr>
    </w:tblStylePr>
    <w:tblStylePr w:type="swCell">
      <w:tblPr/>
      <w:tcPr>
        <w:tcBorders>
          <w:top w:val="single" w:sz="4" w:space="0" w:color="A8DDD3" w:themeColor="accent5" w:themeTint="99"/>
        </w:tcBorders>
      </w:tcPr>
    </w:tblStylePr>
  </w:style>
  <w:style w:type="table" w:customStyle="1" w:styleId="Style4">
    <w:name w:val="Style4"/>
    <w:basedOn w:val="TableNormal"/>
    <w:uiPriority w:val="99"/>
    <w:rsid w:val="00086026"/>
    <w:pPr>
      <w:spacing w:before="60" w:after="60" w:line="240" w:lineRule="auto"/>
    </w:pPr>
    <w:tblPr>
      <w:tblBorders>
        <w:bottom w:val="single" w:sz="4" w:space="0" w:color="1B556B"/>
        <w:insideH w:val="single" w:sz="4" w:space="0" w:color="1B556B"/>
        <w:insideV w:val="single" w:sz="4" w:space="0" w:color="1B556B"/>
      </w:tblBorders>
    </w:tblPr>
    <w:trPr>
      <w:cantSplit/>
    </w:trPr>
    <w:tcPr>
      <w:shd w:val="clear" w:color="auto" w:fill="FFFFFF" w:themeFill="background1"/>
    </w:tcPr>
    <w:tblStylePr w:type="firstRow">
      <w:rPr>
        <w:rFonts w:ascii="Calibri" w:hAnsi="Calibri"/>
        <w:b/>
        <w:color w:val="FFFFFF" w:themeColor="background1"/>
        <w:sz w:val="22"/>
      </w:rPr>
      <w:tblPr/>
      <w:tcPr>
        <w:shd w:val="clear" w:color="auto" w:fill="1B556B"/>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65962">
      <w:bodyDiv w:val="1"/>
      <w:marLeft w:val="0"/>
      <w:marRight w:val="0"/>
      <w:marTop w:val="0"/>
      <w:marBottom w:val="0"/>
      <w:divBdr>
        <w:top w:val="none" w:sz="0" w:space="0" w:color="auto"/>
        <w:left w:val="none" w:sz="0" w:space="0" w:color="auto"/>
        <w:bottom w:val="none" w:sz="0" w:space="0" w:color="auto"/>
        <w:right w:val="none" w:sz="0" w:space="0" w:color="auto"/>
      </w:divBdr>
      <w:divsChild>
        <w:div w:id="700589637">
          <w:marLeft w:val="0"/>
          <w:marRight w:val="0"/>
          <w:marTop w:val="0"/>
          <w:marBottom w:val="0"/>
          <w:divBdr>
            <w:top w:val="none" w:sz="0" w:space="0" w:color="auto"/>
            <w:left w:val="none" w:sz="0" w:space="0" w:color="auto"/>
            <w:bottom w:val="none" w:sz="0" w:space="0" w:color="auto"/>
            <w:right w:val="none" w:sz="0" w:space="0" w:color="auto"/>
          </w:divBdr>
        </w:div>
        <w:div w:id="930896396">
          <w:marLeft w:val="0"/>
          <w:marRight w:val="0"/>
          <w:marTop w:val="0"/>
          <w:marBottom w:val="0"/>
          <w:divBdr>
            <w:top w:val="none" w:sz="0" w:space="0" w:color="auto"/>
            <w:left w:val="none" w:sz="0" w:space="0" w:color="auto"/>
            <w:bottom w:val="none" w:sz="0" w:space="0" w:color="auto"/>
            <w:right w:val="none" w:sz="0" w:space="0" w:color="auto"/>
          </w:divBdr>
        </w:div>
        <w:div w:id="1033381123">
          <w:marLeft w:val="0"/>
          <w:marRight w:val="0"/>
          <w:marTop w:val="0"/>
          <w:marBottom w:val="0"/>
          <w:divBdr>
            <w:top w:val="none" w:sz="0" w:space="0" w:color="auto"/>
            <w:left w:val="none" w:sz="0" w:space="0" w:color="auto"/>
            <w:bottom w:val="none" w:sz="0" w:space="0" w:color="auto"/>
            <w:right w:val="none" w:sz="0" w:space="0" w:color="auto"/>
          </w:divBdr>
        </w:div>
        <w:div w:id="1938444651">
          <w:marLeft w:val="0"/>
          <w:marRight w:val="0"/>
          <w:marTop w:val="0"/>
          <w:marBottom w:val="0"/>
          <w:divBdr>
            <w:top w:val="none" w:sz="0" w:space="0" w:color="auto"/>
            <w:left w:val="none" w:sz="0" w:space="0" w:color="auto"/>
            <w:bottom w:val="none" w:sz="0" w:space="0" w:color="auto"/>
            <w:right w:val="none" w:sz="0" w:space="0" w:color="auto"/>
          </w:divBdr>
        </w:div>
      </w:divsChild>
    </w:div>
    <w:div w:id="608128937">
      <w:bodyDiv w:val="1"/>
      <w:marLeft w:val="0"/>
      <w:marRight w:val="0"/>
      <w:marTop w:val="0"/>
      <w:marBottom w:val="0"/>
      <w:divBdr>
        <w:top w:val="none" w:sz="0" w:space="0" w:color="auto"/>
        <w:left w:val="none" w:sz="0" w:space="0" w:color="auto"/>
        <w:bottom w:val="none" w:sz="0" w:space="0" w:color="auto"/>
        <w:right w:val="none" w:sz="0" w:space="0" w:color="auto"/>
      </w:divBdr>
      <w:divsChild>
        <w:div w:id="142939972">
          <w:marLeft w:val="0"/>
          <w:marRight w:val="0"/>
          <w:marTop w:val="0"/>
          <w:marBottom w:val="0"/>
          <w:divBdr>
            <w:top w:val="none" w:sz="0" w:space="0" w:color="auto"/>
            <w:left w:val="none" w:sz="0" w:space="0" w:color="auto"/>
            <w:bottom w:val="none" w:sz="0" w:space="0" w:color="auto"/>
            <w:right w:val="none" w:sz="0" w:space="0" w:color="auto"/>
          </w:divBdr>
        </w:div>
        <w:div w:id="865555524">
          <w:marLeft w:val="0"/>
          <w:marRight w:val="0"/>
          <w:marTop w:val="0"/>
          <w:marBottom w:val="0"/>
          <w:divBdr>
            <w:top w:val="none" w:sz="0" w:space="0" w:color="auto"/>
            <w:left w:val="none" w:sz="0" w:space="0" w:color="auto"/>
            <w:bottom w:val="none" w:sz="0" w:space="0" w:color="auto"/>
            <w:right w:val="none" w:sz="0" w:space="0" w:color="auto"/>
          </w:divBdr>
        </w:div>
        <w:div w:id="1034311465">
          <w:marLeft w:val="0"/>
          <w:marRight w:val="0"/>
          <w:marTop w:val="0"/>
          <w:marBottom w:val="0"/>
          <w:divBdr>
            <w:top w:val="none" w:sz="0" w:space="0" w:color="auto"/>
            <w:left w:val="none" w:sz="0" w:space="0" w:color="auto"/>
            <w:bottom w:val="none" w:sz="0" w:space="0" w:color="auto"/>
            <w:right w:val="none" w:sz="0" w:space="0" w:color="auto"/>
          </w:divBdr>
        </w:div>
        <w:div w:id="1442843941">
          <w:marLeft w:val="0"/>
          <w:marRight w:val="0"/>
          <w:marTop w:val="0"/>
          <w:marBottom w:val="0"/>
          <w:divBdr>
            <w:top w:val="none" w:sz="0" w:space="0" w:color="auto"/>
            <w:left w:val="none" w:sz="0" w:space="0" w:color="auto"/>
            <w:bottom w:val="none" w:sz="0" w:space="0" w:color="auto"/>
            <w:right w:val="none" w:sz="0" w:space="0" w:color="auto"/>
          </w:divBdr>
        </w:div>
        <w:div w:id="1511404883">
          <w:marLeft w:val="0"/>
          <w:marRight w:val="0"/>
          <w:marTop w:val="0"/>
          <w:marBottom w:val="0"/>
          <w:divBdr>
            <w:top w:val="none" w:sz="0" w:space="0" w:color="auto"/>
            <w:left w:val="none" w:sz="0" w:space="0" w:color="auto"/>
            <w:bottom w:val="none" w:sz="0" w:space="0" w:color="auto"/>
            <w:right w:val="none" w:sz="0" w:space="0" w:color="auto"/>
          </w:divBdr>
        </w:div>
        <w:div w:id="1633943876">
          <w:marLeft w:val="0"/>
          <w:marRight w:val="0"/>
          <w:marTop w:val="0"/>
          <w:marBottom w:val="0"/>
          <w:divBdr>
            <w:top w:val="none" w:sz="0" w:space="0" w:color="auto"/>
            <w:left w:val="none" w:sz="0" w:space="0" w:color="auto"/>
            <w:bottom w:val="none" w:sz="0" w:space="0" w:color="auto"/>
            <w:right w:val="none" w:sz="0" w:space="0" w:color="auto"/>
          </w:divBdr>
        </w:div>
        <w:div w:id="1759053730">
          <w:marLeft w:val="0"/>
          <w:marRight w:val="0"/>
          <w:marTop w:val="0"/>
          <w:marBottom w:val="0"/>
          <w:divBdr>
            <w:top w:val="none" w:sz="0" w:space="0" w:color="auto"/>
            <w:left w:val="none" w:sz="0" w:space="0" w:color="auto"/>
            <w:bottom w:val="none" w:sz="0" w:space="0" w:color="auto"/>
            <w:right w:val="none" w:sz="0" w:space="0" w:color="auto"/>
          </w:divBdr>
        </w:div>
        <w:div w:id="1792093398">
          <w:marLeft w:val="0"/>
          <w:marRight w:val="0"/>
          <w:marTop w:val="0"/>
          <w:marBottom w:val="0"/>
          <w:divBdr>
            <w:top w:val="none" w:sz="0" w:space="0" w:color="auto"/>
            <w:left w:val="none" w:sz="0" w:space="0" w:color="auto"/>
            <w:bottom w:val="none" w:sz="0" w:space="0" w:color="auto"/>
            <w:right w:val="none" w:sz="0" w:space="0" w:color="auto"/>
          </w:divBdr>
        </w:div>
      </w:divsChild>
    </w:div>
    <w:div w:id="986206851">
      <w:bodyDiv w:val="1"/>
      <w:marLeft w:val="0"/>
      <w:marRight w:val="0"/>
      <w:marTop w:val="0"/>
      <w:marBottom w:val="0"/>
      <w:divBdr>
        <w:top w:val="none" w:sz="0" w:space="0" w:color="auto"/>
        <w:left w:val="none" w:sz="0" w:space="0" w:color="auto"/>
        <w:bottom w:val="none" w:sz="0" w:space="0" w:color="auto"/>
        <w:right w:val="none" w:sz="0" w:space="0" w:color="auto"/>
      </w:divBdr>
    </w:div>
    <w:div w:id="1841117651">
      <w:bodyDiv w:val="1"/>
      <w:marLeft w:val="0"/>
      <w:marRight w:val="0"/>
      <w:marTop w:val="0"/>
      <w:marBottom w:val="0"/>
      <w:divBdr>
        <w:top w:val="none" w:sz="0" w:space="0" w:color="auto"/>
        <w:left w:val="none" w:sz="0" w:space="0" w:color="auto"/>
        <w:bottom w:val="none" w:sz="0" w:space="0" w:color="auto"/>
        <w:right w:val="none" w:sz="0" w:space="0" w:color="auto"/>
      </w:divBdr>
      <w:divsChild>
        <w:div w:id="135880436">
          <w:marLeft w:val="0"/>
          <w:marRight w:val="0"/>
          <w:marTop w:val="0"/>
          <w:marBottom w:val="0"/>
          <w:divBdr>
            <w:top w:val="none" w:sz="0" w:space="0" w:color="auto"/>
            <w:left w:val="none" w:sz="0" w:space="0" w:color="auto"/>
            <w:bottom w:val="none" w:sz="0" w:space="0" w:color="auto"/>
            <w:right w:val="none" w:sz="0" w:space="0" w:color="auto"/>
          </w:divBdr>
        </w:div>
        <w:div w:id="313072323">
          <w:marLeft w:val="0"/>
          <w:marRight w:val="0"/>
          <w:marTop w:val="0"/>
          <w:marBottom w:val="0"/>
          <w:divBdr>
            <w:top w:val="none" w:sz="0" w:space="0" w:color="auto"/>
            <w:left w:val="none" w:sz="0" w:space="0" w:color="auto"/>
            <w:bottom w:val="none" w:sz="0" w:space="0" w:color="auto"/>
            <w:right w:val="none" w:sz="0" w:space="0" w:color="auto"/>
          </w:divBdr>
        </w:div>
        <w:div w:id="315770395">
          <w:marLeft w:val="0"/>
          <w:marRight w:val="0"/>
          <w:marTop w:val="0"/>
          <w:marBottom w:val="0"/>
          <w:divBdr>
            <w:top w:val="none" w:sz="0" w:space="0" w:color="auto"/>
            <w:left w:val="none" w:sz="0" w:space="0" w:color="auto"/>
            <w:bottom w:val="none" w:sz="0" w:space="0" w:color="auto"/>
            <w:right w:val="none" w:sz="0" w:space="0" w:color="auto"/>
          </w:divBdr>
        </w:div>
        <w:div w:id="1086921376">
          <w:marLeft w:val="0"/>
          <w:marRight w:val="0"/>
          <w:marTop w:val="0"/>
          <w:marBottom w:val="0"/>
          <w:divBdr>
            <w:top w:val="none" w:sz="0" w:space="0" w:color="auto"/>
            <w:left w:val="none" w:sz="0" w:space="0" w:color="auto"/>
            <w:bottom w:val="none" w:sz="0" w:space="0" w:color="auto"/>
            <w:right w:val="none" w:sz="0" w:space="0" w:color="auto"/>
          </w:divBdr>
        </w:div>
      </w:divsChild>
    </w:div>
    <w:div w:id="185456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environment.govt.nz/publications/annual-updates-to-new-zealand-emissions-trading-scheme-limits-and-price-control-settings-for-units-2023-consultation-document/"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environment.govt.nz/assets/publications/climate-change/NZETS-unit-settings-consultation-document.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environment.govt.nz/" TargetMode="Externa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MfE new colours">
      <a:dk1>
        <a:sysClr val="windowText" lastClr="000000"/>
      </a:dk1>
      <a:lt1>
        <a:sysClr val="window" lastClr="FFFFFF"/>
      </a:lt1>
      <a:dk2>
        <a:srgbClr val="1B556B"/>
      </a:dk2>
      <a:lt2>
        <a:srgbClr val="D2DDE1"/>
      </a:lt2>
      <a:accent1>
        <a:srgbClr val="1C556C"/>
      </a:accent1>
      <a:accent2>
        <a:srgbClr val="32809C"/>
      </a:accent2>
      <a:accent3>
        <a:srgbClr val="D5EBE8"/>
      </a:accent3>
      <a:accent4>
        <a:srgbClr val="2C9986"/>
      </a:accent4>
      <a:accent5>
        <a:srgbClr val="6FC7B7"/>
      </a:accent5>
      <a:accent6>
        <a:srgbClr val="DA6C28"/>
      </a:accent6>
      <a:hlink>
        <a:srgbClr val="32809C"/>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conOverlay xmlns="http://schemas.microsoft.com/sharepoint/v4" xsi:nil="true"/>
    <_ip_UnifiedCompliancePolicyProperties xmlns="http://schemas.microsoft.com/sharepoint/v3" xsi:nil="true"/>
    <TaxCatchAll xmlns="58a6f171-52cb-4404-b47d-af1c8daf8fd1" xsi:nil="true"/>
    <_dlc_DocId xmlns="58a6f171-52cb-4404-b47d-af1c8daf8fd1">ECM-1122293896-98682</_dlc_DocId>
    <_dlc_DocIdUrl xmlns="58a6f171-52cb-4404-b47d-af1c8daf8fd1">
      <Url>https://ministryforenvironment.sharepoint.com/sites/ECM-ER-Comms/_layouts/15/DocIdRedir.aspx?ID=ECM-1122293896-98682</Url>
      <Description>ECM-1122293896-98682</Description>
    </_dlc_DocIdUrl>
    <MTS_x0020_ID xmlns="4a94300e-a927-4b92-9d3a-682523035cb6" xsi:nil="true"/>
    <Sender xmlns="4a94300e-a927-4b92-9d3a-682523035cb6" xsi:nil="true"/>
    <Class xmlns="4a94300e-a927-4b92-9d3a-682523035cb6" xsi:nil="true"/>
    <Document_x0020_Type xmlns="4a94300e-a927-4b92-9d3a-682523035cb6" xsi:nil="true"/>
    <Receiver_x0020_Date xmlns="4a94300e-a927-4b92-9d3a-682523035cb6" xsi:nil="true"/>
    <Legacy_x0020_Version xmlns="4a94300e-a927-4b92-9d3a-682523035cb6" xsi:nil="true"/>
    <lcf76f155ced4ddcb4097134ff3c332f xmlns="4a94300e-a927-4b92-9d3a-682523035cb6">
      <Terms xmlns="http://schemas.microsoft.com/office/infopath/2007/PartnerControls"/>
    </lcf76f155ced4ddcb4097134ff3c332f>
    <Status xmlns="4a94300e-a927-4b92-9d3a-682523035cb6" xsi:nil="true"/>
    <Year xmlns="4a94300e-a927-4b92-9d3a-682523035cb6" xsi:nil="true"/>
    <Sender_x0020_Date xmlns="4a94300e-a927-4b92-9d3a-682523035cb6" xsi:nil="true"/>
    <Carbon_x0020_Copy xmlns="4a94300e-a927-4b92-9d3a-682523035cb6" xsi:nil="true"/>
    <Receiver xmlns="4a94300e-a927-4b92-9d3a-682523035cb6" xsi:nil="true"/>
    <MTS_x0020_Type xmlns="4a94300e-a927-4b92-9d3a-682523035cb6" xsi:nil="true"/>
    <Library xmlns="4a94300e-a927-4b92-9d3a-682523035cb6" xsi:nil="true"/>
    <Author0 xmlns="4a94300e-a927-4b92-9d3a-682523035cb6" xsi:nil="true"/>
    <Email_x0020_Table xmlns="4a94300e-a927-4b92-9d3a-682523035cb6" xsi:nil="true"/>
    <Other_x0020_Details xmlns="4a94300e-a927-4b92-9d3a-682523035cb6" xsi:nil="true"/>
    <Legacy_x0020_DocID xmlns="4a94300e-a927-4b92-9d3a-682523035cb6" xsi:nil="true"/>
    <From xmlns="4a94300e-a927-4b92-9d3a-682523035cb6" xsi:nil="true"/>
    <Other_x0020_Details_2 xmlns="4a94300e-a927-4b92-9d3a-682523035cb6" xsi:nil="true"/>
    <Sent_x002f_Received xmlns="4a94300e-a927-4b92-9d3a-682523035cb6" xsi:nil="true"/>
    <Other_x0020_Details_3 xmlns="4a94300e-a927-4b92-9d3a-682523035cb6" xsi:nil="true"/>
    <To xmlns="4a94300e-a927-4b92-9d3a-682523035cb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A5FB0BEBF7DE54D9F252D8A06C053F7" ma:contentTypeVersion="44" ma:contentTypeDescription="Create a new document." ma:contentTypeScope="" ma:versionID="71ca4ff2c816bf98e720b531c5ba270a">
  <xsd:schema xmlns:xsd="http://www.w3.org/2001/XMLSchema" xmlns:xs="http://www.w3.org/2001/XMLSchema" xmlns:p="http://schemas.microsoft.com/office/2006/metadata/properties" xmlns:ns1="http://schemas.microsoft.com/sharepoint/v3" xmlns:ns2="58a6f171-52cb-4404-b47d-af1c8daf8fd1" xmlns:ns3="4a94300e-a927-4b92-9d3a-682523035cb6" xmlns:ns4="http://schemas.microsoft.com/sharepoint/v4" xmlns:ns5="0a5b0190-e301-4766-933d-448c7c363fce" targetNamespace="http://schemas.microsoft.com/office/2006/metadata/properties" ma:root="true" ma:fieldsID="19f05a26c8dc5a9aa0303e2594aee7a9" ns1:_="" ns2:_="" ns3:_="" ns4:_="" ns5:_="">
    <xsd:import namespace="http://schemas.microsoft.com/sharepoint/v3"/>
    <xsd:import namespace="58a6f171-52cb-4404-b47d-af1c8daf8fd1"/>
    <xsd:import namespace="4a94300e-a927-4b92-9d3a-682523035cb6"/>
    <xsd:import namespace="http://schemas.microsoft.com/sharepoint/v4"/>
    <xsd:import namespace="0a5b0190-e301-4766-933d-448c7c363fce"/>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Sender" minOccurs="0"/>
                <xsd:element ref="ns3:Receiver" minOccurs="0"/>
                <xsd:element ref="ns3:Sender_x0020_Date" minOccurs="0"/>
                <xsd:element ref="ns3:Receiver_x0020_Date" minOccurs="0"/>
                <xsd:element ref="ns3:Carbon_x0020_Copy" minOccurs="0"/>
                <xsd:element ref="ns3:Email_x0020_Table" minOccurs="0"/>
                <xsd:element ref="ns3:MediaServiceMetadata" minOccurs="0"/>
                <xsd:element ref="ns3:MediaServiceFastMetadata" minOccurs="0"/>
                <xsd:element ref="ns3:MediaServiceAutoKeyPoints" minOccurs="0"/>
                <xsd:element ref="ns3:MediaServiceKeyPoints" minOccurs="0"/>
                <xsd:element ref="ns3:Library" minOccurs="0"/>
                <xsd:element ref="ns3:Legacy_x0020_DocID" minOccurs="0"/>
                <xsd:element ref="ns3:Legacy_x0020_Version" minOccurs="0"/>
                <xsd:element ref="ns3:Class" minOccurs="0"/>
                <xsd:element ref="ns3:Author0" minOccurs="0"/>
                <xsd:element ref="ns3:Status" minOccurs="0"/>
                <xsd:element ref="ns3:Year" minOccurs="0"/>
                <xsd:element ref="ns3:Other_x0020_Details" minOccurs="0"/>
                <xsd:element ref="ns3:MTS_x0020_Type" minOccurs="0"/>
                <xsd:element ref="ns3:MTS_x0020_ID" minOccurs="0"/>
                <xsd:element ref="ns3:Other_x0020_Details_2"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Other_x0020_Details_3" minOccurs="0"/>
                <xsd:element ref="ns3:To" minOccurs="0"/>
                <xsd:element ref="ns3:From" minOccurs="0"/>
                <xsd:element ref="ns3:Sent_x002f_Received" minOccurs="0"/>
                <xsd:element ref="ns1:_ip_UnifiedCompliancePolicyProperties" minOccurs="0"/>
                <xsd:element ref="ns1:_ip_UnifiedCompliancePolicyUIAction" minOccurs="0"/>
                <xsd:element ref="ns3:MediaLengthInSeconds" minOccurs="0"/>
                <xsd:element ref="ns4:IconOverlay" minOccurs="0"/>
                <xsd:element ref="ns5:SharedWithUsers" minOccurs="0"/>
                <xsd:element ref="ns5:SharedWithDetail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4" nillable="true" ma:displayName="Unified Compliance Policy Properties" ma:hidden="true" ma:internalName="_ip_UnifiedCompliancePolicyProperties">
      <xsd:simpleType>
        <xsd:restriction base="dms:Note"/>
      </xsd:simpleType>
    </xsd:element>
    <xsd:element name="_ip_UnifiedCompliancePolicyUIAction" ma:index="4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2" nillable="true" ma:displayName="Taxonomy Catch All Column" ma:hidden="true" ma:list="{0667bd51-75f8-4035-9f2e-4aaf1cd86fb2}" ma:internalName="TaxCatchAll" ma:showField="CatchAllData" ma:web="0a5b0190-e301-4766-933d-448c7c363f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94300e-a927-4b92-9d3a-682523035cb6" elementFormDefault="qualified">
    <xsd:import namespace="http://schemas.microsoft.com/office/2006/documentManagement/types"/>
    <xsd:import namespace="http://schemas.microsoft.com/office/infopath/2007/PartnerControls"/>
    <xsd:element name="Document_x0020_Type" ma:index="11" nillable="true" ma:displayName="Document Type" ma:default="" ma:description="" ma:internalName="Document_x0020_Type">
      <xsd:simpleType>
        <xsd:restriction base="dms:Note">
          <xsd:maxLength value="255"/>
        </xsd:restriction>
      </xsd:simpleType>
    </xsd:element>
    <xsd:element name="Sender" ma:index="12" nillable="true" ma:displayName="Sender" ma:description="" ma:internalName="Sender">
      <xsd:simpleType>
        <xsd:restriction base="dms:Text">
          <xsd:maxLength value="255"/>
        </xsd:restriction>
      </xsd:simpleType>
    </xsd:element>
    <xsd:element name="Receiver" ma:index="13" nillable="true" ma:displayName="Receiver" ma:description="" ma:internalName="Receiver">
      <xsd:simpleType>
        <xsd:restriction base="dms:Text">
          <xsd:maxLength value="255"/>
        </xsd:restriction>
      </xsd:simpleType>
    </xsd:element>
    <xsd:element name="Sender_x0020_Date" ma:index="14" nillable="true" ma:displayName="Sender Date" ma:default="" ma:description="" ma:format="DateTime" ma:internalName="Sender_x0020_Date">
      <xsd:simpleType>
        <xsd:restriction base="dms:DateTime"/>
      </xsd:simpleType>
    </xsd:element>
    <xsd:element name="Receiver_x0020_Date" ma:index="15" nillable="true" ma:displayName="Receiver Date" ma:default="" ma:description="" ma:format="DateTime" ma:internalName="Receiver_x0020_Date">
      <xsd:simpleType>
        <xsd:restriction base="dms:DateTime"/>
      </xsd:simpleType>
    </xsd:element>
    <xsd:element name="Carbon_x0020_Copy" ma:index="16" nillable="true" ma:displayName="Carbon Copy" ma:description="" ma:internalName="Carbon_x0020_Copy">
      <xsd:simpleType>
        <xsd:restriction base="dms:Text">
          <xsd:maxLength value="255"/>
        </xsd:restriction>
      </xsd:simpleType>
    </xsd:element>
    <xsd:element name="Email_x0020_Table" ma:index="18" nillable="true" ma:displayName="Email Table" ma:description="" ma:internalName="Email_x0020_Table">
      <xsd:simpleType>
        <xsd:restriction base="dms:Note">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ibrary" ma:index="23" nillable="true" ma:displayName="Library" ma:default="" ma:description="" ma:internalName="Library">
      <xsd:simpleType>
        <xsd:restriction base="dms:Text">
          <xsd:maxLength value="255"/>
        </xsd:restriction>
      </xsd:simpleType>
    </xsd:element>
    <xsd:element name="Legacy_x0020_DocID" ma:index="24" nillable="true" ma:displayName="Legacy DocID" ma:decimals="-1" ma:default="" ma:description="" ma:internalName="Legacy_x0020_DocID">
      <xsd:simpleType>
        <xsd:restriction base="dms:Number"/>
      </xsd:simpleType>
    </xsd:element>
    <xsd:element name="Legacy_x0020_Version" ma:index="25" nillable="true" ma:displayName="Legacy Version" ma:default="" ma:description="" ma:internalName="Legacy_x0020_Version">
      <xsd:simpleType>
        <xsd:restriction base="dms:Text">
          <xsd:maxLength value="255"/>
        </xsd:restriction>
      </xsd:simpleType>
    </xsd:element>
    <xsd:element name="Class" ma:index="26" nillable="true" ma:displayName="Class" ma:default="" ma:description="" ma:internalName="Class">
      <xsd:simpleType>
        <xsd:restriction base="dms:Text">
          <xsd:maxLength value="255"/>
        </xsd:restriction>
      </xsd:simpleType>
    </xsd:element>
    <xsd:element name="Author0" ma:index="27" nillable="true" ma:displayName="Author" ma:default="" ma:description="" ma:internalName="Author0">
      <xsd:simpleType>
        <xsd:restriction base="dms:Text">
          <xsd:maxLength value="255"/>
        </xsd:restriction>
      </xsd:simpleType>
    </xsd:element>
    <xsd:element name="Status" ma:index="28" nillable="true" ma:displayName="Status" ma:default="" ma:description="" ma:internalName="Status">
      <xsd:simpleType>
        <xsd:restriction base="dms:Text">
          <xsd:maxLength value="255"/>
        </xsd:restriction>
      </xsd:simpleType>
    </xsd:element>
    <xsd:element name="Year" ma:index="29" nillable="true" ma:displayName="Year" ma:default="" ma:description="" ma:internalName="Year">
      <xsd:simpleType>
        <xsd:restriction base="dms:Text">
          <xsd:maxLength value="255"/>
        </xsd:restriction>
      </xsd:simpleType>
    </xsd:element>
    <xsd:element name="Other_x0020_Details" ma:index="30" nillable="true" ma:displayName="Other Details" ma:default="" ma:description="" ma:internalName="Other_x0020_Details">
      <xsd:simpleType>
        <xsd:restriction base="dms:Text">
          <xsd:maxLength value="255"/>
        </xsd:restriction>
      </xsd:simpleType>
    </xsd:element>
    <xsd:element name="MTS_x0020_Type" ma:index="31" nillable="true" ma:displayName="MTS Type" ma:default="" ma:description="" ma:internalName="MTS_x0020_Type">
      <xsd:simpleType>
        <xsd:restriction base="dms:Note">
          <xsd:maxLength value="255"/>
        </xsd:restriction>
      </xsd:simpleType>
    </xsd:element>
    <xsd:element name="MTS_x0020_ID" ma:index="32" nillable="true" ma:displayName="MTS ID" ma:default="" ma:description="" ma:internalName="MTS_x0020_ID">
      <xsd:simpleType>
        <xsd:restriction base="dms:Text">
          <xsd:maxLength value="255"/>
        </xsd:restriction>
      </xsd:simpleType>
    </xsd:element>
    <xsd:element name="Other_x0020_Details_2" ma:index="33" nillable="true" ma:displayName="Other Details_2" ma:description="" ma:internalName="Other_x0020_Details_2">
      <xsd:simpleType>
        <xsd:restriction base="dms:Text">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Other_x0020_Details_3" ma:index="40" nillable="true" ma:displayName="Other Details_3" ma:description="" ma:internalName="Other_x0020_Details_3">
      <xsd:simpleType>
        <xsd:restriction base="dms:Text">
          <xsd:maxLength value="255"/>
        </xsd:restriction>
      </xsd:simpleType>
    </xsd:element>
    <xsd:element name="To" ma:index="41" nillable="true" ma:displayName="To" ma:default="" ma:description="" ma:internalName="To">
      <xsd:simpleType>
        <xsd:restriction base="dms:Note">
          <xsd:maxLength value="255"/>
        </xsd:restriction>
      </xsd:simpleType>
    </xsd:element>
    <xsd:element name="From" ma:index="42" nillable="true" ma:displayName="From" ma:default="" ma:description="" ma:internalName="From">
      <xsd:simpleType>
        <xsd:restriction base="dms:Text">
          <xsd:maxLength value="255"/>
        </xsd:restriction>
      </xsd:simpleType>
    </xsd:element>
    <xsd:element name="Sent_x002f_Received" ma:index="43" nillable="true" ma:displayName="Sent/Received" ma:default="" ma:description="" ma:internalName="Sent_x002f_Received">
      <xsd:simpleType>
        <xsd:restriction base="dms:Text">
          <xsd:maxLength value="255"/>
        </xsd:restriction>
      </xsd:simpleType>
    </xsd:element>
    <xsd:element name="MediaLengthInSeconds" ma:index="46"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ebe92e3-83b2-4842-a6bd-e7cffea926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5b0190-e301-4766-933d-448c7c363fce" elementFormDefault="qualified">
    <xsd:import namespace="http://schemas.microsoft.com/office/2006/documentManagement/types"/>
    <xsd:import namespace="http://schemas.microsoft.com/office/infopath/2007/PartnerControls"/>
    <xsd:element name="SharedWithUsers" ma:index="4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1FAF96-3373-4F5B-86BB-EB93D3580400}">
  <ds:schemaRefs>
    <ds:schemaRef ds:uri="http://schemas.openxmlformats.org/officeDocument/2006/bibliography"/>
  </ds:schemaRefs>
</ds:datastoreItem>
</file>

<file path=customXml/itemProps2.xml><?xml version="1.0" encoding="utf-8"?>
<ds:datastoreItem xmlns:ds="http://schemas.openxmlformats.org/officeDocument/2006/customXml" ds:itemID="{ADBCE490-F149-400E-BD8B-7EDFD4275671}">
  <ds:schemaRefs>
    <ds:schemaRef ds:uri="http://schemas.microsoft.com/sharepoint/v3/contenttype/forms"/>
  </ds:schemaRefs>
</ds:datastoreItem>
</file>

<file path=customXml/itemProps3.xml><?xml version="1.0" encoding="utf-8"?>
<ds:datastoreItem xmlns:ds="http://schemas.openxmlformats.org/officeDocument/2006/customXml" ds:itemID="{357CD914-3A27-4D48-8322-575713A341DA}">
  <ds:schemaRefs>
    <ds:schemaRef ds:uri="http://schemas.microsoft.com/sharepoint/events"/>
  </ds:schemaRefs>
</ds:datastoreItem>
</file>

<file path=customXml/itemProps4.xml><?xml version="1.0" encoding="utf-8"?>
<ds:datastoreItem xmlns:ds="http://schemas.openxmlformats.org/officeDocument/2006/customXml" ds:itemID="{56BE2714-9FD8-407E-A35F-5D1B13E3559C}">
  <ds:schemaRefs>
    <ds:schemaRef ds:uri="0a5b0190-e301-4766-933d-448c7c363fce"/>
    <ds:schemaRef ds:uri="http://purl.org/dc/dcmitype/"/>
    <ds:schemaRef ds:uri="http://schemas.openxmlformats.org/package/2006/metadata/core-properties"/>
    <ds:schemaRef ds:uri="http://purl.org/dc/elements/1.1/"/>
    <ds:schemaRef ds:uri="http://schemas.microsoft.com/office/2006/documentManagement/types"/>
    <ds:schemaRef ds:uri="http://purl.org/dc/terms/"/>
    <ds:schemaRef ds:uri="http://www.w3.org/XML/1998/namespace"/>
    <ds:schemaRef ds:uri="http://schemas.microsoft.com/office/infopath/2007/PartnerControls"/>
    <ds:schemaRef ds:uri="http://schemas.microsoft.com/sharepoint/v4"/>
    <ds:schemaRef ds:uri="4a94300e-a927-4b92-9d3a-682523035cb6"/>
    <ds:schemaRef ds:uri="58a6f171-52cb-4404-b47d-af1c8daf8fd1"/>
    <ds:schemaRef ds:uri="http://schemas.microsoft.com/sharepoint/v3"/>
    <ds:schemaRef ds:uri="http://schemas.microsoft.com/office/2006/metadata/properties"/>
  </ds:schemaRefs>
</ds:datastoreItem>
</file>

<file path=customXml/itemProps5.xml><?xml version="1.0" encoding="utf-8"?>
<ds:datastoreItem xmlns:ds="http://schemas.openxmlformats.org/officeDocument/2006/customXml" ds:itemID="{887C78F0-97A4-4660-B4D1-5ECBCF9FC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a6f171-52cb-4404-b47d-af1c8daf8fd1"/>
    <ds:schemaRef ds:uri="4a94300e-a927-4b92-9d3a-682523035cb6"/>
    <ds:schemaRef ds:uri="http://schemas.microsoft.com/sharepoint/v4"/>
    <ds:schemaRef ds:uri="0a5b0190-e301-4766-933d-448c7c363f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5870</Words>
  <Characters>33463</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39255</CharactersWithSpaces>
  <SharedDoc>false</SharedDoc>
  <HLinks>
    <vt:vector size="84" baseType="variant">
      <vt:variant>
        <vt:i4>3604519</vt:i4>
      </vt:variant>
      <vt:variant>
        <vt:i4>66</vt:i4>
      </vt:variant>
      <vt:variant>
        <vt:i4>0</vt:i4>
      </vt:variant>
      <vt:variant>
        <vt:i4>5</vt:i4>
      </vt:variant>
      <vt:variant>
        <vt:lpwstr>https://environment.govt.nz/publications/annual-updates-to-new-zealand-emissions-trading-scheme-limits-and-price-control-settings-for-units-2023-consultation-document/</vt:lpwstr>
      </vt:variant>
      <vt:variant>
        <vt:lpwstr/>
      </vt:variant>
      <vt:variant>
        <vt:i4>65</vt:i4>
      </vt:variant>
      <vt:variant>
        <vt:i4>63</vt:i4>
      </vt:variant>
      <vt:variant>
        <vt:i4>0</vt:i4>
      </vt:variant>
      <vt:variant>
        <vt:i4>5</vt:i4>
      </vt:variant>
      <vt:variant>
        <vt:lpwstr>https://environment.govt.nz/assets/publications/climate-change/NZETS-unit-settings-consultation-document.pdf</vt:lpwstr>
      </vt:variant>
      <vt:variant>
        <vt:lpwstr/>
      </vt:variant>
      <vt:variant>
        <vt:i4>2031668</vt:i4>
      </vt:variant>
      <vt:variant>
        <vt:i4>56</vt:i4>
      </vt:variant>
      <vt:variant>
        <vt:i4>0</vt:i4>
      </vt:variant>
      <vt:variant>
        <vt:i4>5</vt:i4>
      </vt:variant>
      <vt:variant>
        <vt:lpwstr/>
      </vt:variant>
      <vt:variant>
        <vt:lpwstr>_Toc140922779</vt:lpwstr>
      </vt:variant>
      <vt:variant>
        <vt:i4>1245233</vt:i4>
      </vt:variant>
      <vt:variant>
        <vt:i4>47</vt:i4>
      </vt:variant>
      <vt:variant>
        <vt:i4>0</vt:i4>
      </vt:variant>
      <vt:variant>
        <vt:i4>5</vt:i4>
      </vt:variant>
      <vt:variant>
        <vt:lpwstr/>
      </vt:variant>
      <vt:variant>
        <vt:lpwstr>_Toc141088985</vt:lpwstr>
      </vt:variant>
      <vt:variant>
        <vt:i4>1245233</vt:i4>
      </vt:variant>
      <vt:variant>
        <vt:i4>41</vt:i4>
      </vt:variant>
      <vt:variant>
        <vt:i4>0</vt:i4>
      </vt:variant>
      <vt:variant>
        <vt:i4>5</vt:i4>
      </vt:variant>
      <vt:variant>
        <vt:lpwstr/>
      </vt:variant>
      <vt:variant>
        <vt:lpwstr>_Toc141088984</vt:lpwstr>
      </vt:variant>
      <vt:variant>
        <vt:i4>1245233</vt:i4>
      </vt:variant>
      <vt:variant>
        <vt:i4>35</vt:i4>
      </vt:variant>
      <vt:variant>
        <vt:i4>0</vt:i4>
      </vt:variant>
      <vt:variant>
        <vt:i4>5</vt:i4>
      </vt:variant>
      <vt:variant>
        <vt:lpwstr/>
      </vt:variant>
      <vt:variant>
        <vt:lpwstr>_Toc141088983</vt:lpwstr>
      </vt:variant>
      <vt:variant>
        <vt:i4>1245233</vt:i4>
      </vt:variant>
      <vt:variant>
        <vt:i4>29</vt:i4>
      </vt:variant>
      <vt:variant>
        <vt:i4>0</vt:i4>
      </vt:variant>
      <vt:variant>
        <vt:i4>5</vt:i4>
      </vt:variant>
      <vt:variant>
        <vt:lpwstr/>
      </vt:variant>
      <vt:variant>
        <vt:lpwstr>_Toc141088982</vt:lpwstr>
      </vt:variant>
      <vt:variant>
        <vt:i4>1245233</vt:i4>
      </vt:variant>
      <vt:variant>
        <vt:i4>23</vt:i4>
      </vt:variant>
      <vt:variant>
        <vt:i4>0</vt:i4>
      </vt:variant>
      <vt:variant>
        <vt:i4>5</vt:i4>
      </vt:variant>
      <vt:variant>
        <vt:lpwstr/>
      </vt:variant>
      <vt:variant>
        <vt:lpwstr>_Toc141088981</vt:lpwstr>
      </vt:variant>
      <vt:variant>
        <vt:i4>1245233</vt:i4>
      </vt:variant>
      <vt:variant>
        <vt:i4>17</vt:i4>
      </vt:variant>
      <vt:variant>
        <vt:i4>0</vt:i4>
      </vt:variant>
      <vt:variant>
        <vt:i4>5</vt:i4>
      </vt:variant>
      <vt:variant>
        <vt:lpwstr/>
      </vt:variant>
      <vt:variant>
        <vt:lpwstr>_Toc141088980</vt:lpwstr>
      </vt:variant>
      <vt:variant>
        <vt:i4>1835057</vt:i4>
      </vt:variant>
      <vt:variant>
        <vt:i4>11</vt:i4>
      </vt:variant>
      <vt:variant>
        <vt:i4>0</vt:i4>
      </vt:variant>
      <vt:variant>
        <vt:i4>5</vt:i4>
      </vt:variant>
      <vt:variant>
        <vt:lpwstr/>
      </vt:variant>
      <vt:variant>
        <vt:lpwstr>_Toc141088979</vt:lpwstr>
      </vt:variant>
      <vt:variant>
        <vt:i4>1835057</vt:i4>
      </vt:variant>
      <vt:variant>
        <vt:i4>5</vt:i4>
      </vt:variant>
      <vt:variant>
        <vt:i4>0</vt:i4>
      </vt:variant>
      <vt:variant>
        <vt:i4>5</vt:i4>
      </vt:variant>
      <vt:variant>
        <vt:lpwstr/>
      </vt:variant>
      <vt:variant>
        <vt:lpwstr>_Toc141088978</vt:lpwstr>
      </vt:variant>
      <vt:variant>
        <vt:i4>7340128</vt:i4>
      </vt:variant>
      <vt:variant>
        <vt:i4>0</vt:i4>
      </vt:variant>
      <vt:variant>
        <vt:i4>0</vt:i4>
      </vt:variant>
      <vt:variant>
        <vt:i4>5</vt:i4>
      </vt:variant>
      <vt:variant>
        <vt:lpwstr>http://www.environment.govt.nz/</vt:lpwstr>
      </vt:variant>
      <vt:variant>
        <vt:lpwstr/>
      </vt:variant>
      <vt:variant>
        <vt:i4>8126540</vt:i4>
      </vt:variant>
      <vt:variant>
        <vt:i4>3</vt:i4>
      </vt:variant>
      <vt:variant>
        <vt:i4>0</vt:i4>
      </vt:variant>
      <vt:variant>
        <vt:i4>5</vt:i4>
      </vt:variant>
      <vt:variant>
        <vt:lpwstr>mailto:Elliot.Dunn@mfe.govt.nz</vt:lpwstr>
      </vt:variant>
      <vt:variant>
        <vt:lpwstr/>
      </vt:variant>
      <vt:variant>
        <vt:i4>2097173</vt:i4>
      </vt:variant>
      <vt:variant>
        <vt:i4>0</vt:i4>
      </vt:variant>
      <vt:variant>
        <vt:i4>0</vt:i4>
      </vt:variant>
      <vt:variant>
        <vt:i4>5</vt:i4>
      </vt:variant>
      <vt:variant>
        <vt:lpwstr>mailto:Jay.Forlong@mfe.govt.nz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Kyla van Heerden</dc:creator>
  <cp:keywords/>
  <dc:description/>
  <cp:lastModifiedBy>Michael Johnson</cp:lastModifiedBy>
  <cp:revision>2</cp:revision>
  <dcterms:created xsi:type="dcterms:W3CDTF">2023-08-16T21:45:00Z</dcterms:created>
  <dcterms:modified xsi:type="dcterms:W3CDTF">2023-08-16T21:45:00Z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0x010100EA5FB0BEBF7DE54D9F252D8A06C053F7</vt:lpwstr>
  </property>
  <property fmtid="{D5CDD505-2E9C-101B-9397-08002B2CF9AE}" pid="3" name="_dlc_DocIdItemGuid">
    <vt:lpwstr>5793d7d7-90f9-405b-ae87-1268c58e8835</vt:lpwstr>
  </property>
  <property fmtid="{D5CDD505-2E9C-101B-9397-08002B2CF9AE}" pid="4" name="MediaServiceImageTags">
    <vt:lpwstr/>
  </property>
  <property fmtid="{D5CDD505-2E9C-101B-9397-08002B2CF9AE}" pid="5" name="MSIP_Label_52dda6cc-d61d-4fd2-bf18-9b3017d931cc_Enabled">
    <vt:lpwstr>true</vt:lpwstr>
  </property>
  <property fmtid="{D5CDD505-2E9C-101B-9397-08002B2CF9AE}" pid="6" name="MSIP_Label_52dda6cc-d61d-4fd2-bf18-9b3017d931cc_SetDate">
    <vt:lpwstr>2022-11-11T02:56:06Z</vt:lpwstr>
  </property>
  <property fmtid="{D5CDD505-2E9C-101B-9397-08002B2CF9AE}" pid="7" name="MSIP_Label_52dda6cc-d61d-4fd2-bf18-9b3017d931cc_Method">
    <vt:lpwstr>Privileged</vt:lpwstr>
  </property>
  <property fmtid="{D5CDD505-2E9C-101B-9397-08002B2CF9AE}" pid="8" name="MSIP_Label_52dda6cc-d61d-4fd2-bf18-9b3017d931cc_Name">
    <vt:lpwstr>[UNCLASSIFIED]</vt:lpwstr>
  </property>
  <property fmtid="{D5CDD505-2E9C-101B-9397-08002B2CF9AE}" pid="9" name="MSIP_Label_52dda6cc-d61d-4fd2-bf18-9b3017d931cc_SiteId">
    <vt:lpwstr>761dd003-d4ff-4049-8a72-8549b20fcbb1</vt:lpwstr>
  </property>
  <property fmtid="{D5CDD505-2E9C-101B-9397-08002B2CF9AE}" pid="10" name="MSIP_Label_52dda6cc-d61d-4fd2-bf18-9b3017d931cc_ActionId">
    <vt:lpwstr>20e38d4f-86b8-4f2f-97e0-bde83cc8ffc9</vt:lpwstr>
  </property>
  <property fmtid="{D5CDD505-2E9C-101B-9397-08002B2CF9AE}" pid="11" name="MSIP_Label_52dda6cc-d61d-4fd2-bf18-9b3017d931cc_ContentBits">
    <vt:lpwstr>0</vt:lpwstr>
  </property>
</Properties>
</file>